
<file path=[Content_Types].xml><?xml version="1.0" encoding="utf-8"?>
<Types xmlns="http://schemas.openxmlformats.org/package/2006/content-types">
  <Default ContentType="image/x-emf" Extension="emf"/>
  <Default ContentType="image/png" Extension="pn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仿宋_GB2312" w:cs="Times New Roman"/>
          <w:color w:val="000000"/>
          <w:sz w:val="36"/>
          <w:szCs w:val="36"/>
          <w:highlight w:val="none"/>
        </w:rPr>
      </w:pPr>
    </w:p>
    <w:p>
      <w:pPr>
        <w:rPr>
          <w:rFonts w:hint="default" w:ascii="Times New Roman" w:hAnsi="Times New Roman" w:eastAsia="仿宋_GB2312" w:cs="Times New Roman"/>
          <w:color w:val="000000"/>
          <w:sz w:val="36"/>
          <w:szCs w:val="36"/>
          <w:highlight w:val="none"/>
        </w:rPr>
      </w:pPr>
    </w:p>
    <w:p>
      <w:pPr>
        <w:rPr>
          <w:rFonts w:hint="default" w:ascii="Times New Roman" w:hAnsi="Times New Roman" w:eastAsia="仿宋_GB2312" w:cs="Times New Roman"/>
          <w:color w:val="000000"/>
          <w:sz w:val="36"/>
          <w:szCs w:val="36"/>
          <w:highlight w:val="none"/>
        </w:rPr>
      </w:pPr>
    </w:p>
    <w:p>
      <w:pPr>
        <w:rPr>
          <w:rFonts w:hint="default" w:ascii="Times New Roman" w:hAnsi="Times New Roman" w:eastAsia="仿宋_GB2312" w:cs="Times New Roman"/>
          <w:color w:val="000000"/>
          <w:sz w:val="36"/>
          <w:szCs w:val="36"/>
          <w:highlight w:val="none"/>
        </w:rPr>
      </w:pPr>
    </w:p>
    <w:p>
      <w:pPr>
        <w:rPr>
          <w:rFonts w:hint="default" w:ascii="Times New Roman" w:hAnsi="Times New Roman" w:eastAsia="仿宋_GB2312" w:cs="Times New Roman"/>
          <w:color w:val="000000"/>
          <w:sz w:val="36"/>
          <w:szCs w:val="36"/>
          <w:highlight w:val="none"/>
        </w:rPr>
      </w:pPr>
    </w:p>
    <w:p>
      <w:pPr>
        <w:keepNext w:val="0"/>
        <w:keepLines w:val="0"/>
        <w:pageBreakBefore w:val="0"/>
        <w:widowControl w:val="0"/>
        <w:kinsoku/>
        <w:wordWrap/>
        <w:overflowPunct/>
        <w:topLinePunct w:val="0"/>
        <w:autoSpaceDE/>
        <w:autoSpaceDN/>
        <w:bidi w:val="0"/>
        <w:adjustRightInd w:val="0"/>
        <w:snapToGrid w:val="0"/>
        <w:jc w:val="center"/>
        <w:textAlignment w:val="auto"/>
        <w:outlineLvl w:val="9"/>
        <w:rPr>
          <w:rFonts w:hint="default" w:ascii="Times New Roman" w:hAnsi="Times New Roman" w:eastAsia="方正小标宋_GBK" w:cs="Times New Roman"/>
          <w:bCs/>
          <w:color w:val="000000"/>
          <w:sz w:val="72"/>
          <w:szCs w:val="72"/>
          <w:highlight w:val="none"/>
        </w:rPr>
      </w:pPr>
      <w:bookmarkStart w:id="0" w:name="_Toc25454"/>
      <w:r>
        <w:rPr>
          <w:rFonts w:hint="default" w:ascii="Times New Roman" w:hAnsi="Times New Roman" w:eastAsia="方正小标宋_GBK" w:cs="Times New Roman"/>
          <w:bCs/>
          <w:color w:val="000000"/>
          <w:sz w:val="72"/>
          <w:szCs w:val="72"/>
          <w:highlight w:val="none"/>
        </w:rPr>
        <w:t>建设项目环境影响报告表</w:t>
      </w:r>
      <w:bookmarkEnd w:id="0"/>
    </w:p>
    <w:p>
      <w:pPr>
        <w:adjustRightInd w:val="0"/>
        <w:snapToGrid w:val="0"/>
        <w:spacing w:before="192" w:beforeLines="80"/>
        <w:jc w:val="center"/>
        <w:rPr>
          <w:rFonts w:hint="default" w:ascii="Times New Roman" w:hAnsi="Times New Roman" w:eastAsia="楷体_GB2312" w:cs="Times New Roman"/>
          <w:bCs/>
          <w:color w:val="000000"/>
          <w:sz w:val="48"/>
          <w:szCs w:val="48"/>
          <w:highlight w:val="none"/>
        </w:rPr>
      </w:pPr>
      <w:r>
        <w:rPr>
          <w:rFonts w:hint="default" w:ascii="Times New Roman" w:hAnsi="Times New Roman" w:eastAsia="楷体_GB2312" w:cs="Times New Roman"/>
          <w:bCs/>
          <w:color w:val="000000"/>
          <w:sz w:val="48"/>
          <w:szCs w:val="48"/>
          <w:highlight w:val="none"/>
        </w:rPr>
        <w:t>（污染影响类）</w:t>
      </w:r>
    </w:p>
    <w:p>
      <w:pPr>
        <w:adjustRightInd w:val="0"/>
        <w:snapToGrid w:val="0"/>
        <w:spacing w:line="288" w:lineRule="auto"/>
        <w:jc w:val="center"/>
        <w:outlineLvl w:val="0"/>
        <w:rPr>
          <w:rFonts w:hint="default" w:ascii="Times New Roman" w:hAnsi="Times New Roman" w:eastAsia="华文仿宋" w:cs="Times New Roman"/>
          <w:color w:val="000000"/>
          <w:kern w:val="44"/>
          <w:sz w:val="44"/>
          <w:szCs w:val="44"/>
          <w:highlight w:val="none"/>
        </w:rPr>
      </w:pPr>
    </w:p>
    <w:p>
      <w:pPr>
        <w:jc w:val="center"/>
        <w:rPr>
          <w:rFonts w:hint="default" w:ascii="Times New Roman" w:hAnsi="Times New Roman" w:eastAsia="仿宋" w:cs="Times New Roman"/>
          <w:color w:val="000000"/>
          <w:sz w:val="52"/>
          <w:szCs w:val="52"/>
          <w:highlight w:val="none"/>
        </w:rPr>
      </w:pPr>
    </w:p>
    <w:p>
      <w:pPr>
        <w:ind w:firstLine="1040"/>
        <w:rPr>
          <w:rFonts w:hint="default" w:ascii="Times New Roman" w:hAnsi="Times New Roman" w:eastAsia="仿宋" w:cs="Times New Roman"/>
          <w:color w:val="000000"/>
          <w:sz w:val="44"/>
          <w:szCs w:val="44"/>
          <w:highlight w:val="none"/>
        </w:rPr>
      </w:pPr>
    </w:p>
    <w:p>
      <w:pPr>
        <w:ind w:firstLine="1040"/>
        <w:rPr>
          <w:rFonts w:hint="default" w:ascii="Times New Roman" w:hAnsi="Times New Roman" w:eastAsia="仿宋" w:cs="Times New Roman"/>
          <w:color w:val="000000"/>
          <w:sz w:val="44"/>
          <w:szCs w:val="44"/>
          <w:highlight w:val="none"/>
        </w:rPr>
      </w:pPr>
    </w:p>
    <w:p>
      <w:pPr>
        <w:ind w:firstLine="1040"/>
        <w:rPr>
          <w:rFonts w:hint="default" w:ascii="Times New Roman" w:hAnsi="Times New Roman" w:eastAsia="仿宋" w:cs="Times New Roman"/>
          <w:color w:val="000000"/>
          <w:sz w:val="44"/>
          <w:szCs w:val="44"/>
          <w:highlight w:val="none"/>
        </w:rPr>
      </w:pPr>
    </w:p>
    <w:p>
      <w:pPr>
        <w:ind w:firstLine="1040"/>
        <w:rPr>
          <w:rFonts w:hint="default" w:ascii="Times New Roman" w:hAnsi="Times New Roman" w:eastAsia="仿宋" w:cs="Times New Roman"/>
          <w:color w:val="000000"/>
          <w:sz w:val="44"/>
          <w:szCs w:val="44"/>
          <w:highlight w:val="none"/>
        </w:rPr>
      </w:pPr>
    </w:p>
    <w:p>
      <w:pPr>
        <w:keepNext w:val="0"/>
        <w:keepLines w:val="0"/>
        <w:pageBreakBefore w:val="0"/>
        <w:widowControl w:val="0"/>
        <w:kinsoku/>
        <w:wordWrap/>
        <w:overflowPunct/>
        <w:topLinePunct w:val="0"/>
        <w:autoSpaceDE/>
        <w:autoSpaceDN/>
        <w:bidi w:val="0"/>
        <w:spacing w:line="360" w:lineRule="auto"/>
        <w:textAlignment w:val="auto"/>
        <w:rPr>
          <w:rFonts w:hint="default" w:ascii="Times New Roman" w:hAnsi="Times New Roman" w:eastAsia="仿宋_GB2312" w:cs="Times New Roman"/>
          <w:color w:val="000000"/>
          <w:sz w:val="36"/>
          <w:szCs w:val="36"/>
          <w:highlight w:val="none"/>
        </w:rPr>
      </w:pPr>
    </w:p>
    <w:p>
      <w:pPr>
        <w:keepNext w:val="0"/>
        <w:keepLines w:val="0"/>
        <w:pageBreakBefore w:val="0"/>
        <w:widowControl w:val="0"/>
        <w:tabs>
          <w:tab w:val="left" w:pos="8820"/>
        </w:tabs>
        <w:kinsoku/>
        <w:wordWrap/>
        <w:overflowPunct/>
        <w:topLinePunct w:val="0"/>
        <w:autoSpaceDE/>
        <w:autoSpaceDN/>
        <w:bidi w:val="0"/>
        <w:spacing w:line="360" w:lineRule="auto"/>
        <w:ind w:firstLine="360" w:firstLineChars="100"/>
        <w:jc w:val="both"/>
        <w:textAlignment w:val="auto"/>
        <w:rPr>
          <w:rFonts w:hint="default" w:ascii="Times New Roman" w:hAnsi="Times New Roman" w:eastAsia="仿宋_GB2312" w:cs="Times New Roman"/>
          <w:color w:val="000000"/>
          <w:sz w:val="36"/>
          <w:szCs w:val="36"/>
          <w:highlight w:val="none"/>
          <w:u w:val="single"/>
          <w:lang w:val="en-US"/>
        </w:rPr>
      </w:pPr>
      <w:r>
        <w:rPr>
          <w:rFonts w:hint="default" w:ascii="Times New Roman" w:hAnsi="Times New Roman" w:eastAsia="仿宋_GB2312" w:cs="Times New Roman"/>
          <w:color w:val="000000"/>
          <w:sz w:val="36"/>
          <w:szCs w:val="36"/>
          <w:highlight w:val="none"/>
        </w:rPr>
        <w:t>项目名称：</w:t>
      </w:r>
      <w:r>
        <w:rPr>
          <w:rFonts w:hint="default" w:ascii="Times New Roman" w:hAnsi="Times New Roman" w:eastAsia="仿宋_GB2312" w:cs="Times New Roman"/>
          <w:color w:val="000000"/>
          <w:sz w:val="36"/>
          <w:szCs w:val="36"/>
          <w:highlight w:val="none"/>
          <w:u w:val="single"/>
          <w:lang w:val="en-US" w:eastAsia="zh-CN"/>
        </w:rPr>
        <w:t xml:space="preserve"> 智能机器人研发生产基地项目 </w:t>
      </w:r>
    </w:p>
    <w:p>
      <w:pPr>
        <w:keepNext w:val="0"/>
        <w:keepLines w:val="0"/>
        <w:pageBreakBefore w:val="0"/>
        <w:widowControl w:val="0"/>
        <w:kinsoku/>
        <w:wordWrap/>
        <w:overflowPunct/>
        <w:topLinePunct w:val="0"/>
        <w:autoSpaceDE/>
        <w:autoSpaceDN/>
        <w:bidi w:val="0"/>
        <w:spacing w:line="360" w:lineRule="auto"/>
        <w:ind w:firstLine="360" w:firstLineChars="100"/>
        <w:textAlignment w:val="auto"/>
        <w:rPr>
          <w:rFonts w:hint="default" w:ascii="Times New Roman" w:hAnsi="Times New Roman" w:eastAsia="仿宋_GB2312" w:cs="Times New Roman"/>
          <w:color w:val="000000"/>
          <w:sz w:val="36"/>
          <w:szCs w:val="36"/>
          <w:highlight w:val="none"/>
          <w:u w:val="single"/>
          <w:lang w:val="en-US" w:eastAsia="zh-CN"/>
        </w:rPr>
      </w:pPr>
      <w:r>
        <w:rPr>
          <w:rFonts w:hint="default" w:ascii="Times New Roman" w:hAnsi="Times New Roman" w:eastAsia="仿宋_GB2312" w:cs="Times New Roman"/>
          <w:color w:val="000000"/>
          <w:sz w:val="36"/>
          <w:szCs w:val="36"/>
          <w:highlight w:val="none"/>
        </w:rPr>
        <w:t>建设单位（盖章）：</w:t>
      </w:r>
      <w:r>
        <w:rPr>
          <w:rFonts w:hint="default" w:ascii="Times New Roman" w:hAnsi="Times New Roman" w:eastAsia="仿宋_GB2312" w:cs="Times New Roman"/>
          <w:color w:val="000000"/>
          <w:sz w:val="36"/>
          <w:szCs w:val="36"/>
          <w:highlight w:val="none"/>
          <w:u w:val="single"/>
          <w:lang w:val="en-US" w:eastAsia="zh-CN"/>
        </w:rPr>
        <w:t>中科（秦皇岛）控制技术有限公司</w:t>
      </w:r>
    </w:p>
    <w:p>
      <w:pPr>
        <w:keepNext w:val="0"/>
        <w:keepLines w:val="0"/>
        <w:pageBreakBefore w:val="0"/>
        <w:widowControl w:val="0"/>
        <w:kinsoku/>
        <w:wordWrap/>
        <w:overflowPunct/>
        <w:topLinePunct w:val="0"/>
        <w:autoSpaceDE/>
        <w:autoSpaceDN/>
        <w:bidi w:val="0"/>
        <w:adjustRightInd w:val="0"/>
        <w:snapToGrid w:val="0"/>
        <w:spacing w:line="360" w:lineRule="auto"/>
        <w:ind w:firstLine="360" w:firstLineChars="100"/>
        <w:textAlignment w:val="auto"/>
        <w:rPr>
          <w:rFonts w:hint="default" w:ascii="Times New Roman" w:hAnsi="Times New Roman" w:eastAsia="仿宋_GB2312" w:cs="Times New Roman"/>
          <w:color w:val="000000"/>
          <w:sz w:val="36"/>
          <w:szCs w:val="36"/>
          <w:highlight w:val="none"/>
          <w:u w:val="single"/>
          <w:lang w:val="en-US"/>
        </w:rPr>
      </w:pPr>
      <w:r>
        <w:rPr>
          <w:rFonts w:hint="default" w:ascii="Times New Roman" w:hAnsi="Times New Roman" w:eastAsia="仿宋_GB2312" w:cs="Times New Roman"/>
          <w:color w:val="000000"/>
          <w:sz w:val="36"/>
          <w:szCs w:val="36"/>
          <w:highlight w:val="none"/>
        </w:rPr>
        <w:t>编制日期：</w:t>
      </w:r>
      <w:r>
        <w:rPr>
          <w:rFonts w:hint="default" w:ascii="Times New Roman" w:hAnsi="Times New Roman" w:eastAsia="仿宋_GB2312" w:cs="Times New Roman"/>
          <w:color w:val="000000"/>
          <w:sz w:val="36"/>
          <w:szCs w:val="36"/>
          <w:highlight w:val="none"/>
          <w:u w:val="single"/>
          <w:lang w:val="en-US" w:eastAsia="zh-CN"/>
        </w:rPr>
        <w:t xml:space="preserve">              2025年</w:t>
      </w:r>
      <w:r>
        <w:rPr>
          <w:rFonts w:hint="eastAsia" w:eastAsia="仿宋_GB2312" w:cs="Times New Roman"/>
          <w:color w:val="000000"/>
          <w:sz w:val="36"/>
          <w:szCs w:val="36"/>
          <w:highlight w:val="none"/>
          <w:u w:val="single"/>
          <w:lang w:val="en-US" w:eastAsia="zh-CN"/>
        </w:rPr>
        <w:t>6</w:t>
      </w:r>
      <w:r>
        <w:rPr>
          <w:rFonts w:hint="default" w:ascii="Times New Roman" w:hAnsi="Times New Roman" w:eastAsia="仿宋_GB2312" w:cs="Times New Roman"/>
          <w:color w:val="000000"/>
          <w:sz w:val="36"/>
          <w:szCs w:val="36"/>
          <w:highlight w:val="none"/>
          <w:u w:val="single"/>
          <w:lang w:val="en-US" w:eastAsia="zh-CN"/>
        </w:rPr>
        <w:t xml:space="preserve">月             </w:t>
      </w:r>
    </w:p>
    <w:p>
      <w:pPr>
        <w:adjustRightInd w:val="0"/>
        <w:snapToGrid w:val="0"/>
        <w:spacing w:line="288" w:lineRule="auto"/>
        <w:ind w:firstLine="1040"/>
        <w:rPr>
          <w:rFonts w:hint="default" w:ascii="Times New Roman" w:hAnsi="Times New Roman" w:eastAsia="仿宋_GB2312" w:cs="Times New Roman"/>
          <w:color w:val="000000"/>
          <w:sz w:val="36"/>
          <w:szCs w:val="36"/>
          <w:highlight w:val="none"/>
          <w:u w:val="single"/>
        </w:rPr>
      </w:pPr>
      <w:bookmarkStart w:id="1" w:name="_Hlk57884087"/>
    </w:p>
    <w:p>
      <w:pPr>
        <w:adjustRightInd w:val="0"/>
        <w:snapToGrid w:val="0"/>
        <w:spacing w:line="288" w:lineRule="auto"/>
        <w:ind w:firstLine="1040"/>
        <w:rPr>
          <w:rFonts w:hint="default" w:ascii="Times New Roman" w:hAnsi="Times New Roman" w:eastAsia="仿宋_GB2312" w:cs="Times New Roman"/>
          <w:color w:val="000000"/>
          <w:sz w:val="36"/>
          <w:szCs w:val="36"/>
          <w:highlight w:val="none"/>
          <w:u w:val="single"/>
        </w:rPr>
      </w:pPr>
    </w:p>
    <w:p>
      <w:pPr>
        <w:adjustRightInd w:val="0"/>
        <w:snapToGrid w:val="0"/>
        <w:spacing w:line="288" w:lineRule="auto"/>
        <w:rPr>
          <w:rFonts w:hint="default" w:ascii="Times New Roman" w:hAnsi="Times New Roman" w:eastAsia="仿宋_GB2312" w:cs="Times New Roman"/>
          <w:color w:val="000000"/>
          <w:sz w:val="36"/>
          <w:szCs w:val="36"/>
          <w:highlight w:val="none"/>
        </w:rPr>
      </w:pPr>
    </w:p>
    <w:bookmarkEnd w:id="1"/>
    <w:p>
      <w:pPr>
        <w:adjustRightInd w:val="0"/>
        <w:snapToGrid w:val="0"/>
        <w:spacing w:line="288" w:lineRule="auto"/>
        <w:jc w:val="center"/>
        <w:rPr>
          <w:rFonts w:hint="default" w:ascii="Times New Roman" w:hAnsi="Times New Roman" w:eastAsia="楷体_GB2312" w:cs="Times New Roman"/>
          <w:color w:val="000000"/>
          <w:sz w:val="36"/>
          <w:szCs w:val="36"/>
          <w:highlight w:val="none"/>
        </w:rPr>
      </w:pPr>
      <w:r>
        <w:rPr>
          <w:rFonts w:hint="default" w:ascii="Times New Roman" w:hAnsi="Times New Roman" w:eastAsia="楷体_GB2312" w:cs="Times New Roman"/>
          <w:color w:val="000000"/>
          <w:sz w:val="36"/>
          <w:szCs w:val="36"/>
          <w:highlight w:val="none"/>
        </w:rPr>
        <w:t>中华人民共和国生态环境部制</w:t>
      </w:r>
    </w:p>
    <w:p>
      <w:pPr>
        <w:adjustRightInd w:val="0"/>
        <w:snapToGrid w:val="0"/>
        <w:spacing w:line="288" w:lineRule="auto"/>
        <w:ind w:firstLine="1040"/>
        <w:rPr>
          <w:rFonts w:hint="default" w:ascii="Times New Roman" w:hAnsi="Times New Roman" w:eastAsia="仿宋_GB2312" w:cs="Times New Roman"/>
          <w:color w:val="000000"/>
          <w:sz w:val="36"/>
          <w:szCs w:val="36"/>
          <w:highlight w:val="none"/>
        </w:rPr>
        <w:sectPr>
          <w:footerReference r:id="rId3" w:type="default"/>
          <w:footerReference r:id="rId4" w:type="even"/>
          <w:pgSz w:w="11906" w:h="16838"/>
          <w:pgMar w:top="1701" w:right="1531" w:bottom="1701" w:left="1531" w:header="851" w:footer="1077" w:gutter="0"/>
          <w:pgBorders>
            <w:top w:val="none" w:sz="0" w:space="0"/>
            <w:left w:val="none" w:sz="0" w:space="0"/>
            <w:bottom w:val="none" w:sz="0" w:space="0"/>
            <w:right w:val="none" w:sz="0" w:space="0"/>
          </w:pgBorders>
          <w:pgNumType w:start="3"/>
          <w:cols w:space="720" w:num="1"/>
          <w:docGrid w:linePitch="312" w:charSpace="0"/>
        </w:sectPr>
      </w:pPr>
    </w:p>
    <w:p>
      <w:pPr>
        <w:spacing w:line="480" w:lineRule="exact"/>
        <w:ind w:firstLine="883" w:firstLineChars="200"/>
        <w:jc w:val="center"/>
        <w:rPr>
          <w:rFonts w:hint="default" w:ascii="Times New Roman" w:hAnsi="Times New Roman" w:eastAsia="宋体" w:cs="Times New Roman"/>
          <w:b/>
          <w:bCs/>
          <w:color w:val="000000"/>
          <w:sz w:val="44"/>
          <w:szCs w:val="44"/>
          <w:highlight w:val="none"/>
          <w:lang w:val="en-US" w:eastAsia="zh-CN"/>
        </w:rPr>
      </w:pPr>
      <w:r>
        <w:rPr>
          <w:rFonts w:hint="default" w:ascii="Times New Roman" w:hAnsi="Times New Roman" w:eastAsia="宋体" w:cs="Times New Roman"/>
          <w:b/>
          <w:bCs/>
          <w:color w:val="000000"/>
          <w:sz w:val="44"/>
          <w:szCs w:val="44"/>
          <w:highlight w:val="none"/>
          <w:lang w:val="en-US" w:eastAsia="zh-CN"/>
        </w:rPr>
        <w:t>目录</w:t>
      </w:r>
    </w:p>
    <w:p>
      <w:pPr>
        <w:widowControl w:val="0"/>
        <w:spacing w:line="480" w:lineRule="atLeast"/>
        <w:ind w:firstLine="480" w:firstLineChars="200"/>
        <w:jc w:val="left"/>
        <w:rPr>
          <w:rFonts w:hint="default" w:ascii="Times New Roman" w:hAnsi="Times New Roman" w:eastAsia="Times New Roman" w:cs="Times New Roman"/>
          <w:color w:val="000000"/>
          <w:kern w:val="2"/>
          <w:sz w:val="24"/>
          <w:szCs w:val="20"/>
          <w:highlight w:val="none"/>
          <w:lang w:val="en-US" w:eastAsia="zh-CN" w:bidi="ar-SA"/>
        </w:rPr>
      </w:pP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TOC \o "1-2" \h \u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_Toc5748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一、建设项目基本情况</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_Toc5748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1</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_Toc32437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二、建设项目工程分析</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_Toc32437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25</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_Toc5928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建设内容</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_Toc5928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25</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_Toc6814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工艺流程和产排污环节</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_Toc6814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33</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_Toc10364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bCs/>
          <w:color w:val="000000"/>
          <w:kern w:val="2"/>
          <w:sz w:val="24"/>
          <w:szCs w:val="24"/>
          <w:highlight w:val="none"/>
        </w:rPr>
        <w:t>与项目有关的原有环境污染</w:t>
      </w:r>
      <w:r>
        <w:rPr>
          <w:rFonts w:hint="default" w:ascii="Times New Roman" w:hAnsi="Times New Roman" w:eastAsia="宋体" w:cs="Times New Roman"/>
          <w:bCs/>
          <w:color w:val="000000"/>
          <w:kern w:val="2"/>
          <w:sz w:val="24"/>
          <w:szCs w:val="24"/>
          <w:highlight w:val="none"/>
          <w:lang w:val="en-US" w:eastAsia="zh-CN"/>
        </w:rPr>
        <w:t>问题</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_Toc10364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39</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_Toc31250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三、区域环境质量现状、环境保护目标及评价标准</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_Toc31250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40</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_Toc2032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kern w:val="0"/>
          <w:sz w:val="24"/>
          <w:szCs w:val="24"/>
          <w:highlight w:val="none"/>
        </w:rPr>
        <w:t>区域</w:t>
      </w:r>
      <w:r>
        <w:rPr>
          <w:rFonts w:hint="default" w:ascii="Times New Roman" w:hAnsi="Times New Roman" w:eastAsia="宋体" w:cs="Times New Roman"/>
          <w:color w:val="000000"/>
          <w:sz w:val="24"/>
          <w:szCs w:val="24"/>
          <w:highlight w:val="none"/>
          <w:lang w:val="en-US" w:eastAsia="zh-CN"/>
        </w:rPr>
        <w:t>环境质量现状</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_Toc2032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40</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_Toc11616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kern w:val="0"/>
          <w:sz w:val="24"/>
          <w:szCs w:val="24"/>
          <w:highlight w:val="none"/>
        </w:rPr>
        <w:t>环境</w:t>
      </w:r>
      <w:r>
        <w:rPr>
          <w:rFonts w:hint="default" w:ascii="Times New Roman" w:hAnsi="Times New Roman" w:eastAsia="宋体" w:cs="Times New Roman"/>
          <w:color w:val="000000"/>
          <w:sz w:val="24"/>
          <w:szCs w:val="24"/>
          <w:highlight w:val="none"/>
          <w:lang w:val="en-US" w:eastAsia="zh-CN"/>
        </w:rPr>
        <w:t>环境保护目标</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_Toc11616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42</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_Toc12258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lang w:val="en-US" w:eastAsia="zh-CN"/>
        </w:rPr>
        <w:t>污染物排放控制标准</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_Toc12258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43</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_Toc6697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kern w:val="0"/>
          <w:sz w:val="24"/>
          <w:szCs w:val="24"/>
          <w:highlight w:val="none"/>
        </w:rPr>
        <w:t>总量</w:t>
      </w:r>
      <w:r>
        <w:rPr>
          <w:rFonts w:hint="default" w:ascii="Times New Roman" w:hAnsi="Times New Roman" w:eastAsia="宋体" w:cs="Times New Roman"/>
          <w:color w:val="000000"/>
          <w:sz w:val="24"/>
          <w:szCs w:val="24"/>
          <w:highlight w:val="none"/>
          <w:lang w:val="en-US" w:eastAsia="zh-CN"/>
        </w:rPr>
        <w:t>控制指标</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_Toc6697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47</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_Toc17644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四、主要环境影响和保护措施</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_Toc17644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49</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_Toc5485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lang w:val="en-US" w:eastAsia="zh-CN"/>
        </w:rPr>
        <w:t>施工期环境保护措施</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_Toc5485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49</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7"/>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HYPERLINK \l _Toc15818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lang w:val="en-US" w:eastAsia="zh-CN"/>
        </w:rPr>
        <w:t>运营期环境影响和保护措施</w:t>
      </w:r>
      <w:r>
        <w:rPr>
          <w:rFonts w:hint="default" w:ascii="Times New Roman" w:hAnsi="Times New Roman" w:eastAsia="宋体" w:cs="Times New Roman"/>
          <w:color w:val="000000"/>
          <w:sz w:val="24"/>
          <w:szCs w:val="24"/>
          <w:highlight w:val="none"/>
        </w:rPr>
        <w:tab/>
      </w:r>
      <w:r>
        <w:rPr>
          <w:rFonts w:hint="default" w:ascii="Times New Roman" w:hAnsi="Times New Roman" w:eastAsia="宋体" w:cs="Times New Roman"/>
          <w:color w:val="000000"/>
          <w:sz w:val="24"/>
          <w:szCs w:val="24"/>
          <w:highlight w:val="none"/>
        </w:rPr>
        <w:fldChar w:fldCharType="begin"/>
      </w:r>
      <w:r>
        <w:rPr>
          <w:rFonts w:hint="default" w:ascii="Times New Roman" w:hAnsi="Times New Roman" w:eastAsia="宋体" w:cs="Times New Roman"/>
          <w:color w:val="000000"/>
          <w:sz w:val="24"/>
          <w:szCs w:val="24"/>
          <w:highlight w:val="none"/>
        </w:rPr>
        <w:instrText xml:space="preserve"> PAGEREF _Toc15818 \h </w:instrText>
      </w:r>
      <w:r>
        <w:rPr>
          <w:rFonts w:hint="default" w:ascii="Times New Roman" w:hAnsi="Times New Roman" w:eastAsia="宋体" w:cs="Times New Roman"/>
          <w:color w:val="000000"/>
          <w:sz w:val="24"/>
          <w:szCs w:val="24"/>
          <w:highlight w:val="none"/>
        </w:rPr>
        <w:fldChar w:fldCharType="separate"/>
      </w:r>
      <w:r>
        <w:rPr>
          <w:rFonts w:hint="default" w:ascii="Times New Roman" w:hAnsi="Times New Roman" w:eastAsia="宋体" w:cs="Times New Roman"/>
          <w:color w:val="000000"/>
          <w:sz w:val="24"/>
          <w:szCs w:val="24"/>
          <w:highlight w:val="none"/>
        </w:rPr>
        <w:t>53</w:t>
      </w:r>
      <w:r>
        <w:rPr>
          <w:rFonts w:hint="default" w:ascii="Times New Roman" w:hAnsi="Times New Roman" w:eastAsia="宋体" w:cs="Times New Roman"/>
          <w:color w:val="000000"/>
          <w:sz w:val="24"/>
          <w:szCs w:val="24"/>
          <w:highlight w:val="none"/>
        </w:rPr>
        <w:fldChar w:fldCharType="end"/>
      </w:r>
      <w:r>
        <w:rPr>
          <w:rFonts w:hint="default" w:ascii="Times New Roman" w:hAnsi="Times New Roman" w:eastAsia="宋体" w:cs="Times New Roman"/>
          <w:color w:val="000000"/>
          <w:sz w:val="24"/>
          <w:szCs w:val="24"/>
          <w:highlight w:val="none"/>
        </w:rPr>
        <w:fldChar w:fldCharType="end"/>
      </w: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_Toc3619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五、环境保护措施监督检查清单</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_Toc3619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83</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_Toc5610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六、结论</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_Toc5610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83</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pStyle w:val="24"/>
        <w:keepNext w:val="0"/>
        <w:keepLines w:val="0"/>
        <w:pageBreakBefore w:val="0"/>
        <w:widowControl w:val="0"/>
        <w:tabs>
          <w:tab w:val="right" w:leader="dot" w:pos="8844"/>
        </w:tabs>
        <w:kinsoku/>
        <w:wordWrap/>
        <w:overflowPunct/>
        <w:topLinePunct w:val="0"/>
        <w:autoSpaceDE/>
        <w:autoSpaceDN/>
        <w:bidi w:val="0"/>
        <w:adjustRightInd/>
        <w:snapToGrid/>
        <w:spacing w:line="480" w:lineRule="atLeast"/>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HYPERLINK \l _Toc27603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snapToGrid w:val="0"/>
          <w:color w:val="000000"/>
          <w:sz w:val="24"/>
          <w:szCs w:val="24"/>
          <w:highlight w:val="none"/>
        </w:rPr>
        <w:t>附表</w:t>
      </w:r>
      <w:r>
        <w:rPr>
          <w:rFonts w:hint="default" w:ascii="Times New Roman" w:hAnsi="Times New Roman" w:eastAsia="宋体" w:cs="Times New Roman"/>
          <w:b/>
          <w:bCs/>
          <w:snapToGrid w:val="0"/>
          <w:color w:val="000000"/>
          <w:sz w:val="24"/>
          <w:szCs w:val="24"/>
          <w:highlight w:val="none"/>
          <w:lang w:val="en-US" w:eastAsia="zh-CN"/>
        </w:rPr>
        <w:t xml:space="preserve"> </w:t>
      </w:r>
      <w:r>
        <w:rPr>
          <w:rFonts w:hint="default" w:ascii="Times New Roman" w:hAnsi="Times New Roman" w:eastAsia="宋体" w:cs="Times New Roman"/>
          <w:b/>
          <w:bCs/>
          <w:snapToGrid w:val="0"/>
          <w:color w:val="000000"/>
          <w:sz w:val="24"/>
          <w:szCs w:val="24"/>
          <w:highlight w:val="none"/>
        </w:rPr>
        <w:t>建设项目污染物排放量汇总表</w:t>
      </w:r>
      <w:r>
        <w:rPr>
          <w:rFonts w:hint="default" w:ascii="Times New Roman" w:hAnsi="Times New Roman" w:eastAsia="宋体" w:cs="Times New Roman"/>
          <w:b/>
          <w:bCs/>
          <w:color w:val="000000"/>
          <w:sz w:val="24"/>
          <w:szCs w:val="24"/>
          <w:highlight w:val="none"/>
        </w:rPr>
        <w:tab/>
      </w:r>
      <w:r>
        <w:rPr>
          <w:rFonts w:hint="default" w:ascii="Times New Roman" w:hAnsi="Times New Roman" w:eastAsia="宋体" w:cs="Times New Roman"/>
          <w:b/>
          <w:bCs/>
          <w:color w:val="000000"/>
          <w:sz w:val="24"/>
          <w:szCs w:val="24"/>
          <w:highlight w:val="none"/>
        </w:rPr>
        <w:fldChar w:fldCharType="begin"/>
      </w:r>
      <w:r>
        <w:rPr>
          <w:rFonts w:hint="default" w:ascii="Times New Roman" w:hAnsi="Times New Roman" w:eastAsia="宋体" w:cs="Times New Roman"/>
          <w:b/>
          <w:bCs/>
          <w:color w:val="000000"/>
          <w:sz w:val="24"/>
          <w:szCs w:val="24"/>
          <w:highlight w:val="none"/>
        </w:rPr>
        <w:instrText xml:space="preserve"> PAGEREF _Toc27603 \h </w:instrText>
      </w:r>
      <w:r>
        <w:rPr>
          <w:rFonts w:hint="default" w:ascii="Times New Roman" w:hAnsi="Times New Roman" w:eastAsia="宋体" w:cs="Times New Roman"/>
          <w:b/>
          <w:bCs/>
          <w:color w:val="000000"/>
          <w:sz w:val="24"/>
          <w:szCs w:val="24"/>
          <w:highlight w:val="none"/>
        </w:rPr>
        <w:fldChar w:fldCharType="separate"/>
      </w:r>
      <w:r>
        <w:rPr>
          <w:rFonts w:hint="default" w:ascii="Times New Roman" w:hAnsi="Times New Roman" w:eastAsia="宋体" w:cs="Times New Roman"/>
          <w:b/>
          <w:bCs/>
          <w:color w:val="000000"/>
          <w:sz w:val="24"/>
          <w:szCs w:val="24"/>
          <w:highlight w:val="none"/>
        </w:rPr>
        <w:t>88</w:t>
      </w:r>
      <w:r>
        <w:rPr>
          <w:rFonts w:hint="default" w:ascii="Times New Roman" w:hAnsi="Times New Roman" w:eastAsia="宋体" w:cs="Times New Roman"/>
          <w:b/>
          <w:bCs/>
          <w:color w:val="000000"/>
          <w:sz w:val="24"/>
          <w:szCs w:val="24"/>
          <w:highlight w:val="none"/>
        </w:rPr>
        <w:fldChar w:fldCharType="end"/>
      </w:r>
      <w:r>
        <w:rPr>
          <w:rFonts w:hint="default" w:ascii="Times New Roman" w:hAnsi="Times New Roman" w:eastAsia="宋体" w:cs="Times New Roman"/>
          <w:b/>
          <w:bCs/>
          <w:color w:val="000000"/>
          <w:sz w:val="24"/>
          <w:szCs w:val="24"/>
          <w:highlight w:val="none"/>
        </w:rPr>
        <w:fldChar w:fldCharType="end"/>
      </w:r>
    </w:p>
    <w:p>
      <w:pPr>
        <w:keepNext w:val="0"/>
        <w:keepLines w:val="0"/>
        <w:pageBreakBefore w:val="0"/>
        <w:widowControl w:val="0"/>
        <w:kinsoku/>
        <w:wordWrap/>
        <w:overflowPunct/>
        <w:topLinePunct w:val="0"/>
        <w:autoSpaceDE/>
        <w:autoSpaceDN/>
        <w:bidi w:val="0"/>
        <w:adjustRightInd/>
        <w:snapToGrid/>
        <w:spacing w:line="480" w:lineRule="atLeast"/>
        <w:jc w:val="center"/>
        <w:textAlignment w:val="auto"/>
        <w:outlineLvl w:val="0"/>
        <w:rPr>
          <w:rFonts w:hint="default" w:ascii="Times New Roman" w:hAnsi="Times New Roman" w:eastAsia="宋体" w:cs="Times New Roman"/>
          <w:color w:val="000000"/>
          <w:szCs w:val="20"/>
          <w:highlight w:val="none"/>
        </w:rPr>
        <w:sectPr>
          <w:footerReference r:id="rId5" w:type="default"/>
          <w:pgSz w:w="11906" w:h="16838"/>
          <w:pgMar w:top="1701" w:right="1531" w:bottom="1701" w:left="1531" w:header="851" w:footer="1077" w:gutter="0"/>
          <w:pgBorders>
            <w:top w:val="none" w:sz="0" w:space="0"/>
            <w:left w:val="none" w:sz="0" w:space="0"/>
            <w:bottom w:val="none" w:sz="0" w:space="0"/>
            <w:right w:val="none" w:sz="0" w:space="0"/>
          </w:pgBorders>
          <w:pgNumType w:fmt="upperRoman" w:start="1"/>
          <w:cols w:space="720" w:num="1"/>
          <w:docGrid w:linePitch="312" w:charSpace="0"/>
        </w:sectPr>
      </w:pPr>
      <w:r>
        <w:rPr>
          <w:rFonts w:hint="default" w:ascii="Times New Roman" w:hAnsi="Times New Roman" w:eastAsia="宋体" w:cs="Times New Roman"/>
          <w:color w:val="000000"/>
          <w:sz w:val="24"/>
          <w:szCs w:val="24"/>
          <w:highlight w:val="none"/>
        </w:rPr>
        <w:fldChar w:fldCharType="end"/>
      </w:r>
      <w:bookmarkStart w:id="2" w:name="_Toc5748"/>
    </w:p>
    <w:p>
      <w:pPr>
        <w:keepNext w:val="0"/>
        <w:keepLines w:val="0"/>
        <w:pageBreakBefore w:val="0"/>
        <w:widowControl w:val="0"/>
        <w:kinsoku/>
        <w:wordWrap/>
        <w:overflowPunct/>
        <w:topLinePunct w:val="0"/>
        <w:autoSpaceDE/>
        <w:autoSpaceDN/>
        <w:bidi w:val="0"/>
        <w:adjustRightInd/>
        <w:snapToGrid/>
        <w:jc w:val="center"/>
        <w:textAlignment w:val="auto"/>
        <w:outlineLvl w:val="0"/>
        <w:rPr>
          <w:rFonts w:hint="default" w:ascii="Times New Roman" w:hAnsi="Times New Roman" w:eastAsia="黑体" w:cs="Times New Roman"/>
          <w:snapToGrid w:val="0"/>
          <w:color w:val="000000"/>
          <w:sz w:val="30"/>
          <w:szCs w:val="30"/>
          <w:highlight w:val="none"/>
        </w:rPr>
      </w:pPr>
      <w:r>
        <w:rPr>
          <w:rFonts w:hint="default" w:ascii="Times New Roman" w:hAnsi="Times New Roman" w:eastAsia="黑体" w:cs="Times New Roman"/>
          <w:snapToGrid w:val="0"/>
          <w:color w:val="000000"/>
          <w:sz w:val="30"/>
          <w:szCs w:val="30"/>
          <w:highlight w:val="none"/>
        </w:rPr>
        <w:t>一、建设项目基本情况</w:t>
      </w:r>
      <w:bookmarkEnd w:id="2"/>
    </w:p>
    <w:tbl>
      <w:tblPr>
        <w:tblStyle w:val="32"/>
        <w:tblW w:w="4904" w:type="pct"/>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559"/>
        <w:gridCol w:w="1255"/>
        <w:gridCol w:w="2172"/>
        <w:gridCol w:w="1827"/>
        <w:gridCol w:w="288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建设项目名称</w:t>
            </w:r>
          </w:p>
        </w:tc>
        <w:tc>
          <w:tcPr>
            <w:tcW w:w="3957" w:type="pct"/>
            <w:gridSpan w:val="3"/>
            <w:noWrap w:val="0"/>
            <w:vAlign w:val="center"/>
          </w:tcPr>
          <w:p>
            <w:pPr>
              <w:adjustRightInd w:val="0"/>
              <w:snapToGrid w:val="0"/>
              <w:jc w:val="center"/>
              <w:rPr>
                <w:rFonts w:hint="default" w:ascii="Times New Roman" w:hAnsi="Times New Roman" w:eastAsia="宋体"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智能机器人研发生产基地项目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项目代码</w:t>
            </w:r>
          </w:p>
        </w:tc>
        <w:tc>
          <w:tcPr>
            <w:tcW w:w="3957" w:type="pct"/>
            <w:gridSpan w:val="3"/>
            <w:noWrap w:val="0"/>
            <w:vAlign w:val="center"/>
          </w:tcPr>
          <w:p>
            <w:pPr>
              <w:adjustRightInd w:val="0"/>
              <w:snapToGrid w:val="0"/>
              <w:jc w:val="center"/>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2502-130306-89-01-939597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shd w:val="clear" w:color="auto" w:fill="auto"/>
              </w:rPr>
            </w:pPr>
            <w:r>
              <w:rPr>
                <w:rFonts w:hint="default" w:ascii="Times New Roman" w:hAnsi="Times New Roman" w:cs="Times New Roman"/>
                <w:color w:val="000000"/>
                <w:sz w:val="24"/>
                <w:szCs w:val="24"/>
                <w:highlight w:val="none"/>
                <w:shd w:val="clear" w:color="auto" w:fill="auto"/>
              </w:rPr>
              <w:t>建设单位联系人</w:t>
            </w:r>
          </w:p>
        </w:tc>
        <w:tc>
          <w:tcPr>
            <w:tcW w:w="1248" w:type="pct"/>
            <w:noWrap w:val="0"/>
            <w:vAlign w:val="center"/>
          </w:tcPr>
          <w:p>
            <w:pPr>
              <w:adjustRightInd w:val="0"/>
              <w:snapToGrid w:val="0"/>
              <w:jc w:val="center"/>
              <w:rPr>
                <w:rFonts w:hint="default" w:ascii="Times New Roman" w:hAnsi="Times New Roman" w:eastAsia="宋体" w:cs="Times New Roman"/>
                <w:color w:val="000000"/>
                <w:sz w:val="24"/>
                <w:szCs w:val="24"/>
                <w:highlight w:val="none"/>
                <w:shd w:val="clear" w:color="auto" w:fill="auto"/>
                <w:lang w:val="en-US" w:eastAsia="zh-CN"/>
              </w:rPr>
            </w:pPr>
            <w:r>
              <w:rPr>
                <w:rFonts w:hint="default" w:ascii="Times New Roman" w:hAnsi="Times New Roman" w:eastAsia="宋体" w:cs="Times New Roman"/>
                <w:color w:val="000000"/>
                <w:sz w:val="24"/>
                <w:szCs w:val="24"/>
                <w:highlight w:val="none"/>
                <w:shd w:val="clear" w:color="auto" w:fill="auto"/>
                <w:lang w:val="en-US" w:eastAsia="zh-CN"/>
              </w:rPr>
              <w:t>赵春喜</w:t>
            </w:r>
          </w:p>
        </w:tc>
        <w:tc>
          <w:tcPr>
            <w:tcW w:w="1049" w:type="pct"/>
            <w:noWrap w:val="0"/>
            <w:vAlign w:val="center"/>
          </w:tcPr>
          <w:p>
            <w:pPr>
              <w:adjustRightInd w:val="0"/>
              <w:snapToGrid w:val="0"/>
              <w:jc w:val="center"/>
              <w:rPr>
                <w:rFonts w:hint="default" w:ascii="Times New Roman" w:hAnsi="Times New Roman" w:cs="Times New Roman"/>
                <w:color w:val="000000"/>
                <w:sz w:val="24"/>
                <w:szCs w:val="24"/>
                <w:highlight w:val="none"/>
                <w:shd w:val="clear" w:color="auto" w:fill="auto"/>
              </w:rPr>
            </w:pPr>
            <w:r>
              <w:rPr>
                <w:rFonts w:hint="default" w:ascii="Times New Roman" w:hAnsi="Times New Roman" w:cs="Times New Roman"/>
                <w:color w:val="000000"/>
                <w:sz w:val="24"/>
                <w:szCs w:val="24"/>
                <w:highlight w:val="none"/>
                <w:shd w:val="clear" w:color="auto" w:fill="auto"/>
              </w:rPr>
              <w:t>联系方式</w:t>
            </w:r>
          </w:p>
        </w:tc>
        <w:tc>
          <w:tcPr>
            <w:tcW w:w="1659" w:type="pct"/>
            <w:noWrap w:val="0"/>
            <w:vAlign w:val="center"/>
          </w:tcPr>
          <w:p>
            <w:pPr>
              <w:adjustRightInd w:val="0"/>
              <w:snapToGrid w:val="0"/>
              <w:jc w:val="center"/>
              <w:rPr>
                <w:rFonts w:hint="default" w:ascii="Times New Roman" w:hAnsi="Times New Roman" w:eastAsia="宋体" w:cs="Times New Roman"/>
                <w:color w:val="000000"/>
                <w:sz w:val="24"/>
                <w:szCs w:val="24"/>
                <w:highlight w:val="none"/>
                <w:shd w:val="clear" w:color="auto" w:fill="auto"/>
                <w:lang w:val="en-US" w:eastAsia="zh-CN"/>
              </w:rPr>
            </w:pPr>
            <w:r>
              <w:rPr>
                <w:rFonts w:hint="default" w:ascii="Times New Roman" w:hAnsi="Times New Roman" w:eastAsia="宋体" w:cs="Times New Roman"/>
                <w:color w:val="000000"/>
                <w:sz w:val="24"/>
                <w:szCs w:val="24"/>
                <w:highlight w:val="none"/>
                <w:shd w:val="clear" w:color="auto" w:fill="auto"/>
                <w:lang w:val="en-US" w:eastAsia="zh-CN"/>
              </w:rPr>
              <w:t>18003339888</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建设地点</w:t>
            </w:r>
          </w:p>
        </w:tc>
        <w:tc>
          <w:tcPr>
            <w:tcW w:w="3957" w:type="pct"/>
            <w:gridSpan w:val="3"/>
            <w:noWrap w:val="0"/>
            <w:vAlign w:val="center"/>
          </w:tcPr>
          <w:p>
            <w:pPr>
              <w:adjustRightInd w:val="0"/>
              <w:snapToGrid w:val="0"/>
              <w:jc w:val="center"/>
              <w:rPr>
                <w:rFonts w:hint="default" w:ascii="Times New Roman" w:hAnsi="Times New Roman" w:cs="Times New Roman"/>
                <w:color w:val="000000"/>
                <w:sz w:val="24"/>
                <w:szCs w:val="24"/>
                <w:highlight w:val="none"/>
                <w:lang w:val="en-US"/>
              </w:rPr>
            </w:pPr>
            <w:r>
              <w:rPr>
                <w:rFonts w:hint="default" w:ascii="Times New Roman" w:hAnsi="Times New Roman" w:cs="Times New Roman"/>
                <w:color w:val="000000"/>
                <w:sz w:val="24"/>
                <w:szCs w:val="24"/>
                <w:highlight w:val="none"/>
                <w:u w:val="none"/>
                <w:lang w:val="en-US" w:eastAsia="zh-CN"/>
              </w:rPr>
              <w:t>抚宁经济开发区北区三抚路西侧，环城北路北侧</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9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shd w:val="clear" w:color="FFFFFF" w:fill="D9D9D9"/>
              </w:rPr>
            </w:pPr>
            <w:r>
              <w:rPr>
                <w:rFonts w:hint="default" w:ascii="Times New Roman" w:hAnsi="Times New Roman" w:cs="Times New Roman"/>
                <w:color w:val="000000"/>
                <w:sz w:val="24"/>
                <w:szCs w:val="24"/>
                <w:highlight w:val="none"/>
                <w:shd w:val="clear" w:color="auto" w:fill="auto"/>
              </w:rPr>
              <w:t>地理坐标</w:t>
            </w:r>
          </w:p>
        </w:tc>
        <w:tc>
          <w:tcPr>
            <w:tcW w:w="3957" w:type="pct"/>
            <w:gridSpan w:val="3"/>
            <w:noWrap w:val="0"/>
            <w:vAlign w:val="center"/>
          </w:tcPr>
          <w:p>
            <w:pPr>
              <w:jc w:val="center"/>
              <w:rPr>
                <w:rFonts w:hint="default" w:ascii="Times New Roman" w:hAnsi="Times New Roman" w:cs="Times New Roman"/>
                <w:color w:val="000000" w:themeColor="text1"/>
                <w:sz w:val="24"/>
                <w:szCs w:val="24"/>
                <w:highlight w:val="none"/>
                <w:shd w:val="clear" w:color="FFFFFF" w:fill="D9D9D9"/>
                <w14:textFill>
                  <w14:solidFill>
                    <w14:schemeClr w14:val="tx1"/>
                  </w14:solidFill>
                </w14:textFill>
              </w:rPr>
            </w:pPr>
            <w:r>
              <w:rPr>
                <w:rFonts w:hint="default" w:ascii="Times New Roman" w:hAnsi="Times New Roman" w:cs="Times New Roman"/>
                <w:color w:val="000000" w:themeColor="text1"/>
                <w:sz w:val="24"/>
                <w:szCs w:val="24"/>
                <w:highlight w:val="none"/>
                <w:shd w:val="clear" w:color="auto" w:fill="auto"/>
                <w14:textFill>
                  <w14:solidFill>
                    <w14:schemeClr w14:val="tx1"/>
                  </w14:solidFill>
                </w14:textFill>
              </w:rPr>
              <w:t>（</w:t>
            </w:r>
            <w:r>
              <w:rPr>
                <w:rFonts w:hint="default" w:ascii="Times New Roman" w:hAnsi="Times New Roman" w:cs="Times New Roman"/>
                <w:color w:val="000000" w:themeColor="text1"/>
                <w:sz w:val="24"/>
                <w:szCs w:val="24"/>
                <w:highlight w:val="none"/>
                <w:shd w:val="clear" w:color="auto" w:fill="auto"/>
                <w:lang w:val="en-US" w:eastAsia="zh-CN"/>
                <w14:textFill>
                  <w14:solidFill>
                    <w14:schemeClr w14:val="tx1"/>
                  </w14:solidFill>
                </w14:textFill>
              </w:rPr>
              <w:t>东经</w:t>
            </w:r>
            <w:r>
              <w:rPr>
                <w:rFonts w:hint="default" w:ascii="Times New Roman" w:hAnsi="Times New Roman" w:cs="Times New Roman"/>
                <w:color w:val="000000" w:themeColor="text1"/>
                <w:sz w:val="24"/>
                <w:szCs w:val="24"/>
                <w:highlight w:val="none"/>
                <w:u w:val="single"/>
                <w:shd w:val="clear" w:color="auto" w:fill="auto"/>
                <w14:textFill>
                  <w14:solidFill>
                    <w14:schemeClr w14:val="tx1"/>
                  </w14:solidFill>
                </w14:textFill>
              </w:rPr>
              <w:t>119°13′23.00840″</w:t>
            </w:r>
            <w:r>
              <w:rPr>
                <w:rFonts w:hint="default" w:ascii="Times New Roman" w:hAnsi="Times New Roman" w:cs="Times New Roman"/>
                <w:color w:val="000000" w:themeColor="text1"/>
                <w:sz w:val="24"/>
                <w:szCs w:val="24"/>
                <w:highlight w:val="none"/>
                <w:u w:val="single"/>
                <w:shd w:val="clear" w:color="auto" w:fill="auto"/>
                <w:lang w:eastAsia="zh-CN"/>
                <w14:textFill>
                  <w14:solidFill>
                    <w14:schemeClr w14:val="tx1"/>
                  </w14:solidFill>
                </w14:textFill>
              </w:rPr>
              <w:t>，</w:t>
            </w:r>
            <w:r>
              <w:rPr>
                <w:rFonts w:hint="default" w:ascii="Times New Roman" w:hAnsi="Times New Roman" w:cs="Times New Roman"/>
                <w:color w:val="000000" w:themeColor="text1"/>
                <w:sz w:val="24"/>
                <w:szCs w:val="24"/>
                <w:highlight w:val="none"/>
                <w:u w:val="single"/>
                <w:shd w:val="clear" w:color="auto" w:fill="auto"/>
                <w:lang w:val="en-US" w:eastAsia="zh-CN"/>
                <w14:textFill>
                  <w14:solidFill>
                    <w14:schemeClr w14:val="tx1"/>
                  </w14:solidFill>
                </w14:textFill>
              </w:rPr>
              <w:t>北纬</w:t>
            </w:r>
            <w:r>
              <w:rPr>
                <w:rFonts w:hint="default" w:ascii="Times New Roman" w:hAnsi="Times New Roman" w:cs="Times New Roman"/>
                <w:color w:val="000000" w:themeColor="text1"/>
                <w:sz w:val="24"/>
                <w:szCs w:val="24"/>
                <w:highlight w:val="none"/>
                <w:u w:val="single"/>
                <w:shd w:val="clear" w:color="auto" w:fill="auto"/>
                <w14:textFill>
                  <w14:solidFill>
                    <w14:schemeClr w14:val="tx1"/>
                  </w14:solidFill>
                </w14:textFill>
              </w:rPr>
              <w:t>39°54′38.94275″</w:t>
            </w:r>
            <w:r>
              <w:rPr>
                <w:rFonts w:hint="default" w:ascii="Times New Roman" w:hAnsi="Times New Roman" w:cs="Times New Roman"/>
                <w:color w:val="000000" w:themeColor="text1"/>
                <w:sz w:val="24"/>
                <w:szCs w:val="24"/>
                <w:highlight w:val="none"/>
                <w:shd w:val="clear" w:color="auto" w:fill="auto"/>
                <w14:textFill>
                  <w14:solidFill>
                    <w14:schemeClr w14:val="tx1"/>
                  </w14:solidFill>
                </w14:textFill>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国民经济</w:t>
            </w:r>
          </w:p>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行业类别</w:t>
            </w:r>
          </w:p>
        </w:tc>
        <w:tc>
          <w:tcPr>
            <w:tcW w:w="1248" w:type="pct"/>
            <w:noWrap w:val="0"/>
            <w:vAlign w:val="center"/>
          </w:tcPr>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C3491工业机器人制造</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C349</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特殊作业机器人制造</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C3964</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服务消费机器人制造</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C3973</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集成电路制造</w:t>
            </w:r>
          </w:p>
        </w:tc>
        <w:tc>
          <w:tcPr>
            <w:tcW w:w="1049" w:type="pct"/>
            <w:noWrap w:val="0"/>
            <w:vAlign w:val="center"/>
          </w:tcPr>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bookmarkStart w:id="3" w:name="_Hlk49843745"/>
            <w:r>
              <w:rPr>
                <w:rFonts w:hint="default" w:ascii="Times New Roman" w:hAnsi="Times New Roman" w:cs="Times New Roman"/>
                <w:color w:val="000000" w:themeColor="text1"/>
                <w:sz w:val="24"/>
                <w:szCs w:val="24"/>
                <w:highlight w:val="none"/>
                <w14:textFill>
                  <w14:solidFill>
                    <w14:schemeClr w14:val="tx1"/>
                  </w14:solidFill>
                </w14:textFill>
              </w:rPr>
              <w:t>建设项目</w:t>
            </w:r>
          </w:p>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行业类别</w:t>
            </w:r>
            <w:bookmarkEnd w:id="3"/>
          </w:p>
        </w:tc>
        <w:tc>
          <w:tcPr>
            <w:tcW w:w="1659" w:type="pct"/>
            <w:noWrap w:val="0"/>
            <w:vAlign w:val="center"/>
          </w:tcPr>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三十一、通用设备制造业34</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69.其他通用设备制造业349-其它</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三十六、计算机、通信和其他电子设备制造业39</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79</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智能消费设备制造396</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p>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80</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电子器件制造397</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-集成电路制造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建设性质</w:t>
            </w:r>
          </w:p>
        </w:tc>
        <w:tc>
          <w:tcPr>
            <w:tcW w:w="1248" w:type="pct"/>
            <w:noWrap w:val="0"/>
            <w:vAlign w:val="center"/>
          </w:tcPr>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☑新建（迁建）</w:t>
            </w:r>
          </w:p>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sym w:font="Wingdings 2" w:char="00A3"/>
            </w:r>
            <w:r>
              <w:rPr>
                <w:rFonts w:hint="default" w:ascii="Times New Roman" w:hAnsi="Times New Roman" w:cs="Times New Roman"/>
                <w:color w:val="000000" w:themeColor="text1"/>
                <w:sz w:val="24"/>
                <w:szCs w:val="24"/>
                <w:highlight w:val="none"/>
                <w14:textFill>
                  <w14:solidFill>
                    <w14:schemeClr w14:val="tx1"/>
                  </w14:solidFill>
                </w14:textFill>
              </w:rPr>
              <w:t>改建</w:t>
            </w:r>
          </w:p>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sym w:font="Wingdings 2" w:char="00A3"/>
            </w:r>
            <w:r>
              <w:rPr>
                <w:rFonts w:hint="default" w:ascii="Times New Roman" w:hAnsi="Times New Roman" w:cs="Times New Roman"/>
                <w:color w:val="000000" w:themeColor="text1"/>
                <w:sz w:val="24"/>
                <w:szCs w:val="24"/>
                <w:highlight w:val="none"/>
                <w14:textFill>
                  <w14:solidFill>
                    <w14:schemeClr w14:val="tx1"/>
                  </w14:solidFill>
                </w14:textFill>
              </w:rPr>
              <w:t>扩建</w:t>
            </w:r>
          </w:p>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sym w:font="Wingdings 2" w:char="00A3"/>
            </w:r>
            <w:r>
              <w:rPr>
                <w:rFonts w:hint="default" w:ascii="Times New Roman" w:hAnsi="Times New Roman" w:cs="Times New Roman"/>
                <w:color w:val="000000" w:themeColor="text1"/>
                <w:sz w:val="24"/>
                <w:szCs w:val="24"/>
                <w:highlight w:val="none"/>
                <w14:textFill>
                  <w14:solidFill>
                    <w14:schemeClr w14:val="tx1"/>
                  </w14:solidFill>
                </w14:textFill>
              </w:rPr>
              <w:t>技术改造</w:t>
            </w:r>
          </w:p>
        </w:tc>
        <w:tc>
          <w:tcPr>
            <w:tcW w:w="1049" w:type="pct"/>
            <w:noWrap w:val="0"/>
            <w:vAlign w:val="center"/>
          </w:tcPr>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建设项目</w:t>
            </w:r>
          </w:p>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申报情形</w:t>
            </w:r>
          </w:p>
        </w:tc>
        <w:tc>
          <w:tcPr>
            <w:tcW w:w="1659" w:type="pct"/>
            <w:noWrap w:val="0"/>
            <w:vAlign w:val="center"/>
          </w:tcPr>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☑首次申报项目</w:t>
            </w:r>
          </w:p>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sym w:font="Wingdings 2" w:char="00A3"/>
            </w:r>
            <w:r>
              <w:rPr>
                <w:rFonts w:hint="default" w:ascii="Times New Roman" w:hAnsi="Times New Roman" w:cs="Times New Roman"/>
                <w:color w:val="000000" w:themeColor="text1"/>
                <w:sz w:val="24"/>
                <w:szCs w:val="24"/>
                <w:highlight w:val="none"/>
                <w14:textFill>
                  <w14:solidFill>
                    <w14:schemeClr w14:val="tx1"/>
                  </w14:solidFill>
                </w14:textFill>
              </w:rPr>
              <w:t>不予批准后再次申报项目</w:t>
            </w:r>
          </w:p>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sym w:font="Wingdings 2" w:char="00A3"/>
            </w:r>
            <w:r>
              <w:rPr>
                <w:rFonts w:hint="default" w:ascii="Times New Roman" w:hAnsi="Times New Roman" w:cs="Times New Roman"/>
                <w:color w:val="000000" w:themeColor="text1"/>
                <w:sz w:val="24"/>
                <w:szCs w:val="24"/>
                <w:highlight w:val="none"/>
                <w14:textFill>
                  <w14:solidFill>
                    <w14:schemeClr w14:val="tx1"/>
                  </w14:solidFill>
                </w14:textFill>
              </w:rPr>
              <w:t>超五年重新审核项目</w:t>
            </w:r>
          </w:p>
          <w:p>
            <w:pPr>
              <w:jc w:val="left"/>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sym w:font="Wingdings 2" w:char="00A3"/>
            </w:r>
            <w:r>
              <w:rPr>
                <w:rFonts w:hint="default" w:ascii="Times New Roman" w:hAnsi="Times New Roman" w:cs="Times New Roman"/>
                <w:color w:val="000000" w:themeColor="text1"/>
                <w:sz w:val="24"/>
                <w:szCs w:val="24"/>
                <w:highlight w:val="none"/>
                <w14:textFill>
                  <w14:solidFill>
                    <w14:schemeClr w14:val="tx1"/>
                  </w14:solidFill>
                </w14:textFill>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项目审批（核准/备案）部门（选填）</w:t>
            </w:r>
          </w:p>
        </w:tc>
        <w:tc>
          <w:tcPr>
            <w:tcW w:w="1248" w:type="pct"/>
            <w:noWrap w:val="0"/>
            <w:vAlign w:val="center"/>
          </w:tcPr>
          <w:p>
            <w:pPr>
              <w:adjustRightInd w:val="0"/>
              <w:snapToGrid w:val="0"/>
              <w:jc w:val="cente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秦皇岛市抚宁区行政审批局</w:t>
            </w:r>
          </w:p>
        </w:tc>
        <w:tc>
          <w:tcPr>
            <w:tcW w:w="1049" w:type="pct"/>
            <w:noWrap w:val="0"/>
            <w:vAlign w:val="center"/>
          </w:tcPr>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项目审批（核准/</w:t>
            </w:r>
          </w:p>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备案）文号（选填）</w:t>
            </w:r>
          </w:p>
        </w:tc>
        <w:tc>
          <w:tcPr>
            <w:tcW w:w="1659" w:type="pct"/>
            <w:noWrap w:val="0"/>
            <w:vAlign w:val="center"/>
          </w:tcPr>
          <w:p>
            <w:pPr>
              <w:adjustRightInd w:val="0"/>
              <w:snapToGrid w:val="0"/>
              <w:jc w:val="center"/>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抚行审备{2025}83号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总投资（万元）</w:t>
            </w:r>
          </w:p>
        </w:tc>
        <w:tc>
          <w:tcPr>
            <w:tcW w:w="1248" w:type="pct"/>
            <w:noWrap w:val="0"/>
            <w:vAlign w:val="center"/>
          </w:tcPr>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10</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000</w:t>
            </w:r>
          </w:p>
        </w:tc>
        <w:tc>
          <w:tcPr>
            <w:tcW w:w="1049" w:type="pct"/>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环保投资（万元）</w:t>
            </w:r>
          </w:p>
        </w:tc>
        <w:tc>
          <w:tcPr>
            <w:tcW w:w="1659" w:type="pct"/>
            <w:noWrap w:val="0"/>
            <w:vAlign w:val="center"/>
          </w:tcPr>
          <w:p>
            <w:pPr>
              <w:adjustRightInd w:val="0"/>
              <w:snapToGrid w:val="0"/>
              <w:jc w:val="cente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环保投资占比（%）</w:t>
            </w:r>
          </w:p>
        </w:tc>
        <w:tc>
          <w:tcPr>
            <w:tcW w:w="1248" w:type="pct"/>
            <w:noWrap w:val="0"/>
            <w:vAlign w:val="center"/>
          </w:tcPr>
          <w:p>
            <w:pPr>
              <w:adjustRightInd w:val="0"/>
              <w:snapToGrid w:val="0"/>
              <w:jc w:val="center"/>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0.2</w:t>
            </w:r>
          </w:p>
        </w:tc>
        <w:tc>
          <w:tcPr>
            <w:tcW w:w="1049" w:type="pct"/>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施工工期</w:t>
            </w:r>
          </w:p>
        </w:tc>
        <w:tc>
          <w:tcPr>
            <w:tcW w:w="1659" w:type="pct"/>
            <w:noWrap w:val="0"/>
            <w:vAlign w:val="center"/>
          </w:tcPr>
          <w:p>
            <w:pPr>
              <w:adjustRightInd w:val="0"/>
              <w:snapToGrid w:val="0"/>
              <w:jc w:val="center"/>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24个月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0" w:hRule="atLeast"/>
          <w:jc w:val="center"/>
        </w:trPr>
        <w:tc>
          <w:tcPr>
            <w:tcW w:w="1042" w:type="pct"/>
            <w:gridSpan w:val="2"/>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是否开工建设</w:t>
            </w:r>
          </w:p>
        </w:tc>
        <w:tc>
          <w:tcPr>
            <w:tcW w:w="1248" w:type="pct"/>
            <w:noWrap w:val="0"/>
            <w:vAlign w:val="center"/>
          </w:tcPr>
          <w:p>
            <w:pPr>
              <w:adjustRightInd w:val="0"/>
              <w:snapToGrid w:val="0"/>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☑否</w:t>
            </w:r>
          </w:p>
          <w:p>
            <w:pPr>
              <w:adjustRightInd w:val="0"/>
              <w:snapToGrid w:val="0"/>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rPr>
              <w:t>是：</w:t>
            </w:r>
            <w:r>
              <w:rPr>
                <w:rFonts w:hint="default" w:ascii="Times New Roman" w:hAnsi="Times New Roman" w:cs="Times New Roman"/>
                <w:color w:val="000000"/>
                <w:sz w:val="24"/>
                <w:szCs w:val="24"/>
                <w:highlight w:val="none"/>
                <w:u w:val="single"/>
              </w:rPr>
              <w:t xml:space="preserve">             </w:t>
            </w:r>
          </w:p>
        </w:tc>
        <w:tc>
          <w:tcPr>
            <w:tcW w:w="1049" w:type="pct"/>
            <w:noWrap w:val="0"/>
            <w:tcMar>
              <w:top w:w="16" w:type="dxa"/>
              <w:left w:w="16" w:type="dxa"/>
              <w:right w:w="16" w:type="dxa"/>
            </w:tcMar>
            <w:vAlign w:val="center"/>
          </w:tcPr>
          <w:p>
            <w:pPr>
              <w:adjustRightInd w:val="0"/>
              <w:snapToGrid w:val="0"/>
              <w:jc w:val="center"/>
              <w:rPr>
                <w:rFonts w:hint="default" w:ascii="Times New Roman" w:hAnsi="Times New Roman" w:cs="Times New Roman"/>
                <w:color w:val="000000"/>
                <w:spacing w:val="-6"/>
                <w:sz w:val="24"/>
                <w:szCs w:val="24"/>
                <w:highlight w:val="none"/>
              </w:rPr>
            </w:pPr>
            <w:r>
              <w:rPr>
                <w:rFonts w:hint="default" w:ascii="Times New Roman" w:hAnsi="Times New Roman" w:cs="Times New Roman"/>
                <w:color w:val="000000"/>
                <w:spacing w:val="-6"/>
                <w:sz w:val="24"/>
                <w:szCs w:val="24"/>
                <w:highlight w:val="none"/>
              </w:rPr>
              <w:t>用地（用海）</w:t>
            </w:r>
          </w:p>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pacing w:val="-6"/>
                <w:sz w:val="24"/>
                <w:szCs w:val="24"/>
                <w:highlight w:val="none"/>
              </w:rPr>
              <w:t>面积（m</w:t>
            </w:r>
            <w:r>
              <w:rPr>
                <w:rFonts w:hint="default" w:ascii="Times New Roman" w:hAnsi="Times New Roman" w:cs="Times New Roman"/>
                <w:color w:val="000000"/>
                <w:spacing w:val="-6"/>
                <w:sz w:val="24"/>
                <w:szCs w:val="24"/>
                <w:highlight w:val="none"/>
                <w:vertAlign w:val="superscript"/>
              </w:rPr>
              <w:t>2</w:t>
            </w:r>
            <w:r>
              <w:rPr>
                <w:rFonts w:hint="default" w:ascii="Times New Roman" w:hAnsi="Times New Roman" w:cs="Times New Roman"/>
                <w:color w:val="000000"/>
                <w:spacing w:val="-6"/>
                <w:sz w:val="24"/>
                <w:szCs w:val="24"/>
                <w:highlight w:val="none"/>
              </w:rPr>
              <w:t>）</w:t>
            </w:r>
          </w:p>
        </w:tc>
        <w:tc>
          <w:tcPr>
            <w:tcW w:w="1659" w:type="pct"/>
            <w:noWrap w:val="0"/>
            <w:vAlign w:val="center"/>
          </w:tcPr>
          <w:p>
            <w:pPr>
              <w:adjustRightInd w:val="0"/>
              <w:snapToGrid w:val="0"/>
              <w:jc w:val="center"/>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20</w:t>
            </w:r>
            <w:r>
              <w:rPr>
                <w:rFonts w:hint="default" w:ascii="Times New Roman" w:hAnsi="Times New Roman" w:cs="Times New Roman"/>
                <w:color w:val="000000"/>
                <w:sz w:val="24"/>
                <w:szCs w:val="24"/>
                <w:highlight w:val="none"/>
                <w:lang w:val="en-US" w:eastAsia="zh-CN"/>
              </w:rPr>
              <w:t>253.43</w:t>
            </w:r>
            <w:r>
              <w:rPr>
                <w:rFonts w:hint="default" w:ascii="Times New Roman" w:hAnsi="Times New Roman" w:eastAsia="宋体" w:cs="Times New Roman"/>
                <w:color w:val="000000"/>
                <w:sz w:val="24"/>
                <w:szCs w:val="24"/>
                <w:highlight w:val="none"/>
                <w:lang w:val="en-US" w:eastAsia="zh-CN"/>
              </w:rPr>
              <w:t>m</w:t>
            </w:r>
            <w:r>
              <w:rPr>
                <w:rFonts w:hint="default" w:ascii="Times New Roman" w:hAnsi="Times New Roman" w:eastAsia="宋体" w:cs="Times New Roman"/>
                <w:color w:val="000000"/>
                <w:sz w:val="24"/>
                <w:szCs w:val="24"/>
                <w:highlight w:val="none"/>
                <w:vertAlign w:val="superscript"/>
                <w:lang w:val="en-US" w:eastAsia="zh-CN"/>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042" w:type="pct"/>
            <w:gridSpan w:val="2"/>
            <w:shd w:val="clear" w:color="auto" w:fill="auto"/>
            <w:noWrap w:val="0"/>
            <w:vAlign w:val="center"/>
          </w:tcPr>
          <w:p>
            <w:pPr>
              <w:autoSpaceDE w:val="0"/>
              <w:autoSpaceDN w:val="0"/>
              <w:adjustRightInd w:val="0"/>
              <w:snapToGrid w:val="0"/>
              <w:jc w:val="center"/>
              <w:rPr>
                <w:rFonts w:hint="default" w:ascii="Times New Roman" w:hAnsi="Times New Roman" w:cs="Times New Roman"/>
                <w:color w:val="000000"/>
                <w:kern w:val="0"/>
                <w:sz w:val="24"/>
                <w:szCs w:val="24"/>
                <w:highlight w:val="none"/>
                <w:shd w:val="clear" w:color="FFFFFF" w:fill="D9D9D9"/>
              </w:rPr>
            </w:pPr>
            <w:r>
              <w:rPr>
                <w:rFonts w:hint="default" w:ascii="Times New Roman" w:hAnsi="Times New Roman" w:cs="Times New Roman"/>
                <w:color w:val="000000"/>
                <w:kern w:val="0"/>
                <w:sz w:val="24"/>
                <w:szCs w:val="24"/>
                <w:highlight w:val="none"/>
                <w:shd w:val="clear" w:color="auto" w:fill="auto"/>
              </w:rPr>
              <w:t>专项评价设置情况</w:t>
            </w:r>
          </w:p>
        </w:tc>
        <w:tc>
          <w:tcPr>
            <w:tcW w:w="3957" w:type="pct"/>
            <w:gridSpan w:val="3"/>
            <w:shd w:val="clear" w:color="auto" w:fill="auto"/>
            <w:noWrap w:val="0"/>
            <w:vAlign w:val="center"/>
          </w:tcPr>
          <w:p>
            <w:pPr>
              <w:autoSpaceDE w:val="0"/>
              <w:autoSpaceDN w:val="0"/>
              <w:adjustRightInd w:val="0"/>
              <w:snapToGrid w:val="0"/>
              <w:jc w:val="center"/>
              <w:rPr>
                <w:rFonts w:hint="default" w:ascii="Times New Roman" w:hAnsi="Times New Roman" w:eastAsia="宋体" w:cs="Times New Roman"/>
                <w:color w:val="000000"/>
                <w:kern w:val="0"/>
                <w:sz w:val="24"/>
                <w:szCs w:val="24"/>
                <w:highlight w:val="none"/>
                <w:shd w:val="clear" w:color="FFFFFF" w:fill="D9D9D9"/>
                <w:lang w:eastAsia="zh-CN"/>
              </w:rPr>
            </w:pPr>
            <w:r>
              <w:rPr>
                <w:rFonts w:hint="default" w:ascii="Times New Roman" w:hAnsi="Times New Roman" w:cs="Times New Roman"/>
                <w:color w:val="000000"/>
                <w:kern w:val="0"/>
                <w:sz w:val="24"/>
                <w:szCs w:val="24"/>
                <w:highlight w:val="none"/>
                <w:shd w:val="clear" w:color="auto" w:fill="auto"/>
                <w:lang w:eastAsia="zh-CN"/>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1042" w:type="pct"/>
            <w:gridSpan w:val="2"/>
            <w:noWrap w:val="0"/>
            <w:vAlign w:val="center"/>
          </w:tcPr>
          <w:p>
            <w:pPr>
              <w:autoSpaceDE w:val="0"/>
              <w:autoSpaceDN w:val="0"/>
              <w:adjustRightInd w:val="0"/>
              <w:snapToGrid w:val="0"/>
              <w:jc w:val="center"/>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sz w:val="24"/>
                <w:szCs w:val="24"/>
                <w:highlight w:val="none"/>
              </w:rPr>
              <w:t>规划情况</w:t>
            </w:r>
          </w:p>
        </w:tc>
        <w:tc>
          <w:tcPr>
            <w:tcW w:w="3957" w:type="pct"/>
            <w:gridSpan w:val="3"/>
            <w:noWrap w:val="0"/>
            <w:vAlign w:val="center"/>
          </w:tcPr>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ind w:firstLine="0" w:firstLineChars="0"/>
              <w:jc w:val="lef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规划名称：《河北抚宁经济开发区总体发展规划(2022—2035年)》</w:t>
            </w:r>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ind w:firstLine="0" w:firstLineChars="0"/>
              <w:jc w:val="lef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审批机关：河北省人民政府</w:t>
            </w:r>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ind w:firstLine="0" w:firstLineChars="0"/>
              <w:jc w:val="lef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审批文件名称：《河北省人民政府关于同意河北抚宁经济开发区扩大规划范围的批复》</w:t>
            </w:r>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ind w:firstLine="0" w:firstLineChars="0"/>
              <w:jc w:val="lef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文号：冀政字〔2022〕43号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20" w:hRule="atLeast"/>
          <w:jc w:val="center"/>
        </w:trPr>
        <w:tc>
          <w:tcPr>
            <w:tcW w:w="1042" w:type="pct"/>
            <w:gridSpan w:val="2"/>
            <w:noWrap w:val="0"/>
            <w:vAlign w:val="center"/>
          </w:tcPr>
          <w:p>
            <w:pPr>
              <w:adjustRightInd w:val="0"/>
              <w:snapToGrid w:val="0"/>
              <w:jc w:val="center"/>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规划环境影响</w:t>
            </w:r>
          </w:p>
          <w:p>
            <w:pPr>
              <w:adjustRightInd w:val="0"/>
              <w:snapToGrid w:val="0"/>
              <w:jc w:val="center"/>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sz w:val="24"/>
                <w:szCs w:val="24"/>
                <w:highlight w:val="none"/>
              </w:rPr>
              <w:t>评价情况</w:t>
            </w:r>
          </w:p>
        </w:tc>
        <w:tc>
          <w:tcPr>
            <w:tcW w:w="3957" w:type="pct"/>
            <w:gridSpan w:val="3"/>
            <w:noWrap w:val="0"/>
            <w:vAlign w:val="center"/>
          </w:tcPr>
          <w:p>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default" w:ascii="Times New Roman" w:hAnsi="Times New Roman" w:eastAsia="宋体" w:cs="Times New Roman"/>
                <w:color w:val="000000"/>
                <w:kern w:val="0"/>
                <w:sz w:val="24"/>
                <w:szCs w:val="24"/>
                <w:highlight w:val="none"/>
                <w:lang w:val="en-US" w:eastAsia="zh-CN"/>
              </w:rPr>
            </w:pPr>
            <w:r>
              <w:rPr>
                <w:rFonts w:hint="default" w:ascii="Times New Roman" w:hAnsi="Times New Roman" w:eastAsia="宋体" w:cs="Times New Roman"/>
                <w:color w:val="000000"/>
                <w:kern w:val="0"/>
                <w:sz w:val="24"/>
                <w:szCs w:val="24"/>
                <w:highlight w:val="none"/>
                <w:lang w:val="en-US" w:eastAsia="zh-CN"/>
              </w:rPr>
              <w:t>规划环评名称：《河北抚宁经济开发区总体发展规划2022—2035年)环境影响报告书》</w:t>
            </w:r>
          </w:p>
          <w:p>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default" w:ascii="Times New Roman" w:hAnsi="Times New Roman" w:eastAsia="宋体" w:cs="Times New Roman"/>
                <w:color w:val="000000"/>
                <w:kern w:val="0"/>
                <w:sz w:val="24"/>
                <w:szCs w:val="24"/>
                <w:highlight w:val="none"/>
                <w:lang w:val="en-US" w:eastAsia="zh-CN"/>
              </w:rPr>
            </w:pPr>
            <w:r>
              <w:rPr>
                <w:rFonts w:hint="default" w:ascii="Times New Roman" w:hAnsi="Times New Roman" w:eastAsia="宋体" w:cs="Times New Roman"/>
                <w:color w:val="000000"/>
                <w:kern w:val="0"/>
                <w:sz w:val="24"/>
                <w:szCs w:val="24"/>
                <w:highlight w:val="none"/>
                <w:lang w:val="en-US" w:eastAsia="zh-CN"/>
              </w:rPr>
              <w:t>审查机关：河北省生态环境厅</w:t>
            </w:r>
          </w:p>
          <w:p>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default" w:ascii="Times New Roman" w:hAnsi="Times New Roman" w:eastAsia="宋体" w:cs="Times New Roman"/>
                <w:color w:val="000000"/>
                <w:kern w:val="0"/>
                <w:sz w:val="24"/>
                <w:szCs w:val="24"/>
                <w:highlight w:val="none"/>
                <w:lang w:val="en-US" w:eastAsia="zh-CN"/>
              </w:rPr>
            </w:pPr>
            <w:r>
              <w:rPr>
                <w:rFonts w:hint="default" w:ascii="Times New Roman" w:hAnsi="Times New Roman" w:eastAsia="宋体" w:cs="Times New Roman"/>
                <w:color w:val="000000"/>
                <w:kern w:val="0"/>
                <w:sz w:val="24"/>
                <w:szCs w:val="24"/>
                <w:highlight w:val="none"/>
                <w:lang w:val="en-US" w:eastAsia="zh-CN"/>
              </w:rPr>
              <w:t>审查文件名称：《河北省生态环境厅关于《河北抚宁经济开发区总体发展规划2022—2035年)环境影响报告书》的审查意见》</w:t>
            </w:r>
          </w:p>
          <w:p>
            <w:pPr>
              <w:keepNext w:val="0"/>
              <w:keepLines w:val="0"/>
              <w:pageBreakBefore w:val="0"/>
              <w:kinsoku/>
              <w:wordWrap/>
              <w:overflowPunct/>
              <w:topLinePunct w:val="0"/>
              <w:autoSpaceDE/>
              <w:autoSpaceDN/>
              <w:bidi w:val="0"/>
              <w:adjustRightInd w:val="0"/>
              <w:snapToGrid w:val="0"/>
              <w:spacing w:line="240" w:lineRule="auto"/>
              <w:ind w:firstLine="0" w:firstLineChars="0"/>
              <w:jc w:val="left"/>
              <w:textAlignment w:val="auto"/>
              <w:rPr>
                <w:rFonts w:hint="default" w:ascii="Times New Roman" w:hAnsi="Times New Roman" w:eastAsia="宋体" w:cs="Times New Roman"/>
                <w:color w:val="000000"/>
                <w:kern w:val="0"/>
                <w:sz w:val="24"/>
                <w:szCs w:val="24"/>
                <w:highlight w:val="none"/>
                <w:lang w:val="en-US" w:eastAsia="zh-CN"/>
              </w:rPr>
            </w:pPr>
            <w:r>
              <w:rPr>
                <w:rFonts w:hint="default" w:ascii="Times New Roman" w:hAnsi="Times New Roman" w:eastAsia="宋体" w:cs="Times New Roman"/>
                <w:color w:val="000000"/>
                <w:kern w:val="0"/>
                <w:sz w:val="24"/>
                <w:szCs w:val="24"/>
                <w:highlight w:val="none"/>
                <w:lang w:val="en-US" w:eastAsia="zh-CN"/>
              </w:rPr>
              <w:t>文号：冀环环评函〔2024〕1724号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60" w:hRule="atLeast"/>
          <w:jc w:val="center"/>
        </w:trPr>
        <w:tc>
          <w:tcPr>
            <w:tcW w:w="321" w:type="pct"/>
            <w:noWrap w:val="0"/>
            <w:vAlign w:val="center"/>
          </w:tcPr>
          <w:p>
            <w:pPr>
              <w:autoSpaceDE w:val="0"/>
              <w:autoSpaceDN w:val="0"/>
              <w:adjustRightInd w:val="0"/>
              <w:snapToGrid w:val="0"/>
              <w:jc w:val="center"/>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kern w:val="0"/>
                <w:sz w:val="24"/>
                <w:szCs w:val="24"/>
                <w:highlight w:val="none"/>
              </w:rPr>
              <w:t>规划及规划环境影响评价符合性分析</w:t>
            </w:r>
          </w:p>
        </w:tc>
        <w:tc>
          <w:tcPr>
            <w:tcW w:w="4678"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kern w:val="0"/>
                <w:sz w:val="24"/>
                <w:szCs w:val="24"/>
                <w:highlight w:val="none"/>
              </w:rPr>
              <w:t>河北抚宁经济开发区发展定位为秦皇岛市产业和技术辐射扩散的主要承接地，河北省现代工业聚集区。规划产业为主导产业：现代纸业、现代食品生物、新型材料；辅助产业：新能源、高端装备制造；配套产业：商贸物流。</w:t>
            </w:r>
          </w:p>
          <w:p>
            <w:pPr>
              <w:keepNext w:val="0"/>
              <w:keepLines w:val="0"/>
              <w:pageBreakBefore w:val="0"/>
              <w:widowControl w:val="0"/>
              <w:kinsoku/>
              <w:wordWrap/>
              <w:overflowPunct/>
              <w:topLinePunct w:val="0"/>
              <w:autoSpaceDE/>
              <w:autoSpaceDN/>
              <w:bidi w:val="0"/>
              <w:adjustRightInd w:val="0"/>
              <w:snapToGrid w:val="0"/>
              <w:spacing w:line="440" w:lineRule="exact"/>
              <w:ind w:firstLine="480" w:firstLineChars="200"/>
              <w:jc w:val="left"/>
              <w:textAlignment w:val="auto"/>
              <w:rPr>
                <w:rFonts w:hint="default" w:ascii="Times New Roman" w:hAnsi="Times New Roman" w:cs="Times New Roman"/>
                <w:color w:val="000000" w:themeColor="text1"/>
                <w:kern w:val="0"/>
                <w:sz w:val="24"/>
                <w:szCs w:val="24"/>
                <w:highlight w:val="none"/>
                <w14:textFill>
                  <w14:solidFill>
                    <w14:schemeClr w14:val="tx1"/>
                  </w14:solidFill>
                </w14:textFill>
              </w:rPr>
            </w:pPr>
            <w:r>
              <w:rPr>
                <w:rFonts w:hint="default" w:ascii="Times New Roman" w:hAnsi="Times New Roman" w:cs="Times New Roman"/>
                <w:color w:val="000000"/>
                <w:kern w:val="0"/>
                <w:sz w:val="24"/>
                <w:szCs w:val="24"/>
                <w:highlight w:val="none"/>
              </w:rPr>
              <w:t>产业布局：开发区分为北区、东区、樊各南片区、圈子营片区。按照产业定位，北区设置4个产业园，分别为高端装备制造产业园、新型材料产业园、新能源产业园、现代食品生物产业园；东区设置2个组团和2个产业园，即东部新城居住组团、东南滨水居住组团和商贸物流产业园、新型材料产业园；樊各南片区设置1个产业园，为现代纸业产业园；圈子营片区设置1个产业园，为现代纸业产业园</w:t>
            </w:r>
            <w:r>
              <w:rPr>
                <w:rFonts w:hint="default" w:ascii="Times New Roman" w:hAnsi="Times New Roman" w:cs="Times New Roman"/>
                <w:color w:val="000000" w:themeColor="text1"/>
                <w:kern w:val="0"/>
                <w:sz w:val="24"/>
                <w:szCs w:val="24"/>
                <w:highlight w:val="none"/>
                <w14:textFill>
                  <w14:solidFill>
                    <w14:schemeClr w14:val="tx1"/>
                  </w14:solidFill>
                </w14:textFill>
              </w:rPr>
              <w:t>。本项目位于</w:t>
            </w:r>
            <w:r>
              <w:rPr>
                <w:rFonts w:hint="default" w:ascii="Times New Roman" w:hAnsi="Times New Roman" w:cs="Times New Roman"/>
                <w:color w:val="000000" w:themeColor="text1"/>
                <w:sz w:val="24"/>
                <w:szCs w:val="24"/>
                <w:highlight w:val="none"/>
                <w:lang w:eastAsia="zh-CN"/>
                <w14:textFill>
                  <w14:solidFill>
                    <w14:schemeClr w14:val="tx1"/>
                  </w14:solidFill>
                </w14:textFill>
              </w:rPr>
              <w:t>抚宁经济开发区北区三抚路西侧，环城北路北侧</w:t>
            </w:r>
            <w:r>
              <w:rPr>
                <w:rFonts w:hint="default" w:ascii="Times New Roman" w:hAnsi="Times New Roman" w:cs="Times New Roman"/>
                <w:color w:val="000000" w:themeColor="text1"/>
                <w:kern w:val="0"/>
                <w:sz w:val="24"/>
                <w:szCs w:val="24"/>
                <w:highlight w:val="none"/>
                <w14:textFill>
                  <w14:solidFill>
                    <w14:schemeClr w14:val="tx1"/>
                  </w14:solidFill>
                </w14:textFill>
              </w:rPr>
              <w:t>，位于开发区北区，属于</w:t>
            </w:r>
            <w:r>
              <w:rPr>
                <w:rFonts w:hint="default" w:ascii="Times New Roman" w:hAnsi="Times New Roman" w:cs="Times New Roman"/>
                <w:color w:val="000000" w:themeColor="text1"/>
                <w:kern w:val="0"/>
                <w:sz w:val="24"/>
                <w:szCs w:val="24"/>
                <w:highlight w:val="none"/>
                <w:lang w:val="en-US" w:eastAsia="zh-CN"/>
                <w14:textFill>
                  <w14:solidFill>
                    <w14:schemeClr w14:val="tx1"/>
                  </w14:solidFill>
                </w14:textFill>
              </w:rPr>
              <w:t>智能制造产业</w:t>
            </w:r>
            <w:r>
              <w:rPr>
                <w:rFonts w:hint="default" w:ascii="Times New Roman" w:hAnsi="Times New Roman" w:cs="Times New Roman"/>
                <w:color w:val="000000" w:themeColor="text1"/>
                <w:kern w:val="0"/>
                <w:sz w:val="24"/>
                <w:szCs w:val="24"/>
                <w:highlight w:val="none"/>
                <w14:textFill>
                  <w14:solidFill>
                    <w14:schemeClr w14:val="tx1"/>
                  </w14:solidFill>
                </w14:textFill>
              </w:rPr>
              <w:t>，符合开发区总体规划定位和布局要求，不在园区环境准入负面清单内。</w:t>
            </w:r>
          </w:p>
          <w:p>
            <w:pPr>
              <w:pStyle w:val="87"/>
              <w:keepNext w:val="0"/>
              <w:keepLines w:val="0"/>
              <w:pageBreakBefore w:val="0"/>
              <w:numPr>
                <w:ilvl w:val="0"/>
                <w:numId w:val="0"/>
              </w:numPr>
              <w:tabs>
                <w:tab w:val="clear" w:pos="420"/>
              </w:tabs>
              <w:kinsoku/>
              <w:wordWrap/>
              <w:overflowPunct/>
              <w:topLinePunct w:val="0"/>
              <w:autoSpaceDE/>
              <w:autoSpaceDN/>
              <w:bidi w:val="0"/>
              <w:spacing w:line="480" w:lineRule="exact"/>
              <w:ind w:left="0" w:leftChars="0" w:firstLine="0" w:firstLineChars="0"/>
              <w:textAlignment w:val="auto"/>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b/>
                <w:color w:val="000000" w:themeColor="text1"/>
                <w:sz w:val="24"/>
                <w:szCs w:val="24"/>
                <w:highlight w:val="none"/>
                <w:lang w:val="en-US" w:eastAsia="zh-CN" w:bidi="ar-SA"/>
                <w14:textFill>
                  <w14:solidFill>
                    <w14:schemeClr w14:val="tx1"/>
                  </w14:solidFill>
                </w14:textFill>
              </w:rPr>
              <w:t>表1-1</w:t>
            </w:r>
            <w:r>
              <w:rPr>
                <w:rFonts w:hint="default" w:ascii="Times New Roman" w:hAnsi="Times New Roman" w:cs="Times New Roman"/>
                <w:b/>
                <w:color w:val="000000" w:themeColor="text1"/>
                <w:sz w:val="24"/>
                <w:szCs w:val="24"/>
                <w:highlight w:val="none"/>
                <w:lang w:val="en-US" w:eastAsia="zh-CN" w:bidi="ar-SA"/>
                <w14:textFill>
                  <w14:solidFill>
                    <w14:schemeClr w14:val="tx1"/>
                  </w14:solidFill>
                </w14:textFill>
              </w:rPr>
              <w:t xml:space="preserve"> </w:t>
            </w:r>
            <w:r>
              <w:rPr>
                <w:rFonts w:hint="default" w:ascii="Times New Roman" w:hAnsi="Times New Roman" w:cs="Times New Roman"/>
                <w:color w:val="000000" w:themeColor="text1"/>
                <w:sz w:val="24"/>
                <w:szCs w:val="24"/>
                <w:highlight w:val="none"/>
                <w14:textFill>
                  <w14:solidFill>
                    <w14:schemeClr w14:val="tx1"/>
                  </w14:solidFill>
                </w14:textFill>
              </w:rPr>
              <w:t>与园区环境准入负面清单符合性分析</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4"/>
              <w:gridCol w:w="3455"/>
              <w:gridCol w:w="2861"/>
              <w:gridCol w:w="9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19"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项目</w:t>
                  </w:r>
                </w:p>
              </w:tc>
              <w:tc>
                <w:tcPr>
                  <w:tcW w:w="2183"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内容</w:t>
                  </w:r>
                </w:p>
              </w:tc>
              <w:tc>
                <w:tcPr>
                  <w:tcW w:w="180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p>
              </w:tc>
              <w:tc>
                <w:tcPr>
                  <w:tcW w:w="58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19"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产业及政策准入要求</w:t>
                  </w:r>
                </w:p>
              </w:tc>
              <w:tc>
                <w:tcPr>
                  <w:tcW w:w="2183"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1、《产业结构调整指导目录》（2024年）中属于限制和淘汰类的建设项目禁止准入。2、禁止入驻专业从事电镀的项目。</w:t>
                  </w:r>
                </w:p>
              </w:tc>
              <w:tc>
                <w:tcPr>
                  <w:tcW w:w="180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本企业不属于《产业结构调整指导目录（2024年本）》中限制类、淘汰类项目；2、本项目不涉及电镀</w:t>
                  </w:r>
                </w:p>
              </w:tc>
              <w:tc>
                <w:tcPr>
                  <w:tcW w:w="58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19"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空间布局约束</w:t>
                  </w:r>
                </w:p>
              </w:tc>
              <w:tc>
                <w:tcPr>
                  <w:tcW w:w="2183" w:type="pct"/>
                  <w:tcBorders>
                    <w:tl2br w:val="nil"/>
                    <w:tr2bl w:val="nil"/>
                  </w:tcBorders>
                  <w:noWrap w:val="0"/>
                  <w:vAlign w:val="center"/>
                </w:tcPr>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禁止在公园绿地、防护绿地等规划绿地范围内开展与绿地无关的建设活动。</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在公路两侧建筑控制线范围内，禁止建设除公路附属设施外的其他永久性建筑物、构筑物和设施，禁止占用公路用地红线。</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入区企业应满足大气环境防护距离要求。</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开发区建设和发展不得占用河道，禁止在河道管理范围内建设厂房、倾倒垃圾、渣土、固废等，不得影响行洪安全。</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对于现有工业企业后续退出及遗留宗地，应按照《中华人民共和国土壤污染防治法》、《关于贯彻落实土壤污染防治法推动解决突出土壤污染问题的实施意见》（环办土壤[2019]47号）《污染地块土壤环境管理办法》、《工矿用地土壤环境管理办法（试行）》、《关于加强工业企业关停、搬迁及原址场地再开发利用过程中污染防治工作的通知》等文件要求，土地用途变更为住宅、公共管理与公共服务用地的，变更前应当按照规定进行土壤、地下水环境初步调查，编制调查报告。对于存在超过相关标准要求的，开展详细调查、风险评估、风险管控、治理与修复等活动。</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严格控制属于生态环境部发布的《环境保护综合名录》（2021年版）中“高污染、高风险”产品加工项目建设。</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禁止新建落后产能或产能严重过剩行业的建设项目。</w:t>
                  </w:r>
                </w:p>
                <w:p>
                  <w:pPr>
                    <w:numPr>
                      <w:ilvl w:val="0"/>
                      <w:numId w:val="2"/>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涉风险物质企业应在建设项目环评、安评阶段进一步详细论证其风险状态下的影响范围，新增风险源的大气毒性终点浓度-1范围内不得有常驻居民，具体控制距离根据项目环评的风险分析结论确定。</w:t>
                  </w:r>
                </w:p>
              </w:tc>
              <w:tc>
                <w:tcPr>
                  <w:tcW w:w="1808" w:type="pct"/>
                  <w:tcBorders>
                    <w:tl2br w:val="nil"/>
                    <w:tr2bl w:val="nil"/>
                  </w:tcBorders>
                  <w:noWrap w:val="0"/>
                  <w:vAlign w:val="center"/>
                </w:tcPr>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1、</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项目占地为工业用地，不在</w:t>
                  </w:r>
                  <w:r>
                    <w:rPr>
                      <w:rFonts w:hint="default" w:ascii="Times New Roman" w:hAnsi="Times New Roman" w:cs="Times New Roman"/>
                      <w:color w:val="000000" w:themeColor="text1"/>
                      <w:kern w:val="0"/>
                      <w:sz w:val="21"/>
                      <w:szCs w:val="21"/>
                      <w:highlight w:val="none"/>
                      <w14:textFill>
                        <w14:solidFill>
                          <w14:schemeClr w14:val="tx1"/>
                        </w14:solidFill>
                      </w14:textFill>
                    </w:rPr>
                    <w:t>公园绿地、防护绿地等规划绿地范围内</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2、项目不占用</w:t>
                  </w:r>
                  <w:r>
                    <w:rPr>
                      <w:rFonts w:hint="default" w:ascii="Times New Roman" w:hAnsi="Times New Roman" w:cs="Times New Roman"/>
                      <w:color w:val="000000" w:themeColor="text1"/>
                      <w:kern w:val="0"/>
                      <w:sz w:val="21"/>
                      <w:szCs w:val="21"/>
                      <w:highlight w:val="none"/>
                      <w14:textFill>
                        <w14:solidFill>
                          <w14:schemeClr w14:val="tx1"/>
                        </w14:solidFill>
                      </w14:textFill>
                    </w:rPr>
                    <w:t>公路用地红线</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不在</w:t>
                  </w:r>
                  <w:r>
                    <w:rPr>
                      <w:rFonts w:hint="default" w:ascii="Times New Roman" w:hAnsi="Times New Roman" w:cs="Times New Roman"/>
                      <w:color w:val="000000" w:themeColor="text1"/>
                      <w:kern w:val="0"/>
                      <w:sz w:val="21"/>
                      <w:szCs w:val="21"/>
                      <w:highlight w:val="none"/>
                      <w14:textFill>
                        <w14:solidFill>
                          <w14:schemeClr w14:val="tx1"/>
                        </w14:solidFill>
                      </w14:textFill>
                    </w:rPr>
                    <w:t>公路两侧建筑控制线范围内</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3、不涉及大气防护距离。</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4、项目不占用河道。</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5、不涉及。</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6、项目不属于</w:t>
                  </w:r>
                  <w:r>
                    <w:rPr>
                      <w:rFonts w:hint="default" w:ascii="Times New Roman" w:hAnsi="Times New Roman" w:cs="Times New Roman"/>
                      <w:color w:val="000000" w:themeColor="text1"/>
                      <w:kern w:val="0"/>
                      <w:sz w:val="21"/>
                      <w:szCs w:val="21"/>
                      <w:highlight w:val="none"/>
                      <w14:textFill>
                        <w14:solidFill>
                          <w14:schemeClr w14:val="tx1"/>
                        </w14:solidFill>
                      </w14:textFill>
                    </w:rPr>
                    <w:t>“高污染、高风险”产品加工项目建设</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7、项目不属于</w:t>
                  </w:r>
                  <w:r>
                    <w:rPr>
                      <w:rFonts w:hint="default" w:ascii="Times New Roman" w:hAnsi="Times New Roman" w:cs="Times New Roman"/>
                      <w:color w:val="000000" w:themeColor="text1"/>
                      <w:kern w:val="0"/>
                      <w:sz w:val="21"/>
                      <w:szCs w:val="21"/>
                      <w:highlight w:val="none"/>
                      <w14:textFill>
                        <w14:solidFill>
                          <w14:schemeClr w14:val="tx1"/>
                        </w14:solidFill>
                      </w14:textFill>
                    </w:rPr>
                    <w:t>落后产能或产能严重过剩行业的建设项目</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8、</w:t>
                  </w:r>
                  <w:r>
                    <w:rPr>
                      <w:rFonts w:hint="default" w:ascii="Times New Roman" w:hAnsi="Times New Roman" w:cs="Times New Roman"/>
                      <w:color w:val="000000" w:themeColor="text1"/>
                      <w:kern w:val="0"/>
                      <w:sz w:val="21"/>
                      <w:szCs w:val="21"/>
                      <w:highlight w:val="none"/>
                      <w14:textFill>
                        <w14:solidFill>
                          <w14:schemeClr w14:val="tx1"/>
                        </w14:solidFill>
                      </w14:textFill>
                    </w:rPr>
                    <w:t>本项目突发环境事件应急预案</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为简化管理</w:t>
                  </w:r>
                  <w:r>
                    <w:rPr>
                      <w:rFonts w:hint="default" w:ascii="Times New Roman" w:hAnsi="Times New Roman" w:cs="Times New Roman"/>
                      <w:color w:val="000000" w:themeColor="text1"/>
                      <w:kern w:val="0"/>
                      <w:sz w:val="21"/>
                      <w:szCs w:val="21"/>
                      <w:highlight w:val="none"/>
                      <w14:textFill>
                        <w14:solidFill>
                          <w14:schemeClr w14:val="tx1"/>
                        </w14:solidFill>
                      </w14:textFill>
                    </w:rPr>
                    <w:t>，落实风险防控措施</w:t>
                  </w:r>
                </w:p>
              </w:tc>
              <w:tc>
                <w:tcPr>
                  <w:tcW w:w="58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19"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污染物排放管控</w:t>
                  </w:r>
                </w:p>
              </w:tc>
              <w:tc>
                <w:tcPr>
                  <w:tcW w:w="2183" w:type="pct"/>
                  <w:tcBorders>
                    <w:tl2br w:val="nil"/>
                    <w:tr2bl w:val="nil"/>
                  </w:tcBorders>
                  <w:noWrap w:val="0"/>
                  <w:vAlign w:val="center"/>
                </w:tcPr>
                <w:p>
                  <w:pPr>
                    <w:numPr>
                      <w:ilvl w:val="0"/>
                      <w:numId w:val="3"/>
                    </w:num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入区项目需满足建设项目污染物排放总量控制要求，重点行业建设项目按照《关于加强重点行业建设项目区域削减措施监督管理的通知（环办环评[2020]36号）》要求，严格落实区域主要污染物削减方案；</w:t>
                  </w:r>
                </w:p>
                <w:p>
                  <w:pPr>
                    <w:numPr>
                      <w:ilvl w:val="0"/>
                      <w:numId w:val="3"/>
                    </w:num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入区项目污染物排放必须满足国家、河北省、秦皇岛市等规定的标准要求，排放指标必须满足清洁生产指标要求（如有）。</w:t>
                  </w:r>
                </w:p>
                <w:p>
                  <w:pPr>
                    <w:numPr>
                      <w:ilvl w:val="0"/>
                      <w:numId w:val="3"/>
                    </w:num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严控开发区废水排放管理，禁止废水未经处理直接排入周边沟渠。电镀废水需自行预处理，确保第一类污染物的废水全部在车间处理后妥善处置，不外排。</w:t>
                  </w:r>
                </w:p>
                <w:p>
                  <w:pPr>
                    <w:numPr>
                      <w:ilvl w:val="0"/>
                      <w:numId w:val="3"/>
                    </w:num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企业应当加强精细化管理，采取集中收集处理措施，或者采取密闭、围挡、遮盖、清扫、洒水等措施，严格控制、减少粉尘和气态污染物排放。</w:t>
                  </w:r>
                </w:p>
                <w:p>
                  <w:pPr>
                    <w:numPr>
                      <w:ilvl w:val="0"/>
                      <w:numId w:val="3"/>
                    </w:num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固体废物零排放，其中危险废物收集、贮存、运输、处置、利用等须满足《</w:t>
                  </w:r>
                  <w:r>
                    <w:rPr>
                      <w:rFonts w:hint="eastAsia" w:cs="Times New Roman"/>
                      <w:color w:val="000000"/>
                      <w:kern w:val="0"/>
                      <w:sz w:val="21"/>
                      <w:szCs w:val="21"/>
                      <w:highlight w:val="none"/>
                      <w:lang w:eastAsia="zh-CN"/>
                    </w:rPr>
                    <w:t>中华人民共和国固体废物污染环境防治法</w:t>
                  </w:r>
                  <w:r>
                    <w:rPr>
                      <w:rFonts w:hint="default" w:ascii="Times New Roman" w:hAnsi="Times New Roman" w:cs="Times New Roman"/>
                      <w:color w:val="000000"/>
                      <w:kern w:val="0"/>
                      <w:sz w:val="21"/>
                      <w:szCs w:val="21"/>
                      <w:highlight w:val="none"/>
                    </w:rPr>
                    <w:t>》、《危险废物收集 贮存 运输技术规范》、《危险废物贮存污染控制标准》等国家、地方相关法律法规、技术规范、标准要求。</w:t>
                  </w:r>
                </w:p>
              </w:tc>
              <w:tc>
                <w:tcPr>
                  <w:tcW w:w="1808" w:type="pct"/>
                  <w:tcBorders>
                    <w:tl2br w:val="nil"/>
                    <w:tr2bl w:val="nil"/>
                  </w:tcBorders>
                  <w:noWrap w:val="0"/>
                  <w:vAlign w:val="center"/>
                </w:tcPr>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1、</w:t>
                  </w: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颗粒物和VOCs需要倍量削减。</w:t>
                  </w:r>
                </w:p>
                <w:p>
                  <w:pPr>
                    <w:rPr>
                      <w:rFonts w:hint="default" w:ascii="Times New Roman" w:hAnsi="Times New Roman" w:eastAsia="宋体" w:cs="Times New Roman"/>
                      <w:sz w:val="21"/>
                      <w:szCs w:val="21"/>
                      <w:lang w:eastAsia="zh-CN"/>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2、</w:t>
                  </w: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颗粒</w:t>
                  </w:r>
                  <w:r>
                    <w:rPr>
                      <w:rFonts w:hint="default" w:ascii="Times New Roman" w:hAnsi="Times New Roman" w:cs="Times New Roman"/>
                      <w:color w:val="000000" w:themeColor="text1"/>
                      <w:sz w:val="21"/>
                      <w:szCs w:val="21"/>
                      <w:lang w:val="en-US" w:eastAsia="zh-CN"/>
                      <w14:textFill>
                        <w14:solidFill>
                          <w14:schemeClr w14:val="tx1"/>
                        </w14:solidFill>
                      </w14:textFill>
                    </w:rPr>
                    <w:t>物</w:t>
                  </w:r>
                  <w:r>
                    <w:rPr>
                      <w:rFonts w:hint="default" w:ascii="Times New Roman" w:hAnsi="Times New Roman" w:eastAsia="宋体" w:cs="Times New Roman"/>
                      <w:color w:val="000000" w:themeColor="text1"/>
                      <w:sz w:val="21"/>
                      <w:szCs w:val="21"/>
                      <w14:textFill>
                        <w14:solidFill>
                          <w14:schemeClr w14:val="tx1"/>
                        </w14:solidFill>
                      </w14:textFill>
                    </w:rPr>
                    <w:t>有组织排放浓度执行《大气污染物综合排放标准》（GB16297-1996）“表2 新污染源大气污染物排放限值”中颗粒物的最高允许排放浓度限值要求，排放速率执行《大气污染物综合排放标准》（GB16297-1996）“表2 新污染源大气污染物排放限值”中颗粒物的相应高度排气筒二级排放速率限值要求；</w:t>
                  </w:r>
                  <w:r>
                    <w:rPr>
                      <w:rFonts w:hint="default" w:ascii="Times New Roman" w:hAnsi="Times New Roman" w:cs="Times New Roman"/>
                      <w:color w:val="000000" w:themeColor="text1"/>
                      <w:sz w:val="21"/>
                      <w:szCs w:val="21"/>
                      <w:lang w:val="en-US" w:eastAsia="zh-CN"/>
                      <w14:textFill>
                        <w14:solidFill>
                          <w14:schemeClr w14:val="tx1"/>
                        </w14:solidFill>
                      </w14:textFill>
                    </w:rPr>
                    <w:t>颗粒物</w:t>
                  </w:r>
                  <w:r>
                    <w:rPr>
                      <w:rFonts w:hint="default" w:ascii="Times New Roman" w:hAnsi="Times New Roman" w:eastAsia="宋体" w:cs="Times New Roman"/>
                      <w:color w:val="000000" w:themeColor="text1"/>
                      <w:sz w:val="21"/>
                      <w:szCs w:val="21"/>
                      <w14:textFill>
                        <w14:solidFill>
                          <w14:schemeClr w14:val="tx1"/>
                        </w14:solidFill>
                      </w14:textFill>
                    </w:rPr>
                    <w:t>无组织排放执行《大气污染物综合排放标准》（GB16297-1996）“表2 新污染源大气污染物排放限值”中的无组织排放监控浓度限值要求及《秦皇岛市人民政府办公室关于执行钢铁等行业大气污染物排放特别要求的通知》（[2021]-10）中全市工业企业厂界执行无组织排放浓度特别管控要求0.3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vertAlign w:val="baseline"/>
                      <w:lang w:eastAsia="zh-CN"/>
                      <w14:textFill>
                        <w14:solidFill>
                          <w14:schemeClr w14:val="tx1"/>
                        </w14:solidFill>
                      </w14:textFill>
                    </w:rPr>
                    <w:t>；</w:t>
                  </w:r>
                </w:p>
                <w:p>
                  <w:pPr>
                    <w:rPr>
                      <w:rFonts w:hint="default" w:ascii="Times New Roman" w:hAnsi="Times New Roman" w:eastAsia="宋体" w:cs="Times New Roman"/>
                      <w:sz w:val="21"/>
                      <w:szCs w:val="21"/>
                      <w:lang w:eastAsia="zh-CN"/>
                    </w:rPr>
                  </w:pPr>
                  <w:r>
                    <w:rPr>
                      <w:rFonts w:hint="default" w:ascii="Times New Roman" w:hAnsi="Times New Roman" w:cs="Times New Roman"/>
                      <w:color w:val="000000" w:themeColor="text1"/>
                      <w:sz w:val="21"/>
                      <w:szCs w:val="21"/>
                      <w:lang w:val="en-US" w:eastAsia="zh-CN"/>
                      <w14:textFill>
                        <w14:solidFill>
                          <w14:schemeClr w14:val="tx1"/>
                        </w14:solidFill>
                      </w14:textFill>
                    </w:rPr>
                    <w:t>VOCs</w:t>
                  </w:r>
                  <w:r>
                    <w:rPr>
                      <w:rFonts w:hint="default" w:ascii="Times New Roman" w:hAnsi="Times New Roman" w:eastAsia="宋体" w:cs="Times New Roman"/>
                      <w:color w:val="000000" w:themeColor="text1"/>
                      <w:sz w:val="21"/>
                      <w:szCs w:val="21"/>
                      <w14:textFill>
                        <w14:solidFill>
                          <w14:schemeClr w14:val="tx1"/>
                        </w14:solidFill>
                      </w14:textFill>
                    </w:rPr>
                    <w:t>有组织排放浓度执行《工业企业挥发性有机物排放控制标准》（DB13/2322-2016）“表1 大气污染物排放限值”中</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表面涂装</w:t>
                  </w:r>
                  <w:r>
                    <w:rPr>
                      <w:rFonts w:hint="default" w:ascii="Times New Roman" w:hAnsi="Times New Roman" w:eastAsia="宋体" w:cs="Times New Roman"/>
                      <w:color w:val="000000" w:themeColor="text1"/>
                      <w:sz w:val="21"/>
                      <w:szCs w:val="21"/>
                      <w14:textFill>
                        <w14:solidFill>
                          <w14:schemeClr w14:val="tx1"/>
                        </w14:solidFill>
                      </w14:textFill>
                    </w:rPr>
                    <w:t>业最高允许排放浓度限值要求；</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本项目喷漆房</w:t>
                  </w:r>
                  <w:r>
                    <w:rPr>
                      <w:rFonts w:hint="default" w:ascii="Times New Roman" w:hAnsi="Times New Roman" w:eastAsia="宋体" w:cs="Times New Roman"/>
                      <w:color w:val="000000" w:themeColor="text1"/>
                      <w:sz w:val="21"/>
                      <w:szCs w:val="21"/>
                      <w14:textFill>
                        <w14:solidFill>
                          <w14:schemeClr w14:val="tx1"/>
                        </w14:solidFill>
                      </w14:textFill>
                    </w:rPr>
                    <w:t>废气</w:t>
                  </w:r>
                  <w:r>
                    <w:rPr>
                      <w:rFonts w:hint="default" w:ascii="Times New Roman" w:hAnsi="Times New Roman" w:cs="Times New Roman"/>
                      <w:color w:val="000000" w:themeColor="text1"/>
                      <w:sz w:val="21"/>
                      <w:szCs w:val="21"/>
                      <w:lang w:val="en-US" w:eastAsia="zh-CN"/>
                      <w14:textFill>
                        <w14:solidFill>
                          <w14:schemeClr w14:val="tx1"/>
                        </w14:solidFill>
                      </w14:textFill>
                    </w:rPr>
                    <w:t>VOCs</w:t>
                  </w:r>
                  <w:r>
                    <w:rPr>
                      <w:rFonts w:hint="default" w:ascii="Times New Roman" w:hAnsi="Times New Roman" w:eastAsia="宋体" w:cs="Times New Roman"/>
                      <w:color w:val="000000" w:themeColor="text1"/>
                      <w:sz w:val="21"/>
                      <w:szCs w:val="21"/>
                      <w14:textFill>
                        <w14:solidFill>
                          <w14:schemeClr w14:val="tx1"/>
                        </w14:solidFill>
                      </w14:textFill>
                    </w:rPr>
                    <w:t>无组织排放执行《工业企业挥发性有机物排放控制标准》（DB13/2322-2016）“表2 企业边界大气污染物浓度限值”要求</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p>
                <w:p>
                  <w:pPr>
                    <w:rPr>
                      <w:rFonts w:hint="default" w:ascii="Times New Roman" w:hAnsi="Times New Roman" w:cs="Times New Roman"/>
                      <w:color w:val="0000FF"/>
                      <w:kern w:val="0"/>
                      <w:sz w:val="21"/>
                      <w:szCs w:val="21"/>
                      <w:highlight w:val="none"/>
                      <w:lang w:eastAsia="zh-CN"/>
                    </w:rPr>
                  </w:pPr>
                  <w:r>
                    <w:rPr>
                      <w:rFonts w:hint="default" w:ascii="Times New Roman" w:hAnsi="Times New Roman" w:cs="Times New Roman"/>
                      <w:color w:val="000000"/>
                      <w:sz w:val="21"/>
                      <w:szCs w:val="21"/>
                      <w:highlight w:val="none"/>
                      <w:lang w:val="en-US" w:eastAsia="zh-CN"/>
                    </w:rPr>
                    <w:t>食堂油烟排放浓度执行《餐饮业大气污染物排放标准》(DB13/5808-2023)小型</w:t>
                  </w:r>
                  <w:r>
                    <w:rPr>
                      <w:rFonts w:hint="default" w:ascii="Times New Roman" w:hAnsi="Times New Roman" w:eastAsia="宋体" w:cs="Times New Roman"/>
                      <w:sz w:val="21"/>
                      <w:szCs w:val="21"/>
                    </w:rPr>
                    <w:t>餐饮服务单位的大气污染物最高允许排放浓度</w:t>
                  </w:r>
                  <w:r>
                    <w:rPr>
                      <w:rFonts w:hint="default" w:ascii="Times New Roman" w:hAnsi="Times New Roman" w:eastAsia="宋体" w:cs="Times New Roman"/>
                      <w:sz w:val="21"/>
                      <w:szCs w:val="21"/>
                      <w:lang w:val="en-US" w:eastAsia="zh-CN"/>
                    </w:rPr>
                    <w:t>油烟1.5mg/m</w:t>
                  </w:r>
                  <w:r>
                    <w:rPr>
                      <w:rFonts w:hint="default" w:ascii="Times New Roman" w:hAnsi="Times New Roman" w:eastAsia="宋体" w:cs="Times New Roman"/>
                      <w:sz w:val="21"/>
                      <w:szCs w:val="21"/>
                      <w:vertAlign w:val="superscript"/>
                      <w:lang w:val="en-US" w:eastAsia="zh-CN"/>
                    </w:rPr>
                    <w:t>3</w:t>
                  </w:r>
                </w:p>
                <w:p>
                  <w:pPr>
                    <w:numPr>
                      <w:ilvl w:val="0"/>
                      <w:numId w:val="0"/>
                    </w:numPr>
                    <w:autoSpaceDE w:val="0"/>
                    <w:autoSpaceDN w:val="0"/>
                    <w:adjustRightInd w:val="0"/>
                    <w:snapToGrid w:val="0"/>
                    <w:rPr>
                      <w:rFonts w:hint="default" w:ascii="Times New Roman" w:hAnsi="Times New Roman" w:eastAsia="宋体" w:cs="Times New Roman"/>
                      <w:color w:val="000000" w:themeColor="text1"/>
                      <w:kern w:val="0"/>
                      <w:sz w:val="21"/>
                      <w:szCs w:val="21"/>
                      <w:highlight w:val="none"/>
                      <w:lang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3、</w:t>
                  </w: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软水制备产生浓水用于厂区泼洒抑尘；食堂废水经隔油池+化粪池出来、员工生活污水经化粪池处理后，一起排入园区污水管网进入抚宁污水处理厂进一步处理</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lang w:val="en-US"/>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4、</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采取厂房密闭、定期清扫、洒水抑尘措施抑制无组织颗粒物排放。</w:t>
                  </w:r>
                </w:p>
                <w:p>
                  <w:pPr>
                    <w:numPr>
                      <w:ilvl w:val="0"/>
                      <w:numId w:val="0"/>
                    </w:num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5、</w:t>
                  </w:r>
                  <w:r>
                    <w:rPr>
                      <w:rFonts w:hint="default" w:ascii="Times New Roman" w:hAnsi="Times New Roman" w:cs="Times New Roman"/>
                      <w:color w:val="000000" w:themeColor="text1"/>
                      <w:kern w:val="0"/>
                      <w:sz w:val="21"/>
                      <w:szCs w:val="21"/>
                      <w:highlight w:val="none"/>
                      <w14:textFill>
                        <w14:solidFill>
                          <w14:schemeClr w14:val="tx1"/>
                        </w14:solidFill>
                      </w14:textFill>
                    </w:rPr>
                    <w:t>本项目产生的固废均得到综合利用或合理处置；危险废物暂存</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危险废物暂存间</w:t>
                  </w:r>
                  <w:r>
                    <w:rPr>
                      <w:rFonts w:hint="default" w:ascii="Times New Roman" w:hAnsi="Times New Roman" w:cs="Times New Roman"/>
                      <w:color w:val="000000" w:themeColor="text1"/>
                      <w:kern w:val="0"/>
                      <w:sz w:val="21"/>
                      <w:szCs w:val="21"/>
                      <w:highlight w:val="none"/>
                      <w14:textFill>
                        <w14:solidFill>
                          <w14:schemeClr w14:val="tx1"/>
                        </w14:solidFill>
                      </w14:textFill>
                    </w:rPr>
                    <w:t>，其收集、贮存、运输、处置、利用等均满足相关规范标准要求。</w:t>
                  </w:r>
                </w:p>
              </w:tc>
              <w:tc>
                <w:tcPr>
                  <w:tcW w:w="58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19"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环境风险防控</w:t>
                  </w:r>
                </w:p>
              </w:tc>
              <w:tc>
                <w:tcPr>
                  <w:tcW w:w="2183" w:type="pct"/>
                  <w:tcBorders>
                    <w:tl2br w:val="nil"/>
                    <w:tr2bl w:val="nil"/>
                  </w:tcBorders>
                  <w:noWrap w:val="0"/>
                  <w:vAlign w:val="center"/>
                </w:tcPr>
                <w:p>
                  <w:pPr>
                    <w:numPr>
                      <w:ilvl w:val="0"/>
                      <w:numId w:val="4"/>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对于易导致环境风险的有毒有害和易燃易爆物质的生产、使用、排放、贮运等新建、改扩建项目，加强“三级防控体系”的建设，风险防控措施应满足本评价提出的环境风险管理要求。</w:t>
                  </w:r>
                </w:p>
                <w:p>
                  <w:pPr>
                    <w:numPr>
                      <w:ilvl w:val="0"/>
                      <w:numId w:val="4"/>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重点监管企业和开发区周边土壤环境定期开展监督性监测，重点监测重金属和持久性有机污染物。</w:t>
                  </w:r>
                </w:p>
                <w:p>
                  <w:pPr>
                    <w:numPr>
                      <w:ilvl w:val="0"/>
                      <w:numId w:val="4"/>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入区项目按照《环境影响评价技术导则 地下水环境》（HJ610-2016）相关要求采取严格的防渗措施。</w:t>
                  </w:r>
                </w:p>
              </w:tc>
              <w:tc>
                <w:tcPr>
                  <w:tcW w:w="1808" w:type="pct"/>
                  <w:tcBorders>
                    <w:tl2br w:val="nil"/>
                    <w:tr2bl w:val="nil"/>
                  </w:tcBorders>
                  <w:noWrap w:val="0"/>
                  <w:vAlign w:val="center"/>
                </w:tcPr>
                <w:p>
                  <w:pPr>
                    <w:numPr>
                      <w:ilvl w:val="0"/>
                      <w:numId w:val="5"/>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本项目突发环境事件应急预案</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为简化管理</w:t>
                  </w:r>
                  <w:r>
                    <w:rPr>
                      <w:rFonts w:hint="default" w:ascii="Times New Roman" w:hAnsi="Times New Roman" w:cs="Times New Roman"/>
                      <w:color w:val="000000" w:themeColor="text1"/>
                      <w:kern w:val="0"/>
                      <w:sz w:val="21"/>
                      <w:szCs w:val="21"/>
                      <w:highlight w:val="none"/>
                      <w14:textFill>
                        <w14:solidFill>
                          <w14:schemeClr w14:val="tx1"/>
                        </w14:solidFill>
                      </w14:textFill>
                    </w:rPr>
                    <w:t>，落实风险防控措施。</w:t>
                  </w:r>
                </w:p>
                <w:p>
                  <w:pPr>
                    <w:numPr>
                      <w:ilvl w:val="0"/>
                      <w:numId w:val="5"/>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本项目不属于重点监管企业。</w:t>
                  </w:r>
                </w:p>
                <w:p>
                  <w:pPr>
                    <w:numPr>
                      <w:ilvl w:val="0"/>
                      <w:numId w:val="5"/>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本项目采取分区防渗的措施。</w:t>
                  </w:r>
                </w:p>
              </w:tc>
              <w:tc>
                <w:tcPr>
                  <w:tcW w:w="58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19"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资源开发利用要求</w:t>
                  </w:r>
                </w:p>
              </w:tc>
              <w:tc>
                <w:tcPr>
                  <w:tcW w:w="2183" w:type="pct"/>
                  <w:tcBorders>
                    <w:tl2br w:val="nil"/>
                    <w:tr2bl w:val="nil"/>
                  </w:tcBorders>
                  <w:noWrap w:val="0"/>
                  <w:vAlign w:val="center"/>
                </w:tcPr>
                <w:p>
                  <w:pPr>
                    <w:numPr>
                      <w:ilvl w:val="0"/>
                      <w:numId w:val="6"/>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资源和能源消耗量应满足开发区规定的土地、水、能源等主要资源能源可开发利用总量上线，其中，土地资源利用上线：工业用地面积574.3hm</w:t>
                  </w:r>
                  <w:r>
                    <w:rPr>
                      <w:rFonts w:hint="default" w:ascii="Times New Roman" w:hAnsi="Times New Roman" w:cs="Times New Roman"/>
                      <w:color w:val="000000" w:themeColor="text1"/>
                      <w:kern w:val="0"/>
                      <w:sz w:val="21"/>
                      <w:szCs w:val="21"/>
                      <w:highlight w:val="none"/>
                      <w:vertAlign w:val="superscript"/>
                      <w14:textFill>
                        <w14:solidFill>
                          <w14:schemeClr w14:val="tx1"/>
                        </w14:solidFill>
                      </w14:textFill>
                    </w:rPr>
                    <w:t>2</w:t>
                  </w:r>
                  <w:r>
                    <w:rPr>
                      <w:rFonts w:hint="default" w:ascii="Times New Roman" w:hAnsi="Times New Roman" w:cs="Times New Roman"/>
                      <w:color w:val="000000" w:themeColor="text1"/>
                      <w:kern w:val="0"/>
                      <w:sz w:val="21"/>
                      <w:szCs w:val="21"/>
                      <w:highlight w:val="none"/>
                      <w14:textFill>
                        <w14:solidFill>
                          <w14:schemeClr w14:val="tx1"/>
                        </w14:solidFill>
                      </w14:textFill>
                    </w:rPr>
                    <w:t>，能源利用上线：能源消费总量93.22万tce/a；水资源利用上线：新水用水量为1324.496万m</w:t>
                  </w:r>
                  <w:r>
                    <w:rPr>
                      <w:rFonts w:hint="default" w:ascii="Times New Roman" w:hAnsi="Times New Roman" w:cs="Times New Roman"/>
                      <w:color w:val="000000" w:themeColor="text1"/>
                      <w:kern w:val="0"/>
                      <w:sz w:val="21"/>
                      <w:szCs w:val="21"/>
                      <w:highlight w:val="none"/>
                      <w:vertAlign w:val="superscript"/>
                      <w14:textFill>
                        <w14:solidFill>
                          <w14:schemeClr w14:val="tx1"/>
                        </w14:solidFill>
                      </w14:textFill>
                    </w:rPr>
                    <w:t>3</w:t>
                  </w:r>
                  <w:r>
                    <w:rPr>
                      <w:rFonts w:hint="default" w:ascii="Times New Roman" w:hAnsi="Times New Roman" w:cs="Times New Roman"/>
                      <w:color w:val="000000" w:themeColor="text1"/>
                      <w:kern w:val="0"/>
                      <w:sz w:val="21"/>
                      <w:szCs w:val="21"/>
                      <w:highlight w:val="none"/>
                      <w14:textFill>
                        <w14:solidFill>
                          <w14:schemeClr w14:val="tx1"/>
                        </w14:solidFill>
                      </w14:textFill>
                    </w:rPr>
                    <w:t>/a。</w:t>
                  </w:r>
                </w:p>
                <w:p>
                  <w:pPr>
                    <w:numPr>
                      <w:ilvl w:val="0"/>
                      <w:numId w:val="6"/>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强化工业节水，入区工业项目用水应符合国家、地方水资源管理制度的要求；同时减少新鲜水用量，提高再生水回用率。</w:t>
                  </w:r>
                </w:p>
                <w:p>
                  <w:pPr>
                    <w:numPr>
                      <w:ilvl w:val="0"/>
                      <w:numId w:val="6"/>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加强工业项目建设用地管理，新建、改建、扩建工业项目占地应符合《工业项目建设用地控制指标》相关要求。</w:t>
                  </w:r>
                </w:p>
                <w:p>
                  <w:pPr>
                    <w:numPr>
                      <w:ilvl w:val="0"/>
                      <w:numId w:val="6"/>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14:textFill>
                        <w14:solidFill>
                          <w14:schemeClr w14:val="tx1"/>
                        </w14:solidFill>
                      </w14:textFill>
                    </w:rPr>
                    <w:t>不断优化能源消费结构，优先利用区域集中供热，禁止建设分散燃煤供热设施。</w:t>
                  </w:r>
                </w:p>
              </w:tc>
              <w:tc>
                <w:tcPr>
                  <w:tcW w:w="1808" w:type="pct"/>
                  <w:tcBorders>
                    <w:tl2br w:val="nil"/>
                    <w:tr2bl w:val="nil"/>
                  </w:tcBorders>
                  <w:noWrap w:val="0"/>
                  <w:vAlign w:val="center"/>
                </w:tcPr>
                <w:p>
                  <w:pPr>
                    <w:numPr>
                      <w:ilvl w:val="0"/>
                      <w:numId w:val="0"/>
                    </w:numPr>
                    <w:autoSpaceDE w:val="0"/>
                    <w:autoSpaceDN w:val="0"/>
                    <w:adjustRightInd w:val="0"/>
                    <w:snapToGrid w:val="0"/>
                    <w:rPr>
                      <w:rFonts w:hint="default" w:ascii="Times New Roman" w:hAnsi="Times New Roman" w:eastAsia="宋体" w:cs="Times New Roman"/>
                      <w:b w:val="0"/>
                      <w:bCs w:val="0"/>
                      <w:color w:val="000000" w:themeColor="text1"/>
                      <w:kern w:val="0"/>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1、</w:t>
                  </w: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eastAsia="宋体" w:cs="Times New Roman"/>
                      <w:bCs/>
                      <w:color w:val="000000" w:themeColor="text1"/>
                      <w:sz w:val="21"/>
                      <w:szCs w:val="21"/>
                      <w:highlight w:val="none"/>
                      <w14:textFill>
                        <w14:solidFill>
                          <w14:schemeClr w14:val="tx1"/>
                        </w14:solidFill>
                      </w14:textFill>
                    </w:rPr>
                    <w:t>用地性质为工业用地</w:t>
                  </w:r>
                  <w:r>
                    <w:rPr>
                      <w:rFonts w:hint="default" w:ascii="Times New Roman" w:hAnsi="Times New Roman" w:eastAsia="宋体" w:cs="Times New Roman"/>
                      <w:bCs/>
                      <w:color w:val="000000" w:themeColor="text1"/>
                      <w:sz w:val="21"/>
                      <w:szCs w:val="21"/>
                      <w:highlight w:val="none"/>
                      <w:lang w:eastAsia="zh-CN"/>
                      <w14:textFill>
                        <w14:solidFill>
                          <w14:schemeClr w14:val="tx1"/>
                        </w14:solidFill>
                      </w14:textFill>
                    </w:rPr>
                    <w:t>，</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项目用水4500m</w:t>
                  </w:r>
                  <w:r>
                    <w:rPr>
                      <w:rFonts w:hint="default" w:ascii="Times New Roman" w:hAnsi="Times New Roman" w:cs="Times New Roman"/>
                      <w:bCs/>
                      <w:color w:val="000000" w:themeColor="text1"/>
                      <w:sz w:val="21"/>
                      <w:szCs w:val="21"/>
                      <w:highlight w:val="none"/>
                      <w:vertAlign w:val="superscript"/>
                      <w:lang w:val="en-US" w:eastAsia="zh-CN"/>
                      <w14:textFill>
                        <w14:solidFill>
                          <w14:schemeClr w14:val="tx1"/>
                        </w14:solidFill>
                      </w14:textFill>
                    </w:rPr>
                    <w:t>3</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/a</w:t>
                  </w:r>
                  <w:r>
                    <w:rPr>
                      <w:rFonts w:hint="default" w:ascii="Times New Roman" w:hAnsi="Times New Roman" w:eastAsia="宋体" w:cs="Times New Roman"/>
                      <w:bCs/>
                      <w:color w:val="000000" w:themeColor="text1"/>
                      <w:sz w:val="21"/>
                      <w:szCs w:val="21"/>
                      <w:highlight w:val="none"/>
                      <w:lang w:val="en-US" w:eastAsia="zh-CN"/>
                      <w14:textFill>
                        <w14:solidFill>
                          <w14:schemeClr w14:val="tx1"/>
                        </w14:solidFill>
                      </w14:textFill>
                    </w:rPr>
                    <w:t>、耗电量</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60万kw·h</w:t>
                  </w:r>
                  <w:r>
                    <w:rPr>
                      <w:rFonts w:hint="default" w:ascii="Times New Roman" w:hAnsi="Times New Roman" w:eastAsia="宋体" w:cs="Times New Roman"/>
                      <w:bCs/>
                      <w:color w:val="000000" w:themeColor="text1"/>
                      <w:sz w:val="21"/>
                      <w:szCs w:val="21"/>
                      <w:highlight w:val="none"/>
                      <w:lang w:val="en-US" w:eastAsia="zh-CN"/>
                      <w14:textFill>
                        <w14:solidFill>
                          <w14:schemeClr w14:val="tx1"/>
                        </w14:solidFill>
                      </w14:textFill>
                    </w:rPr>
                    <w:t>，满足资源利用上线要求。</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2、本项目</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用水来自园区市政管网，且用水量较小</w:t>
                  </w:r>
                  <w:r>
                    <w:rPr>
                      <w:rFonts w:hint="default" w:ascii="Times New Roman" w:hAnsi="Times New Roman" w:cs="Times New Roman"/>
                      <w:color w:val="000000" w:themeColor="text1"/>
                      <w:kern w:val="0"/>
                      <w:sz w:val="21"/>
                      <w:szCs w:val="21"/>
                      <w:highlight w:val="none"/>
                      <w14:textFill>
                        <w14:solidFill>
                          <w14:schemeClr w14:val="tx1"/>
                        </w14:solidFill>
                      </w14:textFill>
                    </w:rPr>
                    <w:t>；</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3、</w:t>
                  </w: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eastAsia="宋体" w:cs="Times New Roman"/>
                      <w:bCs/>
                      <w:color w:val="000000" w:themeColor="text1"/>
                      <w:sz w:val="21"/>
                      <w:szCs w:val="21"/>
                      <w:highlight w:val="none"/>
                      <w14:textFill>
                        <w14:solidFill>
                          <w14:schemeClr w14:val="tx1"/>
                        </w14:solidFill>
                      </w14:textFill>
                    </w:rPr>
                    <w:t>用地性质为工业用地</w:t>
                  </w:r>
                  <w:r>
                    <w:rPr>
                      <w:rFonts w:hint="default" w:ascii="Times New Roman" w:hAnsi="Times New Roman" w:eastAsia="宋体" w:cs="Times New Roman"/>
                      <w:bCs/>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kern w:val="0"/>
                      <w:sz w:val="21"/>
                      <w:szCs w:val="21"/>
                      <w:highlight w:val="none"/>
                      <w14:textFill>
                        <w14:solidFill>
                          <w14:schemeClr w14:val="tx1"/>
                        </w14:solidFill>
                      </w14:textFill>
                    </w:rPr>
                    <w:t>占地符合《工业项目建设用地控制指标》相关要求；</w:t>
                  </w:r>
                </w:p>
                <w:p>
                  <w:pPr>
                    <w:numPr>
                      <w:ilvl w:val="0"/>
                      <w:numId w:val="0"/>
                    </w:numPr>
                    <w:autoSpaceDE w:val="0"/>
                    <w:autoSpaceDN w:val="0"/>
                    <w:adjustRightInd w:val="0"/>
                    <w:snapToGrid w:val="0"/>
                    <w:rPr>
                      <w:rFonts w:hint="default" w:ascii="Times New Roman" w:hAnsi="Times New Roman" w:cs="Times New Roman"/>
                      <w:color w:val="000000" w:themeColor="text1"/>
                      <w:kern w:val="0"/>
                      <w:sz w:val="21"/>
                      <w:szCs w:val="21"/>
                      <w:highlight w:val="none"/>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SA"/>
                      <w14:textFill>
                        <w14:solidFill>
                          <w14:schemeClr w14:val="tx1"/>
                        </w14:solidFill>
                      </w14:textFill>
                    </w:rPr>
                    <w:t>4、</w:t>
                  </w:r>
                  <w:r>
                    <w:rPr>
                      <w:rFonts w:hint="default" w:ascii="Times New Roman" w:hAnsi="Times New Roman" w:cs="Times New Roman"/>
                      <w:color w:val="000000" w:themeColor="text1"/>
                      <w:kern w:val="0"/>
                      <w:sz w:val="21"/>
                      <w:szCs w:val="21"/>
                      <w:highlight w:val="none"/>
                      <w14:textFill>
                        <w14:solidFill>
                          <w14:schemeClr w14:val="tx1"/>
                        </w14:solidFill>
                      </w14:textFill>
                    </w:rPr>
                    <w:t>本项目不涉及分散燃煤供热设施。</w:t>
                  </w:r>
                </w:p>
              </w:tc>
              <w:tc>
                <w:tcPr>
                  <w:tcW w:w="588" w:type="pct"/>
                  <w:tcBorders>
                    <w:tl2br w:val="nil"/>
                    <w:tr2bl w:val="nil"/>
                  </w:tcBorders>
                  <w:noWrap w:val="0"/>
                  <w:vAlign w:val="center"/>
                </w:tcPr>
                <w:p>
                  <w:pPr>
                    <w:autoSpaceDE w:val="0"/>
                    <w:autoSpaceDN w:val="0"/>
                    <w:adjustRightInd w:val="0"/>
                    <w:snapToGrid w:val="0"/>
                    <w:rPr>
                      <w:rFonts w:hint="default" w:ascii="Times New Roman" w:hAnsi="Times New Roman" w:cs="Times New Roman"/>
                      <w:color w:val="000000"/>
                      <w:kern w:val="0"/>
                      <w:sz w:val="21"/>
                      <w:szCs w:val="21"/>
                      <w:highlight w:val="none"/>
                    </w:rPr>
                  </w:pPr>
                  <w:r>
                    <w:rPr>
                      <w:rFonts w:hint="default" w:ascii="Times New Roman" w:hAnsi="Times New Roman" w:cs="Times New Roman"/>
                      <w:color w:val="000000"/>
                      <w:kern w:val="0"/>
                      <w:sz w:val="21"/>
                      <w:szCs w:val="21"/>
                      <w:highlight w:val="none"/>
                    </w:rPr>
                    <w:t>符合</w:t>
                  </w:r>
                </w:p>
              </w:tc>
            </w:tr>
          </w:tbl>
          <w:p>
            <w:pPr>
              <w:pStyle w:val="87"/>
              <w:keepNext w:val="0"/>
              <w:keepLines w:val="0"/>
              <w:pageBreakBefore w:val="0"/>
              <w:widowControl/>
              <w:numPr>
                <w:ilvl w:val="0"/>
                <w:numId w:val="0"/>
              </w:numPr>
              <w:tabs>
                <w:tab w:val="clear" w:pos="420"/>
              </w:tabs>
              <w:kinsoku/>
              <w:wordWrap/>
              <w:overflowPunct/>
              <w:topLinePunct w:val="0"/>
              <w:autoSpaceDE/>
              <w:autoSpaceDN/>
              <w:bidi w:val="0"/>
              <w:adjustRightInd/>
              <w:snapToGrid/>
              <w:spacing w:line="480" w:lineRule="exact"/>
              <w:ind w:left="0" w:leftChars="0" w:firstLine="0" w:firstLineChars="0"/>
              <w:textAlignment w:val="auto"/>
              <w:rPr>
                <w:rFonts w:hint="default" w:ascii="Times New Roman" w:hAnsi="Times New Roman" w:cs="Times New Roman"/>
                <w:color w:val="000000"/>
                <w:sz w:val="24"/>
                <w:szCs w:val="24"/>
                <w:highlight w:val="none"/>
              </w:rPr>
            </w:pPr>
            <w:r>
              <w:rPr>
                <w:rFonts w:hint="default" w:ascii="Times New Roman" w:hAnsi="Times New Roman" w:eastAsia="宋体" w:cs="Times New Roman"/>
                <w:b/>
                <w:color w:val="000000"/>
                <w:sz w:val="24"/>
                <w:szCs w:val="24"/>
                <w:highlight w:val="none"/>
                <w:lang w:val="en-US" w:eastAsia="zh-CN" w:bidi="ar-SA"/>
              </w:rPr>
              <w:t>表1-2</w:t>
            </w:r>
            <w:r>
              <w:rPr>
                <w:rFonts w:hint="default" w:ascii="Times New Roman" w:hAnsi="Times New Roman" w:cs="Times New Roman"/>
                <w:b/>
                <w:color w:val="000000"/>
                <w:sz w:val="24"/>
                <w:szCs w:val="24"/>
                <w:highlight w:val="none"/>
                <w:lang w:val="en-US" w:eastAsia="zh-CN" w:bidi="ar-SA"/>
              </w:rPr>
              <w:t xml:space="preserve"> </w:t>
            </w:r>
            <w:r>
              <w:rPr>
                <w:rFonts w:hint="default" w:ascii="Times New Roman" w:hAnsi="Times New Roman" w:cs="Times New Roman"/>
                <w:color w:val="000000"/>
                <w:sz w:val="24"/>
                <w:szCs w:val="24"/>
                <w:highlight w:val="none"/>
              </w:rPr>
              <w:t>与规划环评审查意见符合性分析</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77"/>
              <w:gridCol w:w="4265"/>
              <w:gridCol w:w="2485"/>
              <w:gridCol w:w="6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序号</w:t>
                  </w:r>
                </w:p>
              </w:tc>
              <w:tc>
                <w:tcPr>
                  <w:tcW w:w="2694"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审查意见</w:t>
                  </w:r>
                </w:p>
              </w:tc>
              <w:tc>
                <w:tcPr>
                  <w:tcW w:w="1569"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w:t>
                  </w:r>
                </w:p>
              </w:tc>
              <w:tc>
                <w:tcPr>
                  <w:tcW w:w="434"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2694"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落实国家及区域发展战略，坚持生态优先、提质增效，以生态环境质量改善为核心，做好与各级国土空间规划和生态环境分区管控体系的协调衔接，进一步优化《规划》布局、产业定位和发展规模。</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kern w:val="0"/>
                      <w:sz w:val="21"/>
                      <w:szCs w:val="21"/>
                      <w:highlight w:val="none"/>
                      <w:lang w:val="en-US" w:eastAsia="zh-CN"/>
                    </w:rPr>
                    <w:t>本</w:t>
                  </w:r>
                  <w:r>
                    <w:rPr>
                      <w:rFonts w:hint="default" w:ascii="Times New Roman" w:hAnsi="Times New Roman" w:cs="Times New Roman"/>
                      <w:color w:val="000000"/>
                      <w:kern w:val="0"/>
                      <w:sz w:val="21"/>
                      <w:szCs w:val="21"/>
                      <w:highlight w:val="none"/>
                    </w:rPr>
                    <w:t>项目位于</w:t>
                  </w:r>
                  <w:r>
                    <w:rPr>
                      <w:rFonts w:hint="default" w:ascii="Times New Roman" w:hAnsi="Times New Roman" w:cs="Times New Roman"/>
                      <w:color w:val="000000"/>
                      <w:sz w:val="21"/>
                      <w:szCs w:val="21"/>
                      <w:highlight w:val="none"/>
                      <w:lang w:eastAsia="zh-CN"/>
                    </w:rPr>
                    <w:t>抚宁经济开发区北区三抚路西侧，环城北路北侧</w:t>
                  </w:r>
                  <w:r>
                    <w:rPr>
                      <w:rFonts w:hint="default" w:ascii="Times New Roman" w:hAnsi="Times New Roman" w:cs="Times New Roman"/>
                      <w:color w:val="000000"/>
                      <w:kern w:val="0"/>
                      <w:sz w:val="21"/>
                      <w:szCs w:val="21"/>
                      <w:highlight w:val="none"/>
                    </w:rPr>
                    <w:t>，位于开发区北区，属于</w:t>
                  </w:r>
                  <w:r>
                    <w:rPr>
                      <w:rFonts w:hint="default" w:ascii="Times New Roman" w:hAnsi="Times New Roman" w:cs="Times New Roman"/>
                      <w:color w:val="000000"/>
                      <w:kern w:val="0"/>
                      <w:sz w:val="21"/>
                      <w:szCs w:val="21"/>
                      <w:highlight w:val="none"/>
                      <w:lang w:eastAsia="zh-CN"/>
                    </w:rPr>
                    <w:t>智能制造产业</w:t>
                  </w:r>
                  <w:r>
                    <w:rPr>
                      <w:rFonts w:hint="default" w:ascii="Times New Roman" w:hAnsi="Times New Roman" w:cs="Times New Roman"/>
                      <w:color w:val="000000"/>
                      <w:kern w:val="0"/>
                      <w:sz w:val="21"/>
                      <w:szCs w:val="21"/>
                      <w:highlight w:val="none"/>
                    </w:rPr>
                    <w:t>，符合开发区总体规划定位和布局要求</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w:t>
                  </w:r>
                </w:p>
              </w:tc>
              <w:tc>
                <w:tcPr>
                  <w:tcW w:w="2694"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推进开发区绿色低碳转型发展，实现减污降碳协同增效目标。根据国家、地方碳减排和碳达峰行动方案及路径要求，进一步优化开发区能源结构、交通运输方式等《规划》内容。</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本项目使用电能和空气能，碳排放量较低。</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w:t>
                  </w:r>
                </w:p>
              </w:tc>
              <w:tc>
                <w:tcPr>
                  <w:tcW w:w="2694"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严格空间管控要求，进一步优化开发区空间布局。结合敏感区分布，设置梯度产业管控空间。北区邻近抚宁区细河饮用水水源地准保护区及二级保护区范围内禁止布设电镀工序；北区距离居住用地50米范围内禁止新建涉电镀、喷漆、发酵工序的项目，禁止采用液氨作为制冷剂，50-100米范围内禁止布设使用溶剂型涂料的喷漆工序；樊各南片区、圈子营片区距离居住用地100米范围内禁止布设制浆工序及污水处理工序；开发区距离居住用地100米范围内严格控制恶臭异味物质、《有毒有害大气污染物名录》所列大气污染物、《危险化学品目录》所列剧毒物质的排放</w:t>
                  </w:r>
                  <w:r>
                    <w:rPr>
                      <w:rFonts w:hint="default" w:ascii="Times New Roman" w:hAnsi="Times New Roman" w:cs="Times New Roman"/>
                      <w:color w:val="000000" w:themeColor="text1"/>
                      <w:sz w:val="21"/>
                      <w:szCs w:val="21"/>
                      <w:highlight w:val="none"/>
                      <w:lang w:eastAsia="zh-CN"/>
                      <w14:textFill>
                        <w14:solidFill>
                          <w14:schemeClr w14:val="tx1"/>
                        </w14:solidFill>
                      </w14:textFill>
                    </w:rPr>
                    <w:t>。</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本项目</w:t>
                  </w:r>
                  <w:r>
                    <w:rPr>
                      <w:rFonts w:hint="default" w:ascii="Times New Roman" w:hAnsi="Times New Roman" w:cs="Times New Roman"/>
                      <w:color w:val="000000" w:themeColor="text1"/>
                      <w:kern w:val="0"/>
                      <w:sz w:val="21"/>
                      <w:szCs w:val="21"/>
                      <w:highlight w:val="none"/>
                      <w14:textFill>
                        <w14:solidFill>
                          <w14:schemeClr w14:val="tx1"/>
                        </w14:solidFill>
                      </w14:textFill>
                    </w:rPr>
                    <w:t>位于</w:t>
                  </w:r>
                  <w:r>
                    <w:rPr>
                      <w:rFonts w:hint="default" w:ascii="Times New Roman" w:hAnsi="Times New Roman" w:cs="Times New Roman"/>
                      <w:color w:val="000000" w:themeColor="text1"/>
                      <w:sz w:val="21"/>
                      <w:szCs w:val="21"/>
                      <w:highlight w:val="none"/>
                      <w:lang w:eastAsia="zh-CN"/>
                      <w14:textFill>
                        <w14:solidFill>
                          <w14:schemeClr w14:val="tx1"/>
                        </w14:solidFill>
                      </w14:textFill>
                    </w:rPr>
                    <w:t>抚宁经济开发区北区三抚路西侧，环城北路北侧</w:t>
                  </w:r>
                  <w:r>
                    <w:rPr>
                      <w:rFonts w:hint="default" w:ascii="Times New Roman" w:hAnsi="Times New Roman" w:cs="Times New Roman"/>
                      <w:color w:val="000000" w:themeColor="text1"/>
                      <w:kern w:val="0"/>
                      <w:sz w:val="21"/>
                      <w:szCs w:val="21"/>
                      <w:highlight w:val="none"/>
                      <w14:textFill>
                        <w14:solidFill>
                          <w14:schemeClr w14:val="tx1"/>
                        </w14:solidFill>
                      </w14:textFill>
                    </w:rPr>
                    <w:t>，位于开发区北区</w:t>
                  </w:r>
                  <w:r>
                    <w:rPr>
                      <w:rFonts w:hint="default" w:ascii="Times New Roman" w:hAnsi="Times New Roman" w:cs="Times New Roman"/>
                      <w:color w:val="000000" w:themeColor="text1"/>
                      <w:kern w:val="0"/>
                      <w:sz w:val="21"/>
                      <w:szCs w:val="21"/>
                      <w:highlight w:val="none"/>
                      <w:lang w:eastAsia="zh-CN"/>
                      <w14:textFill>
                        <w14:solidFill>
                          <w14:schemeClr w14:val="tx1"/>
                        </w14:solidFill>
                      </w14:textFill>
                    </w:rPr>
                    <w:t>，</w:t>
                  </w:r>
                  <w:r>
                    <w:rPr>
                      <w:rFonts w:hint="default" w:ascii="Times New Roman" w:hAnsi="Times New Roman" w:cs="Times New Roman"/>
                      <w:color w:val="000000" w:themeColor="text1"/>
                      <w:kern w:val="0"/>
                      <w:sz w:val="21"/>
                      <w:szCs w:val="21"/>
                      <w:highlight w:val="none"/>
                      <w:lang w:val="en-US" w:eastAsia="zh-CN"/>
                      <w14:textFill>
                        <w14:solidFill>
                          <w14:schemeClr w14:val="tx1"/>
                        </w14:solidFill>
                      </w14:textFill>
                    </w:rPr>
                    <w:t>项目边界距大李官营村（规划要求搬迁）约94m，喷漆房外100米范围内无居住用地，</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不涉及电镀、发酵、</w:t>
                  </w:r>
                  <w:r>
                    <w:rPr>
                      <w:rFonts w:hint="default" w:ascii="Times New Roman" w:hAnsi="Times New Roman" w:cs="Times New Roman"/>
                      <w:color w:val="000000" w:themeColor="text1"/>
                      <w:sz w:val="21"/>
                      <w:szCs w:val="21"/>
                      <w:highlight w:val="none"/>
                      <w14:textFill>
                        <w14:solidFill>
                          <w14:schemeClr w14:val="tx1"/>
                        </w14:solidFill>
                      </w14:textFill>
                    </w:rPr>
                    <w:t>制浆</w:t>
                  </w:r>
                  <w:r>
                    <w:rPr>
                      <w:rFonts w:hint="default" w:ascii="Times New Roman" w:hAnsi="Times New Roman" w:cs="Times New Roman"/>
                      <w:color w:val="000000" w:themeColor="text1"/>
                      <w:sz w:val="21"/>
                      <w:szCs w:val="21"/>
                      <w:highlight w:val="none"/>
                      <w:lang w:eastAsia="zh-CN"/>
                      <w14:textFill>
                        <w14:solidFill>
                          <w14:schemeClr w14:val="tx1"/>
                        </w14:solidFill>
                      </w14:textFill>
                    </w:rPr>
                    <w:t>、</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污水处理工序，不使用液氮，不涉及</w:t>
                  </w:r>
                  <w:r>
                    <w:rPr>
                      <w:rFonts w:hint="default" w:ascii="Times New Roman" w:hAnsi="Times New Roman" w:cs="Times New Roman"/>
                      <w:color w:val="000000" w:themeColor="text1"/>
                      <w:sz w:val="21"/>
                      <w:szCs w:val="21"/>
                      <w:highlight w:val="none"/>
                      <w14:textFill>
                        <w14:solidFill>
                          <w14:schemeClr w14:val="tx1"/>
                        </w14:solidFill>
                      </w14:textFill>
                    </w:rPr>
                    <w:t>恶臭异味物质、《有毒有害大气污染物名录》所列大气污染物、《危险化学品目录》所列剧毒物质的排放</w:t>
                  </w:r>
                  <w:r>
                    <w:rPr>
                      <w:rFonts w:hint="default" w:ascii="Times New Roman" w:hAnsi="Times New Roman" w:cs="Times New Roman"/>
                      <w:color w:val="000000" w:themeColor="text1"/>
                      <w:sz w:val="21"/>
                      <w:szCs w:val="21"/>
                      <w:highlight w:val="none"/>
                      <w:lang w:eastAsia="zh-CN"/>
                      <w14:textFill>
                        <w14:solidFill>
                          <w14:schemeClr w14:val="tx1"/>
                        </w14:solidFill>
                      </w14:textFill>
                    </w:rPr>
                    <w:t>。</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w:t>
                  </w:r>
                </w:p>
              </w:tc>
              <w:tc>
                <w:tcPr>
                  <w:tcW w:w="269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严守环境质量底线，强化污染物排放总量管控。提升现有及入区企业污染治理设施及环境管理水平，严格落实开发区污染物减排方案，通过在开发区内实施环保设施升级改造、集中供热替代、重点行业企业环保绩效创A，在开发区外实施工业企业关停、环保设施升级改造、集中供热替代、重点行业企业环保绩效创A等措施，减少污染物排放量，同时结合区域清洁采暖改造、人居环境改善确保区域环境质量持续改善。强化涉重废水污染治理，电镀工序废水经车间处理达标后全部回用，不外排。严格落实《关于加强重点行业建设项目区域削减措施监督管理的通知》相关要求。</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cs="Times New Roman"/>
                      <w:color w:val="000000" w:themeColor="text1"/>
                      <w:sz w:val="21"/>
                      <w:szCs w:val="21"/>
                      <w:highlight w:val="none"/>
                      <w:lang w:val="en-US"/>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项目</w:t>
                  </w:r>
                  <w:r>
                    <w:rPr>
                      <w:rFonts w:hint="default" w:ascii="Times New Roman" w:hAnsi="Times New Roman" w:cs="Times New Roman"/>
                      <w:bCs/>
                      <w:color w:val="000000" w:themeColor="text1"/>
                      <w:sz w:val="21"/>
                      <w:szCs w:val="21"/>
                      <w:highlight w:val="none"/>
                      <w:lang w:val="en-US" w:eastAsia="zh-CN"/>
                      <w14:textFill>
                        <w14:solidFill>
                          <w14:schemeClr w14:val="tx1"/>
                        </w14:solidFill>
                      </w14:textFill>
                    </w:rPr>
                    <w:t>供暖采用空气能；不涉及电镀工序。</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w:t>
                  </w:r>
                </w:p>
              </w:tc>
              <w:tc>
                <w:tcPr>
                  <w:tcW w:w="2694"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严格入区项目生态环境准入，推动绿色低碳高质量发展。严格落实《报告书》提出的开发区生态环境准入要求及与规划不符的现有企业环境管理要求。严禁“两高”项目、独立电镀项目入驻；现代纸业产业禁止发展独立纸浆制造项目，禁止采用含氯漂白工艺，造纸产能近期不得突破116.4万吨/年、远期不得突破180.5万吨/年；现代食品生物产业禁止发展牲畜屠宰、禽类屠宰项目；新型材料产业禁止发展平板玻璃制造项目，特种玻璃制造禁止使用含砷、含锑澄清剂，不得生产铅晶质玻璃及其他含铅玻璃；新能源、高端装备制造产业禁止采用有铬钝化、含氰电镀工艺；开发区不断提高现有企业清洁生产水平，促进开发区产业转型升级与生态环境保护、人居环境安全相协调</w:t>
                  </w:r>
                  <w:r>
                    <w:rPr>
                      <w:rFonts w:hint="default" w:ascii="Times New Roman" w:hAnsi="Times New Roman" w:cs="Times New Roman"/>
                      <w:color w:val="000000"/>
                      <w:sz w:val="21"/>
                      <w:szCs w:val="21"/>
                      <w:highlight w:val="none"/>
                      <w:lang w:eastAsia="zh-CN"/>
                    </w:rPr>
                    <w:t>。</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本项目不属于“两高”项目，不属于有铬钝化、含氰电镀工艺项目。</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w:t>
                  </w:r>
                </w:p>
              </w:tc>
              <w:tc>
                <w:tcPr>
                  <w:tcW w:w="269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统筹基础设施建设，严格落实建设内容及时限。樊各南片区地表水管网规划近期建成投运；中冶水务有限公司再生水回用装置及配套管网规划近期建成投运，中冶水务有限公司提标改造工程应于2027年1月1日前建成投运。樊各南片区集中供热生物质锅炉分期适时建设，圈子营片区集中供热生物质锅炉规划近期建成投运，樊各南片区燃气电厂规划远期建成投运。逐步对供热范围内的分散锅炉实施替代，开发区用热优先利用区域集中供热，集中供热覆盖范围禁止建设分散燃煤供热设施</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项目生产和生活用水来自园区市政管网，用水量4500m</w:t>
                  </w:r>
                  <w:r>
                    <w:rPr>
                      <w:rFonts w:hint="default" w:ascii="Times New Roman" w:hAnsi="Times New Roman" w:cs="Times New Roman"/>
                      <w:color w:val="000000"/>
                      <w:sz w:val="21"/>
                      <w:szCs w:val="21"/>
                      <w:highlight w:val="none"/>
                      <w:vertAlign w:val="superscript"/>
                      <w:lang w:val="en-US" w:eastAsia="zh-CN"/>
                    </w:rPr>
                    <w:t>3</w:t>
                  </w:r>
                  <w:r>
                    <w:rPr>
                      <w:rFonts w:hint="default" w:ascii="Times New Roman" w:hAnsi="Times New Roman" w:cs="Times New Roman"/>
                      <w:color w:val="000000"/>
                      <w:sz w:val="21"/>
                      <w:szCs w:val="21"/>
                      <w:highlight w:val="none"/>
                      <w:lang w:val="en-US" w:eastAsia="zh-CN"/>
                    </w:rPr>
                    <w:t>/a，供暖采用空气能，不建设燃煤供热设施。</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w:t>
                  </w:r>
                </w:p>
              </w:tc>
              <w:tc>
                <w:tcPr>
                  <w:tcW w:w="269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优化运输方式，落实应急运输响应方案。鼓励开发区提高清洁能源汽车运输比例，减轻运输产生的不利环境影响。结合秋冬行业错峰生产和重污染天气应急响应要求，在黄色及以上重污染天气预警期间，重点用车企业实施应急运输响应。</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项目使用清洁能源汽车运输，积极响应应急运输响应方案</w:t>
                  </w:r>
                </w:p>
              </w:tc>
              <w:tc>
                <w:tcPr>
                  <w:tcW w:w="434" w:type="pct"/>
                  <w:tcBorders>
                    <w:tl2br w:val="nil"/>
                    <w:tr2bl w:val="nil"/>
                  </w:tcBorders>
                  <w:noWrap w:val="0"/>
                  <w:vAlign w:val="center"/>
                </w:tcPr>
                <w:p>
                  <w:pPr>
                    <w:keepNext w:val="0"/>
                    <w:keepLines w:val="0"/>
                    <w:pageBreakBefore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4" w:hRule="atLeast"/>
                <w:jc w:val="center"/>
              </w:trPr>
              <w:tc>
                <w:tcPr>
                  <w:tcW w:w="301" w:type="pct"/>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w:t>
                  </w:r>
                </w:p>
              </w:tc>
              <w:tc>
                <w:tcPr>
                  <w:tcW w:w="2694"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健全完善环境监测体系，强化环境风险防范。健全完善包括环境空气、地表水、地下水、土壤等环境要素的监控体系；强化开发区风险防控体系的建立，健全应急响应联动机制。严格落实《报告书》提出的各项环境风险防控措施，提升环境风险防控和应急响应能力，保障区域环境安全</w:t>
                  </w:r>
                  <w:r>
                    <w:rPr>
                      <w:rFonts w:hint="default" w:ascii="Times New Roman" w:hAnsi="Times New Roman" w:cs="Times New Roman"/>
                      <w:color w:val="000000"/>
                      <w:sz w:val="21"/>
                      <w:szCs w:val="21"/>
                      <w:highlight w:val="none"/>
                      <w:lang w:eastAsia="zh-CN"/>
                    </w:rPr>
                    <w:t>。</w:t>
                  </w:r>
                </w:p>
              </w:tc>
              <w:tc>
                <w:tcPr>
                  <w:tcW w:w="1569" w:type="pct"/>
                  <w:tcBorders>
                    <w:tl2br w:val="nil"/>
                    <w:tr2bl w:val="nil"/>
                  </w:tcBorders>
                  <w:noWrap w:val="0"/>
                  <w:vAlign w:val="center"/>
                </w:tcPr>
                <w:p>
                  <w:pPr>
                    <w:pStyle w:val="53"/>
                    <w:keepNext w:val="0"/>
                    <w:keepLines w:val="0"/>
                    <w:pageBreakBefore w:val="0"/>
                    <w:widowControl w:val="0"/>
                    <w:kinsoku/>
                    <w:wordWrap/>
                    <w:overflowPunct/>
                    <w:topLinePunct w:val="0"/>
                    <w:autoSpaceDE/>
                    <w:autoSpaceDN/>
                    <w:bidi w:val="0"/>
                    <w:spacing w:before="0" w:beforeLines="0" w:after="0" w:afterLines="0" w:line="240" w:lineRule="auto"/>
                    <w:ind w:right="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项目按自行监测要求落实监测计划。</w:t>
                  </w:r>
                </w:p>
              </w:tc>
              <w:tc>
                <w:tcPr>
                  <w:tcW w:w="434"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right="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bl>
          <w:p>
            <w:pPr>
              <w:keepNext w:val="0"/>
              <w:keepLines w:val="0"/>
              <w:pageBreakBefore w:val="0"/>
              <w:widowControl w:val="0"/>
              <w:kinsoku/>
              <w:wordWrap/>
              <w:overflowPunct/>
              <w:topLinePunct w:val="0"/>
              <w:autoSpaceDE w:val="0"/>
              <w:autoSpaceDN w:val="0"/>
              <w:bidi w:val="0"/>
              <w:adjustRightInd w:val="0"/>
              <w:snapToGrid w:val="0"/>
              <w:spacing w:before="157" w:beforeLines="50" w:line="360" w:lineRule="auto"/>
              <w:ind w:firstLine="480" w:firstLineChars="200"/>
              <w:jc w:val="both"/>
              <w:textAlignment w:val="auto"/>
              <w:rPr>
                <w:rFonts w:hint="default" w:ascii="Times New Roman" w:hAnsi="Times New Roman" w:eastAsia="宋体" w:cs="Times New Roman"/>
                <w:color w:val="000000"/>
                <w:kern w:val="0"/>
                <w:sz w:val="24"/>
                <w:szCs w:val="24"/>
                <w:highlight w:val="none"/>
                <w:lang w:eastAsia="zh-CN"/>
              </w:rPr>
            </w:pPr>
            <w:r>
              <w:rPr>
                <w:rFonts w:hint="default" w:ascii="Times New Roman" w:hAnsi="Times New Roman" w:cs="Times New Roman"/>
                <w:color w:val="000000"/>
                <w:sz w:val="24"/>
                <w:szCs w:val="24"/>
                <w:highlight w:val="none"/>
              </w:rPr>
              <w:t>综上，本项目建设符合《河北抚宁经济开发区总体</w:t>
            </w:r>
            <w:r>
              <w:rPr>
                <w:rFonts w:hint="default" w:ascii="Times New Roman" w:hAnsi="Times New Roman" w:cs="Times New Roman"/>
                <w:color w:val="000000"/>
                <w:sz w:val="24"/>
                <w:szCs w:val="24"/>
                <w:highlight w:val="none"/>
                <w:lang w:val="en-US" w:eastAsia="zh-CN"/>
              </w:rPr>
              <w:t>发展</w:t>
            </w:r>
            <w:r>
              <w:rPr>
                <w:rFonts w:hint="default" w:ascii="Times New Roman" w:hAnsi="Times New Roman" w:cs="Times New Roman"/>
                <w:color w:val="000000"/>
                <w:sz w:val="24"/>
                <w:szCs w:val="24"/>
                <w:highlight w:val="none"/>
              </w:rPr>
              <w:t>规划（</w:t>
            </w:r>
            <w:r>
              <w:rPr>
                <w:rFonts w:hint="default" w:ascii="Times New Roman" w:hAnsi="Times New Roman" w:cs="Times New Roman"/>
                <w:color w:val="000000"/>
                <w:sz w:val="24"/>
                <w:szCs w:val="24"/>
                <w:highlight w:val="none"/>
                <w:lang w:val="en-US" w:eastAsia="zh-CN"/>
              </w:rPr>
              <w:t>2022-2035</w:t>
            </w:r>
            <w:r>
              <w:rPr>
                <w:rFonts w:hint="default" w:ascii="Times New Roman" w:hAnsi="Times New Roman" w:cs="Times New Roman"/>
                <w:color w:val="000000"/>
                <w:sz w:val="24"/>
                <w:szCs w:val="24"/>
                <w:highlight w:val="none"/>
              </w:rPr>
              <w:t>年）环境影响报告书》</w:t>
            </w:r>
            <w:r>
              <w:rPr>
                <w:rFonts w:hint="default" w:ascii="Times New Roman" w:hAnsi="Times New Roman" w:cs="Times New Roman"/>
                <w:color w:val="000000"/>
                <w:sz w:val="24"/>
                <w:szCs w:val="24"/>
                <w:highlight w:val="none"/>
                <w:lang w:val="en-US" w:eastAsia="zh-CN"/>
              </w:rPr>
              <w:t>及</w:t>
            </w:r>
            <w:r>
              <w:rPr>
                <w:rFonts w:hint="default" w:ascii="Times New Roman" w:hAnsi="Times New Roman" w:cs="Times New Roman"/>
                <w:color w:val="000000"/>
                <w:sz w:val="24"/>
                <w:szCs w:val="24"/>
                <w:highlight w:val="none"/>
              </w:rPr>
              <w:t>审查意见的要求</w:t>
            </w:r>
            <w:r>
              <w:rPr>
                <w:rFonts w:hint="default" w:ascii="Times New Roman" w:hAnsi="Times New Roman" w:cs="Times New Roman"/>
                <w:color w:val="000000"/>
                <w:sz w:val="24"/>
                <w:szCs w:val="24"/>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247" w:hRule="atLeast"/>
          <w:jc w:val="center"/>
        </w:trPr>
        <w:tc>
          <w:tcPr>
            <w:tcW w:w="321" w:type="pct"/>
            <w:noWrap w:val="0"/>
            <w:vAlign w:val="center"/>
          </w:tcPr>
          <w:p>
            <w:pPr>
              <w:autoSpaceDE w:val="0"/>
              <w:autoSpaceDN w:val="0"/>
              <w:adjustRightInd w:val="0"/>
              <w:snapToGrid w:val="0"/>
              <w:jc w:val="center"/>
              <w:rPr>
                <w:rFonts w:hint="default" w:ascii="Times New Roman" w:hAnsi="Times New Roman" w:cs="Times New Roman"/>
                <w:color w:val="000000"/>
                <w:kern w:val="0"/>
                <w:sz w:val="24"/>
                <w:szCs w:val="24"/>
                <w:highlight w:val="none"/>
              </w:rPr>
            </w:pPr>
            <w:r>
              <w:rPr>
                <w:rFonts w:hint="default" w:ascii="Times New Roman" w:hAnsi="Times New Roman" w:cs="Times New Roman"/>
                <w:color w:val="000000"/>
                <w:kern w:val="0"/>
                <w:sz w:val="24"/>
                <w:szCs w:val="24"/>
                <w:highlight w:val="none"/>
              </w:rPr>
              <w:t>其他符合性分析</w:t>
            </w:r>
          </w:p>
        </w:tc>
        <w:tc>
          <w:tcPr>
            <w:tcW w:w="4678" w:type="pct"/>
            <w:gridSpan w:val="4"/>
            <w:noWrap w:val="0"/>
            <w:vAlign w:val="top"/>
          </w:tcPr>
          <w:p>
            <w:pPr>
              <w:pStyle w:val="82"/>
              <w:keepNext w:val="0"/>
              <w:keepLines w:val="0"/>
              <w:pageBreakBefore w:val="0"/>
              <w:widowControl w:val="0"/>
              <w:kinsoku/>
              <w:wordWrap/>
              <w:overflowPunct/>
              <w:topLinePunct w:val="0"/>
              <w:autoSpaceDE/>
              <w:autoSpaceDN/>
              <w:bidi w:val="0"/>
              <w:adjustRightInd w:val="0"/>
              <w:snapToGrid/>
              <w:spacing w:line="480" w:lineRule="exact"/>
              <w:ind w:firstLine="482" w:firstLineChars="200"/>
              <w:jc w:val="both"/>
              <w:textAlignment w:val="baseline"/>
              <w:rPr>
                <w:rFonts w:hint="default" w:ascii="Times New Roman" w:hAnsi="Times New Roman" w:eastAsia="宋体" w:cs="Times New Roman"/>
                <w:b/>
                <w:bCs/>
                <w:i w:val="0"/>
                <w:iCs w:val="0"/>
                <w:color w:val="000000"/>
                <w:sz w:val="24"/>
                <w:szCs w:val="24"/>
                <w:highlight w:val="none"/>
              </w:rPr>
            </w:pPr>
            <w:r>
              <w:rPr>
                <w:rFonts w:hint="default" w:ascii="Times New Roman" w:hAnsi="Times New Roman" w:eastAsia="宋体" w:cs="Times New Roman"/>
                <w:b/>
                <w:bCs/>
                <w:i w:val="0"/>
                <w:iCs w:val="0"/>
                <w:color w:val="000000"/>
                <w:sz w:val="24"/>
                <w:szCs w:val="24"/>
                <w:highlight w:val="none"/>
              </w:rPr>
              <w:t>1、产业政策符合性分析</w:t>
            </w:r>
          </w:p>
          <w:p>
            <w:pPr>
              <w:pStyle w:val="89"/>
              <w:keepNext w:val="0"/>
              <w:keepLines w:val="0"/>
              <w:pageBreakBefore w:val="0"/>
              <w:widowControl w:val="0"/>
              <w:kinsoku/>
              <w:wordWrap/>
              <w:overflowPunct/>
              <w:topLinePunct w:val="0"/>
              <w:autoSpaceDE/>
              <w:autoSpaceDN/>
              <w:bidi w:val="0"/>
              <w:snapToGrid/>
              <w:spacing w:line="480" w:lineRule="exact"/>
              <w:jc w:val="both"/>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sz w:val="24"/>
                <w:szCs w:val="24"/>
                <w:highlight w:val="none"/>
                <w:lang w:val="en-US" w:eastAsia="zh-CN"/>
              </w:rPr>
              <w:t>本项目国民经济行业类别C3491工业机器人制造</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C3492特殊作业机器人制造</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C3964服务消费机器人制造</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C3973集成电路制造，根据《产业结构调整指导目录（</w:t>
            </w:r>
            <w:r>
              <w:rPr>
                <w:rFonts w:hint="default" w:ascii="Times New Roman" w:hAnsi="Times New Roman" w:cs="Times New Roman"/>
                <w:color w:val="000000"/>
                <w:sz w:val="24"/>
                <w:szCs w:val="24"/>
                <w:highlight w:val="none"/>
                <w:lang w:val="en-US" w:eastAsia="zh-CN"/>
              </w:rPr>
              <w:t>2024年本</w:t>
            </w:r>
            <w:r>
              <w:rPr>
                <w:rFonts w:hint="default" w:ascii="Times New Roman" w:hAnsi="Times New Roman" w:eastAsia="宋体"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eastAsia="zh-CN"/>
              </w:rPr>
              <w:t>，本项目</w:t>
            </w:r>
            <w:r>
              <w:rPr>
                <w:rFonts w:hint="default" w:ascii="Times New Roman" w:hAnsi="Times New Roman" w:eastAsia="宋体" w:cs="Times New Roman"/>
                <w:color w:val="000000"/>
                <w:sz w:val="24"/>
                <w:szCs w:val="24"/>
                <w:highlight w:val="none"/>
                <w:lang w:val="en-US" w:eastAsia="zh-CN"/>
              </w:rPr>
              <w:t>属于其中</w:t>
            </w:r>
            <w:r>
              <w:rPr>
                <w:rFonts w:hint="default" w:ascii="Times New Roman" w:hAnsi="Times New Roman" w:cs="Times New Roman"/>
                <w:color w:val="000000"/>
                <w:sz w:val="24"/>
                <w:szCs w:val="24"/>
                <w:highlight w:val="none"/>
                <w:lang w:val="en-US" w:eastAsia="zh-CN"/>
              </w:rPr>
              <w:t>“鼓励类”项目中四十七-智能制造：1、机器人及集成系统</w:t>
            </w:r>
            <w:r>
              <w:rPr>
                <w:rFonts w:hint="default" w:ascii="Times New Roman" w:hAnsi="Times New Roman" w:eastAsia="宋体" w:cs="Times New Roman"/>
                <w:color w:val="000000"/>
                <w:sz w:val="24"/>
                <w:szCs w:val="24"/>
                <w:highlight w:val="none"/>
              </w:rPr>
              <w:t>；不属于《环境保护综合名录（2021年版）》高</w:t>
            </w:r>
            <w:r>
              <w:rPr>
                <w:rFonts w:hint="default" w:ascii="Times New Roman" w:hAnsi="Times New Roman" w:eastAsia="宋体" w:cs="Times New Roman"/>
                <w:color w:val="000000" w:themeColor="text1"/>
                <w:sz w:val="24"/>
                <w:szCs w:val="24"/>
                <w:highlight w:val="none"/>
                <w14:textFill>
                  <w14:solidFill>
                    <w14:schemeClr w14:val="tx1"/>
                  </w14:solidFill>
                </w14:textFill>
              </w:rPr>
              <w:t>污染、高环境风险项目</w:t>
            </w:r>
            <w:r>
              <w:rPr>
                <w:rFonts w:hint="default" w:ascii="Times New Roman" w:hAnsi="Times New Roman" w:cs="Times New Roman"/>
                <w:color w:val="000000" w:themeColor="text1"/>
                <w:sz w:val="24"/>
                <w:szCs w:val="24"/>
                <w:highlight w:val="none"/>
                <w:lang w:eastAsia="zh-CN"/>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未列入《市场准入负面清单（2025年版）》（发改体改规〔2025〕466号）</w:t>
            </w:r>
            <w:r>
              <w:rPr>
                <w:rFonts w:hint="default" w:ascii="Times New Roman" w:hAnsi="Times New Roman" w:eastAsia="宋体"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秦皇岛市抚宁区行政审批局</w:t>
            </w:r>
            <w:r>
              <w:rPr>
                <w:rFonts w:hint="default" w:ascii="Times New Roman" w:hAnsi="Times New Roman" w:eastAsia="宋体" w:cs="Times New Roman"/>
                <w:color w:val="000000" w:themeColor="text1"/>
                <w:sz w:val="24"/>
                <w:szCs w:val="24"/>
                <w:highlight w:val="none"/>
                <w14:textFill>
                  <w14:solidFill>
                    <w14:schemeClr w14:val="tx1"/>
                  </w14:solidFill>
                </w14:textFill>
              </w:rPr>
              <w:t>对项目进行了备案（</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抚行审备{2025}83号</w:t>
            </w:r>
            <w:r>
              <w:rPr>
                <w:rFonts w:hint="default" w:ascii="Times New Roman" w:hAnsi="Times New Roman" w:eastAsia="宋体" w:cs="Times New Roman"/>
                <w:color w:val="000000" w:themeColor="text1"/>
                <w:sz w:val="24"/>
                <w:szCs w:val="24"/>
                <w:highlight w:val="none"/>
                <w14:textFill>
                  <w14:solidFill>
                    <w14:schemeClr w14:val="tx1"/>
                  </w14:solidFill>
                </w14:textFill>
              </w:rPr>
              <w:t>）。</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0" w:firstLineChars="200"/>
              <w:jc w:val="both"/>
              <w:textAlignment w:val="baseline"/>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因此，本项目符合国家及地方产业政策。</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2" w:firstLineChars="200"/>
              <w:jc w:val="both"/>
              <w:textAlignment w:val="baseline"/>
              <w:rPr>
                <w:rFonts w:hint="default" w:ascii="Times New Roman" w:hAnsi="Times New Roman" w:eastAsia="宋体" w:cs="Times New Roman"/>
                <w:b/>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bCs/>
                <w:color w:val="000000" w:themeColor="text1"/>
                <w:sz w:val="24"/>
                <w:szCs w:val="24"/>
                <w:highlight w:val="none"/>
                <w14:textFill>
                  <w14:solidFill>
                    <w14:schemeClr w14:val="tx1"/>
                  </w14:solidFill>
                </w14:textFill>
              </w:rPr>
              <w:t>2、选址规划合理性分析</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0" w:firstLineChars="200"/>
              <w:jc w:val="both"/>
              <w:textAlignment w:val="baseline"/>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bCs/>
                <w:color w:val="000000" w:themeColor="text1"/>
                <w:sz w:val="24"/>
                <w:szCs w:val="24"/>
                <w:highlight w:val="none"/>
                <w14:textFill>
                  <w14:solidFill>
                    <w14:schemeClr w14:val="tx1"/>
                  </w14:solidFill>
                </w14:textFill>
              </w:rPr>
              <w:t>本项目位于</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抚宁经济开发区北区三抚路西侧，环城北路</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北侧，位于开发区北区，根据《秦皇岛市抚宁区人民政府 区政府2025年第一次项目准入会议纪要》（抚政纪【2025】1号）同意本项目选址于抚宁经济开发区北区三抚路和环城北路交叉口西北侧；项目不在园区环境负面准入负面清单内。项目符合园区产业定位要求，不涉及生态红线，项目拟建地为二类工业用地，用地性质符合要求。</w:t>
            </w:r>
            <w:r>
              <w:rPr>
                <w:rFonts w:hint="default" w:ascii="Times New Roman" w:hAnsi="Times New Roman" w:eastAsia="宋体" w:cs="Times New Roman"/>
                <w:color w:val="000000" w:themeColor="text1"/>
                <w:sz w:val="24"/>
                <w:szCs w:val="24"/>
                <w:highlight w:val="none"/>
                <w14:textFill>
                  <w14:solidFill>
                    <w14:schemeClr w14:val="tx1"/>
                  </w14:solidFill>
                </w14:textFill>
              </w:rPr>
              <w:t>厂界外500m范围内没有自然保护区、风景名胜区、世界文化和自然遗产地、海洋特别保护区、饮用水水源保护区等环境敏感区</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选址合理</w:t>
            </w:r>
            <w:r>
              <w:rPr>
                <w:rFonts w:hint="default" w:ascii="Times New Roman" w:hAnsi="Times New Roman" w:eastAsia="宋体" w:cs="Times New Roman"/>
                <w:color w:val="000000" w:themeColor="text1"/>
                <w:sz w:val="24"/>
                <w:szCs w:val="24"/>
                <w:highlight w:val="none"/>
                <w14:textFill>
                  <w14:solidFill>
                    <w14:schemeClr w14:val="tx1"/>
                  </w14:solidFill>
                </w14:textFill>
              </w:rPr>
              <w:t>。</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0" w:firstLineChars="200"/>
              <w:jc w:val="both"/>
              <w:textAlignment w:val="baseline"/>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themeColor="text1"/>
                <w:sz w:val="24"/>
                <w:szCs w:val="24"/>
                <w:highlight w:val="none"/>
                <w14:textFill>
                  <w14:solidFill>
                    <w14:schemeClr w14:val="tx1"/>
                  </w14:solidFill>
                </w14:textFill>
              </w:rPr>
              <w:t>本项目选址及规划合理可行</w:t>
            </w:r>
            <w:r>
              <w:rPr>
                <w:rFonts w:hint="default" w:ascii="Times New Roman" w:hAnsi="Times New Roman" w:eastAsia="宋体" w:cs="Times New Roman"/>
                <w:color w:val="000000"/>
                <w:sz w:val="24"/>
                <w:szCs w:val="24"/>
                <w:highlight w:val="none"/>
              </w:rPr>
              <w:t>。</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2" w:firstLineChars="200"/>
              <w:jc w:val="both"/>
              <w:textAlignment w:val="baseline"/>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t>3、三线一单符合性分析</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0" w:firstLineChars="200"/>
              <w:jc w:val="both"/>
              <w:textAlignment w:val="baseline"/>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rPr>
              <w:t>①生态保护红线</w:t>
            </w:r>
          </w:p>
          <w:p>
            <w:pPr>
              <w:pStyle w:val="82"/>
              <w:keepNext w:val="0"/>
              <w:keepLines w:val="0"/>
              <w:pageBreakBefore w:val="0"/>
              <w:widowControl w:val="0"/>
              <w:kinsoku/>
              <w:wordWrap/>
              <w:overflowPunct/>
              <w:topLinePunct w:val="0"/>
              <w:autoSpaceDE/>
              <w:autoSpaceDN/>
              <w:bidi w:val="0"/>
              <w:adjustRightInd w:val="0"/>
              <w:snapToGrid/>
              <w:spacing w:line="480" w:lineRule="exact"/>
              <w:ind w:firstLine="480" w:firstLineChars="200"/>
              <w:jc w:val="both"/>
              <w:textAlignment w:val="baseline"/>
              <w:rPr>
                <w:rFonts w:hint="default" w:ascii="Times New Roman" w:hAnsi="Times New Roman" w:cs="Times New Roman"/>
                <w:color w:val="000000"/>
                <w:sz w:val="24"/>
                <w:szCs w:val="24"/>
                <w:highlight w:val="none"/>
              </w:rPr>
            </w:pPr>
            <w:r>
              <w:rPr>
                <w:rFonts w:hint="default" w:ascii="Times New Roman" w:hAnsi="Times New Roman" w:eastAsia="宋体" w:cs="Times New Roman"/>
                <w:color w:val="000000"/>
                <w:sz w:val="24"/>
                <w:szCs w:val="24"/>
                <w:highlight w:val="none"/>
              </w:rPr>
              <w:t>根据环保部印发的《关于以改善环境质量为核心加强环境影响评价管理的通知》(环环评〔2016〕150号）和《河北省生态保护红线》。本项目所在区域不在生态功能重要区域内，且不在饮用水水源保护区、风景名胜区、自然保护区等生态保护区内，项目的建设不涉及生态红线。</w:t>
            </w:r>
          </w:p>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both"/>
              <w:textAlignment w:val="auto"/>
              <w:rPr>
                <w:rFonts w:hint="default" w:ascii="Times New Roman" w:hAnsi="Times New Roman" w:eastAsia="宋体" w:cs="Times New Roman"/>
                <w:b w:val="0"/>
                <w:bCs/>
                <w:color w:val="000000"/>
                <w:sz w:val="24"/>
                <w:szCs w:val="24"/>
                <w:highlight w:val="none"/>
              </w:rPr>
            </w:pPr>
            <w:r>
              <w:rPr>
                <w:rFonts w:hint="default" w:ascii="Times New Roman" w:hAnsi="Times New Roman" w:cs="Times New Roman"/>
                <w:color w:val="000000"/>
                <w:sz w:val="24"/>
                <w:szCs w:val="24"/>
                <w:highlight w:val="none"/>
              </w:rPr>
              <w:drawing>
                <wp:inline distT="0" distB="0" distL="114300" distR="114300">
                  <wp:extent cx="4933950" cy="3002280"/>
                  <wp:effectExtent l="0" t="0" r="0" b="7620"/>
                  <wp:docPr id="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9"/>
                          <pic:cNvPicPr>
                            <a:picLocks noChangeAspect="1"/>
                          </pic:cNvPicPr>
                        </pic:nvPicPr>
                        <pic:blipFill>
                          <a:blip r:embed="rId9"/>
                          <a:stretch>
                            <a:fillRect/>
                          </a:stretch>
                        </pic:blipFill>
                        <pic:spPr>
                          <a:xfrm>
                            <a:off x="0" y="0"/>
                            <a:ext cx="4933950" cy="300228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val="0"/>
              <w:spacing w:line="480" w:lineRule="exact"/>
              <w:ind w:firstLine="0" w:firstLineChars="0"/>
              <w:jc w:val="center"/>
              <w:textAlignment w:val="auto"/>
              <w:rPr>
                <w:rFonts w:hint="default" w:ascii="Times New Roman" w:hAnsi="Times New Roman" w:eastAsia="宋体" w:cs="Times New Roman"/>
                <w:b w:val="0"/>
                <w:bCs/>
                <w:color w:val="000000"/>
                <w:sz w:val="24"/>
                <w:szCs w:val="24"/>
                <w:highlight w:val="none"/>
              </w:rPr>
            </w:pPr>
            <w:r>
              <w:rPr>
                <w:rFonts w:hint="default" w:ascii="Times New Roman" w:hAnsi="Times New Roman" w:cs="Times New Roman"/>
                <w:b/>
                <w:bCs/>
                <w:color w:val="000000"/>
                <w:sz w:val="24"/>
                <w:szCs w:val="24"/>
                <w:highlight w:val="none"/>
              </w:rPr>
              <w:t>图</w:t>
            </w:r>
            <w:r>
              <w:rPr>
                <w:rFonts w:hint="default" w:ascii="Times New Roman" w:hAnsi="Times New Roman" w:cs="Times New Roman"/>
                <w:b/>
                <w:bCs/>
                <w:color w:val="000000"/>
                <w:sz w:val="24"/>
                <w:szCs w:val="24"/>
                <w:highlight w:val="none"/>
                <w:lang w:val="en-US" w:eastAsia="zh-CN"/>
              </w:rPr>
              <w:t>1-</w:t>
            </w:r>
            <w:r>
              <w:rPr>
                <w:rFonts w:hint="default" w:ascii="Times New Roman" w:hAnsi="Times New Roman" w:cs="Times New Roman"/>
                <w:b/>
                <w:bCs/>
                <w:color w:val="000000"/>
                <w:sz w:val="24"/>
                <w:szCs w:val="24"/>
                <w:highlight w:val="none"/>
              </w:rPr>
              <w:t>1 生态保护红线图</w:t>
            </w:r>
          </w:p>
          <w:p>
            <w:pPr>
              <w:keepNext w:val="0"/>
              <w:keepLines w:val="0"/>
              <w:pageBreakBefore w:val="0"/>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bCs/>
                <w:color w:val="000000"/>
                <w:sz w:val="24"/>
                <w:szCs w:val="24"/>
                <w:highlight w:val="none"/>
              </w:rPr>
            </w:pPr>
            <w:r>
              <w:rPr>
                <w:rFonts w:hint="default" w:ascii="Times New Roman" w:hAnsi="Times New Roman" w:eastAsia="宋体" w:cs="Times New Roman"/>
                <w:color w:val="000000"/>
                <w:sz w:val="24"/>
                <w:szCs w:val="24"/>
                <w:highlight w:val="none"/>
              </w:rPr>
              <w:t>②环境质量底线</w:t>
            </w:r>
          </w:p>
          <w:p>
            <w:pPr>
              <w:keepNext w:val="0"/>
              <w:keepLines w:val="0"/>
              <w:pageBreakBefore w:val="0"/>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bCs/>
                <w:color w:val="000000"/>
                <w:sz w:val="24"/>
                <w:szCs w:val="24"/>
                <w:highlight w:val="none"/>
              </w:rPr>
            </w:pPr>
            <w:r>
              <w:rPr>
                <w:rFonts w:hint="default" w:ascii="Times New Roman" w:hAnsi="Times New Roman" w:eastAsia="宋体" w:cs="Times New Roman"/>
                <w:bCs/>
                <w:color w:val="000000"/>
                <w:sz w:val="24"/>
                <w:szCs w:val="24"/>
                <w:highlight w:val="none"/>
              </w:rPr>
              <w:t>根据</w:t>
            </w:r>
            <w:r>
              <w:rPr>
                <w:rFonts w:hint="default" w:ascii="Times New Roman" w:hAnsi="Times New Roman" w:eastAsia="宋体" w:cs="Times New Roman"/>
                <w:color w:val="000000"/>
                <w:spacing w:val="0"/>
                <w:w w:val="100"/>
                <w:position w:val="0"/>
                <w:sz w:val="24"/>
                <w:szCs w:val="24"/>
              </w:rPr>
              <w:t>秦皇岛市生态环境保护委员会办公室</w:t>
            </w:r>
            <w:r>
              <w:rPr>
                <w:rFonts w:hint="default" w:ascii="Times New Roman" w:hAnsi="Times New Roman" w:cs="Times New Roman"/>
                <w:bCs/>
                <w:color w:val="000000"/>
                <w:spacing w:val="0"/>
                <w:w w:val="100"/>
                <w:position w:val="0"/>
                <w:sz w:val="24"/>
              </w:rPr>
              <w:t>《关于202</w:t>
            </w:r>
            <w:r>
              <w:rPr>
                <w:rFonts w:hint="default" w:ascii="Times New Roman" w:hAnsi="Times New Roman" w:cs="Times New Roman"/>
                <w:bCs/>
                <w:color w:val="000000"/>
                <w:spacing w:val="0"/>
                <w:w w:val="100"/>
                <w:position w:val="0"/>
                <w:sz w:val="24"/>
                <w:lang w:val="en-US" w:eastAsia="zh-CN"/>
              </w:rPr>
              <w:t>4</w:t>
            </w:r>
            <w:r>
              <w:rPr>
                <w:rFonts w:hint="default" w:ascii="Times New Roman" w:hAnsi="Times New Roman" w:cs="Times New Roman"/>
                <w:bCs/>
                <w:color w:val="000000"/>
                <w:spacing w:val="0"/>
                <w:w w:val="100"/>
                <w:position w:val="0"/>
                <w:sz w:val="24"/>
              </w:rPr>
              <w:t>年1</w:t>
            </w:r>
            <w:r>
              <w:rPr>
                <w:rFonts w:hint="default" w:ascii="Times New Roman" w:hAnsi="Times New Roman" w:cs="Times New Roman"/>
                <w:bCs/>
                <w:color w:val="000000"/>
                <w:spacing w:val="0"/>
                <w:w w:val="100"/>
                <w:position w:val="0"/>
                <w:sz w:val="24"/>
                <w:lang w:val="en-US" w:eastAsia="zh-CN"/>
              </w:rPr>
              <w:t>0</w:t>
            </w:r>
            <w:r>
              <w:rPr>
                <w:rFonts w:hint="default" w:ascii="Times New Roman" w:hAnsi="Times New Roman" w:cs="Times New Roman"/>
                <w:bCs/>
                <w:color w:val="000000"/>
                <w:spacing w:val="0"/>
                <w:w w:val="100"/>
                <w:position w:val="0"/>
                <w:sz w:val="24"/>
              </w:rPr>
              <w:t>月份环境空气质量情况的通报》（秦生态委办气〔2024〕31号）中附件2《2024年1-10月份各县区空气质量综合指数排名及各项污染物指标变化情况》</w:t>
            </w:r>
            <w:r>
              <w:rPr>
                <w:rFonts w:hint="default" w:ascii="Times New Roman" w:hAnsi="Times New Roman" w:eastAsia="宋体" w:cs="Times New Roman"/>
                <w:bCs/>
                <w:color w:val="000000"/>
                <w:sz w:val="24"/>
                <w:szCs w:val="24"/>
                <w:highlight w:val="none"/>
              </w:rPr>
              <w:t>中相关数据，202</w:t>
            </w:r>
            <w:r>
              <w:rPr>
                <w:rFonts w:hint="default" w:ascii="Times New Roman" w:hAnsi="Times New Roman" w:cs="Times New Roman"/>
                <w:bCs/>
                <w:color w:val="000000"/>
                <w:sz w:val="24"/>
                <w:szCs w:val="24"/>
                <w:highlight w:val="none"/>
                <w:lang w:val="en-US" w:eastAsia="zh-CN"/>
              </w:rPr>
              <w:t>4</w:t>
            </w:r>
            <w:r>
              <w:rPr>
                <w:rFonts w:hint="default" w:ascii="Times New Roman" w:hAnsi="Times New Roman" w:eastAsia="宋体" w:cs="Times New Roman"/>
                <w:bCs/>
                <w:color w:val="000000"/>
                <w:sz w:val="24"/>
                <w:szCs w:val="24"/>
                <w:highlight w:val="none"/>
              </w:rPr>
              <w:t>年抚宁区臭氧（O</w:t>
            </w:r>
            <w:r>
              <w:rPr>
                <w:rFonts w:hint="default" w:ascii="Times New Roman" w:hAnsi="Times New Roman" w:eastAsia="宋体" w:cs="Times New Roman"/>
                <w:bCs/>
                <w:color w:val="000000"/>
                <w:sz w:val="24"/>
                <w:szCs w:val="24"/>
                <w:highlight w:val="none"/>
                <w:vertAlign w:val="subscript"/>
              </w:rPr>
              <w:t>3</w:t>
            </w:r>
            <w:r>
              <w:rPr>
                <w:rFonts w:hint="default" w:ascii="Times New Roman" w:hAnsi="Times New Roman" w:eastAsia="宋体" w:cs="Times New Roman"/>
                <w:bCs/>
                <w:color w:val="000000"/>
                <w:sz w:val="24"/>
                <w:szCs w:val="24"/>
                <w:highlight w:val="none"/>
              </w:rPr>
              <w:t>）浓度不达标，其他指标均达到《环境空气质量标准》(GB3095-2012)二级标准要求，项目所在区域环境空气质量属于不达标区。项目所在区域声环境满足《声环境质量标准》3类标准要求。根据工程分析，项目各产污环节采取了完善的污染防治措施，各类污染物均能够实现达标排放，在严格落实废气、噪声、固废等污染防治措施的前提下，项目的实施不会对周围环境产生明显影响。本项目的建设运行不会突破项目所在地的环境质量底线，因此项目符合环境质量底线要求。</w:t>
            </w:r>
          </w:p>
          <w:p>
            <w:pPr>
              <w:keepNext w:val="0"/>
              <w:keepLines w:val="0"/>
              <w:pageBreakBefore w:val="0"/>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bCs/>
                <w:color w:val="000000"/>
                <w:sz w:val="24"/>
                <w:szCs w:val="24"/>
                <w:highlight w:val="none"/>
              </w:rPr>
            </w:pPr>
            <w:r>
              <w:rPr>
                <w:rFonts w:hint="default" w:ascii="Times New Roman" w:hAnsi="Times New Roman" w:eastAsia="宋体" w:cs="Times New Roman"/>
                <w:bCs/>
                <w:color w:val="000000"/>
                <w:sz w:val="24"/>
                <w:szCs w:val="24"/>
                <w:highlight w:val="none"/>
              </w:rPr>
              <w:t>③资源利用上线</w:t>
            </w:r>
          </w:p>
          <w:p>
            <w:pPr>
              <w:pStyle w:val="82"/>
              <w:keepNext w:val="0"/>
              <w:keepLines w:val="0"/>
              <w:pageBreakBefore w:val="0"/>
              <w:kinsoku/>
              <w:wordWrap/>
              <w:overflowPunct/>
              <w:topLinePunct w:val="0"/>
              <w:autoSpaceDE/>
              <w:autoSpaceDN/>
              <w:bidi w:val="0"/>
              <w:spacing w:line="480" w:lineRule="exact"/>
              <w:ind w:right="0" w:firstLine="480" w:firstLineChars="200"/>
              <w:jc w:val="both"/>
              <w:rPr>
                <w:rFonts w:hint="default" w:ascii="Times New Roman" w:hAnsi="Times New Roman" w:eastAsia="宋体" w:cs="Times New Roman"/>
                <w:color w:val="000000"/>
                <w:sz w:val="24"/>
                <w:szCs w:val="24"/>
                <w:highlight w:val="none"/>
                <w:shd w:val="clear" w:color="auto" w:fill="auto"/>
                <w:lang w:val="en-US" w:eastAsia="zh-CN"/>
              </w:rPr>
            </w:pPr>
            <w:r>
              <w:rPr>
                <w:rFonts w:hint="default" w:ascii="Times New Roman" w:hAnsi="Times New Roman" w:eastAsia="宋体" w:cs="Times New Roman"/>
                <w:color w:val="000000"/>
                <w:sz w:val="24"/>
                <w:szCs w:val="24"/>
                <w:highlight w:val="none"/>
                <w:shd w:val="clear" w:color="auto" w:fill="auto"/>
                <w:lang w:val="en-US" w:eastAsia="zh-CN"/>
              </w:rPr>
              <w:t>资源是环境的载体，资源利用上线是各地区能源、水、土地等资源消耗不得突破的“天花板”。相关规划环评应根据有关资源利用上线，对规划实施以及规划内项目的资源开发利用，区分不同行业，从能源资源开发等量或减量替代、开采方式和规模控制、利用效率和保护措施等方面提出建议，为规划编制和审批决策提供重要依据。</w:t>
            </w:r>
          </w:p>
          <w:p>
            <w:pPr>
              <w:pStyle w:val="82"/>
              <w:keepNext w:val="0"/>
              <w:keepLines w:val="0"/>
              <w:pageBreakBefore w:val="0"/>
              <w:kinsoku/>
              <w:wordWrap/>
              <w:overflowPunct/>
              <w:topLinePunct w:val="0"/>
              <w:autoSpaceDE/>
              <w:autoSpaceDN/>
              <w:bidi w:val="0"/>
              <w:spacing w:line="480" w:lineRule="exact"/>
              <w:ind w:right="0" w:firstLine="480" w:firstLineChars="200"/>
              <w:jc w:val="both"/>
              <w:rPr>
                <w:rFonts w:hint="default" w:ascii="Times New Roman" w:hAnsi="Times New Roman" w:eastAsia="宋体" w:cs="Times New Roman"/>
                <w:color w:val="000000" w:themeColor="text1"/>
                <w:sz w:val="24"/>
                <w:szCs w:val="24"/>
                <w:highlight w:val="none"/>
                <w:shd w:val="clear" w:color="auto" w:fill="auto"/>
                <w:lang w:val="en-US"/>
                <w14:textFill>
                  <w14:solidFill>
                    <w14:schemeClr w14:val="tx1"/>
                  </w14:solidFill>
                </w14:textFill>
              </w:rPr>
            </w:pPr>
            <w:r>
              <w:rPr>
                <w:rFonts w:hint="default" w:ascii="Times New Roman" w:hAnsi="Times New Roman" w:eastAsia="宋体" w:cs="Times New Roman"/>
                <w:color w:val="000000" w:themeColor="text1"/>
                <w:sz w:val="24"/>
                <w:szCs w:val="24"/>
                <w:highlight w:val="none"/>
                <w:shd w:val="clear" w:color="auto" w:fill="auto"/>
                <w:lang w:val="en-US" w:eastAsia="zh-CN"/>
                <w14:textFill>
                  <w14:solidFill>
                    <w14:schemeClr w14:val="tx1"/>
                  </w14:solidFill>
                </w14:textFill>
              </w:rPr>
              <w:t>本项目生产用水</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和生活用水总量为4500t/a，项目不使用高能耗工艺及生产设备，用电量约60万kWh/a，不超出区域资源利用上线，符合资源利用上线要求</w:t>
            </w:r>
            <w:r>
              <w:rPr>
                <w:rStyle w:val="81"/>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keepNext w:val="0"/>
              <w:keepLines w:val="0"/>
              <w:pageBreakBefore w:val="0"/>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bCs/>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根据《秦皇岛市抚宁区人民政府 区政府2025年第一次项目准入会议纪要》（抚政纪【2025】1号）同意本项目选址于抚宁经济开发区北区三抚路和环城北路交叉口西北侧，</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项目位于河北抚宁经济开发区园区内，</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不会突破区域土地资源利用上线要求。</w:t>
            </w:r>
          </w:p>
          <w:p>
            <w:pPr>
              <w:pStyle w:val="82"/>
              <w:keepNext w:val="0"/>
              <w:keepLines w:val="0"/>
              <w:pageBreakBefore w:val="0"/>
              <w:kinsoku/>
              <w:wordWrap/>
              <w:overflowPunct/>
              <w:topLinePunct w:val="0"/>
              <w:autoSpaceDE/>
              <w:autoSpaceDN/>
              <w:bidi w:val="0"/>
              <w:spacing w:line="480" w:lineRule="exact"/>
              <w:ind w:right="0" w:firstLine="480" w:firstLineChars="200"/>
              <w:jc w:val="both"/>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④环境准入负面清单</w:t>
            </w:r>
          </w:p>
          <w:p>
            <w:pPr>
              <w:keepNext w:val="0"/>
              <w:keepLines w:val="0"/>
              <w:pageBreakBefore w:val="0"/>
              <w:kinsoku/>
              <w:wordWrap/>
              <w:overflowPunct/>
              <w:topLinePunct w:val="0"/>
              <w:autoSpaceDE/>
              <w:autoSpaceDN/>
              <w:bidi w:val="0"/>
              <w:snapToGrid w:val="0"/>
              <w:spacing w:line="480" w:lineRule="exact"/>
              <w:ind w:right="0" w:firstLine="482"/>
              <w:jc w:val="both"/>
              <w:textAlignment w:val="baseline"/>
              <w:rPr>
                <w:rStyle w:val="81"/>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根据相关产业政策进行环境准入分析</w:t>
            </w:r>
            <w:r>
              <w:rPr>
                <w:rFonts w:hint="default" w:ascii="Times New Roman" w:hAnsi="Times New Roman" w:cs="Times New Roman"/>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本项目国民经济行业类别为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C3491工业机器人制造、C3492特殊作业机器人制造、C3964服务消费机器人制造、C3973集成电路制造，</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根据</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《产业结构调整指导目录（2024年本）》</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，本项目</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属于其中</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“鼓励类”项目中四十七:1、机器人及集成系统</w:t>
            </w:r>
            <w:r>
              <w:rPr>
                <w:rFonts w:hint="default" w:ascii="Times New Roman" w:hAnsi="Times New Roman" w:eastAsia="宋体" w:cs="Times New Roman"/>
                <w:color w:val="000000" w:themeColor="text1"/>
                <w:sz w:val="24"/>
                <w:szCs w:val="24"/>
                <w:highlight w:val="none"/>
                <w14:textFill>
                  <w14:solidFill>
                    <w14:schemeClr w14:val="tx1"/>
                  </w14:solidFill>
                </w14:textFill>
              </w:rPr>
              <w:t>；不属于《环境保护综合名录（2021年版）》高污染、高环境风险项目</w:t>
            </w:r>
            <w:r>
              <w:rPr>
                <w:rFonts w:hint="default" w:ascii="Times New Roman" w:hAnsi="Times New Roman" w:cs="Times New Roman"/>
                <w:color w:val="000000" w:themeColor="text1"/>
                <w:sz w:val="24"/>
                <w:szCs w:val="24"/>
                <w:highlight w:val="none"/>
                <w:lang w:eastAsia="zh-CN"/>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未列入《市场准入负面清单（2025年版）（发改体改规〔2025〕466号》</w:t>
            </w:r>
            <w:r>
              <w:rPr>
                <w:rStyle w:val="81"/>
                <w:rFonts w:hint="default" w:ascii="Times New Roman" w:hAnsi="Times New Roman" w:eastAsia="宋体" w:cs="Times New Roman"/>
                <w:color w:val="000000" w:themeColor="text1"/>
                <w:sz w:val="24"/>
                <w:szCs w:val="24"/>
                <w:highlight w:val="none"/>
                <w14:textFill>
                  <w14:solidFill>
                    <w14:schemeClr w14:val="tx1"/>
                  </w14:solidFill>
                </w14:textFill>
              </w:rPr>
              <w:t>，符合国家</w:t>
            </w:r>
            <w:r>
              <w:rPr>
                <w:rStyle w:val="81"/>
                <w:rFonts w:hint="default" w:ascii="Times New Roman" w:hAnsi="Times New Roman" w:cs="Times New Roman"/>
                <w:color w:val="000000" w:themeColor="text1"/>
                <w:sz w:val="24"/>
                <w:szCs w:val="24"/>
                <w:highlight w:val="none"/>
                <w:lang w:val="en-US" w:eastAsia="zh-CN"/>
                <w14:textFill>
                  <w14:solidFill>
                    <w14:schemeClr w14:val="tx1"/>
                  </w14:solidFill>
                </w14:textFill>
              </w:rPr>
              <w:t>及地方</w:t>
            </w:r>
            <w:r>
              <w:rPr>
                <w:rStyle w:val="81"/>
                <w:rFonts w:hint="default" w:ascii="Times New Roman" w:hAnsi="Times New Roman" w:eastAsia="宋体" w:cs="Times New Roman"/>
                <w:color w:val="000000" w:themeColor="text1"/>
                <w:sz w:val="24"/>
                <w:szCs w:val="24"/>
                <w:highlight w:val="none"/>
                <w14:textFill>
                  <w14:solidFill>
                    <w14:schemeClr w14:val="tx1"/>
                  </w14:solidFill>
                </w14:textFill>
              </w:rPr>
              <w:t>现行产业政策。</w:t>
            </w:r>
          </w:p>
          <w:p>
            <w:pPr>
              <w:keepNext w:val="0"/>
              <w:keepLines w:val="0"/>
              <w:pageBreakBefore w:val="0"/>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bCs/>
                <w:color w:val="000000"/>
                <w:sz w:val="24"/>
                <w:szCs w:val="24"/>
                <w:highlight w:val="none"/>
              </w:rPr>
            </w:pPr>
            <w:r>
              <w:rPr>
                <w:rStyle w:val="81"/>
                <w:rFonts w:hint="default" w:ascii="Times New Roman" w:hAnsi="Times New Roman" w:eastAsia="宋体" w:cs="Times New Roman"/>
                <w:color w:val="000000"/>
                <w:sz w:val="24"/>
                <w:szCs w:val="24"/>
                <w:highlight w:val="none"/>
              </w:rPr>
              <w:t>本项目不违背环境准入负面清单及相关文件的要求</w:t>
            </w:r>
            <w:r>
              <w:rPr>
                <w:rFonts w:hint="default" w:ascii="Times New Roman" w:hAnsi="Times New Roman" w:eastAsia="宋体" w:cs="Times New Roman"/>
                <w:bCs/>
                <w:color w:val="000000"/>
                <w:sz w:val="24"/>
                <w:szCs w:val="24"/>
                <w:highlight w:val="none"/>
              </w:rPr>
              <w:t>。</w:t>
            </w:r>
          </w:p>
          <w:p>
            <w:pPr>
              <w:keepNext w:val="0"/>
              <w:keepLines w:val="0"/>
              <w:pageBreakBefore w:val="0"/>
              <w:kinsoku/>
              <w:wordWrap/>
              <w:overflowPunct/>
              <w:topLinePunct w:val="0"/>
              <w:autoSpaceDE/>
              <w:autoSpaceDN/>
              <w:bidi w:val="0"/>
              <w:spacing w:line="480" w:lineRule="exact"/>
              <w:ind w:firstLine="482" w:firstLineChars="200"/>
              <w:jc w:val="both"/>
              <w:textAlignment w:val="auto"/>
              <w:rPr>
                <w:rStyle w:val="38"/>
                <w:rFonts w:hint="default" w:ascii="Times New Roman" w:hAnsi="Times New Roman" w:eastAsia="宋体" w:cs="Times New Roman"/>
                <w:b/>
                <w:bCs/>
                <w:color w:val="000000"/>
                <w:kern w:val="0"/>
                <w:sz w:val="24"/>
                <w:szCs w:val="24"/>
                <w:highlight w:val="none"/>
              </w:rPr>
            </w:pPr>
            <w:r>
              <w:rPr>
                <w:rFonts w:hint="default" w:ascii="Times New Roman" w:hAnsi="Times New Roman" w:eastAsia="宋体" w:cs="Times New Roman"/>
                <w:b/>
                <w:bCs/>
                <w:color w:val="000000"/>
                <w:sz w:val="24"/>
                <w:szCs w:val="24"/>
                <w:highlight w:val="none"/>
                <w:lang w:val="en-US" w:eastAsia="zh-CN"/>
              </w:rPr>
              <w:t>4、</w:t>
            </w:r>
            <w:r>
              <w:rPr>
                <w:rFonts w:hint="default" w:ascii="Times New Roman" w:hAnsi="Times New Roman" w:eastAsia="宋体" w:cs="Times New Roman"/>
                <w:b/>
                <w:bCs/>
                <w:color w:val="000000"/>
                <w:sz w:val="24"/>
                <w:szCs w:val="24"/>
                <w:highlight w:val="none"/>
              </w:rPr>
              <w:t>本项目与</w:t>
            </w:r>
            <w:r>
              <w:rPr>
                <w:rFonts w:hint="default" w:ascii="Times New Roman" w:hAnsi="Times New Roman" w:eastAsia="宋体" w:cs="Times New Roman"/>
                <w:b/>
                <w:bCs/>
                <w:color w:val="000000"/>
                <w:sz w:val="24"/>
                <w:szCs w:val="24"/>
                <w:highlight w:val="none"/>
                <w:lang w:val="en-US" w:eastAsia="zh-CN"/>
              </w:rPr>
              <w:t>秦皇岛市人民政府办公室关于印发《秦皇岛市生态环境准入清单（2023</w:t>
            </w:r>
            <w:r>
              <w:rPr>
                <w:rFonts w:hint="default" w:ascii="Times New Roman" w:hAnsi="Times New Roman" w:cs="Times New Roman"/>
                <w:b/>
                <w:bCs/>
                <w:color w:val="000000"/>
                <w:sz w:val="24"/>
                <w:szCs w:val="24"/>
                <w:highlight w:val="none"/>
                <w:lang w:val="en-US" w:eastAsia="zh-CN"/>
              </w:rPr>
              <w:t>版</w:t>
            </w:r>
            <w:r>
              <w:rPr>
                <w:rFonts w:hint="default" w:ascii="Times New Roman" w:hAnsi="Times New Roman" w:eastAsia="宋体" w:cs="Times New Roman"/>
                <w:b/>
                <w:bCs/>
                <w:color w:val="000000"/>
                <w:sz w:val="24"/>
                <w:szCs w:val="24"/>
                <w:highlight w:val="none"/>
                <w:lang w:val="en-US" w:eastAsia="zh-CN"/>
              </w:rPr>
              <w:t>）》</w:t>
            </w:r>
            <w:r>
              <w:rPr>
                <w:rFonts w:hint="default" w:ascii="Times New Roman" w:hAnsi="Times New Roman" w:eastAsia="宋体" w:cs="Times New Roman"/>
                <w:b/>
                <w:bCs/>
                <w:color w:val="000000"/>
                <w:sz w:val="24"/>
                <w:szCs w:val="24"/>
                <w:highlight w:val="none"/>
              </w:rPr>
              <w:t>文件的符合性分析</w:t>
            </w:r>
          </w:p>
          <w:p>
            <w:pPr>
              <w:pStyle w:val="82"/>
              <w:keepNext w:val="0"/>
              <w:keepLines w:val="0"/>
              <w:pageBreakBefore w:val="0"/>
              <w:kinsoku/>
              <w:wordWrap/>
              <w:overflowPunct/>
              <w:topLinePunct w:val="0"/>
              <w:autoSpaceDE/>
              <w:autoSpaceDN/>
              <w:bidi w:val="0"/>
              <w:spacing w:line="480" w:lineRule="exact"/>
              <w:ind w:right="0" w:firstLine="480" w:firstLineChars="200"/>
              <w:jc w:val="both"/>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sz w:val="24"/>
                <w:szCs w:val="24"/>
                <w:highlight w:val="none"/>
              </w:rPr>
              <w:t>环境管控单元包括优先保护、重点管控和一般管控单元三类。全市共划定89个陆域环境综合管控单元，其中优先保护单元44个，占全市陆域面积的55.32%，重点管控单元40个，占全市陆域面积的19.44%，一般管控单元5个，占全市陆域面积的25.24%。全市共划定26个海洋环境管控单元，其中优先保护单元13个，占全市海洋面积的48.93%，重点管控单元5个，占全市海洋面积</w:t>
            </w:r>
            <w:r>
              <w:rPr>
                <w:rFonts w:hint="default" w:ascii="Times New Roman" w:hAnsi="Times New Roman" w:eastAsia="宋体" w:cs="Times New Roman"/>
                <w:color w:val="000000" w:themeColor="text1"/>
                <w:sz w:val="24"/>
                <w:szCs w:val="24"/>
                <w:highlight w:val="none"/>
                <w14:textFill>
                  <w14:solidFill>
                    <w14:schemeClr w14:val="tx1"/>
                  </w14:solidFill>
                </w14:textFill>
              </w:rPr>
              <w:t>的29.10%；一般管控单元8个，占全市海洋面积的21.97%。</w:t>
            </w:r>
          </w:p>
          <w:p>
            <w:pPr>
              <w:keepNext w:val="0"/>
              <w:keepLines w:val="0"/>
              <w:pageBreakBefore w:val="0"/>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本项目位于</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抚宁经济开发区北区三抚路西侧，环城北路北侧</w:t>
            </w:r>
            <w:r>
              <w:rPr>
                <w:rFonts w:hint="default" w:ascii="Times New Roman" w:hAnsi="Times New Roman" w:eastAsia="宋体" w:cs="Times New Roman"/>
                <w:color w:val="000000" w:themeColor="text1"/>
                <w:sz w:val="24"/>
                <w:szCs w:val="24"/>
                <w:highlight w:val="none"/>
                <w14:textFill>
                  <w14:solidFill>
                    <w14:schemeClr w14:val="tx1"/>
                  </w14:solidFill>
                </w14:textFill>
              </w:rPr>
              <w:t>，属于</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秦皇岛市人民政府办公室关于印发《秦皇岛市生态环境准入清单（2023</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版</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14:textFill>
                  <w14:solidFill>
                    <w14:schemeClr w14:val="tx1"/>
                  </w14:solidFill>
                </w14:textFill>
              </w:rPr>
              <w:t>中的重点管控单元</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14:textFill>
                  <w14:solidFill>
                    <w14:schemeClr w14:val="tx1"/>
                  </w14:solidFill>
                </w14:textFill>
              </w:rPr>
              <w:t>ZH13030620058</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14:textFill>
                  <w14:solidFill>
                    <w14:schemeClr w14:val="tx1"/>
                  </w14:solidFill>
                </w14:textFill>
              </w:rPr>
              <w:t>。</w:t>
            </w:r>
          </w:p>
          <w:p>
            <w:pPr>
              <w:spacing w:line="480" w:lineRule="exact"/>
              <w:jc w:val="center"/>
              <w:rPr>
                <w:rFonts w:hint="default" w:ascii="Times New Roman" w:hAnsi="Times New Roman" w:eastAsia="宋体" w:cs="Times New Roman"/>
                <w:b/>
                <w:bCs/>
                <w:sz w:val="24"/>
              </w:rPr>
            </w:pPr>
            <w:r>
              <w:rPr>
                <w:rFonts w:hint="default" w:ascii="Times New Roman" w:hAnsi="Times New Roman" w:eastAsia="宋体" w:cs="Times New Roman"/>
                <w:b/>
                <w:bCs/>
                <w:color w:val="000000"/>
                <w:sz w:val="24"/>
                <w:szCs w:val="24"/>
                <w:highlight w:val="none"/>
              </w:rPr>
              <w:t>表</w:t>
            </w:r>
            <w:r>
              <w:rPr>
                <w:rFonts w:hint="default" w:ascii="Times New Roman" w:hAnsi="Times New Roman" w:eastAsia="宋体" w:cs="Times New Roman"/>
                <w:b/>
                <w:bCs/>
                <w:color w:val="000000"/>
                <w:sz w:val="24"/>
                <w:szCs w:val="24"/>
                <w:highlight w:val="none"/>
                <w:lang w:val="en-US" w:eastAsia="zh-CN"/>
              </w:rPr>
              <w:t xml:space="preserve">1-3 </w:t>
            </w:r>
            <w:r>
              <w:rPr>
                <w:rFonts w:hint="default" w:ascii="Times New Roman" w:hAnsi="Times New Roman" w:eastAsia="宋体" w:cs="Times New Roman"/>
                <w:b/>
                <w:bCs/>
                <w:color w:val="000000"/>
                <w:sz w:val="24"/>
                <w:szCs w:val="24"/>
                <w:highlight w:val="none"/>
              </w:rPr>
              <w:t>本项目与</w:t>
            </w:r>
            <w:r>
              <w:rPr>
                <w:rFonts w:hint="default" w:ascii="Times New Roman" w:hAnsi="Times New Roman" w:eastAsia="宋体" w:cs="Times New Roman"/>
                <w:b/>
                <w:bCs/>
                <w:sz w:val="24"/>
              </w:rPr>
              <w:t>秦皇岛市生态环境准入清单（2023</w:t>
            </w:r>
            <w:r>
              <w:rPr>
                <w:rFonts w:hint="default" w:ascii="Times New Roman" w:hAnsi="Times New Roman" w:eastAsia="宋体" w:cs="Times New Roman"/>
                <w:b/>
                <w:bCs/>
                <w:sz w:val="24"/>
                <w:lang w:val="en-US" w:eastAsia="zh-CN"/>
              </w:rPr>
              <w:t>版</w:t>
            </w:r>
            <w:r>
              <w:rPr>
                <w:rFonts w:hint="default" w:ascii="Times New Roman" w:hAnsi="Times New Roman" w:eastAsia="宋体" w:cs="Times New Roman"/>
                <w:b/>
                <w:bCs/>
                <w:sz w:val="24"/>
              </w:rPr>
              <w:t>）总体准入要求相符性分析一览表</w:t>
            </w:r>
          </w:p>
          <w:tbl>
            <w:tblPr>
              <w:tblStyle w:val="9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4257"/>
              <w:gridCol w:w="2288"/>
              <w:gridCol w:w="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管控类型</w:t>
                  </w:r>
                </w:p>
              </w:tc>
              <w:tc>
                <w:tcPr>
                  <w:tcW w:w="2691"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管控要求</w:t>
                  </w:r>
                </w:p>
              </w:tc>
              <w:tc>
                <w:tcPr>
                  <w:tcW w:w="1445"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技改工程情况</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vMerge w:val="restar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空间布局约束</w:t>
                  </w:r>
                </w:p>
              </w:tc>
              <w:tc>
                <w:tcPr>
                  <w:tcW w:w="2691"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生态空间总体准入要求∶1.生态保护红线严格落实《自然资源部生态环境部国家林业和草原局关于加强生态保护红线管理的通知》(试行)(自然资发[2022〕142号)中相关准入要求。2.一般生态空间中自然保护区、风景名胜区、森林公园、湿地公园等，均参照相关管理条例进行管控。3.其他一般生态空间，位于全国重点生态功能区参照《重点生态功能区产业准入负面清单编制实施办法》，重点生态功能区以外的，参考《全国生态功能区划（修编版）》相关生态区域的生态功能定位进行管理。</w:t>
                  </w:r>
                </w:p>
              </w:tc>
              <w:tc>
                <w:tcPr>
                  <w:tcW w:w="1445"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w:t>
                  </w:r>
                  <w:r>
                    <w:rPr>
                      <w:rFonts w:hint="default" w:ascii="Times New Roman" w:hAnsi="Times New Roman" w:eastAsia="宋体" w:cs="Times New Roman"/>
                      <w:color w:val="000000" w:themeColor="text1"/>
                      <w:sz w:val="21"/>
                      <w:szCs w:val="21"/>
                      <w14:textFill>
                        <w14:solidFill>
                          <w14:schemeClr w14:val="tx1"/>
                        </w14:solidFill>
                      </w14:textFill>
                    </w:rPr>
                    <w:t>位于抚宁经济开发区北区三抚路西侧，环城北路北侧，属于重点管控单元，编号为ZH13030620058，不涉及生态环境空间。</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vMerge w:val="continue"/>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p>
              </w:tc>
              <w:tc>
                <w:tcPr>
                  <w:tcW w:w="2691"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行业总体准入要求：1.有色金属、电镀、制革行业实施清洁化改造，制革行业实施铬减量化或封闭循环利用技术改造。对整改后仍不能稳定达标的企业，依法责令停产、关闭。坚决关闭铅锌冶炼行业的烧结机-鼓风炉炼铅工艺等不符合国家产业政策的落后生产工艺装备，依法全面取缔不符合国家产业政策的制革、电镀等行业生产项目。2.以钢铁、水泥、平板玻璃、焦化、化工、制药等行业为重点，加快城市建成区重点污染工业企业环保升级改造，达不到排放要求的实施搬迁改造或关闭退出；其他不适宜在主城区发展的工业企业，根据实际纳入退城搬迁范围。对主城区（不含开发区）的重点污染工业企业，除必须依托城市或直接服务于城市的企业外，均应尽快启动退城搬迁；对县城和主要城镇建成区的重点污染工业企业，具备条件的要实施退城搬迁。通过工业企业退城进园搬迁改造，调整工业布局，将城市建成区及周边企业逐步向符合接纳条件的开发区搬迁，在搬迁的同时，通过技术改造提高工艺和污染治理水平。3.新、改、扩建的服装干洗店使用具有净化回收干洗溶剂功能的全封闭式干洗机，逐步淘汰开启式干洗机；建筑装饰行业使用低（无）挥发性的建筑涂料、木器涂料、胶粘剂等产品，淘汰溶剂型涂料，建筑内外墙涂饰全面推广使用水性涂料。4.新建、改建、扩建“两高”项目建设要符合生态环境保护法律法规和相关法定规划，满足重点污染物排放总量控制、碳排放达峰目标、生态环境准入清单、相关规划环评和相应行业建设项目环境准入条件、环评文件审批原则要求，并采取有效区域污染物削减措施。石化、现代煤化工项目应纳入国家产业规划，新建扩建焦化、石化、化工、有色金属冶炼、平板玻璃项目应布设在依法合规设立并经规划环评的产业园区。新建耗煤项目严格执行用煤投资项目煤炭替代政策。新增主要污染物排放“两高”项目，所在区域、流域控制单元环境质量未达到国家或者地方环境质量标准的，建设项目应提出有效的区域削减方案，主要污染物实行区域倍量削减，确保项目投产后区域环境质量有改善。5.集聚区内工业企业废水预处理达到国家规定的间接排放标准方可排入污水集中处理设施；新建涉水工业项目须入园进区（生产废水排放满足所排水体的地表水环境质量标准、或槽车运至城市污水处理厂的除外）；全面摸底排查园区外涉水工业企业，确定入园时间表；确因不具备入园条件需原地保留涉水工业企业，须明确保留条件，实施尾水深度治理，排放废水主要污染物浓度必须达到受纳水体环境功能区标准，否则一律关停取缔。6.建立新建项目审批与淘汰落后产能、污染减排相结合的机制，对不符合产业要求，没有明确排水去向的项目，一律不予审批。7.全市海域内禁止新建海上人工岛项目。8.相关准入要求根据目前正在进行的生态保护红线结果（批复版）及国土空间规划（批复版）进行调整更新。9.园区、饮用水源地等因规划调整导致的属性变更，应按照相关要求进行报审，批复后在下一次更新调整时酌情采纳。</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1.2.本项目为机器人及集成系统</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制造项目</w:t>
                  </w:r>
                  <w:r>
                    <w:rPr>
                      <w:rFonts w:hint="default" w:ascii="Times New Roman" w:hAnsi="Times New Roman" w:eastAsia="宋体" w:cs="Times New Roman"/>
                      <w:color w:val="000000" w:themeColor="text1"/>
                      <w:sz w:val="21"/>
                      <w:szCs w:val="21"/>
                      <w14:textFill>
                        <w14:solidFill>
                          <w14:schemeClr w14:val="tx1"/>
                        </w14:solidFill>
                      </w14:textFill>
                    </w:rPr>
                    <w:t>，符合产业政策要求；</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3.本项目</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不涉及</w:t>
                  </w:r>
                  <w:r>
                    <w:rPr>
                      <w:rFonts w:hint="default" w:ascii="Times New Roman" w:hAnsi="Times New Roman" w:eastAsia="宋体" w:cs="Times New Roman"/>
                      <w:color w:val="000000" w:themeColor="text1"/>
                      <w:sz w:val="21"/>
                      <w:szCs w:val="21"/>
                      <w14:textFill>
                        <w14:solidFill>
                          <w14:schemeClr w14:val="tx1"/>
                        </w14:solidFill>
                      </w14:textFill>
                    </w:rPr>
                    <w:t>；</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4.本项目不涉及；</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5.本项目软水制备产生浓水用于厂区泼洒抑尘；食堂废水经隔油池+化粪池出来、员工生活</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污</w:t>
                  </w:r>
                  <w:r>
                    <w:rPr>
                      <w:rFonts w:hint="default" w:ascii="Times New Roman" w:hAnsi="Times New Roman" w:eastAsia="宋体" w:cs="Times New Roman"/>
                      <w:color w:val="000000" w:themeColor="text1"/>
                      <w:sz w:val="21"/>
                      <w:szCs w:val="21"/>
                      <w14:textFill>
                        <w14:solidFill>
                          <w14:schemeClr w14:val="tx1"/>
                        </w14:solidFill>
                      </w14:textFill>
                    </w:rPr>
                    <w:t>水经化粪池处理后，一起排入园区污水管网进入抚宁污水处理厂进一步处理；</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6.本项目不涉及；</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7.本项目不涉及；</w:t>
                  </w:r>
                </w:p>
                <w:p>
                  <w:pPr>
                    <w:pStyle w:val="91"/>
                    <w:spacing w:before="0" w:after="0" w:line="360" w:lineRule="exact"/>
                    <w:jc w:val="left"/>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8.本项目不涉及</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p>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9.</w:t>
                  </w:r>
                  <w:r>
                    <w:rPr>
                      <w:rFonts w:hint="default" w:ascii="Times New Roman" w:hAnsi="Times New Roman" w:eastAsia="宋体" w:cs="Times New Roman"/>
                      <w:color w:val="000000" w:themeColor="text1"/>
                      <w:sz w:val="21"/>
                      <w:szCs w:val="21"/>
                      <w14:textFill>
                        <w14:solidFill>
                          <w14:schemeClr w14:val="tx1"/>
                        </w14:solidFill>
                      </w14:textFill>
                    </w:rPr>
                    <w:t>本项目不涉及。</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污染物排放管控</w:t>
                  </w:r>
                </w:p>
              </w:tc>
              <w:tc>
                <w:tcPr>
                  <w:tcW w:w="2691"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大气污染管控：1.协同开展PM2.5与臭氧污染防治。制定加强PM2.5和臭氧协同控制持续改善空气质量行动方案，通过氮氧化物与VOCs的协同控制，推动全市PM2.5和臭氧浓度持续下降。加强重点时段、重点领域、重点行业治理，强化差异化、精细化协同管控。开展臭氧形成机理研究与源解析，对活性较强的前体物建立排放清单，实施重点管控。协同控制VOCs及氮氧化物排放。到2025年，氮氧化物、VOCs工程减排量分别达到7500吨和2800吨。水污染管控：1.2025年，基本完成全市主要河流干流及重要支流入河排污口整治，基本实现城市建成区污水“零直排”，黑臭水体动态随清。工厂化养殖排水全部经处理后排放，实现港口污水综合处理率100%，港区码头固体废物分类收集贮存或无害化处理率100%。地表水达到或好于Ⅲ类水体比例达80%，主要入海河流水质达Ⅲ类，近岸海域水质达标率稳定保持100%。主要海水浴场年度水质优良比例达到100%。</w:t>
                  </w:r>
                </w:p>
              </w:tc>
              <w:tc>
                <w:tcPr>
                  <w:tcW w:w="1445" w:type="pct"/>
                  <w:shd w:val="clear" w:color="auto" w:fill="auto"/>
                  <w:vAlign w:val="center"/>
                </w:tcPr>
                <w:p>
                  <w:pPr>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大气污染防控：1.</w:t>
                  </w:r>
                  <w:r>
                    <w:rPr>
                      <w:rFonts w:hint="default" w:ascii="Times New Roman" w:hAnsi="Times New Roman" w:eastAsia="宋体"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颗粒物</w:t>
                  </w:r>
                  <w:r>
                    <w:rPr>
                      <w:rFonts w:hint="default" w:ascii="Times New Roman" w:hAnsi="Times New Roman" w:eastAsia="宋体" w:cs="Times New Roman"/>
                      <w:color w:val="000000" w:themeColor="text1"/>
                      <w:sz w:val="21"/>
                      <w:szCs w:val="21"/>
                      <w14:textFill>
                        <w14:solidFill>
                          <w14:schemeClr w14:val="tx1"/>
                        </w14:solidFill>
                      </w14:textFill>
                    </w:rPr>
                    <w:t>有组织排放浓度执行《大气污染物综合排放标准》（GB16297-1996）“表2 新污染源大气污染物排放限值”中颗粒物的最高允许排放浓度限值要求，排放速率执行《大气污染物综合排放标准》（GB16297-1996）“表2 新污染源大气污染物排放限值”中颗粒物的相应高度排气筒二级排放速率限值要求；</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颗粒物</w:t>
                  </w:r>
                  <w:r>
                    <w:rPr>
                      <w:rFonts w:hint="default" w:ascii="Times New Roman" w:hAnsi="Times New Roman" w:eastAsia="宋体" w:cs="Times New Roman"/>
                      <w:color w:val="000000" w:themeColor="text1"/>
                      <w:sz w:val="21"/>
                      <w:szCs w:val="21"/>
                      <w14:textFill>
                        <w14:solidFill>
                          <w14:schemeClr w14:val="tx1"/>
                        </w14:solidFill>
                      </w14:textFill>
                    </w:rPr>
                    <w:t>无组织排放执行《大气污染物综合排放标准》（GB16297-1996）“表2 新污染源大气污染物排放限值”中的无组织排放监控浓度限值要求及《秦皇岛市人民政府办公室关于执行钢铁等行业大气污染物排放特别要求的通知》（[2021]-10）中全市工业企业厂界执行无组织排放浓度特别管控要求0.3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vertAlign w:val="baseline"/>
                      <w:lang w:eastAsia="zh-CN"/>
                      <w14:textFill>
                        <w14:solidFill>
                          <w14:schemeClr w14:val="tx1"/>
                        </w14:solidFill>
                      </w14:textFill>
                    </w:rPr>
                    <w:t>；</w:t>
                  </w:r>
                </w:p>
                <w:p>
                  <w:pPr>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VOCs</w:t>
                  </w:r>
                  <w:r>
                    <w:rPr>
                      <w:rFonts w:hint="default" w:ascii="Times New Roman" w:hAnsi="Times New Roman" w:eastAsia="宋体" w:cs="Times New Roman"/>
                      <w:color w:val="000000" w:themeColor="text1"/>
                      <w:sz w:val="21"/>
                      <w:szCs w:val="21"/>
                      <w14:textFill>
                        <w14:solidFill>
                          <w14:schemeClr w14:val="tx1"/>
                        </w14:solidFill>
                      </w14:textFill>
                    </w:rPr>
                    <w:t>有组织排放浓度执行《工业企业挥发性有机物排放控制标准》（DB13/2322-2016）“表1 大气污染物排放限值”中</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表面涂装</w:t>
                  </w:r>
                  <w:r>
                    <w:rPr>
                      <w:rFonts w:hint="default" w:ascii="Times New Roman" w:hAnsi="Times New Roman" w:eastAsia="宋体" w:cs="Times New Roman"/>
                      <w:color w:val="000000" w:themeColor="text1"/>
                      <w:sz w:val="21"/>
                      <w:szCs w:val="21"/>
                      <w14:textFill>
                        <w14:solidFill>
                          <w14:schemeClr w14:val="tx1"/>
                        </w14:solidFill>
                      </w14:textFill>
                    </w:rPr>
                    <w:t>业最高允许排放浓度限值要求；</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本项目喷漆房</w:t>
                  </w:r>
                  <w:r>
                    <w:rPr>
                      <w:rFonts w:hint="default" w:ascii="Times New Roman" w:hAnsi="Times New Roman" w:eastAsia="宋体" w:cs="Times New Roman"/>
                      <w:color w:val="000000" w:themeColor="text1"/>
                      <w:sz w:val="21"/>
                      <w:szCs w:val="21"/>
                      <w14:textFill>
                        <w14:solidFill>
                          <w14:schemeClr w14:val="tx1"/>
                        </w14:solidFill>
                      </w14:textFill>
                    </w:rPr>
                    <w:t>废气</w:t>
                  </w:r>
                  <w:r>
                    <w:rPr>
                      <w:rFonts w:hint="default" w:ascii="Times New Roman" w:hAnsi="Times New Roman" w:cs="Times New Roman"/>
                      <w:color w:val="000000" w:themeColor="text1"/>
                      <w:sz w:val="21"/>
                      <w:szCs w:val="21"/>
                      <w:lang w:val="en-US" w:eastAsia="zh-CN"/>
                      <w14:textFill>
                        <w14:solidFill>
                          <w14:schemeClr w14:val="tx1"/>
                        </w14:solidFill>
                      </w14:textFill>
                    </w:rPr>
                    <w:t>VOCs</w:t>
                  </w:r>
                  <w:r>
                    <w:rPr>
                      <w:rFonts w:hint="default" w:ascii="Times New Roman" w:hAnsi="Times New Roman" w:eastAsia="宋体" w:cs="Times New Roman"/>
                      <w:color w:val="000000" w:themeColor="text1"/>
                      <w:sz w:val="21"/>
                      <w:szCs w:val="21"/>
                      <w14:textFill>
                        <w14:solidFill>
                          <w14:schemeClr w14:val="tx1"/>
                        </w14:solidFill>
                      </w14:textFill>
                    </w:rPr>
                    <w:t>无组织排放执行《工业企业挥发性有机物排放控制标准》（DB13/2322-2016）“表2 企业边界大气污染物浓度限值”要求</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p>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食堂油烟排放浓度执行《餐饮业大气污染物排放标准》(DB13/5808-2023)小型</w:t>
                  </w:r>
                  <w:r>
                    <w:rPr>
                      <w:rFonts w:hint="default" w:ascii="Times New Roman" w:hAnsi="Times New Roman" w:eastAsia="宋体" w:cs="Times New Roman"/>
                      <w:color w:val="000000" w:themeColor="text1"/>
                      <w:sz w:val="21"/>
                      <w:szCs w:val="21"/>
                      <w14:textFill>
                        <w14:solidFill>
                          <w14:schemeClr w14:val="tx1"/>
                        </w14:solidFill>
                      </w14:textFill>
                    </w:rPr>
                    <w:t>餐饮服务单位的大气污染物最高允许排放浓度</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要求，符合污染物排放管控。</w:t>
                  </w:r>
                </w:p>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水污染管控：1</w:t>
                  </w:r>
                  <w:r>
                    <w:rPr>
                      <w:rFonts w:hint="default" w:ascii="Times New Roman" w:hAnsi="Times New Roman" w:eastAsia="宋体" w:cs="Times New Roman"/>
                      <w:color w:val="000000" w:themeColor="text1"/>
                      <w:sz w:val="21"/>
                      <w:szCs w:val="21"/>
                      <w14:textFill>
                        <w14:solidFill>
                          <w14:schemeClr w14:val="tx1"/>
                        </w14:solidFill>
                      </w14:textFill>
                    </w:rPr>
                    <w:t>.本项目软水制备产生浓水用于厂区泼洒抑尘；食堂废水经隔油池+化粪池出来、员工</w:t>
                  </w:r>
                  <w:r>
                    <w:rPr>
                      <w:rFonts w:hint="default" w:ascii="Times New Roman" w:hAnsi="Times New Roman" w:eastAsia="宋体" w:cs="Times New Roman"/>
                      <w:color w:val="000000" w:themeColor="text1"/>
                      <w:sz w:val="21"/>
                      <w:szCs w:val="21"/>
                      <w:lang w:eastAsia="zh-CN"/>
                      <w14:textFill>
                        <w14:solidFill>
                          <w14:schemeClr w14:val="tx1"/>
                        </w14:solidFill>
                      </w14:textFill>
                    </w:rPr>
                    <w:t>生活污水</w:t>
                  </w:r>
                  <w:r>
                    <w:rPr>
                      <w:rFonts w:hint="default" w:ascii="Times New Roman" w:hAnsi="Times New Roman" w:eastAsia="宋体" w:cs="Times New Roman"/>
                      <w:color w:val="000000" w:themeColor="text1"/>
                      <w:sz w:val="21"/>
                      <w:szCs w:val="21"/>
                      <w14:textFill>
                        <w14:solidFill>
                          <w14:schemeClr w14:val="tx1"/>
                        </w14:solidFill>
                      </w14:textFill>
                    </w:rPr>
                    <w:t>经化粪池处理后，一起排入园区污水管网进入抚宁污水处理厂进一步处理</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符合污染物排放管控。</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环境风险防控</w:t>
                  </w:r>
                </w:p>
              </w:tc>
              <w:tc>
                <w:tcPr>
                  <w:tcW w:w="2691"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建立农产品质量安全检测制度，每年开展农产品质量抽样检测和风险预警。2.在涉及重度污染耕地的县（区）要依法划定特定农产品禁止生产区域，明确界限，设立标识，严禁种植食用农产品；对威胁地下水、饮用水水源安全的，有关县（区）要制定环境风险管控方案，落实管控措施。3.对纳入建设用地土壤环境联动监管名单中未完成调查评估地块，或列入土壤污染风险管控和修复名录未达到风险管控、修复目标的地块，禁止开工建设任何与风险管控、修复无关的项目，不得批准环境影响评价技术文件、建设工程规划许可证等事项。4.根据风险评估结果，并结合污染地块相关开发利用计划，有针对性地实施风险管控。对暂不开发利用的污染地块，实施以防止污染扩散为目的的风险管控。对拟开发利用为居住用地和商业、学校、医疗、养老机构等公共设施用地的污染地块，实施以安全利用为目的的风险管控。5.各县（区）政府每年要与土壤环境重点监管企业签订土壤污染防治责任书，明确相关措施和责任，责任书向社会公开。有关企业要严格遵守环境保护法律、法规，认真履行污染治理责任，建立环境保护责任制度，将土壤污染防治纳入环境风险防控体系。</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本项目位于河北抚宁经济开发区园区内</w:t>
                  </w:r>
                </w:p>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1.2.3.4.5..本项目不涉及</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资源开发利用</w:t>
                  </w:r>
                </w:p>
              </w:tc>
              <w:tc>
                <w:tcPr>
                  <w:tcW w:w="2691"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1.2025年秦皇岛市用水总量控制在9.7亿立方米以内，地下水用水量控制在5.27亿立方米以内。万元工业增加值用水降幅较2020年下降不少于13.9%。2、能源利用总量控制在1853万吨标准煤，单位GDP能耗为0.96吨标准煤/万元，煤炭总量控制在1417万吨（实物量）。3、2035年秦皇岛市用水总量依据上级下达指标确定，万元GDP水耗进一步下降，能源利用总量控制在2259万吨标准煤，单位GDP能耗为0.77吨标准煤/万元，煤炭总量控制在1417万吨（实物量）。</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本项目供水由市政给水管网供应，项目水资源消耗量对区域资源利用总量占比很小，不会突破区域资源利用上线</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生态环境空间总体管控要求</w:t>
                  </w:r>
                </w:p>
              </w:tc>
              <w:tc>
                <w:tcPr>
                  <w:tcW w:w="2691"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生态保护红线总体要求：禁止建设开发活动，生态保护红线内自然保护地核心保护区外，禁止开发性、生产性建设活动，在符合法律法规的前提下，仅允许以下对生态功能不造成破坏的有限人为活动</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自然保护区</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风景名胜区</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森林公园</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湿地公园</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地质公园</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空间布局约束：禁止开发建设活动的要求，限制开发建设活动的要求</w:t>
                  </w:r>
                  <w:r>
                    <w:rPr>
                      <w:rFonts w:hint="default" w:ascii="Times New Roman" w:hAnsi="Times New Roman" w:cs="Times New Roman"/>
                      <w:color w:val="000000" w:themeColor="text1"/>
                      <w:w w:val="100"/>
                      <w:position w:val="0"/>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一般生态空间总体要求：空间布局</w:t>
                  </w:r>
                  <w:r>
                    <w:rPr>
                      <w:rFonts w:hint="default" w:ascii="Times New Roman" w:hAnsi="Times New Roman" w:cs="Times New Roman"/>
                      <w:color w:val="000000" w:themeColor="text1"/>
                      <w:w w:val="100"/>
                      <w:position w:val="0"/>
                      <w:sz w:val="21"/>
                      <w:szCs w:val="21"/>
                      <w:highlight w:val="none"/>
                      <w:lang w:val="en-US" w:eastAsia="zh-CN" w:bidi="ar-SA"/>
                      <w14:textFill>
                        <w14:solidFill>
                          <w14:schemeClr w14:val="tx1"/>
                        </w14:solidFill>
                      </w14:textFill>
                    </w:rPr>
                    <w:t>约束要求</w:t>
                  </w:r>
                  <w:r>
                    <w:rPr>
                      <w:rFonts w:hint="default" w:ascii="Times New Roman" w:hAnsi="Times New Roman" w:eastAsia="宋体" w:cs="Times New Roman"/>
                      <w:color w:val="000000" w:themeColor="text1"/>
                      <w:w w:val="100"/>
                      <w:position w:val="0"/>
                      <w:sz w:val="21"/>
                      <w:szCs w:val="21"/>
                      <w:highlight w:val="none"/>
                      <w:lang w:bidi="ar-SA"/>
                      <w14:textFill>
                        <w14:solidFill>
                          <w14:schemeClr w14:val="tx1"/>
                        </w14:solidFill>
                      </w14:textFill>
                    </w:rPr>
                    <w:t>；水源涵养、水土保持、防风固沙、生物多样性保护、水土流失、土地沙化、河湖滨岸带空间布局约束要求</w:t>
                  </w:r>
                  <w:r>
                    <w:rPr>
                      <w:rFonts w:hint="default" w:ascii="Times New Roman" w:hAnsi="Times New Roman" w:eastAsia="宋体" w:cs="Times New Roman"/>
                      <w:color w:val="000000" w:themeColor="text1"/>
                      <w:w w:val="100"/>
                      <w:position w:val="0"/>
                      <w:sz w:val="21"/>
                      <w:szCs w:val="21"/>
                      <w:highlight w:val="none"/>
                      <w:lang w:eastAsia="zh-CN" w:bidi="ar-SA"/>
                      <w14:textFill>
                        <w14:solidFill>
                          <w14:schemeClr w14:val="tx1"/>
                        </w14:solidFill>
                      </w14:textFill>
                    </w:rPr>
                    <w:t>。</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w:t>
                  </w:r>
                  <w:r>
                    <w:rPr>
                      <w:rFonts w:hint="default" w:ascii="Times New Roman" w:hAnsi="Times New Roman" w:eastAsia="宋体" w:cs="Times New Roman"/>
                      <w:color w:val="000000" w:themeColor="text1"/>
                      <w:sz w:val="21"/>
                      <w:szCs w:val="21"/>
                      <w14:textFill>
                        <w14:solidFill>
                          <w14:schemeClr w14:val="tx1"/>
                        </w14:solidFill>
                      </w14:textFill>
                    </w:rPr>
                    <w:t>位于河北省秦皇岛市抚宁经济开发区北区三抚路西侧，环城北路北侧，属于重点管控单元，编号为ZH13030620058，不涉及生态保护红线。</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大气环境总体管控要求</w:t>
                  </w:r>
                </w:p>
              </w:tc>
              <w:tc>
                <w:tcPr>
                  <w:tcW w:w="2691"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bidi="ar-SA"/>
                      <w14:textFill>
                        <w14:solidFill>
                          <w14:schemeClr w14:val="tx1"/>
                        </w14:solidFill>
                      </w14:textFill>
                    </w:rPr>
                    <w:t>1.</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对于国家或地方排放标准中已规定大气污染物特别排放限值的行业以及锅炉，新受理环评的建设项目执行大气污染物特别排放限值；目前国家排放标准中未规定大气污染物特别排放限值的行业，待相应排放标准制发布后，全市现有企业一律执行二氧化硫、氮氧化物、颗粒物和挥发性有机物特别排放限值。已发布超低排放标准的，按照标准要求执行超低排放标准</w:t>
                  </w:r>
                  <w:r>
                    <w:rPr>
                      <w:rFonts w:hint="default" w:ascii="Times New Roman" w:hAnsi="Times New Roman" w:eastAsia="宋体"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深入实施燃煤锅炉治理，全市基本淘汰35蒸吨/小时及以下燃煤锅炉、茶炉大灶以及经营性小煤炉。35蒸吨/小时以上燃煤锅炉基本完成超低排放改造，全面达到排放限值和能效标准。禁止新建35蒸吨/小时及以下燃煤锅炉（符合政策文件要求的热电联产项目、设区市政府的集中供热规划或工业园区建设规划以及有特殊政策的山区县除外）。城市和县城建成区禁止新建35蒸吨/小时及以下生物质锅炉，35蒸吨/小时以上的生物质锅炉要达到超低排放标准。</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3.</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强化污染物排放总量削减。推进重点行业超低排放改造和全过程治理，全面开展工业炉窑深度治理工作，按照</w:t>
                  </w:r>
                  <w:r>
                    <w:rPr>
                      <w:rFonts w:hint="default" w:ascii="Times New Roman" w:hAnsi="Times New Roman"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淘汰一批、改造一批、替代一批</w:t>
                  </w:r>
                  <w:r>
                    <w:rPr>
                      <w:rFonts w:hint="default" w:ascii="Times New Roman" w:hAnsi="Times New Roman"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原则，对标行业先进水平，完成全市砖瓦窑和石灰窑等非重点行业的工业炉窑深度治理工作。加强对已完成清洁能源替代和深度治理改造的工业炉窑运行监管，确保在满足国家、省最严格的排放标准要求下，稳定达标。</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4.</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大力削减VOCs排放。具备条件的涉VOCs企业全部建设负压厂房，全面提高废气收集率。安全高效推进VOCs综合治理，实施原辅材料和产品源头替代工程。对全市所有VOCs排放的工业企业逐企建立清单台账，编制“一厂一策”方案，提升企业VOCs治理工艺水平，淘汰UV光氧等低效治理设施。开展源头替代、工艺过程、无组织管控、末端治理全流程治理评估，完善VOCs节能环保产业区项目处理工艺。实现工业涂装、包装印刷家具制造、建筑装饰等行业原辅材料源头替代，推广低（无）VOCs含量原辅材料和产品，减少卤化、芳香性溶剂等高VOCs含量原辅材料使用。规范企业挥发性有机物在线监测设备或超标报警装置的安装使用和数据联网</w:t>
                  </w:r>
                  <w:r>
                    <w:rPr>
                      <w:rFonts w:hint="default" w:ascii="Times New Roman" w:hAnsi="Times New Roman" w:eastAsia="宋体"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cs="Times New Roman"/>
                      <w:color w:val="000000" w:themeColor="text1"/>
                      <w:sz w:val="21"/>
                      <w:szCs w:val="21"/>
                      <w:highlight w:val="none"/>
                      <w:lang w:val="en-US" w:eastAsia="zh-CN" w:bidi="ar-SA"/>
                      <w14:textFill>
                        <w14:solidFill>
                          <w14:schemeClr w14:val="tx1"/>
                        </w14:solidFill>
                      </w14:textFill>
                    </w:rPr>
                    <w:t>5</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已有行业排放标准的砖瓦、石灰、无机盐、铁合金、有色金属等执行行业排放标准，暂未制订行业排放标准的工业炉窑，包括铸造</w:t>
                  </w:r>
                  <w:r>
                    <w:rPr>
                      <w:rFonts w:hint="default" w:ascii="Times New Roman" w:hAnsi="Times New Roman"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日用玻璃，玻璃纤维、耐火材料、矿物棉等建材行业，工业硅、金属冶炼废渣（灰）二次提取等有色金属行业，氮肥、电石、无机磷、活性炭等化工行业，全面加大污染治理力度，原则上颗粒物、二氧化硫、氮氧化物排放限值分别不高于30、200、300毫克/立方米</w:t>
                  </w:r>
                  <w:r>
                    <w:rPr>
                      <w:rFonts w:hint="default" w:ascii="Times New Roman" w:hAnsi="Times New Roman" w:eastAsia="宋体"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铸造行业烧结、高炉工序污染排放控制按照《河北省钢铁工业大气污染物超低排放标准》要求执行。</w:t>
                  </w:r>
                  <w: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t>6</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.强化非道路移动机械管理。加快推进工矿企业、单位内部作业车辆和机械新能源化更新改造。</w:t>
                  </w:r>
                  <w:r>
                    <w:rPr>
                      <w:rFonts w:hint="default" w:ascii="Times New Roman" w:hAnsi="Times New Roman" w:cs="Times New Roman"/>
                      <w:color w:val="000000" w:themeColor="text1"/>
                      <w:sz w:val="21"/>
                      <w:szCs w:val="21"/>
                      <w:highlight w:val="none"/>
                      <w:lang w:val="en-US" w:eastAsia="zh-CN" w:bidi="ar-SA"/>
                      <w14:textFill>
                        <w14:solidFill>
                          <w14:schemeClr w14:val="tx1"/>
                        </w14:solidFill>
                      </w14:textFill>
                    </w:rPr>
                    <w:t>7</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贯彻落实《河北省扬尘污染防治办法》，完善扬尘污染治理技术体系，推进治理精准化和规范化。</w:t>
                  </w:r>
                  <w:r>
                    <w:rPr>
                      <w:rFonts w:hint="default" w:ascii="Times New Roman" w:hAnsi="Times New Roman" w:cs="Times New Roman"/>
                      <w:color w:val="000000" w:themeColor="text1"/>
                      <w:sz w:val="21"/>
                      <w:szCs w:val="21"/>
                      <w:highlight w:val="none"/>
                      <w:lang w:val="en-US" w:eastAsia="zh-CN" w:bidi="ar-SA"/>
                      <w14:textFill>
                        <w14:solidFill>
                          <w14:schemeClr w14:val="tx1"/>
                        </w14:solidFill>
                      </w14:textFill>
                    </w:rPr>
                    <w:t>8</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深化建筑施工扬尘专项整治，严格执行《河北省建筑施工扬尘防治标准》。加强道路扬尘综合整治。全市工业企业料堆场全部实现规范管理，工业企业料堆场物料储存落实《煤场、料场、渣场扬尘污染控制技术规范》（DB13/T2352-2016）有关要求，在满足安全的前提下，粉状物料入棚入仓储存。</w:t>
                  </w:r>
                </w:p>
              </w:tc>
              <w:tc>
                <w:tcPr>
                  <w:tcW w:w="1445" w:type="pct"/>
                  <w:shd w:val="clear" w:color="auto" w:fill="auto"/>
                  <w:vAlign w:val="center"/>
                </w:tcPr>
                <w:p>
                  <w:pPr>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w:t>
                  </w:r>
                  <w:r>
                    <w:rPr>
                      <w:rFonts w:hint="default" w:ascii="Times New Roman" w:hAnsi="Times New Roman" w:cs="Times New Roman"/>
                      <w:color w:val="000000" w:themeColor="text1"/>
                      <w:kern w:val="0"/>
                      <w:sz w:val="21"/>
                      <w:szCs w:val="21"/>
                      <w:highlight w:val="none"/>
                      <w14:textFill>
                        <w14:solidFill>
                          <w14:schemeClr w14:val="tx1"/>
                        </w14:solidFill>
                      </w14:textFill>
                    </w:rPr>
                    <w:t>本项目</w:t>
                  </w:r>
                  <w:r>
                    <w:rPr>
                      <w:rFonts w:hint="default" w:ascii="Times New Roman" w:hAnsi="Times New Roman" w:cs="Times New Roman"/>
                      <w:color w:val="000000" w:themeColor="text1"/>
                      <w:sz w:val="21"/>
                      <w:szCs w:val="21"/>
                      <w:lang w:val="en-US" w:eastAsia="zh-CN"/>
                      <w14:textFill>
                        <w14:solidFill>
                          <w14:schemeClr w14:val="tx1"/>
                        </w14:solidFill>
                      </w14:textFill>
                    </w:rPr>
                    <w:t>颗粒物</w:t>
                  </w:r>
                  <w:r>
                    <w:rPr>
                      <w:rFonts w:hint="default" w:ascii="Times New Roman" w:hAnsi="Times New Roman" w:eastAsia="宋体" w:cs="Times New Roman"/>
                      <w:color w:val="000000" w:themeColor="text1"/>
                      <w:sz w:val="21"/>
                      <w:szCs w:val="21"/>
                      <w14:textFill>
                        <w14:solidFill>
                          <w14:schemeClr w14:val="tx1"/>
                        </w14:solidFill>
                      </w14:textFill>
                    </w:rPr>
                    <w:t>有组织排放浓度执行《大气污染物综合排放标准》（GB16297-1996）“表2 新污染源大气污染物排放限值”中颗粒物的最高允许排放浓度限值要求；</w:t>
                  </w:r>
                  <w:r>
                    <w:rPr>
                      <w:rFonts w:hint="default" w:ascii="Times New Roman" w:hAnsi="Times New Roman" w:cs="Times New Roman"/>
                      <w:color w:val="000000" w:themeColor="text1"/>
                      <w:sz w:val="21"/>
                      <w:szCs w:val="21"/>
                      <w:lang w:val="en-US" w:eastAsia="zh-CN"/>
                      <w14:textFill>
                        <w14:solidFill>
                          <w14:schemeClr w14:val="tx1"/>
                        </w14:solidFill>
                      </w14:textFill>
                    </w:rPr>
                    <w:t>颗粒物</w:t>
                  </w:r>
                  <w:r>
                    <w:rPr>
                      <w:rFonts w:hint="default" w:ascii="Times New Roman" w:hAnsi="Times New Roman" w:eastAsia="宋体" w:cs="Times New Roman"/>
                      <w:color w:val="000000" w:themeColor="text1"/>
                      <w:sz w:val="21"/>
                      <w:szCs w:val="21"/>
                      <w14:textFill>
                        <w14:solidFill>
                          <w14:schemeClr w14:val="tx1"/>
                        </w14:solidFill>
                      </w14:textFill>
                    </w:rPr>
                    <w:t>无组织排放执行《大气污染物综合排放标准》（GB16297-1996）“表2新污染源大气污染物排放限值”中的无组织排放监控浓度限值要求及《秦皇岛市人民政府办公室关于执行钢铁等行业大气污染物排放特别要求的通知》（[2021]-10）中全市工业企业厂界执行无组织排放浓度特别管控要求0.3mg/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vertAlign w:val="baseline"/>
                      <w:lang w:eastAsia="zh-CN"/>
                      <w14:textFill>
                        <w14:solidFill>
                          <w14:schemeClr w14:val="tx1"/>
                        </w14:solidFill>
                      </w14:textFill>
                    </w:rPr>
                    <w:t>；</w:t>
                  </w:r>
                </w:p>
                <w:p>
                  <w:pPr>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VOCs</w:t>
                  </w:r>
                  <w:r>
                    <w:rPr>
                      <w:rFonts w:hint="default" w:ascii="Times New Roman" w:hAnsi="Times New Roman" w:eastAsia="宋体" w:cs="Times New Roman"/>
                      <w:color w:val="000000" w:themeColor="text1"/>
                      <w:sz w:val="21"/>
                      <w:szCs w:val="21"/>
                      <w14:textFill>
                        <w14:solidFill>
                          <w14:schemeClr w14:val="tx1"/>
                        </w14:solidFill>
                      </w14:textFill>
                    </w:rPr>
                    <w:t>有组织排放浓度执行《工业企业挥发性有机物排放控制标准》（DB13/2322-2016）“表1大气污染物排放限值”中</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表面涂装</w:t>
                  </w:r>
                  <w:r>
                    <w:rPr>
                      <w:rFonts w:hint="default" w:ascii="Times New Roman" w:hAnsi="Times New Roman" w:eastAsia="宋体" w:cs="Times New Roman"/>
                      <w:color w:val="000000" w:themeColor="text1"/>
                      <w:sz w:val="21"/>
                      <w:szCs w:val="21"/>
                      <w14:textFill>
                        <w14:solidFill>
                          <w14:schemeClr w14:val="tx1"/>
                        </w14:solidFill>
                      </w14:textFill>
                    </w:rPr>
                    <w:t>业最高允许排放浓度限值要求；</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本项目喷漆房</w:t>
                  </w:r>
                  <w:r>
                    <w:rPr>
                      <w:rFonts w:hint="default" w:ascii="Times New Roman" w:hAnsi="Times New Roman" w:eastAsia="宋体" w:cs="Times New Roman"/>
                      <w:color w:val="000000" w:themeColor="text1"/>
                      <w:sz w:val="21"/>
                      <w:szCs w:val="21"/>
                      <w14:textFill>
                        <w14:solidFill>
                          <w14:schemeClr w14:val="tx1"/>
                        </w14:solidFill>
                      </w14:textFill>
                    </w:rPr>
                    <w:t>废气</w:t>
                  </w:r>
                  <w:r>
                    <w:rPr>
                      <w:rFonts w:hint="default" w:ascii="Times New Roman" w:hAnsi="Times New Roman" w:cs="Times New Roman"/>
                      <w:color w:val="000000" w:themeColor="text1"/>
                      <w:sz w:val="21"/>
                      <w:szCs w:val="21"/>
                      <w:lang w:val="en-US" w:eastAsia="zh-CN"/>
                      <w14:textFill>
                        <w14:solidFill>
                          <w14:schemeClr w14:val="tx1"/>
                        </w14:solidFill>
                      </w14:textFill>
                    </w:rPr>
                    <w:t>VOCs</w:t>
                  </w:r>
                  <w:r>
                    <w:rPr>
                      <w:rFonts w:hint="default" w:ascii="Times New Roman" w:hAnsi="Times New Roman" w:eastAsia="宋体" w:cs="Times New Roman"/>
                      <w:color w:val="000000" w:themeColor="text1"/>
                      <w:sz w:val="21"/>
                      <w:szCs w:val="21"/>
                      <w14:textFill>
                        <w14:solidFill>
                          <w14:schemeClr w14:val="tx1"/>
                        </w14:solidFill>
                      </w14:textFill>
                    </w:rPr>
                    <w:t>无组织排放执行《工业企业挥发性有机物排放控制标准》（DB13/2322-2016）“表2企业边界大气污染物浓度限值”要求</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食堂油烟排放浓度执行《餐饮业大气污染物排放标准》(DB13/5808-2023)小型</w:t>
                  </w:r>
                  <w:r>
                    <w:rPr>
                      <w:rFonts w:hint="default" w:ascii="Times New Roman" w:hAnsi="Times New Roman" w:eastAsia="宋体" w:cs="Times New Roman"/>
                      <w:color w:val="000000" w:themeColor="text1"/>
                      <w:sz w:val="21"/>
                      <w:szCs w:val="21"/>
                      <w14:textFill>
                        <w14:solidFill>
                          <w14:schemeClr w14:val="tx1"/>
                        </w14:solidFill>
                      </w14:textFill>
                    </w:rPr>
                    <w:t>餐饮服务单位的大气污染物最高允许排放浓度</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要求</w:t>
                  </w:r>
                </w:p>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2.3.5.7.本项目不涉及</w:t>
                  </w:r>
                </w:p>
                <w:p>
                  <w:pPr>
                    <w:pStyle w:val="91"/>
                    <w:spacing w:before="0" w:after="0" w:line="360" w:lineRule="exact"/>
                    <w:jc w:val="left"/>
                    <w:rPr>
                      <w:rFonts w:hint="default" w:ascii="Times New Roman" w:hAnsi="Times New Roman" w:eastAsia="宋体" w:cs="Times New Roman"/>
                      <w:b w:val="0"/>
                      <w:bCs/>
                      <w:color w:val="000000" w:themeColor="text1"/>
                      <w:sz w:val="21"/>
                      <w:szCs w:val="21"/>
                      <w:highlight w:val="none"/>
                      <w:u w:val="none" w:color="auto"/>
                      <w:lang w:eastAsia="zh-CN" w:bidi="en-US"/>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4.本项目喷漆房废气采用</w:t>
                  </w:r>
                  <w:r>
                    <w:rPr>
                      <w:rFonts w:hint="default" w:ascii="Times New Roman" w:hAnsi="Times New Roman" w:eastAsia="宋体" w:cs="Times New Roman"/>
                      <w:b w:val="0"/>
                      <w:bCs/>
                      <w:color w:val="000000" w:themeColor="text1"/>
                      <w:sz w:val="21"/>
                      <w:szCs w:val="21"/>
                      <w:highlight w:val="none"/>
                      <w:u w:val="none" w:color="auto"/>
                      <w:lang w:eastAsia="zh-CN" w:bidi="en-US"/>
                      <w14:textFill>
                        <w14:solidFill>
                          <w14:schemeClr w14:val="tx1"/>
                        </w14:solidFill>
                      </w14:textFill>
                    </w:rPr>
                    <w:t>“</w:t>
                  </w:r>
                  <w:r>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t>干式过滤+</w:t>
                  </w:r>
                  <w:r>
                    <w:rPr>
                      <w:rFonts w:hint="default" w:ascii="Times New Roman" w:hAnsi="Times New Roman" w:eastAsia="宋体" w:cs="Times New Roman"/>
                      <w:b w:val="0"/>
                      <w:bCs/>
                      <w:color w:val="000000" w:themeColor="text1"/>
                      <w:sz w:val="21"/>
                      <w:szCs w:val="21"/>
                      <w:highlight w:val="none"/>
                      <w:u w:val="none" w:color="auto"/>
                      <w:lang w:eastAsia="zh-CN" w:bidi="en-US"/>
                      <w14:textFill>
                        <w14:solidFill>
                          <w14:schemeClr w14:val="tx1"/>
                        </w14:solidFill>
                      </w14:textFill>
                    </w:rPr>
                    <w:t>活性炭吸附</w:t>
                  </w:r>
                  <w:r>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t>+催化燃烧</w:t>
                  </w:r>
                  <w:r>
                    <w:rPr>
                      <w:rFonts w:hint="default" w:ascii="Times New Roman" w:hAnsi="Times New Roman" w:eastAsia="宋体" w:cs="Times New Roman"/>
                      <w:b w:val="0"/>
                      <w:bCs/>
                      <w:color w:val="000000" w:themeColor="text1"/>
                      <w:sz w:val="21"/>
                      <w:szCs w:val="21"/>
                      <w:highlight w:val="none"/>
                      <w:u w:val="none" w:color="auto"/>
                      <w:lang w:eastAsia="zh-CN" w:bidi="en-US"/>
                      <w14:textFill>
                        <w14:solidFill>
                          <w14:schemeClr w14:val="tx1"/>
                        </w14:solidFill>
                      </w14:textFill>
                    </w:rPr>
                    <w:t>”处理后经15m高排气筒（</w:t>
                  </w:r>
                  <w:r>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t>DA002</w:t>
                  </w:r>
                  <w:r>
                    <w:rPr>
                      <w:rFonts w:hint="default" w:ascii="Times New Roman" w:hAnsi="Times New Roman" w:eastAsia="宋体" w:cs="Times New Roman"/>
                      <w:b w:val="0"/>
                      <w:bCs/>
                      <w:color w:val="000000" w:themeColor="text1"/>
                      <w:sz w:val="21"/>
                      <w:szCs w:val="21"/>
                      <w:highlight w:val="none"/>
                      <w:u w:val="none" w:color="auto"/>
                      <w:lang w:eastAsia="zh-CN" w:bidi="en-US"/>
                      <w14:textFill>
                        <w14:solidFill>
                          <w14:schemeClr w14:val="tx1"/>
                        </w14:solidFill>
                      </w14:textFill>
                    </w:rPr>
                    <w:t>）排放；</w:t>
                  </w:r>
                </w:p>
                <w:p>
                  <w:pPr>
                    <w:pStyle w:val="91"/>
                    <w:spacing w:before="0" w:after="0" w:line="360" w:lineRule="exact"/>
                    <w:jc w:val="left"/>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pPr>
                  <w:r>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t>6.本项目强化非道路移动机械的管理；</w:t>
                  </w:r>
                </w:p>
                <w:p>
                  <w:pPr>
                    <w:pStyle w:val="91"/>
                    <w:spacing w:before="0" w:after="0" w:line="360" w:lineRule="exact"/>
                    <w:jc w:val="left"/>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pPr>
                  <w:r>
                    <w:rPr>
                      <w:rFonts w:hint="default" w:ascii="Times New Roman" w:hAnsi="Times New Roman" w:eastAsia="宋体" w:cs="Times New Roman"/>
                      <w:b w:val="0"/>
                      <w:bCs/>
                      <w:color w:val="000000" w:themeColor="text1"/>
                      <w:sz w:val="21"/>
                      <w:szCs w:val="21"/>
                      <w:highlight w:val="none"/>
                      <w:u w:val="none" w:color="auto"/>
                      <w:lang w:val="en-US" w:eastAsia="zh-CN" w:bidi="en-US"/>
                      <w14:textFill>
                        <w14:solidFill>
                          <w14:schemeClr w14:val="tx1"/>
                        </w14:solidFill>
                      </w14:textFill>
                    </w:rPr>
                    <w:t>7.本项目</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贯彻落实《河北省扬尘污染防治办法》，完善扬尘污染治理技术体系，推进治理精准化和规范化</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地表水环境总体管控要求</w:t>
                  </w:r>
                </w:p>
              </w:tc>
              <w:tc>
                <w:tcPr>
                  <w:tcW w:w="2691" w:type="pct"/>
                  <w:shd w:val="clear" w:color="auto" w:fill="auto"/>
                  <w:vAlign w:val="center"/>
                </w:tcPr>
                <w:p>
                  <w:pPr>
                    <w:pStyle w:val="93"/>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jc w:val="both"/>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严格控制高污染、高耗水行业新增产能。产能过剩产业实行新增产能等量替代、涉水主要污染物排放同行业倍量替代。对造纸、焦化、氮肥、石油化工、印染、农副食品加工、原料药制造、制革、农药、电镀等“十大”重点行业，新建、改建、扩建项目实行新增主要污染物排放倍量替代。有序推进产业梯度转移，强化承接产业转移区域的环境监管。集聚区内工业企业废水预处理达到国家规定的间接排放标准方可排入污水集中处理设施；新建涉水工业项目须入园进区；全面摸底排查园区外涉水工业企业，确定入园时间表；确因不具备入园条件需原地保留涉水工业企业，须明确保留条件，实施尾水深度治理，排放废水主要污染物浓度必须达到受纳水体环境功能区标准，否则一律关停取缔。提高园区运维水平，省级及以上工业集聚区应积极推进一园一档、园内企业一企一册的环保管理制度建设工作，及时记录园内污水排放相关信息。</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2.工业园区全部建成污水集中处理设施，并安装自动在线监控装置（园区或工业集聚区污水可以纳入园区外城市污水处理厂的除外）；所有废水直排环境企业一律执行行业排放标准水污染物特别排放限值，没有行业标准或行业标准中没有水污染物排放特别限值的，一律执行一级A标准；有流域特别排放限值要求的地区，执行流域特别排放限值。化工、装备制造等污染行业提高再生水回用率。</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1.本项目</w:t>
                  </w:r>
                  <w:r>
                    <w:rPr>
                      <w:rFonts w:hint="default" w:ascii="Times New Roman" w:hAnsi="Times New Roman" w:eastAsia="宋体" w:cs="Times New Roman"/>
                      <w:color w:val="000000" w:themeColor="text1"/>
                      <w:sz w:val="21"/>
                      <w:szCs w:val="21"/>
                      <w14:textFill>
                        <w14:solidFill>
                          <w14:schemeClr w14:val="tx1"/>
                        </w14:solidFill>
                      </w14:textFill>
                    </w:rPr>
                    <w:t>为</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机器人及集成系统</w:t>
                  </w:r>
                  <w:r>
                    <w:rPr>
                      <w:rFonts w:hint="default" w:ascii="Times New Roman" w:hAnsi="Times New Roman" w:eastAsia="宋体" w:cs="Times New Roman"/>
                      <w:color w:val="000000" w:themeColor="text1"/>
                      <w:sz w:val="21"/>
                      <w:szCs w:val="21"/>
                      <w14:textFill>
                        <w14:solidFill>
                          <w14:schemeClr w14:val="tx1"/>
                        </w14:solidFill>
                      </w14:textFill>
                    </w:rPr>
                    <w:t>制造项目，</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不属于</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高污染、高耗水行业</w:t>
                  </w:r>
                  <w:r>
                    <w:rPr>
                      <w:rFonts w:hint="default" w:ascii="Times New Roman" w:hAnsi="Times New Roman" w:eastAsia="宋体" w:cs="Times New Roman"/>
                      <w:color w:val="000000" w:themeColor="text1"/>
                      <w:sz w:val="21"/>
                      <w:szCs w:val="21"/>
                      <w14:textFill>
                        <w14:solidFill>
                          <w14:schemeClr w14:val="tx1"/>
                        </w14:solidFill>
                      </w14:textFill>
                    </w:rPr>
                    <w:t>，不涉及“十大”重点行业。</w:t>
                  </w:r>
                </w:p>
                <w:p>
                  <w:pPr>
                    <w:pStyle w:val="91"/>
                    <w:spacing w:before="0" w:after="0" w:line="360" w:lineRule="exact"/>
                    <w:jc w:val="left"/>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2.本项目不涉及</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土壤及地下水风险防控总体管控要求</w:t>
                  </w:r>
                </w:p>
              </w:tc>
              <w:tc>
                <w:tcPr>
                  <w:tcW w:w="2691" w:type="pct"/>
                  <w:shd w:val="clear" w:color="auto" w:fill="auto"/>
                  <w:vAlign w:val="center"/>
                </w:tcPr>
                <w:p>
                  <w:pPr>
                    <w:pStyle w:val="9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ind w:leftChars="0" w:right="0" w:rightChars="0"/>
                    <w:jc w:val="left"/>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1.新、改、扩建涉重金属重点行业建设项目必须遵循重点重金属污染物排放“减量置换”或“等量替换”的原则，应明确具体的重金属污染物排放总量来源。无明确具体总量来源的，各级环保部门不得批准相关环境影响评价文件。</w:t>
                  </w:r>
                </w:p>
                <w:p>
                  <w:pPr>
                    <w:pStyle w:val="9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ind w:leftChars="0" w:right="0" w:rightChars="0"/>
                    <w:jc w:val="left"/>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2.积极推进重点监管源智能监控体系建设，加大危险废物产生、贮存、转运、利用、处置全流程监管力度。规范和完善医疗废物分类收集处置体系，医疗废物集中收集和集中处置率达到100</w:t>
                  </w:r>
                  <w: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t>%</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w:t>
                  </w:r>
                </w:p>
                <w:p>
                  <w:pPr>
                    <w:pStyle w:val="93"/>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kern w:val="2"/>
                      <w:sz w:val="21"/>
                      <w:szCs w:val="21"/>
                      <w:highlight w:val="none"/>
                      <w:lang w:val="en-US" w:eastAsia="zh-CN" w:bidi="ar-SA"/>
                      <w14:textFill>
                        <w14:solidFill>
                          <w14:schemeClr w14:val="tx1"/>
                        </w14:solidFill>
                      </w14:textFill>
                    </w:rPr>
                    <w:t>3</w:t>
                  </w:r>
                  <w: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t>.危险废物产生企业和利用处置企业要根据土壤污染防治相关要求，完善突发环境事件应急预案内容，并向所在地环保部门备案。</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1.本项目</w:t>
                  </w:r>
                  <w:r>
                    <w:rPr>
                      <w:rFonts w:hint="default" w:ascii="Times New Roman" w:hAnsi="Times New Roman" w:eastAsia="宋体" w:cs="Times New Roman"/>
                      <w:color w:val="000000" w:themeColor="text1"/>
                      <w:sz w:val="21"/>
                      <w:szCs w:val="21"/>
                      <w14:textFill>
                        <w14:solidFill>
                          <w14:schemeClr w14:val="tx1"/>
                        </w14:solidFill>
                      </w14:textFill>
                    </w:rPr>
                    <w:t>为</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机器人及集成系统</w:t>
                  </w:r>
                  <w:r>
                    <w:rPr>
                      <w:rFonts w:hint="default" w:ascii="Times New Roman" w:hAnsi="Times New Roman" w:eastAsia="宋体" w:cs="Times New Roman"/>
                      <w:color w:val="000000" w:themeColor="text1"/>
                      <w:sz w:val="21"/>
                      <w:szCs w:val="21"/>
                      <w14:textFill>
                        <w14:solidFill>
                          <w14:schemeClr w14:val="tx1"/>
                        </w14:solidFill>
                      </w14:textFill>
                    </w:rPr>
                    <w:t>制造项目，不涉及重金属。</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2.3.本项目</w:t>
                  </w:r>
                  <w:r>
                    <w:rPr>
                      <w:rFonts w:hint="default" w:ascii="Times New Roman" w:hAnsi="Times New Roman" w:eastAsia="宋体" w:cs="Times New Roman"/>
                      <w:color w:val="000000" w:themeColor="text1"/>
                      <w:sz w:val="21"/>
                      <w:szCs w:val="21"/>
                      <w14:textFill>
                        <w14:solidFill>
                          <w14:schemeClr w14:val="tx1"/>
                        </w14:solidFill>
                      </w14:textFill>
                    </w:rPr>
                    <w:t>产生的</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废切削液、</w:t>
                  </w:r>
                  <w:r>
                    <w:rPr>
                      <w:rFonts w:hint="default" w:ascii="Times New Roman" w:hAnsi="Times New Roman" w:eastAsia="宋体" w:cs="Times New Roman"/>
                      <w:color w:val="000000" w:themeColor="text1"/>
                      <w:sz w:val="21"/>
                      <w:szCs w:val="21"/>
                      <w14:textFill>
                        <w14:solidFill>
                          <w14:schemeClr w14:val="tx1"/>
                        </w14:solidFill>
                      </w14:textFill>
                    </w:rPr>
                    <w:t>废润滑油、废</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液压</w:t>
                  </w:r>
                  <w:r>
                    <w:rPr>
                      <w:rFonts w:hint="default" w:ascii="Times New Roman" w:hAnsi="Times New Roman" w:eastAsia="宋体" w:cs="Times New Roman"/>
                      <w:color w:val="000000" w:themeColor="text1"/>
                      <w:sz w:val="21"/>
                      <w:szCs w:val="21"/>
                      <w14:textFill>
                        <w14:solidFill>
                          <w14:schemeClr w14:val="tx1"/>
                        </w14:solidFill>
                      </w14:textFill>
                    </w:rPr>
                    <w:t>油、废油桶</w:t>
                  </w:r>
                  <w:r>
                    <w:rPr>
                      <w:rFonts w:hint="default" w:ascii="Times New Roman" w:hAnsi="Times New Roman" w:eastAsia="宋体" w:cs="Times New Roman"/>
                      <w:color w:val="000000" w:themeColor="text1"/>
                      <w:sz w:val="21"/>
                      <w:szCs w:val="21"/>
                      <w:lang w:eastAsia="zh-CN"/>
                      <w14:textFill>
                        <w14:solidFill>
                          <w14:schemeClr w14:val="tx1"/>
                        </w14:solidFill>
                      </w14:textFill>
                    </w:rPr>
                    <w:t>、</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废活性炭、漆渣</w:t>
                  </w:r>
                  <w:r>
                    <w:rPr>
                      <w:rFonts w:hint="default" w:ascii="Times New Roman" w:hAnsi="Times New Roman" w:eastAsia="宋体" w:cs="Times New Roman"/>
                      <w:color w:val="000000" w:themeColor="text1"/>
                      <w:sz w:val="21"/>
                      <w:szCs w:val="21"/>
                      <w14:textFill>
                        <w14:solidFill>
                          <w14:schemeClr w14:val="tx1"/>
                        </w14:solidFill>
                      </w14:textFill>
                    </w:rPr>
                    <w:t>暂存</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于新建2</w:t>
                  </w:r>
                  <w:r>
                    <w:rPr>
                      <w:rFonts w:hint="default" w:ascii="Times New Roman" w:hAnsi="Times New Roman" w:eastAsia="宋体" w:cs="Times New Roman"/>
                      <w:color w:val="000000" w:themeColor="text1"/>
                      <w:sz w:val="21"/>
                      <w:szCs w:val="21"/>
                      <w14:textFill>
                        <w14:solidFill>
                          <w14:schemeClr w14:val="tx1"/>
                        </w14:solidFill>
                      </w14:textFill>
                    </w:rPr>
                    <w:t>0m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2</w:t>
                  </w:r>
                  <w:r>
                    <w:rPr>
                      <w:rFonts w:hint="default" w:ascii="Times New Roman" w:hAnsi="Times New Roman" w:eastAsia="宋体" w:cs="Times New Roman"/>
                      <w:color w:val="000000" w:themeColor="text1"/>
                      <w:sz w:val="21"/>
                      <w:szCs w:val="21"/>
                      <w14:textFill>
                        <w14:solidFill>
                          <w14:schemeClr w14:val="tx1"/>
                        </w14:solidFill>
                      </w14:textFill>
                    </w:rPr>
                    <w:t>危废暂存间，定期交由资质单位处置。危废暂存间采取重点防渗，防渗效果应满足导则及相关规范中的相关要求，等效黏土防渗层Mb≥6.0m，K≤1×10</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w:t>
                  </w:r>
                  <w:r>
                    <w:rPr>
                      <w:rFonts w:hint="default" w:ascii="Times New Roman" w:hAnsi="Times New Roman" w:eastAsia="宋体" w:cs="Times New Roman"/>
                      <w:color w:val="000000" w:themeColor="text1"/>
                      <w:sz w:val="21"/>
                      <w:szCs w:val="21"/>
                      <w:vertAlign w:val="superscript"/>
                      <w:lang w:val="en-US" w:eastAsia="zh-CN"/>
                      <w14:textFill>
                        <w14:solidFill>
                          <w14:schemeClr w14:val="tx1"/>
                        </w14:solidFill>
                      </w14:textFill>
                    </w:rPr>
                    <w:t>10</w:t>
                  </w:r>
                  <w:r>
                    <w:rPr>
                      <w:rFonts w:hint="default" w:ascii="Times New Roman" w:hAnsi="Times New Roman" w:eastAsia="宋体" w:cs="Times New Roman"/>
                      <w:color w:val="000000" w:themeColor="text1"/>
                      <w:sz w:val="21"/>
                      <w:szCs w:val="21"/>
                      <w14:textFill>
                        <w14:solidFill>
                          <w14:schemeClr w14:val="tx1"/>
                        </w14:solidFill>
                      </w14:textFill>
                    </w:rPr>
                    <w:t>cm/s。</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资源利用总体管控要求</w:t>
                  </w:r>
                </w:p>
              </w:tc>
              <w:tc>
                <w:tcPr>
                  <w:tcW w:w="2691" w:type="pct"/>
                  <w:shd w:val="clear" w:color="auto" w:fill="auto"/>
                  <w:vAlign w:val="center"/>
                </w:tcPr>
                <w:p>
                  <w:pPr>
                    <w:pStyle w:val="31"/>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
                      <w:bCs/>
                      <w:snapToGrid w:val="0"/>
                      <w:color w:val="000000" w:themeColor="text1"/>
                      <w:kern w:val="2"/>
                      <w:sz w:val="21"/>
                      <w:szCs w:val="21"/>
                      <w:highlight w:val="none"/>
                      <w:lang w:val="en-US" w:eastAsia="zh-CN" w:bidi="ar-SA"/>
                      <w14:textFill>
                        <w14:solidFill>
                          <w14:schemeClr w14:val="tx1"/>
                        </w14:solidFill>
                      </w14:textFill>
                    </w:rPr>
                    <w:t>水资源：</w:t>
                  </w: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1.严格禁限采区管理要求，在地下水禁止开采区，一律禁止开凿新的取水井，对已有的取水井应当制定计划逐步予以关停；在地下水限制开采区，一般不得开凿新的取水井，确需取用地下水的，应按用</w:t>
                  </w:r>
                  <w: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t>1</w:t>
                  </w: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减</w:t>
                  </w:r>
                  <w: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t>2</w:t>
                  </w: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的比例以及先减后加的原则同步削减其它取水单位的地下水用水量，且不得深层、浅层地下水相互替代；在地下水一般超采区，应当按照采补平衡原则严格控制开采地下水，限制取水量，并规划建设替代水源，采取措施增加地下水的有效补给。2.严格控制深层承压水开采，开采矿泉本地热水和建设地下水源热泵系统应当进行建设项目水资源论证，严格实行取水许可。3.全面提高用水效率。电力、钢铁、纺织、造纸、化工、食品发酵、制革等高耗水行业用水达到先进定额标准。</w:t>
                  </w:r>
                </w:p>
                <w:p>
                  <w:pPr>
                    <w:pStyle w:val="31"/>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b/>
                      <w:bCs/>
                      <w:snapToGrid w:val="0"/>
                      <w:color w:val="000000" w:themeColor="text1"/>
                      <w:kern w:val="2"/>
                      <w:sz w:val="21"/>
                      <w:szCs w:val="21"/>
                      <w:highlight w:val="none"/>
                      <w:lang w:val="en-US" w:eastAsia="zh-CN" w:bidi="ar-SA"/>
                      <w14:textFill>
                        <w14:solidFill>
                          <w14:schemeClr w14:val="tx1"/>
                        </w14:solidFill>
                      </w14:textFill>
                    </w:rPr>
                    <w:t>能源：</w:t>
                  </w: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1.调整优化能源供给结构。控制化石能源消费总量，推动非化石能源成为能源消费增量的主体。大力发展风能、太阳能等可再生能源发电，有序推动抚宁区抽水蓄能电站规划建设。加强天然气基础设施建设，扩大管道气覆盖范围。</w:t>
                  </w:r>
                </w:p>
                <w:p>
                  <w:pPr>
                    <w:pStyle w:val="31"/>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2.控制煤炭消费总量。全市煤炭消费总量持续下降，新（改、扩）建项目实施煤炭减量替代；完善燃气管网，健全天然气产供储销体系。3.实施终端用能清洁化替代。推动锅炉和工业炉窑使用清洁低碳能源或利用工厂余热、电厂热力等清洁能源替代。4.禁燃区内禁止原煤散烧，禁燃区内不得新建燃烧煤炭、重油、渣油等高污染燃料的设施；现有燃烧高污染燃料的设施，应当限期改用清洁能源。</w:t>
                  </w:r>
                  <w:r>
                    <w:rPr>
                      <w:rFonts w:hint="default" w:ascii="Times New Roman" w:hAnsi="Times New Roman" w:cs="Times New Roman"/>
                      <w:snapToGrid w:val="0"/>
                      <w:color w:val="000000" w:themeColor="text1"/>
                      <w:kern w:val="2"/>
                      <w:sz w:val="21"/>
                      <w:szCs w:val="21"/>
                      <w:highlight w:val="none"/>
                      <w:lang w:val="en-US" w:eastAsia="zh-CN" w:bidi="ar-SA"/>
                      <w14:textFill>
                        <w14:solidFill>
                          <w14:schemeClr w14:val="tx1"/>
                        </w14:solidFill>
                      </w14:textFill>
                    </w:rPr>
                    <w:t>5</w:t>
                  </w: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.对以煤、石油焦、渣油、重油等为燃料的工业炉窑，加快使用清洁低碳能源以及利用工厂余热、电厂热力等进行替代，禁止掺烧高硫石油焦（硫含量大于3%）。玻璃行业全面禁止掺烧高硫石油焦。</w:t>
                  </w:r>
                </w:p>
                <w:p>
                  <w:pPr>
                    <w:pStyle w:val="31"/>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土地资源：坚持最严格的节约用地制度，提高土地利用节约集约水平。</w:t>
                  </w:r>
                </w:p>
                <w:p>
                  <w:pPr>
                    <w:pStyle w:val="31"/>
                    <w:keepNext w:val="0"/>
                    <w:keepLines w:val="0"/>
                    <w:pageBreakBefore w:val="0"/>
                    <w:widowControl w:val="0"/>
                    <w:suppressLineNumbers w:val="0"/>
                    <w:kinsoku/>
                    <w:wordWrap/>
                    <w:overflowPunct/>
                    <w:topLinePunct w:val="0"/>
                    <w:autoSpaceDE/>
                    <w:autoSpaceDN/>
                    <w:bidi w:val="0"/>
                    <w:adjustRightInd/>
                    <w:snapToGrid/>
                    <w:spacing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b/>
                      <w:bCs/>
                      <w:snapToGrid w:val="0"/>
                      <w:color w:val="000000" w:themeColor="text1"/>
                      <w:kern w:val="2"/>
                      <w:sz w:val="21"/>
                      <w:szCs w:val="21"/>
                      <w:highlight w:val="none"/>
                      <w:lang w:val="en-US" w:eastAsia="zh-CN" w:bidi="ar-SA"/>
                      <w14:textFill>
                        <w14:solidFill>
                          <w14:schemeClr w14:val="tx1"/>
                        </w14:solidFill>
                      </w14:textFill>
                    </w:rPr>
                    <w:t>土地资源：</w:t>
                  </w:r>
                  <w:r>
                    <w:rPr>
                      <w:rFonts w:hint="default" w:ascii="Times New Roman" w:hAnsi="Times New Roman" w:eastAsia="宋体" w:cs="Times New Roman"/>
                      <w:snapToGrid w:val="0"/>
                      <w:color w:val="000000" w:themeColor="text1"/>
                      <w:kern w:val="2"/>
                      <w:sz w:val="21"/>
                      <w:szCs w:val="21"/>
                      <w:highlight w:val="none"/>
                      <w:lang w:val="en-US" w:eastAsia="zh-CN" w:bidi="ar-SA"/>
                      <w14:textFill>
                        <w14:solidFill>
                          <w14:schemeClr w14:val="tx1"/>
                        </w14:solidFill>
                      </w14:textFill>
                    </w:rPr>
                    <w:t>坚持最严格的节约用地制度，提高土地利用节约集约水平。优化建设用地布局，严格划定城市开发边界，统筹城乡发展，统筹安排生产、生活、生态用地，引导形成合理的空间开发格局。严格控制将划定的生态空间区域转为建设用地。</w:t>
                  </w:r>
                </w:p>
              </w:tc>
              <w:tc>
                <w:tcPr>
                  <w:tcW w:w="1445" w:type="pct"/>
                  <w:shd w:val="clear" w:color="auto" w:fill="auto"/>
                  <w:vAlign w:val="center"/>
                </w:tcPr>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b/>
                      <w:bCs/>
                      <w:color w:val="000000" w:themeColor="text1"/>
                      <w:sz w:val="21"/>
                      <w:szCs w:val="21"/>
                      <w:lang w:val="en-US" w:eastAsia="zh-CN"/>
                      <w14:textFill>
                        <w14:solidFill>
                          <w14:schemeClr w14:val="tx1"/>
                        </w14:solidFill>
                      </w14:textFill>
                    </w:rPr>
                    <w:t>水资源：</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w:t>
                  </w:r>
                  <w:r>
                    <w:rPr>
                      <w:rFonts w:hint="default" w:ascii="Times New Roman" w:hAnsi="Times New Roman" w:eastAsia="宋体" w:cs="Times New Roman"/>
                      <w:color w:val="000000" w:themeColor="text1"/>
                      <w:sz w:val="21"/>
                      <w:szCs w:val="21"/>
                      <w14:textFill>
                        <w14:solidFill>
                          <w14:schemeClr w14:val="tx1"/>
                        </w14:solidFill>
                      </w14:textFill>
                    </w:rPr>
                    <w:t>水源接自市政给水管网，用水环节为生活用水，新水用量合计为</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4500</w:t>
                  </w:r>
                  <w:r>
                    <w:rPr>
                      <w:rFonts w:hint="default" w:ascii="Times New Roman" w:hAnsi="Times New Roman" w:eastAsia="宋体" w:cs="Times New Roman"/>
                      <w:color w:val="000000" w:themeColor="text1"/>
                      <w:sz w:val="21"/>
                      <w:szCs w:val="21"/>
                      <w14:textFill>
                        <w14:solidFill>
                          <w14:schemeClr w14:val="tx1"/>
                        </w14:solidFill>
                      </w14:textFill>
                    </w:rPr>
                    <w:t>m</w:t>
                  </w:r>
                  <w:r>
                    <w:rPr>
                      <w:rFonts w:hint="default" w:ascii="Times New Roman" w:hAnsi="Times New Roman" w:eastAsia="宋体" w:cs="Times New Roman"/>
                      <w:color w:val="000000" w:themeColor="text1"/>
                      <w:sz w:val="21"/>
                      <w:szCs w:val="21"/>
                      <w:vertAlign w:val="superscript"/>
                      <w14:textFill>
                        <w14:solidFill>
                          <w14:schemeClr w14:val="tx1"/>
                        </w14:solidFill>
                      </w14:textFill>
                    </w:rPr>
                    <w:t>3</w:t>
                  </w:r>
                  <w:r>
                    <w:rPr>
                      <w:rFonts w:hint="default" w:ascii="Times New Roman" w:hAnsi="Times New Roman" w:eastAsia="宋体" w:cs="Times New Roman"/>
                      <w:color w:val="000000" w:themeColor="text1"/>
                      <w:sz w:val="21"/>
                      <w:szCs w:val="21"/>
                      <w14:textFill>
                        <w14:solidFill>
                          <w14:schemeClr w14:val="tx1"/>
                        </w14:solidFill>
                      </w14:textFill>
                    </w:rPr>
                    <w:t>/a；</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b/>
                      <w:bCs/>
                      <w:color w:val="000000" w:themeColor="text1"/>
                      <w:sz w:val="21"/>
                      <w:szCs w:val="21"/>
                      <w:lang w:val="en-US" w:eastAsia="zh-CN"/>
                      <w14:textFill>
                        <w14:solidFill>
                          <w14:schemeClr w14:val="tx1"/>
                        </w14:solidFill>
                      </w14:textFill>
                    </w:rPr>
                    <w:t>能源：</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w:t>
                  </w:r>
                  <w:r>
                    <w:rPr>
                      <w:rFonts w:hint="default" w:ascii="Times New Roman" w:hAnsi="Times New Roman" w:eastAsia="宋体" w:cs="Times New Roman"/>
                      <w:color w:val="000000" w:themeColor="text1"/>
                      <w:sz w:val="21"/>
                      <w:szCs w:val="21"/>
                      <w14:textFill>
                        <w14:solidFill>
                          <w14:schemeClr w14:val="tx1"/>
                        </w14:solidFill>
                      </w14:textFill>
                    </w:rPr>
                    <w:t>实施后用电量为</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60</w:t>
                  </w:r>
                  <w:r>
                    <w:rPr>
                      <w:rFonts w:hint="default" w:ascii="Times New Roman" w:hAnsi="Times New Roman" w:eastAsia="宋体" w:cs="Times New Roman"/>
                      <w:color w:val="000000" w:themeColor="text1"/>
                      <w:sz w:val="21"/>
                      <w:szCs w:val="21"/>
                      <w14:textFill>
                        <w14:solidFill>
                          <w14:schemeClr w14:val="tx1"/>
                        </w14:solidFill>
                      </w14:textFill>
                    </w:rPr>
                    <w:t>万kwh/a；</w:t>
                  </w:r>
                </w:p>
                <w:p>
                  <w:pPr>
                    <w:pStyle w:val="91"/>
                    <w:spacing w:before="0" w:after="0" w:line="360" w:lineRule="exact"/>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b/>
                      <w:bCs/>
                      <w:color w:val="000000" w:themeColor="text1"/>
                      <w:sz w:val="21"/>
                      <w:szCs w:val="21"/>
                      <w:lang w:val="en-US" w:eastAsia="zh-CN"/>
                      <w14:textFill>
                        <w14:solidFill>
                          <w14:schemeClr w14:val="tx1"/>
                        </w14:solidFill>
                      </w14:textFill>
                    </w:rPr>
                    <w:t>土地资源：</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本项目为工业用地</w:t>
                  </w:r>
                  <w:r>
                    <w:rPr>
                      <w:rFonts w:hint="default" w:ascii="Times New Roman" w:hAnsi="Times New Roman" w:eastAsia="宋体" w:cs="Times New Roman"/>
                      <w:color w:val="000000" w:themeColor="text1"/>
                      <w:sz w:val="21"/>
                      <w:szCs w:val="21"/>
                      <w14:textFill>
                        <w14:solidFill>
                          <w14:schemeClr w14:val="tx1"/>
                        </w14:solidFill>
                      </w14:textFill>
                    </w:rPr>
                    <w:t>。</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vMerge w:val="restar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center"/>
                    <w:textAlignment w:val="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产业布局总体管控要求</w:t>
                  </w:r>
                </w:p>
              </w:tc>
              <w:tc>
                <w:tcPr>
                  <w:tcW w:w="2691"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产业总体布局要求：</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1.禁止新建国家《产业结构调整指导目录（2024年本）》中限制类、淘汰类产业项目，《市场准入负面清单》中禁止准入类中的产业项目。</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2.严格控制建设《环境保护综合名录(2021版)》中的高污染、高风险产品加工项目。严格控制在生态脆弱或环境敏感地区建设高污染、高耗能”行业项目。</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3.严禁钢铁、焦化、水泥、平板玻璃、电解铝、有色金属冶炼、电石、铁合金、陶瓷等新增产能项目建设，鼓励建设大型超超临界和超临界机组，重点行业新（改、扩）建项目严格执行产能置换、煤炭、污染物倍量削减替代办法。</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4.推动钢铁、石化、化工等传统高耗能行业转型升级，同时优先淘汰高碳落后产能，严格控制高碳高耗能行业新增产能，利用秦皇岛区位优势，积极发展战略性新兴产业，加快推动现代服务业、高新技术产业和先进制造业发展。</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5.上一年度环境空气质量年均浓度不达标、水环境质量未达到要求的区县，相关新增污染物应按照建设项目所需替代的主要污染物排放总量指标的2倍进行削减替代（燃煤发电机组大气污染物排放浓度基本达到燃气轮机组排放限值的除外）；PM</w:t>
                  </w:r>
                  <w:r>
                    <w:rPr>
                      <w:rFonts w:hint="default" w:ascii="Times New Roman" w:hAnsi="Times New Roman" w:eastAsia="宋体" w:cs="Times New Roman"/>
                      <w:color w:val="000000" w:themeColor="text1"/>
                      <w:sz w:val="21"/>
                      <w:szCs w:val="21"/>
                      <w:highlight w:val="none"/>
                      <w:vertAlign w:val="subscript"/>
                      <w:lang w:bidi="ar-SA"/>
                      <w14:textFill>
                        <w14:solidFill>
                          <w14:schemeClr w14:val="tx1"/>
                        </w14:solidFill>
                      </w14:textFill>
                    </w:rPr>
                    <w:t>2.5</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年均浓度不达标的区县，二氧化硫、氮氧化物、烟粉尘、挥发性有机物四项污染物均需进行</w:t>
                  </w:r>
                  <w:r>
                    <w:rPr>
                      <w:rFonts w:hint="default" w:ascii="Times New Roman" w:hAnsi="Times New Roman" w:cs="Times New Roman"/>
                      <w:color w:val="000000" w:themeColor="text1"/>
                      <w:sz w:val="21"/>
                      <w:szCs w:val="21"/>
                      <w:highlight w:val="none"/>
                      <w:lang w:val="en-US" w:eastAsia="zh-CN" w:bidi="ar-SA"/>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倍削减替代（燃煤发电机组大气污染物排放浓度基本达到燃气轮机组排放限值的除外）。</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6.以钢铁、水泥、平板玻璃、焦化、化工、制药等行业为重点，加快城市建成区重污染企业搬迁改造或关闭退出，具备条件的钢铁、水泥、平板玻璃、焦化、化工、制药、陶瓷、铸造等重污染企业退出城市建成区，县城和主要城镇建成区的重污染企业逐步实施退城搬迁。对不符合国家产业政策、不符合当地产业布局规划的分散燃煤（燃重油等）炉窑，鼓励搬迁入园并进行集中治理，推进治理装备升级改造，建设规模化和集约化工业企业。</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left"/>
                    <w:textAlignment w:val="auto"/>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7.禁止在居民区、学校、医疗和养老机构等周边新建有色金属冶炼、焦化等行业企业。严格控制在优先保护类耕地集中区域新建有色金属冶炼、石油加工、化工、焦化、电镀、制革、制药、铅酸蓄电池行业企业。</w:t>
                  </w:r>
                </w:p>
              </w:tc>
              <w:tc>
                <w:tcPr>
                  <w:tcW w:w="1445" w:type="pct"/>
                  <w:shd w:val="clear" w:color="auto" w:fill="auto"/>
                  <w:vAlign w:val="center"/>
                </w:tcPr>
                <w:p>
                  <w:pPr>
                    <w:pStyle w:val="91"/>
                    <w:spacing w:before="0" w:after="0" w:line="360" w:lineRule="exact"/>
                    <w:ind w:firstLine="0" w:firstLineChars="0"/>
                    <w:jc w:val="left"/>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1.本项目</w:t>
                  </w:r>
                  <w:r>
                    <w:rPr>
                      <w:rFonts w:hint="default" w:ascii="Times New Roman" w:hAnsi="Times New Roman" w:eastAsia="宋体" w:cs="Times New Roman"/>
                      <w:color w:val="000000" w:themeColor="text1"/>
                      <w:sz w:val="21"/>
                      <w:szCs w:val="21"/>
                      <w14:textFill>
                        <w14:solidFill>
                          <w14:schemeClr w14:val="tx1"/>
                        </w14:solidFill>
                      </w14:textFill>
                    </w:rPr>
                    <w:t>为</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机器人及集成系统</w:t>
                  </w:r>
                  <w:r>
                    <w:rPr>
                      <w:rFonts w:hint="default" w:ascii="Times New Roman" w:hAnsi="Times New Roman" w:eastAsia="宋体" w:cs="Times New Roman"/>
                      <w:color w:val="000000" w:themeColor="text1"/>
                      <w:sz w:val="21"/>
                      <w:szCs w:val="21"/>
                      <w14:textFill>
                        <w14:solidFill>
                          <w14:schemeClr w14:val="tx1"/>
                        </w14:solidFill>
                      </w14:textFill>
                    </w:rPr>
                    <w:t>制造项目，属于《产业结构调整指导目录（2024年本）》中鼓励类</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项目</w:t>
                  </w:r>
                  <w:r>
                    <w:rPr>
                      <w:rFonts w:hint="default" w:ascii="Times New Roman" w:hAnsi="Times New Roman" w:eastAsia="宋体" w:cs="Times New Roman"/>
                      <w:color w:val="000000" w:themeColor="text1"/>
                      <w:sz w:val="21"/>
                      <w:szCs w:val="21"/>
                      <w14:textFill>
                        <w14:solidFill>
                          <w14:schemeClr w14:val="tx1"/>
                        </w14:solidFill>
                      </w14:textFill>
                    </w:rPr>
                    <w:t>，不属于《市场准入负面清单（202</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5</w:t>
                  </w:r>
                  <w:r>
                    <w:rPr>
                      <w:rFonts w:hint="default" w:ascii="Times New Roman" w:hAnsi="Times New Roman" w:eastAsia="宋体" w:cs="Times New Roman"/>
                      <w:color w:val="000000" w:themeColor="text1"/>
                      <w:sz w:val="21"/>
                      <w:szCs w:val="21"/>
                      <w14:textFill>
                        <w14:solidFill>
                          <w14:schemeClr w14:val="tx1"/>
                        </w14:solidFill>
                      </w14:textFill>
                    </w:rPr>
                    <w:t>年版）》中禁止</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准入类中的产业项目</w:t>
                  </w:r>
                  <w:r>
                    <w:rPr>
                      <w:rFonts w:hint="default" w:ascii="Times New Roman" w:hAnsi="Times New Roman" w:eastAsia="宋体" w:cs="Times New Roman"/>
                      <w:color w:val="000000" w:themeColor="text1"/>
                      <w:sz w:val="21"/>
                      <w:szCs w:val="21"/>
                      <w14:textFill>
                        <w14:solidFill>
                          <w14:schemeClr w14:val="tx1"/>
                        </w14:solidFill>
                      </w14:textFill>
                    </w:rPr>
                    <w:t>；</w:t>
                  </w:r>
                </w:p>
                <w:p>
                  <w:pPr>
                    <w:pStyle w:val="91"/>
                    <w:spacing w:before="0" w:after="0" w:line="360" w:lineRule="exact"/>
                    <w:ind w:firstLine="0" w:firstLineChars="0"/>
                    <w:jc w:val="left"/>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2.本项目</w:t>
                  </w:r>
                  <w:r>
                    <w:rPr>
                      <w:rFonts w:hint="default" w:ascii="Times New Roman" w:hAnsi="Times New Roman" w:eastAsia="宋体" w:cs="Times New Roman"/>
                      <w:color w:val="000000" w:themeColor="text1"/>
                      <w:sz w:val="21"/>
                      <w:szCs w:val="21"/>
                      <w14:textFill>
                        <w14:solidFill>
                          <w14:schemeClr w14:val="tx1"/>
                        </w14:solidFill>
                      </w14:textFill>
                    </w:rPr>
                    <w:t>为</w:t>
                  </w: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机器人及集成系统</w:t>
                  </w:r>
                  <w:r>
                    <w:rPr>
                      <w:rFonts w:hint="default" w:ascii="Times New Roman" w:hAnsi="Times New Roman" w:eastAsia="宋体" w:cs="Times New Roman"/>
                      <w:color w:val="000000" w:themeColor="text1"/>
                      <w:sz w:val="21"/>
                      <w:szCs w:val="21"/>
                      <w14:textFill>
                        <w14:solidFill>
                          <w14:schemeClr w14:val="tx1"/>
                        </w14:solidFill>
                      </w14:textFill>
                    </w:rPr>
                    <w:t>制造项目，不属于</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《环境保护综合名录(2021版)》中的高污染、高风险产品加工项目</w:t>
                  </w:r>
                </w:p>
                <w:p>
                  <w:pPr>
                    <w:pStyle w:val="91"/>
                    <w:spacing w:before="0" w:after="0" w:line="360" w:lineRule="exact"/>
                    <w:ind w:firstLine="0" w:firstLineChars="0"/>
                    <w:jc w:val="left"/>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3.4.6.7.本项目不涉及</w:t>
                  </w:r>
                </w:p>
                <w:p>
                  <w:pPr>
                    <w:pStyle w:val="91"/>
                    <w:spacing w:before="0" w:after="0" w:line="360" w:lineRule="exact"/>
                    <w:ind w:firstLine="0" w:firstLineChars="0"/>
                    <w:jc w:val="left"/>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5.本项目所在区域抚宁区为不达标区，</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烟粉尘、挥发性有机物均需进行</w:t>
                  </w:r>
                  <w:r>
                    <w:rPr>
                      <w:rFonts w:hint="default" w:ascii="Times New Roman" w:hAnsi="Times New Roman" w:cs="Times New Roman"/>
                      <w:color w:val="000000" w:themeColor="text1"/>
                      <w:sz w:val="21"/>
                      <w:szCs w:val="21"/>
                      <w:highlight w:val="none"/>
                      <w:lang w:val="en-US" w:eastAsia="zh-CN" w:bidi="ar-SA"/>
                      <w14:textFill>
                        <w14:solidFill>
                          <w14:schemeClr w14:val="tx1"/>
                        </w14:solidFill>
                      </w14:textFill>
                    </w:rPr>
                    <w:t>2</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倍削减替代</w:t>
                  </w:r>
                  <w:r>
                    <w:rPr>
                      <w:rFonts w:hint="default" w:ascii="Times New Roman" w:hAnsi="Times New Roman" w:eastAsia="宋体" w:cs="Times New Roman"/>
                      <w:color w:val="000000" w:themeColor="text1"/>
                      <w:sz w:val="21"/>
                      <w:szCs w:val="21"/>
                      <w:highlight w:val="none"/>
                      <w:lang w:val="en-US" w:eastAsia="zh-CN" w:bidi="ar-SA"/>
                      <w14:textFill>
                        <w14:solidFill>
                          <w14:schemeClr w14:val="tx1"/>
                        </w14:solidFill>
                      </w14:textFill>
                    </w:rPr>
                    <w:t>。</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449" w:type="pct"/>
                  <w:vMerge w:val="continue"/>
                  <w:shd w:val="clear" w:color="auto" w:fill="auto"/>
                  <w:vAlign w:val="center"/>
                </w:tcPr>
                <w:p>
                  <w:pPr>
                    <w:keepNext w:val="0"/>
                    <w:keepLines w:val="0"/>
                    <w:pageBreakBefore w:val="0"/>
                    <w:wordWrap/>
                    <w:overflowPunct/>
                    <w:topLinePunct w:val="0"/>
                    <w:bidi w:val="0"/>
                    <w:spacing w:line="240" w:lineRule="auto"/>
                    <w:ind w:left="0" w:leftChars="0" w:right="0" w:rightChars="0"/>
                    <w:textAlignment w:val="auto"/>
                    <w:rPr>
                      <w:rFonts w:hint="default" w:ascii="Times New Roman" w:hAnsi="Times New Roman" w:eastAsia="宋体" w:cs="Times New Roman"/>
                      <w:color w:val="000000" w:themeColor="text1"/>
                      <w:sz w:val="21"/>
                      <w:szCs w:val="21"/>
                      <w14:textFill>
                        <w14:solidFill>
                          <w14:schemeClr w14:val="tx1"/>
                        </w14:solidFill>
                      </w14:textFill>
                    </w:rPr>
                  </w:pPr>
                </w:p>
              </w:tc>
              <w:tc>
                <w:tcPr>
                  <w:tcW w:w="2691" w:type="pct"/>
                  <w:shd w:val="clear" w:color="auto" w:fill="auto"/>
                  <w:vAlign w:val="center"/>
                </w:tcPr>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项目入园准入要求：</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cs="Times New Roman"/>
                      <w:color w:val="000000" w:themeColor="text1"/>
                      <w:sz w:val="21"/>
                      <w:szCs w:val="21"/>
                      <w:highlight w:val="none"/>
                      <w:lang w:eastAsia="zh-CN"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1.县级以下原则不再建设新的园区，造纸、焦化、氮肥、有色金属、印染、原料药制造、皮革、农药、电镀、钢铁、石灰、平板玻璃、石化、化工等高污染工业项目必须入园进区，其他工业项目原则上也不在园区外布局。通过河北省、秦皇岛市化工重点监控点认证的化工企业可暂时不入园区，对其管控要求按河北省和秦皇岛市化工重点监控点认定管理办法执行</w:t>
                  </w:r>
                  <w:r>
                    <w:rPr>
                      <w:rFonts w:hint="default" w:ascii="Times New Roman" w:hAnsi="Times New Roman" w:cs="Times New Roman"/>
                      <w:color w:val="000000" w:themeColor="text1"/>
                      <w:sz w:val="21"/>
                      <w:szCs w:val="21"/>
                      <w:highlight w:val="none"/>
                      <w:lang w:eastAsia="zh-CN" w:bidi="ar-SA"/>
                      <w14:textFill>
                        <w14:solidFill>
                          <w14:schemeClr w14:val="tx1"/>
                        </w14:solidFill>
                      </w14:textFill>
                    </w:rPr>
                    <w:t>。</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 xml:space="preserve">2.加强园区规划及环评时效性。现有市县级工业区在遵从规划、规划环评及跟踪评价的要求前提下，严格遵循河北省、秦皇岛市对应环境管控单元生态环境准入要求。 </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3.对于以“园区”名义存在的工业大院或工业小区（无规划及环评）内的“散乱污”企业，严格整治标准，限期整治；对严重污染环境的企业</w:t>
                  </w:r>
                  <w:r>
                    <w:rPr>
                      <w:rFonts w:hint="default" w:ascii="Times New Roman" w:hAnsi="Times New Roman" w:cs="Times New Roman"/>
                      <w:color w:val="000000" w:themeColor="text1"/>
                      <w:sz w:val="21"/>
                      <w:szCs w:val="21"/>
                      <w:highlight w:val="none"/>
                      <w:lang w:eastAsia="zh-CN" w:bidi="ar-SA"/>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坚决依法依规处置到位。</w:t>
                  </w:r>
                </w:p>
                <w:p>
                  <w:pPr>
                    <w:pStyle w:val="30"/>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leftChars="0" w:right="0" w:rightChars="0" w:firstLine="0" w:firstLineChars="0"/>
                    <w:jc w:val="both"/>
                    <w:textAlignment w:val="auto"/>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highlight w:val="none"/>
                      <w:lang w:bidi="ar-SA"/>
                      <w14:textFill>
                        <w14:solidFill>
                          <w14:schemeClr w14:val="tx1"/>
                        </w14:solidFill>
                      </w14:textFill>
                    </w:rPr>
                    <w:t>4.推进现有企业向依法合规设立、环保设施齐全、符合规划环评要求的工业集聚区集中，明确工业企业入园时间表；确因不具备入园条件需原地保留的工业企业，明确保留条件，其中直排环境企业排放废水应达到排入水体功能区标准。</w:t>
                  </w:r>
                </w:p>
              </w:tc>
              <w:tc>
                <w:tcPr>
                  <w:tcW w:w="1445"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lang w:val="en-US" w:eastAsia="zh-CN"/>
                      <w14:textFill>
                        <w14:solidFill>
                          <w14:schemeClr w14:val="tx1"/>
                        </w14:solidFill>
                      </w14:textFill>
                    </w:rPr>
                    <w:t>本项目位于抚宁经济开发区北区三抚路西侧，环城北路北侧，位于开发区北区，属于智能制造产业，符合开发区总体规划定位和布局要求。</w:t>
                  </w:r>
                </w:p>
              </w:tc>
              <w:tc>
                <w:tcPr>
                  <w:tcW w:w="413" w:type="pct"/>
                  <w:shd w:val="clear" w:color="auto" w:fill="auto"/>
                  <w:vAlign w:val="center"/>
                </w:tcPr>
                <w:p>
                  <w:pPr>
                    <w:pStyle w:val="91"/>
                    <w:spacing w:before="0" w:after="0" w:line="360" w:lineRule="exact"/>
                    <w:jc w:val="center"/>
                    <w:rPr>
                      <w:rFonts w:hint="default" w:ascii="Times New Roman" w:hAnsi="Times New Roman" w:eastAsia="宋体" w:cs="Times New Roman"/>
                      <w:color w:val="000000" w:themeColor="text1"/>
                      <w:sz w:val="21"/>
                      <w:szCs w:val="21"/>
                      <w14:textFill>
                        <w14:solidFill>
                          <w14:schemeClr w14:val="tx1"/>
                        </w14:solidFill>
                      </w14:textFill>
                    </w:rPr>
                  </w:pPr>
                  <w:r>
                    <w:rPr>
                      <w:rFonts w:hint="default" w:ascii="Times New Roman" w:hAnsi="Times New Roman" w:eastAsia="宋体" w:cs="Times New Roman"/>
                      <w:color w:val="000000" w:themeColor="text1"/>
                      <w:sz w:val="21"/>
                      <w:szCs w:val="21"/>
                      <w14:textFill>
                        <w14:solidFill>
                          <w14:schemeClr w14:val="tx1"/>
                        </w14:solidFill>
                      </w14:textFill>
                    </w:rPr>
                    <w:t>符合</w:t>
                  </w: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eastAsia="宋体" w:cs="Times New Roman"/>
                <w:bCs/>
                <w:color w:val="000000"/>
                <w:sz w:val="24"/>
                <w:szCs w:val="24"/>
                <w:highlight w:val="none"/>
              </w:rPr>
            </w:pPr>
            <w:bookmarkStart w:id="4" w:name="_Hlk112147274"/>
            <w:r>
              <w:rPr>
                <w:rStyle w:val="81"/>
                <w:rFonts w:hint="default" w:ascii="Times New Roman" w:hAnsi="Times New Roman" w:cs="Times New Roman"/>
                <w:color w:val="000000"/>
                <w:sz w:val="24"/>
                <w:szCs w:val="24"/>
                <w:highlight w:val="none"/>
              </w:rPr>
              <w:t>综上，本项目实施符合</w:t>
            </w:r>
            <w:r>
              <w:rPr>
                <w:rStyle w:val="81"/>
                <w:rFonts w:hint="default" w:ascii="Times New Roman" w:hAnsi="Times New Roman" w:cs="Times New Roman"/>
                <w:color w:val="000000"/>
                <w:sz w:val="24"/>
                <w:szCs w:val="24"/>
                <w:highlight w:val="none"/>
                <w:lang w:val="en-US" w:eastAsia="zh-CN"/>
              </w:rPr>
              <w:t>秦皇岛市人民政府办公室关于印发《秦皇岛市生态环境准入清单（2023版）》（2024年6月）文件</w:t>
            </w:r>
            <w:r>
              <w:rPr>
                <w:rStyle w:val="81"/>
                <w:rFonts w:hint="default" w:ascii="Times New Roman" w:hAnsi="Times New Roman" w:cs="Times New Roman"/>
                <w:color w:val="000000"/>
                <w:sz w:val="24"/>
                <w:szCs w:val="24"/>
                <w:highlight w:val="none"/>
              </w:rPr>
              <w:t>要求</w:t>
            </w:r>
            <w:r>
              <w:rPr>
                <w:rFonts w:hint="default" w:ascii="Times New Roman" w:hAnsi="Times New Roman" w:eastAsia="宋体" w:cs="Times New Roman"/>
                <w:bCs/>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2" w:firstLineChars="200"/>
              <w:jc w:val="both"/>
              <w:textAlignment w:val="auto"/>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b/>
                <w:color w:val="000000"/>
                <w:sz w:val="24"/>
                <w:szCs w:val="24"/>
                <w:highlight w:val="none"/>
                <w:lang w:val="en-US" w:eastAsia="zh-CN"/>
              </w:rPr>
              <w:t>5、</w:t>
            </w:r>
            <w:r>
              <w:rPr>
                <w:rFonts w:hint="default" w:ascii="Times New Roman" w:hAnsi="Times New Roman" w:eastAsia="宋体" w:cs="Times New Roman"/>
                <w:b/>
                <w:bCs/>
                <w:color w:val="000000"/>
                <w:sz w:val="24"/>
                <w:szCs w:val="24"/>
                <w:highlight w:val="none"/>
              </w:rPr>
              <w:t>与《河北省生态环境保护“十四五”规划》中相关的要求符合性分析</w:t>
            </w:r>
          </w:p>
          <w:p>
            <w:pPr>
              <w:pStyle w:val="87"/>
              <w:widowControl w:val="0"/>
              <w:numPr>
                <w:ilvl w:val="0"/>
                <w:numId w:val="0"/>
              </w:numPr>
              <w:tabs>
                <w:tab w:val="clear" w:pos="420"/>
              </w:tabs>
              <w:spacing w:before="120" w:beforeLines="50"/>
              <w:ind w:left="0" w:leftChars="0" w:firstLine="422" w:firstLineChars="0"/>
              <w:jc w:val="both"/>
              <w:rPr>
                <w:rFonts w:hint="default" w:ascii="Times New Roman" w:hAnsi="Times New Roman" w:cs="Times New Roman"/>
                <w:color w:val="000000"/>
                <w:sz w:val="24"/>
                <w:szCs w:val="24"/>
                <w:highlight w:val="none"/>
              </w:rPr>
            </w:pPr>
            <w:r>
              <w:rPr>
                <w:rFonts w:hint="default" w:ascii="Times New Roman" w:hAnsi="Times New Roman" w:eastAsia="宋体" w:cs="Times New Roman"/>
                <w:b/>
                <w:bCs w:val="0"/>
                <w:color w:val="000000"/>
                <w:sz w:val="24"/>
                <w:szCs w:val="24"/>
                <w:highlight w:val="none"/>
                <w:lang w:val="en-US" w:eastAsia="zh-CN" w:bidi="ar-SA"/>
              </w:rPr>
              <w:t>表1-</w:t>
            </w:r>
            <w:r>
              <w:rPr>
                <w:rFonts w:hint="default" w:ascii="Times New Roman" w:hAnsi="Times New Roman" w:cs="Times New Roman"/>
                <w:b/>
                <w:bCs w:val="0"/>
                <w:color w:val="000000"/>
                <w:sz w:val="24"/>
                <w:szCs w:val="24"/>
                <w:highlight w:val="none"/>
                <w:lang w:val="en-US" w:eastAsia="zh-CN" w:bidi="ar-SA"/>
              </w:rPr>
              <w:t xml:space="preserve">4 </w:t>
            </w:r>
            <w:r>
              <w:rPr>
                <w:rFonts w:hint="default" w:ascii="Times New Roman" w:hAnsi="Times New Roman" w:cs="Times New Roman"/>
                <w:color w:val="000000"/>
                <w:sz w:val="24"/>
                <w:szCs w:val="24"/>
                <w:highlight w:val="none"/>
              </w:rPr>
              <w:t>本项目与河北省生态环境保护“十四五”规划符合性分析</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
              <w:gridCol w:w="4495"/>
              <w:gridCol w:w="1833"/>
              <w:gridCol w:w="6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类别</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文件要求</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本项目情况</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目标导向，准确把握生态环境保护总体要求</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（三）主要目标。</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生态环境质量持续改善。主要污染物排放持续减少，环境空气质量全面改善，优良天数比率持续提高，基本消除重污染天气。水环境质量稳步提升，水生态功能初步得到恢复，海洋生态环境稳中向好，城乡人居环境明显改善；</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2、环境风险得到有效防控。土壤污染风险得到有效管控，危险废物和新污染物治理能力明显增强，核与辐射环境风险有效管控，防范化解生态环境风险能力显著增强。</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本项目产生的颗粒物，经治理措施处理后可实现达标排放；企业</w:t>
                  </w:r>
                  <w:r>
                    <w:rPr>
                      <w:rFonts w:hint="default" w:ascii="Times New Roman" w:hAnsi="Times New Roman" w:cs="Times New Roman"/>
                      <w:color w:val="000000"/>
                      <w:sz w:val="21"/>
                      <w:szCs w:val="21"/>
                      <w:highlight w:val="none"/>
                      <w:lang w:val="en-US" w:eastAsia="zh-CN"/>
                    </w:rPr>
                    <w:t>按环评要求加强环境风险防控</w:t>
                  </w:r>
                  <w:r>
                    <w:rPr>
                      <w:rFonts w:hint="default" w:ascii="Times New Roman" w:hAnsi="Times New Roman" w:cs="Times New Roman"/>
                      <w:color w:val="000000"/>
                      <w:sz w:val="21"/>
                      <w:szCs w:val="21"/>
                      <w:highlight w:val="none"/>
                    </w:rPr>
                    <w:t>，将环境风险降至最低。</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创新引领，推动绿色低碳发展</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（二）加快产业绿色转型升级。</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加强宏观治理的环境政策支撑。加强能耗总量和强度双控、煤炭消费和污染物排放总量控制，强化市场准入约束，抑制高碳投资，严格控制高耗能高排放项目盲目发展。严禁新增钢铁、焦化、水泥熟料、平板玻璃、煤化工产能，合理控制煤制油气产能规模。依法依规加强节能审查事中事后监管。深化生态环境“放管服”改革，推进环评审批、生态环境监管和监督执法“正面清单”制度化、规范化，持续优化营商环境；2、优化重点行业企业布局。引导重点行业向环境容量充足、扩散条件较好区域布局；</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3、推进重点行业绿色转型。以钢铁、焦化、铸造、建材、有色、石化、化工、工业涂装、包装印刷、电镀、制革、石油开采、造纸、纺织印染、农副食品加工等行业为重点，开展全流程清洁化、循环化、低碳化改造，促进传统产业绿色转型升级。依法推进强制性清洁生产审核，行业、园区和产业集群探索开展整体审核；</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本项目不在“高耗能、高排放”项目管理目录内；</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本项目位于抚宁经济开发区范围内，符合园区规划；</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从工艺流程、设备的选择、能源消耗、污染物排放、环境管理等方面符合清洁生产要求。项目工艺设备成熟、能源消耗少、产生的污染物经处理后均达标排放，对周边环境影响较小，项目清洁生产水平处于国内先进水平。</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降碳减排，积极应对气候变化</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（一）做好碳达峰开篇布局。</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（二）控制温室气体排放。</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本项目碳排放量较小，能够为碳达峰布局做出贡献。</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精准治理，持续改善环境空气质量</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（二）推进工业领域污染减排。</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推动重点行业深度治理和超低排放。巩固钢铁、焦化、煤电、水泥、平板玻璃、陶瓷等行业超低排放成效，实施工艺全流程深度治理，全面加强无组织排放管控。推进砖瓦、石灰、铸造、铁合金、耐火材料等重点行业污染深度治理。以工业炉窑污染综合治理为重点，深化工业氮氧化物减排。开展生活垃圾焚烧烟气深度治理，探索研发二噁英治理和控制技术，到2025年，所有焚烧炉烟气达到生活垃圾焚烧大气污染物排放控制标准；深化重点行业挥发性有机物(VOCs)治理；</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本项目大气污染物满足相应污染物排放要求</w:t>
                  </w:r>
                  <w:r>
                    <w:rPr>
                      <w:rFonts w:hint="default" w:ascii="Times New Roman" w:hAnsi="Times New Roman" w:cs="Times New Roman"/>
                      <w:color w:val="000000"/>
                      <w:sz w:val="21"/>
                      <w:szCs w:val="21"/>
                      <w:highlight w:val="none"/>
                      <w:lang w:eastAsia="zh-CN"/>
                    </w:rPr>
                    <w:t>。</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协同防控，保障土壤地下水环境安全</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（一）强化污染源头防控。</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强化工业企业土壤污染风险防控。新(改、扩)建项目涉及有毒有害物质可能造成土壤污染的，落实土壤和地下水污染防治要求。开展典型行业企业用地及周边土壤污染状况调查，持续推进耕地周边涉重金属行业企业排查整治；</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3、严格控制重金属排放总量。新(改、扩)建涉重金属重点行业建设项目实施污染物排放减量替代；</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本项目运行过程中已做好防范措施，厂区内进行分区防渗，对土壤及地下水环境影响较小；本项目不涉及重金属排放。</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8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防治结合，构建固体废物监管体系</w:t>
                  </w:r>
                </w:p>
              </w:tc>
              <w:tc>
                <w:tcPr>
                  <w:tcW w:w="284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（一）规范危险废物环境管理。</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加大源头管控力度。严格执行危险废物名录管理制度，动态更新危险废物环境重点监管单位清单。严把涉危险废物工业项目环境准入关，落实工业危险废物排污许可制度。组织危险废物相关企业实施强制性清洁生产审核。鼓励生产者责任延伸，支持研发、推广减少工业危险废物产生量和降低工业危险废物危害性的生产工艺和设备；</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强化危险废物环境风险防控能力。强化对危险废物收集、贮存、处置单位的监管，严防危险废物超期超量贮存。推进智能化视频监控体系建设。在环境风险可控的前提下，鼓励工业企业对产生的危险废物回收再利用处置，开展“点对点”定向利用的危险废物经营许可豁免管理试点；</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（三）提高固体废物综合利用水平。</w:t>
                  </w:r>
                </w:p>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2、强化工业固体废物污染防治。持续开展非法和不规范堆存渣场排查整治，建立排污单位工业固体废物管理台账。</w:t>
                  </w:r>
                </w:p>
              </w:tc>
              <w:tc>
                <w:tcPr>
                  <w:tcW w:w="1158"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本项目采用先进设备，最大限度减少危险废物的产生；本项目危险废物暂存于</w:t>
                  </w:r>
                  <w:r>
                    <w:rPr>
                      <w:rFonts w:hint="default" w:ascii="Times New Roman" w:hAnsi="Times New Roman" w:cs="Times New Roman"/>
                      <w:color w:val="000000"/>
                      <w:sz w:val="21"/>
                      <w:szCs w:val="21"/>
                      <w:highlight w:val="none"/>
                      <w:lang w:val="en-US" w:eastAsia="zh-CN"/>
                    </w:rPr>
                    <w:t>危险废物暂存间</w:t>
                  </w:r>
                  <w:r>
                    <w:rPr>
                      <w:rFonts w:hint="default" w:ascii="Times New Roman" w:hAnsi="Times New Roman" w:cs="Times New Roman"/>
                      <w:color w:val="000000"/>
                      <w:sz w:val="21"/>
                      <w:szCs w:val="21"/>
                      <w:highlight w:val="none"/>
                    </w:rPr>
                    <w:t>，定期委托有资质单位外运处置；本项目固废全部合理处置，并要求建立管理过程台账，并保留记录</w:t>
                  </w:r>
                  <w:r>
                    <w:rPr>
                      <w:rFonts w:hint="default" w:ascii="Times New Roman" w:hAnsi="Times New Roman" w:cs="Times New Roman"/>
                      <w:color w:val="000000"/>
                      <w:sz w:val="21"/>
                      <w:szCs w:val="21"/>
                      <w:highlight w:val="none"/>
                      <w:lang w:eastAsia="zh-CN"/>
                    </w:rPr>
                    <w:t>。</w:t>
                  </w:r>
                </w:p>
              </w:tc>
              <w:tc>
                <w:tcPr>
                  <w:tcW w:w="411" w:type="pct"/>
                  <w:tcBorders>
                    <w:tl2br w:val="nil"/>
                    <w:tr2bl w:val="nil"/>
                  </w:tcBorders>
                  <w:noWrap w:val="0"/>
                  <w:vAlign w:val="center"/>
                </w:tcPr>
                <w:p>
                  <w:pPr>
                    <w:pStyle w:val="53"/>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jc w:val="both"/>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符合</w:t>
                  </w:r>
                </w:p>
              </w:tc>
            </w:tr>
            <w:bookmarkEnd w:id="4"/>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由上分析可知，本项目可以满足河北省生态环境</w:t>
            </w:r>
            <w:r>
              <w:rPr>
                <w:rFonts w:hint="default" w:ascii="Times New Roman" w:hAnsi="Times New Roman" w:eastAsia="宋体" w:cs="Times New Roman"/>
                <w:color w:val="000000"/>
                <w:sz w:val="24"/>
                <w:szCs w:val="24"/>
                <w:highlight w:val="none"/>
              </w:rPr>
              <w:t>保护“十四五”规划</w:t>
            </w:r>
            <w:r>
              <w:rPr>
                <w:rFonts w:hint="default" w:ascii="Times New Roman" w:hAnsi="Times New Roman" w:cs="Times New Roman"/>
                <w:color w:val="000000"/>
                <w:sz w:val="24"/>
                <w:szCs w:val="24"/>
                <w:highlight w:val="none"/>
              </w:rPr>
              <w:t>的相关要求。</w:t>
            </w:r>
          </w:p>
          <w:p>
            <w:pPr>
              <w:pStyle w:val="7"/>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left"/>
              <w:textAlignment w:val="auto"/>
              <w:rPr>
                <w:rFonts w:hint="default" w:ascii="Times New Roman" w:hAnsi="Times New Roman" w:eastAsia="宋体" w:cs="Times New Roman"/>
                <w:b/>
                <w:bCs/>
                <w:color w:val="000000"/>
                <w:sz w:val="24"/>
                <w:szCs w:val="24"/>
                <w:lang w:val="en-US" w:eastAsia="zh-CN"/>
              </w:rPr>
            </w:pPr>
            <w:r>
              <w:rPr>
                <w:rFonts w:hint="default" w:ascii="Times New Roman" w:hAnsi="Times New Roman" w:cs="Times New Roman"/>
                <w:b/>
                <w:bCs/>
                <w:color w:val="000000"/>
                <w:sz w:val="24"/>
                <w:szCs w:val="24"/>
                <w:lang w:val="en-US" w:eastAsia="zh-CN"/>
              </w:rPr>
              <w:t>6</w:t>
            </w:r>
            <w:r>
              <w:rPr>
                <w:rFonts w:hint="default" w:ascii="Times New Roman" w:hAnsi="Times New Roman" w:eastAsia="宋体" w:cs="Times New Roman"/>
                <w:b/>
                <w:bCs/>
                <w:color w:val="000000"/>
                <w:sz w:val="24"/>
                <w:szCs w:val="24"/>
                <w:lang w:val="en-US" w:eastAsia="zh-CN"/>
              </w:rPr>
              <w:t>、</w:t>
            </w:r>
            <w:r>
              <w:rPr>
                <w:rFonts w:hint="default" w:ascii="Times New Roman" w:hAnsi="Times New Roman" w:cs="Times New Roman"/>
                <w:b/>
                <w:bCs/>
                <w:color w:val="000000"/>
                <w:sz w:val="24"/>
                <w:szCs w:val="24"/>
                <w:lang w:val="en-US" w:eastAsia="zh-CN"/>
              </w:rPr>
              <w:t>与</w:t>
            </w:r>
            <w:r>
              <w:rPr>
                <w:rFonts w:hint="default" w:ascii="Times New Roman" w:hAnsi="Times New Roman" w:eastAsia="宋体" w:cs="Times New Roman"/>
                <w:b/>
                <w:bCs/>
                <w:color w:val="000000"/>
                <w:sz w:val="24"/>
                <w:szCs w:val="24"/>
                <w:lang w:val="en-US" w:eastAsia="zh-CN"/>
              </w:rPr>
              <w:t>《生态环境部重污染天气重点行业绩效分级及减排措施 工业涂装》</w:t>
            </w:r>
            <w:r>
              <w:rPr>
                <w:rFonts w:hint="default" w:ascii="Times New Roman" w:hAnsi="Times New Roman" w:cs="Times New Roman"/>
                <w:b/>
                <w:bCs/>
                <w:color w:val="000000"/>
                <w:sz w:val="24"/>
                <w:szCs w:val="24"/>
                <w:lang w:val="en-US" w:eastAsia="zh-CN"/>
              </w:rPr>
              <w:t>中相关要求符合性分析</w:t>
            </w:r>
          </w:p>
          <w:p>
            <w:pPr>
              <w:pStyle w:val="7"/>
              <w:keepNext w:val="0"/>
              <w:keepLines w:val="0"/>
              <w:pageBreakBefore w:val="0"/>
              <w:widowControl w:val="0"/>
              <w:kinsoku/>
              <w:wordWrap/>
              <w:overflowPunct/>
              <w:topLinePunct w:val="0"/>
              <w:autoSpaceDE/>
              <w:autoSpaceDN/>
              <w:bidi w:val="0"/>
              <w:adjustRightInd/>
              <w:snapToGrid/>
              <w:spacing w:line="480" w:lineRule="exact"/>
              <w:ind w:left="0" w:leftChars="0" w:firstLine="0" w:firstLineChars="0"/>
              <w:jc w:val="center"/>
              <w:textAlignment w:val="auto"/>
              <w:rPr>
                <w:rFonts w:hint="default" w:ascii="Times New Roman" w:hAnsi="Times New Roman" w:cs="Times New Roman"/>
                <w:color w:val="000000"/>
                <w:sz w:val="24"/>
                <w:szCs w:val="24"/>
                <w:highlight w:val="none"/>
              </w:rPr>
            </w:pPr>
            <w:r>
              <w:rPr>
                <w:rFonts w:hint="default" w:ascii="Times New Roman" w:hAnsi="Times New Roman" w:eastAsia="宋体" w:cs="Times New Roman"/>
                <w:b/>
                <w:bCs w:val="0"/>
                <w:color w:val="000000"/>
                <w:sz w:val="24"/>
                <w:szCs w:val="24"/>
                <w:highlight w:val="none"/>
                <w:lang w:val="en-US" w:eastAsia="zh-CN" w:bidi="ar-SA"/>
              </w:rPr>
              <w:t>表1-</w:t>
            </w:r>
            <w:r>
              <w:rPr>
                <w:rFonts w:hint="default" w:ascii="Times New Roman" w:hAnsi="Times New Roman" w:cs="Times New Roman"/>
                <w:b/>
                <w:bCs w:val="0"/>
                <w:color w:val="000000"/>
                <w:sz w:val="24"/>
                <w:szCs w:val="24"/>
                <w:highlight w:val="none"/>
                <w:lang w:val="en-US" w:eastAsia="zh-CN" w:bidi="ar-SA"/>
              </w:rPr>
              <w:t xml:space="preserve">5 </w:t>
            </w:r>
            <w:r>
              <w:rPr>
                <w:rFonts w:hint="default" w:ascii="Times New Roman" w:hAnsi="Times New Roman" w:cs="Times New Roman"/>
                <w:color w:val="000000"/>
                <w:sz w:val="24"/>
                <w:szCs w:val="24"/>
                <w:highlight w:val="none"/>
              </w:rPr>
              <w:t>本项目与《生态环境部重污染天气重点行业绩效分级及减排措施 工业涂装》符合性分析</w:t>
            </w:r>
          </w:p>
          <w:tbl>
            <w:tblPr>
              <w:tblStyle w:val="3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
              <w:gridCol w:w="3471"/>
              <w:gridCol w:w="2889"/>
              <w:gridCol w:w="6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差异化指标</w:t>
                  </w:r>
                </w:p>
              </w:tc>
              <w:tc>
                <w:tcPr>
                  <w:tcW w:w="2192"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B级企业</w:t>
                  </w:r>
                </w:p>
              </w:tc>
              <w:tc>
                <w:tcPr>
                  <w:tcW w:w="1826"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本项目</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原辅材料</w:t>
                  </w: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使用符合《船舶涂料中有害物质限量》（GB38469-2019）、《木器涂料中有害物质限量》（GB18581-2020）、《车辆涂料中有害物质限量》（GB24409-2020）、《工业防护涂料中有害物质限量》（GB30981-2020）等标准规定的水性、无溶剂、辐射固化涂料产品；</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2、使用符合《低挥发性有机化合物含量涂料产品技术要求》（GB/T 38597-2020）规定的溶剂型涂料产品</w:t>
                  </w:r>
                </w:p>
              </w:tc>
              <w:tc>
                <w:tcPr>
                  <w:tcW w:w="1826" w:type="pct"/>
                  <w:vMerge w:val="restar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1、使用符合《工业防护涂料中有害物质限量》（GB30981-2020）等标准规定的水性、无溶剂、辐射固化涂料产品；</w:t>
                  </w:r>
                </w:p>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2、使用符合《低挥发性有机化合物含量涂料产品技术要求》（GB/T 38597-2020）规定的溶剂型涂料产品</w:t>
                  </w:r>
                </w:p>
              </w:tc>
              <w:tc>
                <w:tcPr>
                  <w:tcW w:w="424"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continue"/>
                  <w:vAlign w:val="center"/>
                </w:tcPr>
                <w:p>
                  <w:pPr>
                    <w:pStyle w:val="24"/>
                    <w:jc w:val="center"/>
                    <w:rPr>
                      <w:rFonts w:hint="default" w:ascii="Times New Roman" w:hAnsi="Times New Roman" w:cs="Times New Roman"/>
                      <w:vertAlign w:val="baseline"/>
                      <w:lang w:val="en-US" w:eastAsia="zh-CN"/>
                    </w:rPr>
                  </w:pP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备注：对于申报A、B级的企业，若某一工序使用的涂料无低VOCs含量涂料产品替代方案，其VOCs含量应满足《船舶涂料中有害物质限量》（GB38469-2019）、《木器涂料中有害物质限量》（GB18581-2020）、《车辆涂料中有害物质限量》（GB24409-2020）、《工业防护涂料中有害物质限量》（GB30981-2020）等标准的要求</w:t>
                  </w:r>
                </w:p>
              </w:tc>
              <w:tc>
                <w:tcPr>
                  <w:tcW w:w="1826" w:type="pct"/>
                  <w:vMerge w:val="continue"/>
                  <w:vAlign w:val="center"/>
                </w:tcPr>
                <w:p>
                  <w:pPr>
                    <w:pStyle w:val="24"/>
                    <w:jc w:val="center"/>
                    <w:rPr>
                      <w:rFonts w:hint="default" w:ascii="Times New Roman" w:hAnsi="Times New Roman" w:cs="Times New Roman"/>
                      <w:vertAlign w:val="baseline"/>
                      <w:lang w:val="en-US" w:eastAsia="zh-CN"/>
                    </w:rPr>
                  </w:pPr>
                </w:p>
              </w:tc>
              <w:tc>
                <w:tcPr>
                  <w:tcW w:w="424" w:type="pct"/>
                  <w:vMerge w:val="continue"/>
                  <w:vAlign w:val="center"/>
                </w:tcPr>
                <w:p>
                  <w:pPr>
                    <w:pStyle w:val="24"/>
                    <w:jc w:val="center"/>
                    <w:rPr>
                      <w:rFonts w:hint="default" w:ascii="Times New Roman" w:hAnsi="Times New Roman" w:cs="Times New Roman"/>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无组织排放</w:t>
                  </w:r>
                </w:p>
              </w:tc>
              <w:tc>
                <w:tcPr>
                  <w:tcW w:w="2192" w:type="pct"/>
                  <w:vAlign w:val="center"/>
                </w:tcPr>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1、满足《挥发性有机物无组织排放控制标准》（GB37822-2019）特别控制要求；</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2、VOCs物料存储于密闭容器或包装袋中，盛装VOCs物料的容器或包装袋存放于密闭负压的储库、料仓内；</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3、除大型工件特殊作业（例如，船舶制造行业的分段总组、船台、船坞、造船、码头等涂装工序）外，调漆、喷漆、流平、烘干、清洗等工序在密闭设备或密闭负压空间内操作；</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4、密闭回收废清洗剂；</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5、建设干式喷漆房；使用湿式喷漆房时，循环水泵间和刮渣间应密闭，安装废气收集设施；</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6、采用静电喷涂、自动喷涂、高压无气喷涂或高流低压（HVLP）喷枪等高效涂装技术，不可使用手动空气喷涂技术</w:t>
                  </w:r>
                </w:p>
              </w:tc>
              <w:tc>
                <w:tcPr>
                  <w:tcW w:w="1826" w:type="pct"/>
                  <w:vAlign w:val="center"/>
                </w:tcPr>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1、满足《挥发性有机物无组织排放控制标准》（GB37822-2019）特别控制要求；</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2、VOCs物料存储于密闭容器中，盛装VOCs物料的容器存放于密闭负压的喷漆房内；</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3、调漆、喷漆、流平、烘干、清洗等工序在密闭喷漆房内操作；</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4、密闭回收废清洗剂；</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5、建设干式喷漆房；</w:t>
                  </w:r>
                </w:p>
                <w:p>
                  <w:pPr>
                    <w:pStyle w:val="24"/>
                    <w:jc w:val="center"/>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6、采用自动喷涂、高压无气喷涂等高效涂装技术</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VOCs治污设施</w:t>
                  </w:r>
                </w:p>
              </w:tc>
              <w:tc>
                <w:tcPr>
                  <w:tcW w:w="2192" w:type="pct"/>
                  <w:vAlign w:val="center"/>
                </w:tcPr>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1、喷涂废气设置干式的石灰石、纸盒或湿式的文丘里等高效漆雾处理装置；</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2、使用溶剂型涂料时，调漆、喷漆、流平、烘干、清洗等工序含VOCs废气采用吸附浓缩+燃烧、燃烧等治理技术，处理效率≥85%；</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3、使用水性涂料（含水性UV）时，当车间或生产设施排气中NMHC初始排放速率≥2kg/h时，建设末端治污设施</w:t>
                  </w:r>
                </w:p>
              </w:tc>
              <w:tc>
                <w:tcPr>
                  <w:tcW w:w="1826" w:type="pct"/>
                  <w:vMerge w:val="restart"/>
                  <w:vAlign w:val="center"/>
                </w:tcPr>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本项目喷漆房含VOCs废气采用干式过滤+活性炭吸附+催化燃烧治理技术，处理效率≥85%；</w:t>
                  </w:r>
                </w:p>
              </w:tc>
              <w:tc>
                <w:tcPr>
                  <w:tcW w:w="424" w:type="pct"/>
                  <w:vMerge w:val="restart"/>
                  <w:vAlign w:val="center"/>
                </w:tcPr>
                <w:p>
                  <w:pPr>
                    <w:pStyle w:val="24"/>
                    <w:jc w:val="center"/>
                    <w:rPr>
                      <w:rFonts w:hint="default" w:ascii="Times New Roman" w:hAnsi="Times New Roman" w:cs="Times New Roman"/>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continue"/>
                  <w:vAlign w:val="center"/>
                </w:tcPr>
                <w:p>
                  <w:pPr>
                    <w:pStyle w:val="24"/>
                    <w:jc w:val="center"/>
                    <w:rPr>
                      <w:rFonts w:hint="default" w:ascii="Times New Roman" w:hAnsi="Times New Roman" w:cs="Times New Roman"/>
                      <w:vertAlign w:val="baseline"/>
                      <w:lang w:val="en-US" w:eastAsia="zh-CN"/>
                    </w:rPr>
                  </w:pP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备注：采用粉末涂料或VOCs含量≤60g/L的无溶剂涂料时，排放浓度稳定达标且排放速率、排放绩效等满足相关规定的，相应生产工序可不要求建设末端治理设施</w:t>
                  </w:r>
                </w:p>
              </w:tc>
              <w:tc>
                <w:tcPr>
                  <w:tcW w:w="1826" w:type="pct"/>
                  <w:vMerge w:val="continue"/>
                  <w:vAlign w:val="center"/>
                </w:tcPr>
                <w:p>
                  <w:pPr>
                    <w:pStyle w:val="24"/>
                    <w:jc w:val="center"/>
                    <w:rPr>
                      <w:rFonts w:hint="default" w:ascii="Times New Roman" w:hAnsi="Times New Roman" w:cs="Times New Roman"/>
                      <w:vertAlign w:val="baseline"/>
                      <w:lang w:val="en-US" w:eastAsia="zh-CN"/>
                    </w:rPr>
                  </w:pPr>
                </w:p>
              </w:tc>
              <w:tc>
                <w:tcPr>
                  <w:tcW w:w="424" w:type="pct"/>
                  <w:vMerge w:val="continue"/>
                  <w:vAlign w:val="center"/>
                </w:tcPr>
                <w:p>
                  <w:pPr>
                    <w:pStyle w:val="24"/>
                    <w:jc w:val="center"/>
                    <w:rPr>
                      <w:rFonts w:hint="default" w:ascii="Times New Roman" w:hAnsi="Times New Roman" w:cs="Times New Roman"/>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排放限值</w:t>
                  </w: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1、在连续一年的监测数据中，车间或生产设施排气筒排放的NMHC为30-40mg/m</w:t>
                  </w:r>
                  <w:r>
                    <w:rPr>
                      <w:rFonts w:hint="default" w:ascii="Times New Roman" w:hAnsi="Times New Roman" w:cs="Times New Roman"/>
                      <w:vertAlign w:val="superscript"/>
                      <w:lang w:val="en-US" w:eastAsia="zh-CN"/>
                    </w:rPr>
                    <w:t>3</w:t>
                  </w:r>
                  <w:r>
                    <w:rPr>
                      <w:rFonts w:hint="default" w:ascii="Times New Roman" w:hAnsi="Times New Roman" w:cs="Times New Roman"/>
                      <w:vertAlign w:val="baseline"/>
                      <w:lang w:val="en-US" w:eastAsia="zh-CN"/>
                    </w:rPr>
                    <w:t>、TVOC为50-60mg/m</w:t>
                  </w:r>
                  <w:r>
                    <w:rPr>
                      <w:rFonts w:hint="default" w:ascii="Times New Roman" w:hAnsi="Times New Roman" w:cs="Times New Roman"/>
                      <w:vertAlign w:val="superscript"/>
                      <w:lang w:val="en-US" w:eastAsia="zh-CN"/>
                    </w:rPr>
                    <w:t>3</w:t>
                  </w:r>
                  <w:r>
                    <w:rPr>
                      <w:rFonts w:hint="default" w:ascii="Times New Roman" w:hAnsi="Times New Roman" w:cs="Times New Roman"/>
                      <w:vertAlign w:val="baseline"/>
                      <w:lang w:val="en-US" w:eastAsia="zh-CN"/>
                    </w:rPr>
                    <w:t>；</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2、厂区内无组织排放监控点NMHC的小时平均浓度值不超过6mg/m</w:t>
                  </w:r>
                  <w:r>
                    <w:rPr>
                      <w:rFonts w:hint="default" w:ascii="Times New Roman" w:hAnsi="Times New Roman" w:cs="Times New Roman"/>
                      <w:vertAlign w:val="superscript"/>
                      <w:lang w:val="en-US" w:eastAsia="zh-CN"/>
                    </w:rPr>
                    <w:t>3</w:t>
                  </w:r>
                  <w:r>
                    <w:rPr>
                      <w:rFonts w:hint="default" w:ascii="Times New Roman" w:hAnsi="Times New Roman" w:cs="Times New Roman"/>
                      <w:vertAlign w:val="baseline"/>
                      <w:lang w:val="en-US" w:eastAsia="zh-CN"/>
                    </w:rPr>
                    <w:t>、任意一次浓度值不超过20mg/m</w:t>
                  </w:r>
                  <w:r>
                    <w:rPr>
                      <w:rFonts w:hint="default" w:ascii="Times New Roman" w:hAnsi="Times New Roman" w:cs="Times New Roman"/>
                      <w:vertAlign w:val="superscript"/>
                      <w:lang w:val="en-US" w:eastAsia="zh-CN"/>
                    </w:rPr>
                    <w:t>3</w:t>
                  </w:r>
                  <w:r>
                    <w:rPr>
                      <w:rFonts w:hint="default" w:ascii="Times New Roman" w:hAnsi="Times New Roman" w:cs="Times New Roman"/>
                      <w:vertAlign w:val="baseline"/>
                      <w:lang w:val="en-US" w:eastAsia="zh-CN"/>
                    </w:rPr>
                    <w:t>；</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3、其他各项污染物稳定达到现行排放控制要求，并从严地方要求</w:t>
                  </w:r>
                </w:p>
              </w:tc>
              <w:tc>
                <w:tcPr>
                  <w:tcW w:w="1826" w:type="pct"/>
                  <w:vMerge w:val="restart"/>
                  <w:vAlign w:val="center"/>
                </w:tcPr>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1、在连续一年的监测数据中，车间或生产设施排气筒排放的NMHC为30-40mg/m</w:t>
                  </w:r>
                  <w:r>
                    <w:rPr>
                      <w:rFonts w:hint="default" w:ascii="Times New Roman" w:hAnsi="Times New Roman" w:cs="Times New Roman"/>
                      <w:color w:val="000000" w:themeColor="text1"/>
                      <w:vertAlign w:val="superscript"/>
                      <w:lang w:val="en-US" w:eastAsia="zh-CN"/>
                      <w14:textFill>
                        <w14:solidFill>
                          <w14:schemeClr w14:val="tx1"/>
                        </w14:solidFill>
                      </w14:textFill>
                    </w:rPr>
                    <w:t>3</w:t>
                  </w:r>
                  <w:r>
                    <w:rPr>
                      <w:rFonts w:hint="default" w:ascii="Times New Roman" w:hAnsi="Times New Roman" w:cs="Times New Roman"/>
                      <w:color w:val="000000" w:themeColor="text1"/>
                      <w:vertAlign w:val="baseline"/>
                      <w:lang w:val="en-US" w:eastAsia="zh-CN"/>
                      <w14:textFill>
                        <w14:solidFill>
                          <w14:schemeClr w14:val="tx1"/>
                        </w14:solidFill>
                      </w14:textFill>
                    </w:rPr>
                    <w:t>、TVOC为50-60mg/m</w:t>
                  </w:r>
                  <w:r>
                    <w:rPr>
                      <w:rFonts w:hint="default" w:ascii="Times New Roman" w:hAnsi="Times New Roman" w:cs="Times New Roman"/>
                      <w:color w:val="000000" w:themeColor="text1"/>
                      <w:vertAlign w:val="superscript"/>
                      <w:lang w:val="en-US" w:eastAsia="zh-CN"/>
                      <w14:textFill>
                        <w14:solidFill>
                          <w14:schemeClr w14:val="tx1"/>
                        </w14:solidFill>
                      </w14:textFill>
                    </w:rPr>
                    <w:t>3</w:t>
                  </w:r>
                  <w:r>
                    <w:rPr>
                      <w:rFonts w:hint="default" w:ascii="Times New Roman" w:hAnsi="Times New Roman" w:cs="Times New Roman"/>
                      <w:color w:val="000000" w:themeColor="text1"/>
                      <w:vertAlign w:val="baseline"/>
                      <w:lang w:val="en-US" w:eastAsia="zh-CN"/>
                      <w14:textFill>
                        <w14:solidFill>
                          <w14:schemeClr w14:val="tx1"/>
                        </w14:solidFill>
                      </w14:textFill>
                    </w:rPr>
                    <w:t>；</w:t>
                  </w:r>
                </w:p>
                <w:p>
                  <w:pPr>
                    <w:pStyle w:val="24"/>
                    <w:jc w:val="left"/>
                    <w:rPr>
                      <w:rFonts w:hint="default" w:ascii="Times New Roman" w:hAnsi="Times New Roman" w:cs="Times New Roman"/>
                      <w:color w:val="000000" w:themeColor="text1"/>
                      <w:vertAlign w:val="baseline"/>
                      <w:lang w:val="en-US" w:eastAsia="zh-CN"/>
                      <w14:textFill>
                        <w14:solidFill>
                          <w14:schemeClr w14:val="tx1"/>
                        </w14:solidFill>
                      </w14:textFill>
                    </w:rPr>
                  </w:pPr>
                  <w:r>
                    <w:rPr>
                      <w:rFonts w:hint="default" w:ascii="Times New Roman" w:hAnsi="Times New Roman" w:cs="Times New Roman"/>
                      <w:color w:val="000000" w:themeColor="text1"/>
                      <w:vertAlign w:val="baseline"/>
                      <w:lang w:val="en-US" w:eastAsia="zh-CN"/>
                      <w14:textFill>
                        <w14:solidFill>
                          <w14:schemeClr w14:val="tx1"/>
                        </w14:solidFill>
                      </w14:textFill>
                    </w:rPr>
                    <w:t>2、厂区内无组织排放监控点NMHC的小时平均浓度值不超过6mg/m</w:t>
                  </w:r>
                  <w:r>
                    <w:rPr>
                      <w:rFonts w:hint="default" w:ascii="Times New Roman" w:hAnsi="Times New Roman" w:cs="Times New Roman"/>
                      <w:color w:val="000000" w:themeColor="text1"/>
                      <w:vertAlign w:val="superscript"/>
                      <w:lang w:val="en-US" w:eastAsia="zh-CN"/>
                      <w14:textFill>
                        <w14:solidFill>
                          <w14:schemeClr w14:val="tx1"/>
                        </w14:solidFill>
                      </w14:textFill>
                    </w:rPr>
                    <w:t>3</w:t>
                  </w:r>
                  <w:r>
                    <w:rPr>
                      <w:rFonts w:hint="default" w:ascii="Times New Roman" w:hAnsi="Times New Roman" w:cs="Times New Roman"/>
                      <w:color w:val="000000" w:themeColor="text1"/>
                      <w:vertAlign w:val="baseline"/>
                      <w:lang w:val="en-US" w:eastAsia="zh-CN"/>
                      <w14:textFill>
                        <w14:solidFill>
                          <w14:schemeClr w14:val="tx1"/>
                        </w14:solidFill>
                      </w14:textFill>
                    </w:rPr>
                    <w:t>、任意一次浓度值不超过20mg/m</w:t>
                  </w:r>
                  <w:r>
                    <w:rPr>
                      <w:rFonts w:hint="default" w:ascii="Times New Roman" w:hAnsi="Times New Roman" w:cs="Times New Roman"/>
                      <w:color w:val="000000" w:themeColor="text1"/>
                      <w:vertAlign w:val="superscript"/>
                      <w:lang w:val="en-US" w:eastAsia="zh-CN"/>
                      <w14:textFill>
                        <w14:solidFill>
                          <w14:schemeClr w14:val="tx1"/>
                        </w14:solidFill>
                      </w14:textFill>
                    </w:rPr>
                    <w:t>3</w:t>
                  </w:r>
                  <w:r>
                    <w:rPr>
                      <w:rFonts w:hint="default" w:ascii="Times New Roman" w:hAnsi="Times New Roman" w:cs="Times New Roman"/>
                      <w:color w:val="000000" w:themeColor="text1"/>
                      <w:vertAlign w:val="baseline"/>
                      <w:lang w:val="en-US" w:eastAsia="zh-CN"/>
                      <w14:textFill>
                        <w14:solidFill>
                          <w14:schemeClr w14:val="tx1"/>
                        </w14:solidFill>
                      </w14:textFill>
                    </w:rPr>
                    <w:t>；</w:t>
                  </w:r>
                </w:p>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color w:val="000000" w:themeColor="text1"/>
                      <w:vertAlign w:val="baseline"/>
                      <w:lang w:val="en-US" w:eastAsia="zh-CN"/>
                      <w14:textFill>
                        <w14:solidFill>
                          <w14:schemeClr w14:val="tx1"/>
                        </w14:solidFill>
                      </w14:textFill>
                    </w:rPr>
                    <w:t>3、其他各项污染物稳定达到现行排放控制要求，并从严地方要求</w:t>
                  </w:r>
                </w:p>
              </w:tc>
              <w:tc>
                <w:tcPr>
                  <w:tcW w:w="424"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continue"/>
                  <w:vAlign w:val="center"/>
                </w:tcPr>
                <w:p>
                  <w:pPr>
                    <w:pStyle w:val="24"/>
                    <w:jc w:val="center"/>
                    <w:rPr>
                      <w:rFonts w:hint="default" w:ascii="Times New Roman" w:hAnsi="Times New Roman" w:cs="Times New Roman"/>
                      <w:vertAlign w:val="baseline"/>
                      <w:lang w:val="en-US" w:eastAsia="zh-CN"/>
                    </w:rPr>
                  </w:pP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备注：车间或生产设施排气筒排放的TVOC浓度限值要求待相应的监测标准发布后执行</w:t>
                  </w:r>
                </w:p>
              </w:tc>
              <w:tc>
                <w:tcPr>
                  <w:tcW w:w="1826" w:type="pct"/>
                  <w:vMerge w:val="continue"/>
                  <w:vAlign w:val="center"/>
                </w:tcPr>
                <w:p>
                  <w:pPr>
                    <w:pStyle w:val="24"/>
                    <w:jc w:val="center"/>
                    <w:rPr>
                      <w:rFonts w:hint="default" w:ascii="Times New Roman" w:hAnsi="Times New Roman" w:cs="Times New Roman"/>
                      <w:vertAlign w:val="baseline"/>
                      <w:lang w:val="en-US" w:eastAsia="zh-CN"/>
                    </w:rPr>
                  </w:pPr>
                </w:p>
              </w:tc>
              <w:tc>
                <w:tcPr>
                  <w:tcW w:w="424" w:type="pct"/>
                  <w:vMerge w:val="continue"/>
                  <w:vAlign w:val="center"/>
                </w:tcPr>
                <w:p>
                  <w:pPr>
                    <w:pStyle w:val="24"/>
                    <w:jc w:val="center"/>
                    <w:rPr>
                      <w:rFonts w:hint="default" w:ascii="Times New Roman" w:hAnsi="Times New Roman" w:cs="Times New Roman"/>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监测监控水平</w:t>
                  </w: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1、严格执行《排污许可证申请与核发技术规范 总则》（HJ942－2018）以及相关行业排污许可证申请与核发技术规范规定的自行监测管理要求；</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2、重点排污企业风量大于10000m</w:t>
                  </w:r>
                  <w:r>
                    <w:rPr>
                      <w:rFonts w:hint="default" w:ascii="Times New Roman" w:hAnsi="Times New Roman" w:cs="Times New Roman"/>
                      <w:vertAlign w:val="superscript"/>
                      <w:lang w:val="en-US" w:eastAsia="zh-CN"/>
                    </w:rPr>
                    <w:t>3</w:t>
                  </w:r>
                  <w:r>
                    <w:rPr>
                      <w:rFonts w:hint="default" w:ascii="Times New Roman" w:hAnsi="Times New Roman" w:cs="Times New Roman"/>
                      <w:vertAlign w:val="baseline"/>
                      <w:lang w:val="en-US" w:eastAsia="zh-CN"/>
                    </w:rPr>
                    <w:t>/h的主要排放口，有机废气排放口安装NMHC在线监测设施（FID检测器），自动监控数据保存一年以上；</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3、安装DCS系统、PLC系统、仪器仪表等装置，记录治理设施主要参数，数据保存一年以上</w:t>
                  </w:r>
                </w:p>
              </w:tc>
              <w:tc>
                <w:tcPr>
                  <w:tcW w:w="1826"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1、严格执行《排污许可证申请与核发技术规范 总则》（HJ942－2018）以及相关行业排污许可证申请与核发技术规范规定的自行监测管理要求；</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2、本项目无主要排放口；</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3、安装DCS系统、PLC系统、仪器仪表等装置，记录治理设施主要参数，数据保存一年以上</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环境管理水平</w:t>
                  </w: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环保档案齐全：1、环评批复文件；2、排污许可证及季度、年度执行报告；3、竣工验收文件；4、废气治理设施运行管理规程；5、一年内废气监测报告</w:t>
                  </w:r>
                </w:p>
              </w:tc>
              <w:tc>
                <w:tcPr>
                  <w:tcW w:w="1826"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本项目为新建，要求环保档案按照相关要求准备齐全</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continue"/>
                  <w:vAlign w:val="center"/>
                </w:tcPr>
                <w:p>
                  <w:pPr>
                    <w:pStyle w:val="24"/>
                    <w:jc w:val="center"/>
                    <w:rPr>
                      <w:rFonts w:hint="default" w:ascii="Times New Roman" w:hAnsi="Times New Roman" w:cs="Times New Roman"/>
                      <w:vertAlign w:val="baseline"/>
                      <w:lang w:val="en-US" w:eastAsia="zh-CN"/>
                    </w:rPr>
                  </w:pP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台账记录：1、生产设施运行管理信息（生产时间、运行负荷、产品产量等，必须具备近一年及以上所用涂料的密度、扣水后VOCs含量、含水率（水性涂料）等信息的检测报告）；废气污染治理设施运行管理信息（燃烧室温度、冷凝温度、过滤材料更换频次、吸附剂更换频次、催化剂更换频次）；3、监测记录信息（主要污染排放口废气排放记录（手工监测或在线监测）等）；4、主要原辅材料消耗记录；5、燃料（天然气）消耗记录</w:t>
                  </w:r>
                </w:p>
              </w:tc>
              <w:tc>
                <w:tcPr>
                  <w:tcW w:w="1826"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本项目为新建，要求台账记录按照相关要求记录</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continue"/>
                  <w:vAlign w:val="center"/>
                </w:tcPr>
                <w:p>
                  <w:pPr>
                    <w:pStyle w:val="24"/>
                    <w:jc w:val="center"/>
                    <w:rPr>
                      <w:rFonts w:hint="default" w:ascii="Times New Roman" w:hAnsi="Times New Roman" w:cs="Times New Roman"/>
                      <w:vertAlign w:val="baseline"/>
                      <w:lang w:val="en-US" w:eastAsia="zh-CN"/>
                    </w:rPr>
                  </w:pP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人员配置：设置环保部门，配备专职环保人员，并具备相应的环境管理能力</w:t>
                  </w:r>
                </w:p>
              </w:tc>
              <w:tc>
                <w:tcPr>
                  <w:tcW w:w="1826"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本项目设置环保部门，并配备具备相应的环境管理能力的专职环保人员</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restar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运输方式</w:t>
                  </w: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1、物料公路运输使用达到国五及以上排放标准重型载货车辆（含燃气）或新能源车辆占比不低于80%，其他车辆达到国四排放标准；</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2、厂内运输使用达到国五及以上排放标准车辆（含燃气）或新能源车辆比例不低于80%，其他车辆达到国四排放标准；</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3、厂内非道路移动机械使用达到国三及以上排放标准或新能源机械比例不低于80%</w:t>
                  </w:r>
                </w:p>
              </w:tc>
              <w:tc>
                <w:tcPr>
                  <w:tcW w:w="1826"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1、物料公路运输使用达到国五及以上排放标准重型载货车辆（含燃气）或新能源车辆占比不低于80%，其他车辆达到国四排放标准；</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2、厂内运输使用达到国五及以上排放标准车辆（含燃气）或新能源车辆比例不低于80%，其他车辆达到国四排放标准；</w:t>
                  </w:r>
                </w:p>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3、厂内非道路移动机械使用达到国三及以上排放标准或新能源机械比例不低于80%</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7" w:type="pct"/>
                  <w:vMerge w:val="continue"/>
                  <w:vAlign w:val="center"/>
                </w:tcPr>
                <w:p>
                  <w:pPr>
                    <w:pStyle w:val="24"/>
                    <w:jc w:val="center"/>
                    <w:rPr>
                      <w:rFonts w:hint="default" w:ascii="Times New Roman" w:hAnsi="Times New Roman" w:cs="Times New Roman"/>
                      <w:vertAlign w:val="baseline"/>
                      <w:lang w:val="en-US" w:eastAsia="zh-CN"/>
                    </w:rPr>
                  </w:pPr>
                </w:p>
              </w:tc>
              <w:tc>
                <w:tcPr>
                  <w:tcW w:w="2192"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参照《重污染天气重点行业移动源应急管理技术指南》建立门禁系统和电子台账</w:t>
                  </w:r>
                </w:p>
              </w:tc>
              <w:tc>
                <w:tcPr>
                  <w:tcW w:w="1826" w:type="pct"/>
                  <w:vAlign w:val="center"/>
                </w:tcPr>
                <w:p>
                  <w:pPr>
                    <w:pStyle w:val="24"/>
                    <w:jc w:val="left"/>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参照《重污染天气重点行业移动源应急管理技术指南》建立门禁系统和电子台账</w:t>
                  </w:r>
                </w:p>
              </w:tc>
              <w:tc>
                <w:tcPr>
                  <w:tcW w:w="424" w:type="pct"/>
                  <w:vAlign w:val="center"/>
                </w:tcPr>
                <w:p>
                  <w:pPr>
                    <w:pStyle w:val="24"/>
                    <w:jc w:val="center"/>
                    <w:rPr>
                      <w:rFonts w:hint="default" w:ascii="Times New Roman" w:hAnsi="Times New Roman" w:cs="Times New Roman"/>
                      <w:vertAlign w:val="baseline"/>
                      <w:lang w:val="en-US" w:eastAsia="zh-CN"/>
                    </w:rPr>
                  </w:pPr>
                  <w:r>
                    <w:rPr>
                      <w:rFonts w:hint="default" w:ascii="Times New Roman" w:hAnsi="Times New Roman" w:cs="Times New Roman"/>
                      <w:vertAlign w:val="baseline"/>
                      <w:lang w:val="en-US" w:eastAsia="zh-CN"/>
                    </w:rPr>
                    <w:t>符合</w:t>
                  </w:r>
                </w:p>
              </w:tc>
            </w:tr>
          </w:tbl>
          <w:p>
            <w:pPr>
              <w:pStyle w:val="7"/>
              <w:keepNext w:val="0"/>
              <w:keepLines w:val="0"/>
              <w:pageBreakBefore w:val="0"/>
              <w:widowControl w:val="0"/>
              <w:kinsoku/>
              <w:wordWrap/>
              <w:overflowPunct/>
              <w:topLinePunct w:val="0"/>
              <w:autoSpaceDE/>
              <w:autoSpaceDN/>
              <w:bidi w:val="0"/>
              <w:adjustRightInd/>
              <w:snapToGrid/>
              <w:spacing w:before="0" w:after="0" w:line="480" w:lineRule="exact"/>
              <w:ind w:firstLine="480" w:firstLineChars="200"/>
              <w:jc w:val="left"/>
              <w:textAlignment w:val="auto"/>
              <w:rPr>
                <w:rFonts w:hint="default" w:ascii="Times New Roman" w:hAnsi="Times New Roman" w:eastAsia="宋体" w:cs="Times New Roman"/>
                <w:color w:val="000000"/>
                <w:sz w:val="24"/>
                <w:szCs w:val="24"/>
                <w:lang w:val="en-US" w:eastAsia="zh-CN"/>
              </w:rPr>
            </w:pPr>
            <w:r>
              <w:rPr>
                <w:rFonts w:hint="default" w:ascii="Times New Roman" w:hAnsi="Times New Roman" w:eastAsia="宋体" w:cs="Times New Roman"/>
                <w:color w:val="000000"/>
                <w:sz w:val="24"/>
                <w:szCs w:val="24"/>
                <w:lang w:val="en-US" w:eastAsia="zh-CN"/>
              </w:rPr>
              <w:t>根据《生态环境部重污染天气重点行业绩效分级及减排措施 工业涂装》中</w:t>
            </w:r>
            <w:r>
              <w:rPr>
                <w:rFonts w:hint="default" w:ascii="Times New Roman" w:hAnsi="Times New Roman" w:cs="Times New Roman"/>
                <w:color w:val="000000"/>
                <w:sz w:val="24"/>
                <w:szCs w:val="24"/>
                <w:lang w:val="en-US" w:eastAsia="zh-CN"/>
              </w:rPr>
              <w:t>B级企业</w:t>
            </w:r>
            <w:r>
              <w:rPr>
                <w:rFonts w:hint="default" w:ascii="Times New Roman" w:hAnsi="Times New Roman" w:eastAsia="宋体" w:cs="Times New Roman"/>
                <w:color w:val="000000"/>
                <w:sz w:val="24"/>
                <w:szCs w:val="24"/>
                <w:lang w:val="en-US" w:eastAsia="zh-CN"/>
              </w:rPr>
              <w:t>绩效指标，本评价要求企业按照文件要求执行相应的减排措施：</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B级企业：</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黄色预警期间：停止使用国四及以下重型载货车辆（含燃气）进行运输。</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橙色预警期间：使用溶剂型原辅材料的喷涂、流平、烘干等涂装生产单元限产30%，以环评批复的产量、排污许可载明的产量、近一年实际产量的最小值为基准核算，减少生产批次或减少生产线；停止使用国四及以下重型载货车辆（含燃气）进行运输。</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红色预警期间：喷涂、流平、烘干等涂装生产单元停产；停止使用国四及以下重型载货车辆（含燃气）进行运输。</w:t>
            </w:r>
          </w:p>
        </w:tc>
      </w:tr>
    </w:tbl>
    <w:p>
      <w:pPr>
        <w:spacing w:line="360" w:lineRule="auto"/>
        <w:outlineLvl w:val="0"/>
        <w:rPr>
          <w:rFonts w:hint="default" w:ascii="Times New Roman" w:hAnsi="Times New Roman" w:eastAsia="黑体" w:cs="Times New Roman"/>
          <w:color w:val="000000"/>
          <w:sz w:val="30"/>
          <w:highlight w:val="none"/>
        </w:rPr>
        <w:sectPr>
          <w:footerReference r:id="rId6" w:type="default"/>
          <w:pgSz w:w="11906" w:h="16838"/>
          <w:pgMar w:top="1701" w:right="1531" w:bottom="1701" w:left="1531" w:header="851" w:footer="1077" w:gutter="0"/>
          <w:pgBorders>
            <w:top w:val="none" w:sz="0" w:space="0"/>
            <w:left w:val="none" w:sz="0" w:space="0"/>
            <w:bottom w:val="none" w:sz="0" w:space="0"/>
            <w:right w:val="none" w:sz="0" w:space="0"/>
          </w:pgBorders>
          <w:pgNumType w:start="1"/>
          <w:cols w:space="720" w:num="1"/>
          <w:docGrid w:linePitch="312" w:charSpace="0"/>
        </w:sectPr>
      </w:pPr>
    </w:p>
    <w:p>
      <w:pPr>
        <w:pStyle w:val="28"/>
        <w:keepNext w:val="0"/>
        <w:keepLines w:val="0"/>
        <w:pageBreakBefore w:val="0"/>
        <w:widowControl/>
        <w:kinsoku/>
        <w:wordWrap/>
        <w:overflowPunct/>
        <w:topLinePunct w:val="0"/>
        <w:autoSpaceDE/>
        <w:autoSpaceDN/>
        <w:bidi w:val="0"/>
        <w:adjustRightInd/>
        <w:snapToGrid/>
        <w:jc w:val="center"/>
        <w:textAlignment w:val="auto"/>
        <w:outlineLvl w:val="0"/>
        <w:rPr>
          <w:rFonts w:hint="default" w:ascii="Times New Roman" w:hAnsi="Times New Roman" w:eastAsia="黑体" w:cs="Times New Roman"/>
          <w:snapToGrid w:val="0"/>
          <w:color w:val="000000"/>
          <w:sz w:val="30"/>
          <w:szCs w:val="30"/>
          <w:highlight w:val="none"/>
        </w:rPr>
      </w:pPr>
      <w:bookmarkStart w:id="5" w:name="_Toc32437"/>
      <w:r>
        <w:rPr>
          <w:rFonts w:hint="default" w:ascii="Times New Roman" w:hAnsi="Times New Roman" w:eastAsia="黑体" w:cs="Times New Roman"/>
          <w:snapToGrid w:val="0"/>
          <w:color w:val="000000"/>
          <w:sz w:val="30"/>
          <w:szCs w:val="30"/>
          <w:highlight w:val="none"/>
        </w:rPr>
        <w:t>二、建设项目工程分析</w:t>
      </w:r>
      <w:bookmarkEnd w:id="5"/>
    </w:p>
    <w:tbl>
      <w:tblPr>
        <w:tblStyle w:val="3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454"/>
        <w:gridCol w:w="860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4443" w:hRule="atLeast"/>
          <w:jc w:val="center"/>
        </w:trPr>
        <w:tc>
          <w:tcPr>
            <w:tcW w:w="823" w:type="dxa"/>
            <w:noWrap w:val="0"/>
            <w:vAlign w:val="center"/>
          </w:tcPr>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cs="Times New Roman"/>
                <w:color w:val="000000"/>
                <w:sz w:val="21"/>
                <w:szCs w:val="21"/>
                <w:highlight w:val="none"/>
              </w:rPr>
            </w:pPr>
            <w:bookmarkStart w:id="6" w:name="_Toc5928"/>
            <w:r>
              <w:rPr>
                <w:rFonts w:hint="default" w:ascii="Times New Roman" w:hAnsi="Times New Roman" w:cs="Times New Roman"/>
                <w:color w:val="000000"/>
                <w:sz w:val="24"/>
                <w:szCs w:val="24"/>
                <w:highlight w:val="none"/>
              </w:rPr>
              <w:t>建设内容</w:t>
            </w:r>
            <w:bookmarkEnd w:id="6"/>
          </w:p>
        </w:tc>
        <w:tc>
          <w:tcPr>
            <w:tcW w:w="8161" w:type="dxa"/>
            <w:noWrap w:val="0"/>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jc w:val="both"/>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val="en-US" w:eastAsia="zh-CN"/>
              </w:rPr>
              <w:t>一、</w:t>
            </w:r>
            <w:r>
              <w:rPr>
                <w:rFonts w:hint="default" w:ascii="Times New Roman" w:hAnsi="Times New Roman" w:eastAsia="宋体" w:cs="Times New Roman"/>
                <w:color w:val="000000"/>
                <w:sz w:val="24"/>
                <w:szCs w:val="24"/>
                <w:highlight w:val="none"/>
                <w:lang w:eastAsia="zh-CN"/>
              </w:rPr>
              <w:t>项目由来</w:t>
            </w:r>
          </w:p>
          <w:p>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both"/>
              <w:textAlignment w:val="auto"/>
              <w:rPr>
                <w:rFonts w:hint="default" w:ascii="Times New Roman" w:hAnsi="Times New Roman" w:eastAsia="宋体" w:cs="Times New Roman"/>
                <w:bCs/>
                <w:color w:val="000000"/>
                <w:sz w:val="24"/>
                <w:szCs w:val="24"/>
                <w:lang w:eastAsia="zh-CN"/>
              </w:rPr>
            </w:pPr>
            <w:r>
              <w:rPr>
                <w:rFonts w:hint="default" w:ascii="Times New Roman" w:hAnsi="Times New Roman" w:eastAsia="宋体" w:cs="Times New Roman"/>
                <w:i w:val="0"/>
                <w:iCs w:val="0"/>
                <w:caps w:val="0"/>
                <w:color w:val="000000"/>
                <w:spacing w:val="0"/>
                <w:sz w:val="24"/>
                <w:szCs w:val="24"/>
                <w:shd w:val="clear" w:color="auto" w:fill="FFFFFF"/>
                <w:lang w:eastAsia="zh-CN"/>
              </w:rPr>
              <w:t>智能机器人是工业自动化发展的重要组成部分，其推广和应用对生产效率的提升具有显著影响。传统焊接和切割作业往往依赖于人工操作，不仅劳动强度大，而且效率低下。而智能机器人则能够通过自动化、智能化的操作，显著提高生产效率，降低生产成本。这种效率的提升对于增强企业的竞争力、提高市场占有率具有重要意义。</w:t>
            </w:r>
          </w:p>
          <w:p>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both"/>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中科(秦皇岛)控制技术有限公司</w:t>
            </w:r>
            <w:r>
              <w:rPr>
                <w:rFonts w:hint="default" w:ascii="Times New Roman" w:hAnsi="Times New Roman" w:eastAsia="宋体" w:cs="Times New Roman"/>
                <w:bCs/>
                <w:color w:val="000000"/>
                <w:sz w:val="24"/>
                <w:szCs w:val="24"/>
              </w:rPr>
              <w:t>根据市场客户需求，结合企业生产经营理念及战略发展目标</w:t>
            </w:r>
            <w:r>
              <w:rPr>
                <w:rFonts w:hint="default" w:ascii="Times New Roman" w:hAnsi="Times New Roman" w:eastAsia="宋体" w:cs="Times New Roman"/>
                <w:bCs/>
                <w:color w:val="000000"/>
                <w:sz w:val="24"/>
                <w:szCs w:val="24"/>
                <w:lang w:eastAsia="zh-CN"/>
              </w:rPr>
              <w:t>，</w:t>
            </w:r>
            <w:r>
              <w:rPr>
                <w:rFonts w:hint="default" w:ascii="Times New Roman" w:hAnsi="Times New Roman" w:eastAsia="宋体" w:cs="Times New Roman"/>
                <w:bCs/>
                <w:color w:val="000000"/>
                <w:sz w:val="24"/>
                <w:szCs w:val="24"/>
              </w:rPr>
              <w:t>拟建设智能机器人研发生产基地项目，该</w:t>
            </w:r>
            <w:bookmarkStart w:id="52" w:name="_GoBack"/>
            <w:bookmarkEnd w:id="52"/>
            <w:r>
              <w:rPr>
                <w:rFonts w:hint="eastAsia" w:cs="Times New Roman"/>
                <w:bCs/>
                <w:color w:val="000000"/>
                <w:sz w:val="24"/>
                <w:szCs w:val="24"/>
                <w:lang w:eastAsia="zh-CN"/>
              </w:rPr>
              <w:t>项目</w:t>
            </w:r>
            <w:r>
              <w:rPr>
                <w:rFonts w:hint="default" w:ascii="Times New Roman" w:hAnsi="Times New Roman" w:eastAsia="宋体" w:cs="Times New Roman"/>
                <w:bCs/>
                <w:color w:val="000000"/>
                <w:sz w:val="24"/>
                <w:szCs w:val="24"/>
              </w:rPr>
              <w:t>建成后，年产人形机器人、特种机器人、服务机器人、类机器人产品、工业机器人、集成电路、机器人零部件等科技产品600台套</w:t>
            </w:r>
            <w:r>
              <w:rPr>
                <w:rFonts w:hint="default" w:ascii="Times New Roman" w:hAnsi="Times New Roman" w:eastAsia="宋体" w:cs="Times New Roman"/>
                <w:i w:val="0"/>
                <w:iCs w:val="0"/>
                <w:caps w:val="0"/>
                <w:color w:val="000000"/>
                <w:spacing w:val="0"/>
                <w:sz w:val="24"/>
                <w:szCs w:val="24"/>
                <w:highlight w:val="none"/>
                <w:shd w:val="clear" w:color="auto" w:fill="FFFFFF"/>
                <w:lang w:eastAsia="zh-CN"/>
              </w:rPr>
              <w:t>。</w:t>
            </w:r>
          </w:p>
          <w:p>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both"/>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根据《中华人民共和国环境影响评价法》、《建设项目环境保护管理条例》等法律法规的规定，依据《建设项目环境影响评价分类管理名录》（2021年版）本项目属于三十一、通用设备制造业34</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69.其他通用设备制造业349</w:t>
            </w:r>
            <w:r>
              <w:rPr>
                <w:rFonts w:hint="default" w:ascii="Times New Roman" w:hAnsi="Times New Roman" w:cs="Times New Roman"/>
                <w:color w:val="000000"/>
                <w:sz w:val="24"/>
                <w:szCs w:val="24"/>
                <w:highlight w:val="none"/>
                <w:lang w:val="en-US" w:eastAsia="zh-CN"/>
              </w:rPr>
              <w:t>中的</w:t>
            </w:r>
            <w:r>
              <w:rPr>
                <w:rFonts w:hint="default" w:ascii="Times New Roman" w:hAnsi="Times New Roman" w:eastAsia="宋体" w:cs="Times New Roman"/>
                <w:color w:val="000000"/>
                <w:sz w:val="24"/>
                <w:szCs w:val="24"/>
                <w:highlight w:val="none"/>
                <w:lang w:val="en-US" w:eastAsia="zh-CN"/>
              </w:rPr>
              <w:t>其它；三十六、计算机、通信和其他电子设备制造业39</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79.智能消费设备制造39</w:t>
            </w:r>
            <w:r>
              <w:rPr>
                <w:rFonts w:hint="default" w:ascii="Times New Roman" w:hAnsi="Times New Roman" w:cs="Times New Roman"/>
                <w:color w:val="000000"/>
                <w:sz w:val="24"/>
                <w:szCs w:val="24"/>
                <w:highlight w:val="none"/>
                <w:lang w:val="en-US" w:eastAsia="zh-CN"/>
              </w:rPr>
              <w:t>6及</w:t>
            </w:r>
            <w:r>
              <w:rPr>
                <w:rFonts w:hint="default" w:ascii="Times New Roman" w:hAnsi="Times New Roman" w:eastAsia="宋体" w:cs="Times New Roman"/>
                <w:color w:val="000000"/>
                <w:sz w:val="24"/>
                <w:szCs w:val="24"/>
                <w:highlight w:val="none"/>
                <w:lang w:val="en-US" w:eastAsia="zh-CN"/>
              </w:rPr>
              <w:t>80.电子器件制造397-集成电路制造中的其它，应编制环境影响报告表。为此，中科(秦皇岛)控制技术有限公司委托我公司开展该项目的环境影响评价工作，编制环境影响报告表。评价单位接受委托后，根据国家有关环境影响评价工作的技术要求，结合工程和项目所在地的特点，在现场踏勘、收集资料、并依据有关资料和同类工程分析、类比</w:t>
            </w:r>
            <w:r>
              <w:rPr>
                <w:rFonts w:hint="default" w:ascii="Times New Roman" w:hAnsi="Times New Roman" w:cs="Times New Roman"/>
                <w:color w:val="000000"/>
                <w:sz w:val="24"/>
                <w:szCs w:val="24"/>
                <w:highlight w:val="none"/>
                <w:lang w:val="en-US" w:eastAsia="zh-CN"/>
              </w:rPr>
              <w:t>的基础上，编制完成该项目环境影响报告表。</w:t>
            </w:r>
          </w:p>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二、项目概况</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（1）项目名称：</w:t>
            </w:r>
            <w:r>
              <w:rPr>
                <w:rFonts w:hint="default" w:ascii="Times New Roman" w:hAnsi="Times New Roman" w:cs="Times New Roman"/>
                <w:color w:val="000000"/>
                <w:sz w:val="24"/>
                <w:szCs w:val="24"/>
                <w:highlight w:val="none"/>
                <w:lang w:val="en-US" w:eastAsia="zh-CN"/>
              </w:rPr>
              <w:t>智能机器人研发生产基地项目</w:t>
            </w:r>
            <w:r>
              <w:rPr>
                <w:rFonts w:hint="default" w:ascii="Times New Roman" w:hAnsi="Times New Roman" w:cs="Times New Roman"/>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（2）建设单位：</w:t>
            </w:r>
            <w:r>
              <w:rPr>
                <w:rFonts w:hint="default" w:ascii="Times New Roman" w:hAnsi="Times New Roman" w:cs="Times New Roman"/>
                <w:color w:val="000000"/>
                <w:sz w:val="24"/>
                <w:szCs w:val="24"/>
                <w:highlight w:val="none"/>
                <w:lang w:eastAsia="zh-CN"/>
              </w:rPr>
              <w:t>中科(秦皇岛)控制技术有限公司</w:t>
            </w:r>
            <w:r>
              <w:rPr>
                <w:rFonts w:hint="default" w:ascii="Times New Roman" w:hAnsi="Times New Roman" w:cs="Times New Roman"/>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（3）建设性质：</w:t>
            </w:r>
            <w:r>
              <w:rPr>
                <w:rFonts w:hint="default" w:ascii="Times New Roman" w:hAnsi="Times New Roman" w:cs="Times New Roman"/>
                <w:color w:val="000000"/>
                <w:sz w:val="24"/>
                <w:szCs w:val="24"/>
                <w:highlight w:val="none"/>
                <w:lang w:eastAsia="zh-CN"/>
              </w:rPr>
              <w:t>新</w:t>
            </w:r>
            <w:r>
              <w:rPr>
                <w:rFonts w:hint="default" w:ascii="Times New Roman" w:hAnsi="Times New Roman" w:cs="Times New Roman"/>
                <w:color w:val="000000"/>
                <w:sz w:val="24"/>
                <w:szCs w:val="24"/>
                <w:highlight w:val="none"/>
              </w:rPr>
              <w:t>建。</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4</w:t>
            </w:r>
            <w:r>
              <w:rPr>
                <w:rFonts w:hint="default" w:ascii="Times New Roman" w:hAnsi="Times New Roman" w:cs="Times New Roman"/>
                <w:color w:val="000000"/>
                <w:sz w:val="24"/>
                <w:szCs w:val="24"/>
                <w:highlight w:val="none"/>
              </w:rPr>
              <w:t>）地理位置及周边关系：</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sz w:val="24"/>
                <w:szCs w:val="24"/>
                <w:highlight w:val="none"/>
              </w:rPr>
              <w:t>项目位于</w:t>
            </w:r>
            <w:r>
              <w:rPr>
                <w:rFonts w:hint="default" w:ascii="Times New Roman" w:hAnsi="Times New Roman" w:cs="Times New Roman"/>
                <w:color w:val="000000"/>
                <w:sz w:val="24"/>
                <w:szCs w:val="24"/>
                <w:highlight w:val="none"/>
                <w:lang w:eastAsia="zh-CN"/>
              </w:rPr>
              <w:t>抚宁经济开发区北区三抚路西侧，环城北路北侧</w:t>
            </w:r>
            <w:r>
              <w:rPr>
                <w:rFonts w:hint="default" w:ascii="Times New Roman" w:hAnsi="Times New Roman" w:cs="Times New Roman"/>
                <w:color w:val="000000" w:themeColor="text1"/>
                <w:sz w:val="24"/>
                <w:szCs w:val="24"/>
                <w:highlight w:val="none"/>
                <w14:textFill>
                  <w14:solidFill>
                    <w14:schemeClr w14:val="tx1"/>
                  </w14:solidFill>
                </w14:textFill>
              </w:rPr>
              <w:t>，所在位置中心地理坐标为东经119°13′23.00840″，北纬39°54′38.94275″。</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项目东侧为三抚路，南侧为环城北路，</w:t>
            </w:r>
            <w:r>
              <w:rPr>
                <w:rFonts w:hint="default" w:ascii="Times New Roman" w:hAnsi="Times New Roman" w:cs="Times New Roman"/>
                <w:color w:val="000000" w:themeColor="text1"/>
                <w:sz w:val="24"/>
                <w:szCs w:val="24"/>
                <w:highlight w:val="none"/>
                <w:shd w:val="clear" w:color="auto" w:fill="auto"/>
                <w:lang w:val="en-US" w:eastAsia="zh-CN"/>
                <w14:textFill>
                  <w14:solidFill>
                    <w14:schemeClr w14:val="tx1"/>
                  </w14:solidFill>
                </w14:textFill>
              </w:rPr>
              <w:t>南侧为空地，西侧为秦皇岛正鸿机动车检测有限公司</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。距</w:t>
            </w:r>
            <w:r>
              <w:rPr>
                <w:rFonts w:hint="default" w:ascii="Times New Roman" w:hAnsi="Times New Roman" w:cs="Times New Roman"/>
                <w:color w:val="000000" w:themeColor="text1"/>
                <w:sz w:val="24"/>
                <w:szCs w:val="24"/>
                <w:highlight w:val="none"/>
                <w:lang w:eastAsia="zh-CN"/>
                <w14:textFill>
                  <w14:solidFill>
                    <w14:schemeClr w14:val="tx1"/>
                  </w14:solidFill>
                </w14:textFill>
              </w:rPr>
              <w:t>离项目最近的敏感点为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南侧94m处的大李官营村</w:t>
            </w:r>
            <w:r>
              <w:rPr>
                <w:rFonts w:hint="default" w:ascii="Times New Roman" w:hAnsi="Times New Roman" w:cs="Times New Roman"/>
                <w:color w:val="000000" w:themeColor="text1"/>
                <w:sz w:val="24"/>
                <w:szCs w:val="24"/>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5</w:t>
            </w:r>
            <w:r>
              <w:rPr>
                <w:rFonts w:hint="default" w:ascii="Times New Roman" w:hAnsi="Times New Roman" w:cs="Times New Roman"/>
                <w:color w:val="000000" w:themeColor="text1"/>
                <w:sz w:val="24"/>
                <w:szCs w:val="24"/>
                <w:highlight w:val="none"/>
                <w14:textFill>
                  <w14:solidFill>
                    <w14:schemeClr w14:val="tx1"/>
                  </w14:solidFill>
                </w14:textFill>
              </w:rPr>
              <w:t>）项目投资：项目总投资</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10000</w:t>
            </w:r>
            <w:r>
              <w:rPr>
                <w:rFonts w:hint="default" w:ascii="Times New Roman" w:hAnsi="Times New Roman" w:cs="Times New Roman"/>
                <w:color w:val="000000" w:themeColor="text1"/>
                <w:sz w:val="24"/>
                <w:szCs w:val="24"/>
                <w:highlight w:val="none"/>
                <w14:textFill>
                  <w14:solidFill>
                    <w14:schemeClr w14:val="tx1"/>
                  </w14:solidFill>
                </w14:textFill>
              </w:rPr>
              <w:t>万元，其中环保投资</w:t>
            </w:r>
            <w:r>
              <w:rPr>
                <w:rFonts w:hint="eastAsia"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万元，占总投资的</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eastAsia" w:cs="Times New Roman"/>
                <w:color w:val="000000" w:themeColor="text1"/>
                <w:sz w:val="24"/>
                <w:szCs w:val="24"/>
                <w:highlight w:val="none"/>
                <w:lang w:val="en-US" w:eastAsia="zh-CN"/>
                <w14:textFill>
                  <w14:solidFill>
                    <w14:schemeClr w14:val="tx1"/>
                  </w14:solidFill>
                </w14:textFill>
              </w:rPr>
              <w:t>2</w:t>
            </w:r>
            <w:r>
              <w:rPr>
                <w:rFonts w:hint="default" w:ascii="Times New Roman" w:hAnsi="Times New Roman" w:cs="Times New Roman"/>
                <w:color w:val="000000" w:themeColor="text1"/>
                <w:sz w:val="24"/>
                <w:szCs w:val="24"/>
                <w:highlight w:val="none"/>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6</w:t>
            </w:r>
            <w:r>
              <w:rPr>
                <w:rFonts w:hint="default" w:ascii="Times New Roman" w:hAnsi="Times New Roman" w:cs="Times New Roman"/>
                <w:color w:val="000000"/>
                <w:sz w:val="24"/>
                <w:szCs w:val="24"/>
                <w:highlight w:val="none"/>
              </w:rPr>
              <w:t>）劳动定员及工作制度：</w:t>
            </w:r>
            <w:r>
              <w:rPr>
                <w:rFonts w:hint="default" w:ascii="Times New Roman" w:hAnsi="Times New Roman" w:cs="Times New Roman"/>
                <w:color w:val="000000"/>
                <w:sz w:val="24"/>
                <w:szCs w:val="24"/>
                <w:highlight w:val="none"/>
                <w:lang w:eastAsia="zh-CN"/>
              </w:rPr>
              <w:t>项目劳动定员</w:t>
            </w:r>
            <w:r>
              <w:rPr>
                <w:rFonts w:hint="default" w:ascii="Times New Roman" w:hAnsi="Times New Roman" w:cs="Times New Roman"/>
                <w:color w:val="000000"/>
                <w:sz w:val="24"/>
                <w:szCs w:val="24"/>
                <w:highlight w:val="none"/>
                <w:lang w:val="en-US" w:eastAsia="zh-CN"/>
              </w:rPr>
              <w:t>60人</w:t>
            </w: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eastAsia="zh-CN"/>
              </w:rPr>
              <w:t>每</w:t>
            </w:r>
            <w:r>
              <w:rPr>
                <w:rFonts w:hint="default" w:ascii="Times New Roman" w:hAnsi="Times New Roman" w:cs="Times New Roman"/>
                <w:color w:val="000000"/>
                <w:sz w:val="24"/>
                <w:szCs w:val="24"/>
                <w:highlight w:val="none"/>
                <w:lang w:val="en-US" w:eastAsia="zh-CN"/>
              </w:rPr>
              <w:t>班</w:t>
            </w:r>
            <w:r>
              <w:rPr>
                <w:rFonts w:hint="default" w:ascii="Times New Roman" w:hAnsi="Times New Roman" w:cs="Times New Roman"/>
                <w:color w:val="000000"/>
                <w:sz w:val="24"/>
                <w:szCs w:val="24"/>
                <w:highlight w:val="none"/>
                <w:lang w:eastAsia="zh-CN"/>
              </w:rPr>
              <w:t>工作</w:t>
            </w:r>
            <w:r>
              <w:rPr>
                <w:rFonts w:hint="default" w:ascii="Times New Roman" w:hAnsi="Times New Roman" w:cs="Times New Roman"/>
                <w:color w:val="000000"/>
                <w:sz w:val="24"/>
                <w:szCs w:val="24"/>
                <w:highlight w:val="none"/>
                <w:lang w:val="en-US" w:eastAsia="zh-CN"/>
              </w:rPr>
              <w:t>8小时，昼间单班8h制生产，年工作300天。</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7</w:t>
            </w:r>
            <w:r>
              <w:rPr>
                <w:rFonts w:hint="default" w:ascii="Times New Roman" w:hAnsi="Times New Roman" w:cs="Times New Roman"/>
                <w:color w:val="000000"/>
                <w:sz w:val="24"/>
                <w:szCs w:val="24"/>
                <w:highlight w:val="none"/>
              </w:rPr>
              <w:t>）建设内容及规模：</w:t>
            </w:r>
          </w:p>
          <w:p>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both"/>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本项目总占地面积约30.38亩，总建筑面积为14380平方米，主要建设生产车间，配套建设给排水、电气、弱电、消防、暖通、道路、停车场、照明、绿化等公用设施，购置数控龙门铣床、加工中心、数控车床、数控切割机、数控镗床、线束设备、剪板机、折弯机等国内外先进设备68台套，项目建成后，年产人形机器人、特种机器人、服务机器人、类机器人产品、工业机器人、集成电路、机器人零部件等科技产品600台套。</w:t>
            </w:r>
          </w:p>
          <w:p>
            <w:pPr>
              <w:pStyle w:val="15"/>
              <w:keepNext w:val="0"/>
              <w:keepLines w:val="0"/>
              <w:pageBreakBefore w:val="0"/>
              <w:widowControl w:val="0"/>
              <w:kinsoku/>
              <w:wordWrap/>
              <w:overflowPunct/>
              <w:topLinePunct w:val="0"/>
              <w:autoSpaceDE/>
              <w:autoSpaceDN/>
              <w:bidi w:val="0"/>
              <w:adjustRightInd w:val="0"/>
              <w:snapToGrid w:val="0"/>
              <w:spacing w:line="480" w:lineRule="exact"/>
              <w:ind w:left="0" w:right="0" w:firstLine="480" w:firstLineChars="200"/>
              <w:jc w:val="both"/>
              <w:textAlignment w:val="auto"/>
              <w:rPr>
                <w:rFonts w:hint="default" w:ascii="Times New Roman" w:hAnsi="Times New Roman" w:cs="Times New Roman"/>
                <w:color w:val="000000"/>
                <w:sz w:val="24"/>
                <w:szCs w:val="24"/>
                <w:highlight w:val="none"/>
              </w:rPr>
            </w:pPr>
            <w:r>
              <w:rPr>
                <w:rFonts w:hint="default" w:ascii="Times New Roman" w:hAnsi="Times New Roman" w:eastAsia="宋体" w:cs="Times New Roman"/>
                <w:color w:val="000000"/>
                <w:spacing w:val="0"/>
                <w:w w:val="100"/>
                <w:kern w:val="2"/>
                <w:sz w:val="24"/>
                <w:szCs w:val="24"/>
                <w:highlight w:val="none"/>
                <w:lang w:val="en-US" w:eastAsia="zh-CN" w:bidi="ar-SA"/>
              </w:rPr>
              <w:t>本工程项目组成见下表所示</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0" w:firstLineChars="0"/>
              <w:jc w:val="center"/>
              <w:textAlignment w:val="baseline"/>
              <w:rPr>
                <w:rFonts w:hint="default" w:ascii="Times New Roman" w:hAnsi="Times New Roman" w:cs="Times New Roman"/>
                <w:b/>
                <w:bCs/>
                <w:color w:val="000000"/>
                <w:sz w:val="24"/>
                <w:szCs w:val="24"/>
                <w:highlight w:val="none"/>
              </w:rPr>
            </w:pPr>
            <w:r>
              <w:rPr>
                <w:rFonts w:hint="default" w:ascii="Times New Roman" w:hAnsi="Times New Roman" w:cs="Times New Roman"/>
                <w:b/>
                <w:bCs/>
                <w:color w:val="000000"/>
                <w:sz w:val="24"/>
                <w:szCs w:val="24"/>
                <w:highlight w:val="none"/>
              </w:rPr>
              <w:t>表</w:t>
            </w:r>
            <w:r>
              <w:rPr>
                <w:rFonts w:hint="default" w:ascii="Times New Roman" w:hAnsi="Times New Roman" w:cs="Times New Roman"/>
                <w:b/>
                <w:bCs/>
                <w:color w:val="000000"/>
                <w:sz w:val="24"/>
                <w:szCs w:val="24"/>
                <w:highlight w:val="none"/>
                <w:lang w:val="en-US" w:eastAsia="zh-CN"/>
              </w:rPr>
              <w:t>2-1</w:t>
            </w:r>
            <w:r>
              <w:rPr>
                <w:rFonts w:hint="default" w:ascii="Times New Roman" w:hAnsi="Times New Roman" w:cs="Times New Roman"/>
                <w:b/>
                <w:bCs/>
                <w:color w:val="000000"/>
                <w:sz w:val="24"/>
                <w:szCs w:val="24"/>
                <w:highlight w:val="none"/>
              </w:rPr>
              <w:t xml:space="preserve"> </w:t>
            </w:r>
            <w:r>
              <w:rPr>
                <w:rFonts w:hint="default" w:ascii="Times New Roman" w:hAnsi="Times New Roman" w:cs="Times New Roman"/>
                <w:b/>
                <w:bCs/>
                <w:color w:val="000000"/>
                <w:sz w:val="24"/>
                <w:szCs w:val="24"/>
                <w:highlight w:val="none"/>
                <w:lang w:eastAsia="zh-CN"/>
              </w:rPr>
              <w:t>本工程项目</w:t>
            </w:r>
            <w:r>
              <w:rPr>
                <w:rFonts w:hint="default" w:ascii="Times New Roman" w:hAnsi="Times New Roman" w:cs="Times New Roman"/>
                <w:b/>
                <w:bCs/>
                <w:color w:val="000000"/>
                <w:sz w:val="24"/>
                <w:szCs w:val="24"/>
                <w:highlight w:val="none"/>
              </w:rPr>
              <w:t>组成一览表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6"/>
              <w:gridCol w:w="684"/>
              <w:gridCol w:w="1983"/>
              <w:gridCol w:w="49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2024" w:type="pct"/>
                  <w:gridSpan w:val="3"/>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工程名称</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建设内容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jc w:val="center"/>
              </w:trPr>
              <w:tc>
                <w:tcPr>
                  <w:tcW w:w="433"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主体</w:t>
                  </w:r>
                </w:p>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工程</w:t>
                  </w:r>
                </w:p>
              </w:tc>
              <w:tc>
                <w:tcPr>
                  <w:tcW w:w="1590"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生产车间</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本项目主要建设1栋单层生产厂房，南侧建设局部3层厂房。建筑高度：生产厂房13.9米，占地11894平方米，钢结构厂房</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辅助</w:t>
                  </w:r>
                </w:p>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工程</w:t>
                  </w:r>
                </w:p>
              </w:tc>
              <w:tc>
                <w:tcPr>
                  <w:tcW w:w="1590" w:type="pct"/>
                  <w:gridSpan w:val="2"/>
                  <w:tcBorders>
                    <w:tl2br w:val="nil"/>
                    <w:tr2bl w:val="nil"/>
                  </w:tcBorders>
                  <w:noWrap w:val="0"/>
                  <w:vAlign w:val="center"/>
                </w:tcPr>
                <w:p>
                  <w:pPr>
                    <w:keepNext w:val="0"/>
                    <w:keepLines w:val="0"/>
                    <w:pageBreakBefore w:val="0"/>
                    <w:kinsoku/>
                    <w:wordWrap w:val="0"/>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snapToGrid w:val="0"/>
                      <w:sz w:val="21"/>
                      <w:szCs w:val="21"/>
                    </w:rPr>
                    <w:t>办公室</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600平方米，钢结构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590" w:type="pct"/>
                  <w:gridSpan w:val="2"/>
                  <w:tcBorders>
                    <w:tl2br w:val="nil"/>
                    <w:tr2bl w:val="nil"/>
                  </w:tcBorders>
                  <w:noWrap w:val="0"/>
                  <w:vAlign w:val="center"/>
                </w:tcPr>
                <w:p>
                  <w:pPr>
                    <w:keepNext w:val="0"/>
                    <w:keepLines w:val="0"/>
                    <w:pageBreakBefore w:val="0"/>
                    <w:kinsoku/>
                    <w:wordWrap w:val="0"/>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snapToGrid w:val="0"/>
                      <w:sz w:val="21"/>
                      <w:szCs w:val="21"/>
                    </w:rPr>
                    <w:t>门卫室</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80平方米，钢结构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590" w:type="pct"/>
                  <w:gridSpan w:val="2"/>
                  <w:tcBorders>
                    <w:tl2br w:val="nil"/>
                    <w:tr2bl w:val="nil"/>
                  </w:tcBorders>
                  <w:noWrap w:val="0"/>
                  <w:vAlign w:val="center"/>
                </w:tcPr>
                <w:p>
                  <w:pPr>
                    <w:keepNext w:val="0"/>
                    <w:keepLines w:val="0"/>
                    <w:pageBreakBefore w:val="0"/>
                    <w:kinsoku/>
                    <w:wordWrap w:val="0"/>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snapToGrid w:val="0"/>
                      <w:sz w:val="21"/>
                      <w:szCs w:val="21"/>
                    </w:rPr>
                    <w:t>库房</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150平方米，钢结构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590" w:type="pct"/>
                  <w:gridSpan w:val="2"/>
                  <w:tcBorders>
                    <w:tl2br w:val="nil"/>
                    <w:tr2bl w:val="nil"/>
                  </w:tcBorders>
                  <w:noWrap w:val="0"/>
                  <w:vAlign w:val="center"/>
                </w:tcPr>
                <w:p>
                  <w:pPr>
                    <w:keepNext w:val="0"/>
                    <w:keepLines w:val="0"/>
                    <w:pageBreakBefore w:val="0"/>
                    <w:kinsoku/>
                    <w:wordWrap w:val="0"/>
                    <w:overflowPunct/>
                    <w:topLinePunct w:val="0"/>
                    <w:bidi w:val="0"/>
                    <w:jc w:val="center"/>
                    <w:rPr>
                      <w:rFonts w:hint="default" w:ascii="Times New Roman" w:hAnsi="Times New Roman" w:eastAsia="宋体" w:cs="Times New Roman"/>
                      <w:snapToGrid w:val="0"/>
                      <w:sz w:val="21"/>
                      <w:szCs w:val="21"/>
                      <w:lang w:val="en-US" w:eastAsia="zh-CN"/>
                    </w:rPr>
                  </w:pPr>
                  <w:r>
                    <w:rPr>
                      <w:rFonts w:hint="default" w:ascii="Times New Roman" w:hAnsi="Times New Roman" w:cs="Times New Roman"/>
                      <w:snapToGrid w:val="0"/>
                      <w:sz w:val="21"/>
                      <w:szCs w:val="21"/>
                      <w:lang w:val="en-US" w:eastAsia="zh-CN"/>
                    </w:rPr>
                    <w:t>员工宿舍</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500平方米（可住30人），钢结构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590" w:type="pct"/>
                  <w:gridSpan w:val="2"/>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食堂</w:t>
                  </w:r>
                </w:p>
              </w:tc>
              <w:tc>
                <w:tcPr>
                  <w:tcW w:w="2975"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150平方米，钢结构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590" w:type="pct"/>
                  <w:gridSpan w:val="2"/>
                  <w:tcBorders>
                    <w:tl2br w:val="nil"/>
                    <w:tr2bl w:val="nil"/>
                  </w:tcBorders>
                  <w:noWrap w:val="0"/>
                  <w:vAlign w:val="center"/>
                </w:tcPr>
                <w:p>
                  <w:pPr>
                    <w:keepNext w:val="0"/>
                    <w:keepLines w:val="0"/>
                    <w:pageBreakBefore w:val="0"/>
                    <w:kinsoku/>
                    <w:wordWrap w:val="0"/>
                    <w:overflowPunct/>
                    <w:topLinePunct w:val="0"/>
                    <w:bidi w:val="0"/>
                    <w:jc w:val="center"/>
                    <w:rPr>
                      <w:rFonts w:hint="default" w:ascii="Times New Roman" w:hAnsi="Times New Roman" w:eastAsia="宋体" w:cs="Times New Roman"/>
                      <w:snapToGrid w:val="0"/>
                      <w:sz w:val="21"/>
                      <w:szCs w:val="21"/>
                      <w:lang w:val="en-US" w:eastAsia="zh-CN"/>
                    </w:rPr>
                  </w:pPr>
                  <w:r>
                    <w:rPr>
                      <w:rFonts w:hint="default" w:ascii="Times New Roman" w:hAnsi="Times New Roman" w:cs="Times New Roman"/>
                      <w:snapToGrid w:val="0"/>
                      <w:sz w:val="21"/>
                      <w:szCs w:val="21"/>
                      <w:lang w:val="en-US" w:eastAsia="zh-CN"/>
                    </w:rPr>
                    <w:t>隔油池</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0.8立方米，砖混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590"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化粪池</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10立方米，砖混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公用</w:t>
                  </w:r>
                </w:p>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工程</w:t>
                  </w:r>
                </w:p>
              </w:tc>
              <w:tc>
                <w:tcPr>
                  <w:tcW w:w="1590"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供电</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园区市政电网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rPr>
                  </w:pPr>
                </w:p>
              </w:tc>
              <w:tc>
                <w:tcPr>
                  <w:tcW w:w="1590"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供水</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eastAsia="宋体" w:cs="Times New Roman"/>
                      <w:snapToGrid w:val="0"/>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园区</w:t>
                  </w:r>
                  <w:r>
                    <w:rPr>
                      <w:rFonts w:hint="default" w:ascii="Times New Roman" w:hAnsi="Times New Roman" w:eastAsia="宋体" w:cs="Times New Roman"/>
                      <w:snapToGrid w:val="0"/>
                      <w:color w:val="000000"/>
                      <w:sz w:val="21"/>
                      <w:szCs w:val="21"/>
                      <w:highlight w:val="none"/>
                      <w:lang w:val="en-US" w:eastAsia="zh-CN"/>
                    </w:rPr>
                    <w:t>市政供水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rPr>
                  </w:pPr>
                </w:p>
              </w:tc>
              <w:tc>
                <w:tcPr>
                  <w:tcW w:w="1590" w:type="pct"/>
                  <w:gridSpan w:val="2"/>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供热</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空气能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33"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环保工程</w:t>
                  </w:r>
                </w:p>
              </w:tc>
              <w:tc>
                <w:tcPr>
                  <w:tcW w:w="40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废气</w:t>
                  </w: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shd w:val="clear" w:color="auto" w:fill="auto"/>
                      <w:lang w:val="en-US" w:eastAsia="zh-CN"/>
                    </w:rPr>
                    <w:t>下料过程废气</w:t>
                  </w:r>
                </w:p>
              </w:tc>
              <w:tc>
                <w:tcPr>
                  <w:tcW w:w="2975" w:type="pct"/>
                  <w:tcBorders>
                    <w:tl2br w:val="nil"/>
                    <w:tr2bl w:val="nil"/>
                  </w:tcBorders>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由移动式焊烟净化器处理后无组织排放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shd w:val="clear" w:color="auto" w:fill="auto"/>
                      <w:lang w:val="en-US" w:eastAsia="zh-CN"/>
                    </w:rPr>
                  </w:pPr>
                  <w:r>
                    <w:rPr>
                      <w:rFonts w:hint="default" w:ascii="Times New Roman" w:hAnsi="Times New Roman" w:cs="Times New Roman"/>
                      <w:color w:val="000000"/>
                      <w:sz w:val="21"/>
                      <w:szCs w:val="21"/>
                      <w:highlight w:val="none"/>
                      <w:shd w:val="clear" w:color="auto" w:fill="auto"/>
                      <w:lang w:val="en-US" w:eastAsia="zh-CN"/>
                    </w:rPr>
                    <w:t>焊接过程废气</w:t>
                  </w:r>
                </w:p>
              </w:tc>
              <w:tc>
                <w:tcPr>
                  <w:tcW w:w="2975" w:type="pct"/>
                  <w:tcBorders>
                    <w:tl2br w:val="nil"/>
                    <w:tr2bl w:val="nil"/>
                  </w:tcBorders>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由移动式焊烟净化器处理后无组织排放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shd w:val="clear" w:color="auto" w:fill="auto"/>
                      <w:lang w:val="en-US" w:eastAsia="zh-CN"/>
                    </w:rPr>
                  </w:pPr>
                  <w:r>
                    <w:rPr>
                      <w:rFonts w:hint="default" w:ascii="Times New Roman" w:hAnsi="Times New Roman" w:cs="Times New Roman"/>
                      <w:color w:val="000000"/>
                      <w:sz w:val="21"/>
                      <w:szCs w:val="21"/>
                      <w:highlight w:val="none"/>
                      <w:shd w:val="clear" w:color="auto" w:fill="auto"/>
                      <w:lang w:val="en-US" w:eastAsia="zh-CN"/>
                    </w:rPr>
                    <w:t>抛丸设备废气</w:t>
                  </w:r>
                </w:p>
              </w:tc>
              <w:tc>
                <w:tcPr>
                  <w:tcW w:w="2975" w:type="pct"/>
                  <w:tcBorders>
                    <w:tl2br w:val="nil"/>
                    <w:tr2bl w:val="nil"/>
                  </w:tcBorders>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b w:val="0"/>
                      <w:bCs w:val="0"/>
                      <w:color w:val="000000"/>
                      <w:sz w:val="21"/>
                      <w:szCs w:val="21"/>
                      <w:highlight w:val="none"/>
                      <w:lang w:val="en-US" w:eastAsia="zh-CN"/>
                    </w:rPr>
                    <w:t>沉降除尘+旋风+高效滤</w:t>
                  </w:r>
                  <w:r>
                    <w:rPr>
                      <w:rFonts w:hint="default" w:ascii="Times New Roman" w:hAnsi="Times New Roman" w:cs="Times New Roman"/>
                      <w:b w:val="0"/>
                      <w:bCs w:val="0"/>
                      <w:color w:val="000000"/>
                      <w:sz w:val="21"/>
                      <w:szCs w:val="21"/>
                      <w:highlight w:val="none"/>
                      <w:lang w:val="en-US" w:eastAsia="zh-CN"/>
                    </w:rPr>
                    <w:t>筒</w:t>
                  </w:r>
                  <w:r>
                    <w:rPr>
                      <w:rFonts w:hint="default" w:ascii="Times New Roman" w:hAnsi="Times New Roman" w:eastAsia="宋体" w:cs="Times New Roman"/>
                      <w:b w:val="0"/>
                      <w:bCs w:val="0"/>
                      <w:color w:val="000000"/>
                      <w:sz w:val="21"/>
                      <w:szCs w:val="21"/>
                      <w:highlight w:val="none"/>
                      <w:lang w:val="en-US" w:eastAsia="zh-CN"/>
                    </w:rPr>
                    <w:t>除尘器除尘</w:t>
                  </w:r>
                  <w:r>
                    <w:rPr>
                      <w:rFonts w:hint="default" w:ascii="Times New Roman" w:hAnsi="Times New Roman" w:cs="Times New Roman"/>
                      <w:b w:val="0"/>
                      <w:bCs w:val="0"/>
                      <w:color w:val="000000"/>
                      <w:sz w:val="21"/>
                      <w:szCs w:val="21"/>
                      <w:highlight w:val="none"/>
                      <w:lang w:val="en-US" w:eastAsia="zh-CN"/>
                    </w:rPr>
                    <w:t>+15m排气筒（DA001）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shd w:val="clear" w:color="auto" w:fill="auto"/>
                      <w:lang w:val="en-US" w:eastAsia="zh-CN"/>
                    </w:rPr>
                  </w:pPr>
                  <w:r>
                    <w:rPr>
                      <w:rFonts w:hint="default" w:ascii="Times New Roman" w:hAnsi="Times New Roman" w:cs="Times New Roman"/>
                      <w:color w:val="000000"/>
                      <w:sz w:val="21"/>
                      <w:szCs w:val="21"/>
                      <w:highlight w:val="none"/>
                      <w:shd w:val="clear" w:color="auto" w:fill="auto"/>
                      <w:lang w:val="en-US" w:eastAsia="zh-CN"/>
                    </w:rPr>
                    <w:t>喷漆房废气</w:t>
                  </w:r>
                </w:p>
              </w:tc>
              <w:tc>
                <w:tcPr>
                  <w:tcW w:w="2975" w:type="pct"/>
                  <w:tcBorders>
                    <w:tl2br w:val="nil"/>
                    <w:tr2bl w:val="nil"/>
                  </w:tcBorders>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干式过滤+活性炭吸附+催化燃烧+15米排气筒（DA002）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shd w:val="clear" w:color="auto" w:fill="auto"/>
                      <w:lang w:val="en-US" w:eastAsia="zh-CN"/>
                    </w:rPr>
                  </w:pPr>
                  <w:r>
                    <w:rPr>
                      <w:rFonts w:hint="default" w:ascii="Times New Roman" w:hAnsi="Times New Roman" w:cs="Times New Roman"/>
                      <w:color w:val="000000"/>
                      <w:sz w:val="21"/>
                      <w:szCs w:val="21"/>
                      <w:highlight w:val="none"/>
                      <w:shd w:val="clear" w:color="auto" w:fill="auto"/>
                      <w:lang w:val="en-US" w:eastAsia="zh-CN"/>
                    </w:rPr>
                    <w:t>食堂油烟</w:t>
                  </w:r>
                </w:p>
              </w:tc>
              <w:tc>
                <w:tcPr>
                  <w:tcW w:w="2975" w:type="pct"/>
                  <w:tcBorders>
                    <w:tl2br w:val="nil"/>
                    <w:tr2bl w:val="nil"/>
                  </w:tcBorders>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油烟净化器+15米排气筒（DA003）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废水</w:t>
                  </w: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shd w:val="clear" w:color="auto" w:fill="auto"/>
                      <w:lang w:val="en-US" w:eastAsia="zh-CN"/>
                    </w:rPr>
                  </w:pPr>
                  <w:r>
                    <w:rPr>
                      <w:rFonts w:hint="default" w:ascii="Times New Roman" w:hAnsi="Times New Roman" w:cs="Times New Roman"/>
                      <w:color w:val="000000"/>
                      <w:sz w:val="21"/>
                      <w:szCs w:val="21"/>
                      <w:highlight w:val="none"/>
                      <w:shd w:val="clear" w:color="auto" w:fill="auto"/>
                      <w:lang w:val="en-US" w:eastAsia="zh-CN"/>
                    </w:rPr>
                    <w:t>生产废水</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蒸汽发生器软水制备产生浓水用于厂区泼洒抑尘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生活污水</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napToGrid w:val="0"/>
                      <w:color w:val="000000"/>
                      <w:sz w:val="21"/>
                      <w:szCs w:val="21"/>
                      <w:highlight w:val="none"/>
                      <w:lang w:val="en-US" w:eastAsia="zh-CN"/>
                    </w:rPr>
                    <w:t>项目</w:t>
                  </w:r>
                  <w:r>
                    <w:rPr>
                      <w:rFonts w:hint="default" w:ascii="Times New Roman" w:hAnsi="Times New Roman" w:cs="Times New Roman"/>
                      <w:snapToGrid w:val="0"/>
                      <w:color w:val="000000"/>
                      <w:sz w:val="21"/>
                      <w:szCs w:val="21"/>
                      <w:highlight w:val="none"/>
                      <w:lang w:val="en-US" w:eastAsia="zh-CN"/>
                    </w:rPr>
                    <w:t>食堂废水经隔油池+化粪池处理、</w:t>
                  </w:r>
                  <w:r>
                    <w:rPr>
                      <w:rFonts w:hint="default" w:ascii="Times New Roman" w:hAnsi="Times New Roman" w:cs="Times New Roman"/>
                      <w:color w:val="000000"/>
                      <w:sz w:val="21"/>
                      <w:szCs w:val="21"/>
                      <w:highlight w:val="none"/>
                      <w:lang w:val="en-US" w:eastAsia="zh-CN"/>
                    </w:rPr>
                    <w:t>生活污水</w:t>
                  </w:r>
                  <w:r>
                    <w:rPr>
                      <w:rFonts w:hint="default" w:ascii="Times New Roman" w:hAnsi="Times New Roman" w:eastAsia="宋体" w:cs="Times New Roman"/>
                      <w:color w:val="000000"/>
                      <w:sz w:val="21"/>
                      <w:szCs w:val="21"/>
                      <w:highlight w:val="none"/>
                      <w:lang w:val="en-US" w:eastAsia="zh-CN"/>
                    </w:rPr>
                    <w:t>经化粪池处理后排入园区污水管网进入抚宁污水处理厂进一步处理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噪声</w:t>
                  </w: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设备噪声</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eastAsia="zh-CN"/>
                    </w:rPr>
                    <w:t>经</w:t>
                  </w:r>
                  <w:r>
                    <w:rPr>
                      <w:rFonts w:hint="default" w:ascii="Times New Roman" w:hAnsi="Times New Roman" w:eastAsia="宋体" w:cs="Times New Roman"/>
                      <w:color w:val="000000"/>
                      <w:sz w:val="21"/>
                      <w:szCs w:val="21"/>
                      <w:highlight w:val="none"/>
                      <w:lang w:eastAsia="zh-CN"/>
                    </w:rPr>
                    <w:t>基础减振</w:t>
                  </w:r>
                  <w:r>
                    <w:rPr>
                      <w:rFonts w:hint="default" w:ascii="Times New Roman" w:hAnsi="Times New Roman" w:eastAsia="宋体" w:cs="Times New Roman"/>
                      <w:color w:val="000000"/>
                      <w:sz w:val="21"/>
                      <w:szCs w:val="21"/>
                      <w:highlight w:val="none"/>
                    </w:rPr>
                    <w:t>+厂房隔声</w:t>
                  </w:r>
                  <w:r>
                    <w:rPr>
                      <w:rFonts w:hint="default" w:ascii="Times New Roman" w:hAnsi="Times New Roman" w:eastAsia="宋体" w:cs="Times New Roman"/>
                      <w:color w:val="000000"/>
                      <w:sz w:val="21"/>
                      <w:szCs w:val="21"/>
                      <w:highlight w:val="none"/>
                      <w:lang w:val="en-US" w:eastAsia="zh-CN"/>
                    </w:rPr>
                    <w:t>+距离衰减</w:t>
                  </w:r>
                  <w:r>
                    <w:rPr>
                      <w:rFonts w:hint="default" w:ascii="Times New Roman" w:hAnsi="Times New Roman" w:cs="Times New Roman"/>
                      <w:color w:val="000000"/>
                      <w:sz w:val="21"/>
                      <w:szCs w:val="21"/>
                      <w:highlight w:val="none"/>
                      <w:lang w:eastAsia="zh-CN"/>
                    </w:rPr>
                    <w:t>后，达标排放。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固废</w:t>
                  </w:r>
                </w:p>
              </w:tc>
              <w:tc>
                <w:tcPr>
                  <w:tcW w:w="118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金属废料</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color w:val="000000"/>
                      <w:sz w:val="21"/>
                      <w:szCs w:val="21"/>
                      <w:highlight w:val="none"/>
                      <w:lang w:val="en-US" w:eastAsia="zh-CN"/>
                    </w:rPr>
                    <w:t>废</w:t>
                  </w:r>
                  <w:r>
                    <w:rPr>
                      <w:rFonts w:hint="default" w:ascii="Times New Roman" w:hAnsi="Times New Roman" w:cs="Times New Roman"/>
                      <w:color w:val="000000"/>
                      <w:sz w:val="21"/>
                      <w:szCs w:val="21"/>
                      <w:highlight w:val="none"/>
                      <w:lang w:val="en-US" w:eastAsia="zh-CN"/>
                    </w:rPr>
                    <w:t>包装</w:t>
                  </w:r>
                  <w:r>
                    <w:rPr>
                      <w:rFonts w:hint="default" w:ascii="Times New Roman" w:hAnsi="Times New Roman" w:eastAsia="宋体" w:cs="Times New Roman"/>
                      <w:color w:val="000000"/>
                      <w:sz w:val="21"/>
                      <w:szCs w:val="21"/>
                      <w:highlight w:val="none"/>
                      <w:lang w:val="en-US" w:eastAsia="zh-CN"/>
                    </w:rPr>
                    <w:t>材料</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除尘灰</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生活垃圾</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snapToGrid w:val="0"/>
                      <w:color w:val="000000"/>
                      <w:sz w:val="21"/>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集中收集后，由当地环卫部门定期清运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jc w:val="center"/>
              </w:trPr>
              <w:tc>
                <w:tcPr>
                  <w:tcW w:w="433"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40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eastAsia="zh-CN"/>
                    </w:rPr>
                  </w:pPr>
                </w:p>
              </w:tc>
              <w:tc>
                <w:tcPr>
                  <w:tcW w:w="11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废切削液、废润滑油、</w:t>
                  </w:r>
                  <w:r>
                    <w:rPr>
                      <w:rFonts w:hint="default" w:ascii="Times New Roman" w:hAnsi="Times New Roman" w:eastAsia="宋体" w:cs="Times New Roman"/>
                      <w:color w:val="000000"/>
                      <w:sz w:val="21"/>
                      <w:szCs w:val="21"/>
                      <w:highlight w:val="none"/>
                      <w:lang w:val="en-US" w:eastAsia="zh-CN"/>
                    </w:rPr>
                    <w:t>废液压油、废油桶</w:t>
                  </w:r>
                  <w:r>
                    <w:rPr>
                      <w:rFonts w:hint="default" w:ascii="Times New Roman" w:hAnsi="Times New Roman" w:cs="Times New Roman"/>
                      <w:color w:val="000000"/>
                      <w:sz w:val="21"/>
                      <w:szCs w:val="21"/>
                      <w:highlight w:val="none"/>
                      <w:lang w:val="en-US" w:eastAsia="zh-CN"/>
                    </w:rPr>
                    <w:t>、废活性炭、漆渣</w:t>
                  </w:r>
                </w:p>
              </w:tc>
              <w:tc>
                <w:tcPr>
                  <w:tcW w:w="2975"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新建一座20m</w:t>
                  </w:r>
                  <w:r>
                    <w:rPr>
                      <w:rFonts w:hint="default" w:ascii="Times New Roman" w:hAnsi="Times New Roman" w:cs="Times New Roman"/>
                      <w:color w:val="000000"/>
                      <w:sz w:val="21"/>
                      <w:szCs w:val="21"/>
                      <w:highlight w:val="none"/>
                      <w:vertAlign w:val="superscript"/>
                      <w:lang w:val="en-US" w:eastAsia="zh-CN"/>
                    </w:rPr>
                    <w:t>2</w:t>
                  </w:r>
                  <w:r>
                    <w:rPr>
                      <w:rFonts w:hint="default" w:ascii="Times New Roman" w:hAnsi="Times New Roman" w:cs="Times New Roman"/>
                      <w:color w:val="000000"/>
                      <w:sz w:val="21"/>
                      <w:szCs w:val="21"/>
                      <w:highlight w:val="none"/>
                      <w:vertAlign w:val="baseline"/>
                      <w:lang w:val="en-US" w:eastAsia="zh-CN"/>
                    </w:rPr>
                    <w:t>危险废物暂存间，</w:t>
                  </w:r>
                  <w:r>
                    <w:rPr>
                      <w:rFonts w:hint="default" w:ascii="Times New Roman" w:hAnsi="Times New Roman" w:cs="Times New Roman"/>
                      <w:color w:val="000000"/>
                      <w:sz w:val="21"/>
                      <w:szCs w:val="21"/>
                      <w:highlight w:val="none"/>
                      <w:lang w:val="en-US" w:eastAsia="zh-CN"/>
                    </w:rPr>
                    <w:t>暂存</w:t>
                  </w:r>
                  <w:r>
                    <w:rPr>
                      <w:rFonts w:hint="default" w:ascii="Times New Roman" w:hAnsi="Times New Roman" w:cs="Times New Roman"/>
                      <w:color w:val="000000"/>
                      <w:sz w:val="21"/>
                      <w:szCs w:val="21"/>
                      <w:highlight w:val="none"/>
                      <w:vertAlign w:val="baseline"/>
                      <w:lang w:val="en-US" w:eastAsia="zh-CN"/>
                    </w:rPr>
                    <w:t>危险废物暂存间</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定期交</w:t>
                  </w:r>
                  <w:r>
                    <w:rPr>
                      <w:rFonts w:hint="default" w:ascii="Times New Roman" w:hAnsi="Times New Roman" w:cs="Times New Roman"/>
                      <w:color w:val="000000"/>
                      <w:sz w:val="21"/>
                      <w:szCs w:val="21"/>
                      <w:highlight w:val="none"/>
                      <w:lang w:val="en-US" w:eastAsia="zh-CN"/>
                    </w:rPr>
                    <w:t>由</w:t>
                  </w:r>
                  <w:r>
                    <w:rPr>
                      <w:rFonts w:hint="default" w:ascii="Times New Roman" w:hAnsi="Times New Roman" w:cs="Times New Roman"/>
                      <w:color w:val="000000"/>
                      <w:sz w:val="21"/>
                      <w:szCs w:val="21"/>
                      <w:highlight w:val="none"/>
                    </w:rPr>
                    <w:t>有资质单位处理</w:t>
                  </w:r>
                </w:p>
              </w:tc>
            </w:tr>
          </w:tbl>
          <w:p>
            <w:pPr>
              <w:keepNext w:val="0"/>
              <w:keepLines w:val="0"/>
              <w:pageBreakBefore w:val="0"/>
              <w:widowControl w:val="0"/>
              <w:kinsoku/>
              <w:wordWrap/>
              <w:overflowPunct/>
              <w:topLinePunct w:val="0"/>
              <w:autoSpaceDE/>
              <w:autoSpaceDN/>
              <w:bidi w:val="0"/>
              <w:adjustRightInd w:val="0"/>
              <w:snapToGrid w:val="0"/>
              <w:spacing w:line="480" w:lineRule="exact"/>
              <w:ind w:leftChars="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8</w:t>
            </w: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eastAsia="zh-CN"/>
              </w:rPr>
              <w:t>本工程主要设备</w:t>
            </w:r>
            <w:r>
              <w:rPr>
                <w:rFonts w:hint="default" w:ascii="Times New Roman" w:hAnsi="Times New Roman" w:cs="Times New Roman"/>
                <w:color w:val="000000"/>
                <w:sz w:val="24"/>
                <w:szCs w:val="24"/>
                <w:highlight w:val="none"/>
              </w:rPr>
              <w:t>：</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jc w:val="both"/>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本工程主要设备见下表：</w:t>
            </w:r>
          </w:p>
          <w:p>
            <w:pPr>
              <w:keepNext w:val="0"/>
              <w:keepLines w:val="0"/>
              <w:pageBreakBefore w:val="0"/>
              <w:widowControl w:val="0"/>
              <w:kinsoku/>
              <w:wordWrap/>
              <w:overflowPunct/>
              <w:topLinePunct w:val="0"/>
              <w:autoSpaceDE/>
              <w:autoSpaceDN/>
              <w:bidi w:val="0"/>
              <w:adjustRightInd w:val="0"/>
              <w:snapToGrid w:val="0"/>
              <w:spacing w:line="480" w:lineRule="exact"/>
              <w:ind w:leftChars="0" w:firstLine="0" w:firstLineChars="0"/>
              <w:jc w:val="center"/>
              <w:textAlignment w:val="baseline"/>
              <w:rPr>
                <w:rFonts w:hint="default" w:ascii="Times New Roman" w:hAnsi="Times New Roman" w:cs="Times New Roman"/>
                <w:b/>
                <w:bCs/>
                <w:color w:val="000000"/>
                <w:sz w:val="24"/>
                <w:szCs w:val="24"/>
                <w:highlight w:val="none"/>
              </w:rPr>
            </w:pPr>
            <w:r>
              <w:rPr>
                <w:rFonts w:hint="default" w:ascii="Times New Roman" w:hAnsi="Times New Roman" w:cs="Times New Roman"/>
                <w:b/>
                <w:bCs/>
                <w:color w:val="000000"/>
                <w:sz w:val="24"/>
                <w:szCs w:val="24"/>
                <w:highlight w:val="none"/>
              </w:rPr>
              <w:t>表</w:t>
            </w:r>
            <w:r>
              <w:rPr>
                <w:rFonts w:hint="default" w:ascii="Times New Roman" w:hAnsi="Times New Roman" w:cs="Times New Roman"/>
                <w:b/>
                <w:bCs/>
                <w:color w:val="000000"/>
                <w:sz w:val="24"/>
                <w:szCs w:val="24"/>
                <w:highlight w:val="none"/>
                <w:lang w:val="en-US" w:eastAsia="zh-CN"/>
              </w:rPr>
              <w:t>2-2</w:t>
            </w:r>
            <w:r>
              <w:rPr>
                <w:rFonts w:hint="default" w:ascii="Times New Roman" w:hAnsi="Times New Roman" w:cs="Times New Roman"/>
                <w:b/>
                <w:bCs/>
                <w:color w:val="000000"/>
                <w:sz w:val="24"/>
                <w:szCs w:val="24"/>
                <w:highlight w:val="none"/>
              </w:rPr>
              <w:t xml:space="preserve"> </w:t>
            </w:r>
            <w:r>
              <w:rPr>
                <w:rFonts w:hint="default" w:ascii="Times New Roman" w:hAnsi="Times New Roman" w:cs="Times New Roman"/>
                <w:b/>
                <w:bCs/>
                <w:color w:val="000000"/>
                <w:sz w:val="24"/>
                <w:szCs w:val="24"/>
                <w:highlight w:val="none"/>
                <w:lang w:eastAsia="zh-CN"/>
              </w:rPr>
              <w:t>本工程</w:t>
            </w:r>
            <w:r>
              <w:rPr>
                <w:rFonts w:hint="default" w:ascii="Times New Roman" w:hAnsi="Times New Roman" w:cs="Times New Roman"/>
                <w:b/>
                <w:bCs/>
                <w:color w:val="000000"/>
                <w:sz w:val="24"/>
                <w:szCs w:val="24"/>
                <w:highlight w:val="none"/>
                <w:lang w:val="en-US" w:eastAsia="zh-CN"/>
              </w:rPr>
              <w:t>项目</w:t>
            </w:r>
            <w:r>
              <w:rPr>
                <w:rFonts w:hint="default" w:ascii="Times New Roman" w:hAnsi="Times New Roman" w:cs="Times New Roman"/>
                <w:b/>
                <w:bCs/>
                <w:color w:val="000000"/>
                <w:sz w:val="24"/>
                <w:szCs w:val="24"/>
                <w:highlight w:val="none"/>
                <w:lang w:eastAsia="zh-CN"/>
              </w:rPr>
              <w:t>主要设备</w:t>
            </w:r>
            <w:r>
              <w:rPr>
                <w:rFonts w:hint="default" w:ascii="Times New Roman" w:hAnsi="Times New Roman" w:cs="Times New Roman"/>
                <w:b/>
                <w:bCs/>
                <w:color w:val="000000"/>
                <w:sz w:val="24"/>
                <w:szCs w:val="24"/>
                <w:highlight w:val="none"/>
              </w:rPr>
              <w:t>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6"/>
              <w:gridCol w:w="1071"/>
              <w:gridCol w:w="1772"/>
              <w:gridCol w:w="2047"/>
              <w:gridCol w:w="1762"/>
              <w:gridCol w:w="10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序号</w:t>
                  </w:r>
                </w:p>
              </w:tc>
              <w:tc>
                <w:tcPr>
                  <w:tcW w:w="63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类型</w:t>
                  </w:r>
                </w:p>
              </w:tc>
              <w:tc>
                <w:tcPr>
                  <w:tcW w:w="1057"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名称</w:t>
                  </w:r>
                </w:p>
              </w:tc>
              <w:tc>
                <w:tcPr>
                  <w:tcW w:w="1221"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型号</w:t>
                  </w:r>
                </w:p>
              </w:tc>
              <w:tc>
                <w:tcPr>
                  <w:tcW w:w="1051"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单位</w:t>
                  </w:r>
                </w:p>
              </w:tc>
              <w:tc>
                <w:tcPr>
                  <w:tcW w:w="620"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221"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1"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20"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c>
                <w:tcPr>
                  <w:tcW w:w="63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下料设备</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数控切割机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DSZG4M*10M</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数控剪板机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QC12K</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数控折弯机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W67Y</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钢筋调直机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JK12</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钢筋弯区机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JK30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钢筋切断机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JK20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数控锯床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J23-200T</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c>
                <w:tcPr>
                  <w:tcW w:w="63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焊接设备</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二氧化碳焊机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500A</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交流焊机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BX1-500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焊接机器人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ZK1212</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激光焊机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MK-500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抛丸清理机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1800-8型</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3</w:t>
                  </w:r>
                </w:p>
              </w:tc>
              <w:tc>
                <w:tcPr>
                  <w:tcW w:w="63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机加设备</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龙门铣床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LM12-35</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数控车床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C5015</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立式铣床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X63T</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卧式铣床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B6065</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磨床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M7180*16-GM</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立式车床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A20-30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数控镗床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T165</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车床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CA5085</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数控磨床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M2180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三轴加工中心</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DD2518</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五轴加工中心</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D2020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三轴加工中心</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DD1160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摇臂钻床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Z3050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线切割机床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KZ-1200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压力机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ZY-600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自动攻丝机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GS-32</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数控钻床</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ZK3850A</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4</w:t>
                  </w:r>
                </w:p>
              </w:tc>
              <w:tc>
                <w:tcPr>
                  <w:tcW w:w="63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检测设备</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激光干涉仪</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ML10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三坐标测量仪</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GLORY</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5</w:t>
                  </w:r>
                </w:p>
              </w:tc>
              <w:tc>
                <w:tcPr>
                  <w:tcW w:w="63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线束</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自动压接机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E2PLUS</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6</w:t>
                  </w:r>
                </w:p>
              </w:tc>
              <w:tc>
                <w:tcPr>
                  <w:tcW w:w="63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养护</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蒸汽发生器</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R5000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7</w:t>
                  </w:r>
                </w:p>
              </w:tc>
              <w:tc>
                <w:tcPr>
                  <w:tcW w:w="63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喷涂</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喷漆房</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18-30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8</w:t>
                  </w:r>
                </w:p>
              </w:tc>
              <w:tc>
                <w:tcPr>
                  <w:tcW w:w="639" w:type="pct"/>
                  <w:vMerge w:val="restar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起重设备</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天车</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10T</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639" w:type="pct"/>
                  <w:vMerge w:val="continue"/>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天车</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5T</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9</w:t>
                  </w:r>
                </w:p>
              </w:tc>
              <w:tc>
                <w:tcPr>
                  <w:tcW w:w="63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气源</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空气压缩机</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JBES-20</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0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10</w:t>
                  </w:r>
                </w:p>
              </w:tc>
              <w:tc>
                <w:tcPr>
                  <w:tcW w:w="639"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环保</w:t>
                  </w:r>
                </w:p>
              </w:tc>
              <w:tc>
                <w:tcPr>
                  <w:tcW w:w="1057"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焊烟净化器</w:t>
                  </w:r>
                </w:p>
              </w:tc>
              <w:tc>
                <w:tcPr>
                  <w:tcW w:w="122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A1000型</w:t>
                  </w:r>
                </w:p>
              </w:tc>
              <w:tc>
                <w:tcPr>
                  <w:tcW w:w="1051"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台</w:t>
                  </w:r>
                </w:p>
              </w:tc>
              <w:tc>
                <w:tcPr>
                  <w:tcW w:w="620" w:type="pct"/>
                  <w:shd w:val="clear" w:color="auto" w:fill="auto"/>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10</w:t>
                  </w:r>
                </w:p>
              </w:tc>
            </w:tr>
          </w:tbl>
          <w:p>
            <w:pPr>
              <w:keepNext w:val="0"/>
              <w:keepLines w:val="0"/>
              <w:pageBreakBefore w:val="0"/>
              <w:widowControl w:val="0"/>
              <w:kinsoku/>
              <w:wordWrap/>
              <w:overflowPunct/>
              <w:topLinePunct w:val="0"/>
              <w:autoSpaceDE/>
              <w:autoSpaceDN/>
              <w:bidi w:val="0"/>
              <w:adjustRightInd w:val="0"/>
              <w:snapToGrid w:val="0"/>
              <w:spacing w:line="480" w:lineRule="exact"/>
              <w:ind w:leftChars="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eastAsia="宋体" w:cs="Times New Roman"/>
                <w:color w:val="000000"/>
                <w:sz w:val="24"/>
                <w:szCs w:val="24"/>
                <w:highlight w:val="none"/>
                <w:lang w:val="en-US" w:eastAsia="zh-CN"/>
              </w:rPr>
              <w:t>9</w:t>
            </w: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eastAsia="zh-CN"/>
              </w:rPr>
              <w:t>主要原辅材料及能源消耗</w:t>
            </w:r>
            <w:r>
              <w:rPr>
                <w:rFonts w:hint="default" w:ascii="Times New Roman" w:hAnsi="Times New Roman" w:cs="Times New Roman"/>
                <w:color w:val="000000"/>
                <w:sz w:val="24"/>
                <w:szCs w:val="24"/>
                <w:highlight w:val="none"/>
              </w:rPr>
              <w:t>：</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jc w:val="both"/>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本</w:t>
            </w:r>
            <w:r>
              <w:rPr>
                <w:rFonts w:hint="default" w:ascii="Times New Roman" w:hAnsi="Times New Roman" w:cs="Times New Roman"/>
                <w:color w:val="000000"/>
                <w:sz w:val="24"/>
                <w:szCs w:val="24"/>
                <w:highlight w:val="none"/>
                <w:lang w:val="en-US" w:eastAsia="zh-CN"/>
              </w:rPr>
              <w:t>项目</w:t>
            </w:r>
            <w:r>
              <w:rPr>
                <w:rFonts w:hint="default" w:ascii="Times New Roman" w:hAnsi="Times New Roman" w:cs="Times New Roman"/>
                <w:color w:val="000000"/>
                <w:sz w:val="24"/>
                <w:szCs w:val="24"/>
                <w:highlight w:val="none"/>
                <w:lang w:eastAsia="zh-CN"/>
              </w:rPr>
              <w:t>主要原辅材料及能源消耗</w:t>
            </w:r>
            <w:r>
              <w:rPr>
                <w:rFonts w:hint="default" w:ascii="Times New Roman" w:hAnsi="Times New Roman" w:cs="Times New Roman"/>
                <w:color w:val="000000"/>
                <w:sz w:val="24"/>
                <w:szCs w:val="24"/>
                <w:highlight w:val="none"/>
                <w:lang w:val="en-US" w:eastAsia="zh-CN"/>
              </w:rPr>
              <w:t>见下表：</w:t>
            </w:r>
          </w:p>
          <w:p>
            <w:pPr>
              <w:keepNext w:val="0"/>
              <w:keepLines w:val="0"/>
              <w:pageBreakBefore w:val="0"/>
              <w:widowControl w:val="0"/>
              <w:kinsoku/>
              <w:wordWrap/>
              <w:overflowPunct/>
              <w:topLinePunct w:val="0"/>
              <w:autoSpaceDE/>
              <w:autoSpaceDN/>
              <w:bidi w:val="0"/>
              <w:adjustRightInd w:val="0"/>
              <w:snapToGrid w:val="0"/>
              <w:spacing w:line="480" w:lineRule="exact"/>
              <w:ind w:leftChars="0"/>
              <w:jc w:val="center"/>
              <w:textAlignment w:val="auto"/>
              <w:rPr>
                <w:rFonts w:hint="default" w:ascii="Times New Roman" w:hAnsi="Times New Roman" w:cs="Times New Roman"/>
                <w:b/>
                <w:bCs/>
                <w:snapToGrid w:val="0"/>
                <w:color w:val="000000"/>
                <w:sz w:val="24"/>
                <w:szCs w:val="24"/>
                <w:highlight w:val="none"/>
              </w:rPr>
            </w:pPr>
            <w:r>
              <w:rPr>
                <w:rFonts w:hint="default" w:ascii="Times New Roman" w:hAnsi="Times New Roman" w:cs="Times New Roman"/>
                <w:b/>
                <w:bCs/>
                <w:color w:val="000000"/>
                <w:sz w:val="24"/>
                <w:szCs w:val="24"/>
                <w:highlight w:val="none"/>
                <w:lang w:eastAsia="zh-CN"/>
              </w:rPr>
              <w:t>表</w:t>
            </w:r>
            <w:r>
              <w:rPr>
                <w:rFonts w:hint="default" w:ascii="Times New Roman" w:hAnsi="Times New Roman" w:cs="Times New Roman"/>
                <w:b/>
                <w:bCs/>
                <w:color w:val="000000"/>
                <w:sz w:val="24"/>
                <w:szCs w:val="24"/>
                <w:highlight w:val="none"/>
                <w:lang w:val="en-US" w:eastAsia="zh-CN"/>
              </w:rPr>
              <w:t>2-3</w:t>
            </w:r>
            <w:r>
              <w:rPr>
                <w:rFonts w:hint="default" w:ascii="Times New Roman" w:hAnsi="Times New Roman" w:cs="Times New Roman"/>
                <w:b/>
                <w:bCs/>
                <w:snapToGrid w:val="0"/>
                <w:color w:val="000000"/>
                <w:sz w:val="24"/>
                <w:szCs w:val="24"/>
                <w:highlight w:val="none"/>
              </w:rPr>
              <w:t xml:space="preserve"> </w:t>
            </w:r>
            <w:r>
              <w:rPr>
                <w:rFonts w:hint="default" w:ascii="Times New Roman" w:hAnsi="Times New Roman" w:cs="Times New Roman"/>
                <w:b/>
                <w:bCs/>
                <w:snapToGrid w:val="0"/>
                <w:color w:val="000000"/>
                <w:sz w:val="24"/>
                <w:szCs w:val="24"/>
                <w:highlight w:val="none"/>
                <w:lang w:eastAsia="zh-CN"/>
              </w:rPr>
              <w:t>本</w:t>
            </w:r>
            <w:r>
              <w:rPr>
                <w:rFonts w:hint="default" w:ascii="Times New Roman" w:hAnsi="Times New Roman" w:cs="Times New Roman"/>
                <w:b/>
                <w:bCs/>
                <w:snapToGrid w:val="0"/>
                <w:color w:val="000000"/>
                <w:sz w:val="24"/>
                <w:szCs w:val="24"/>
                <w:highlight w:val="none"/>
                <w:lang w:val="en-US" w:eastAsia="zh-CN"/>
              </w:rPr>
              <w:t>项目</w:t>
            </w:r>
            <w:r>
              <w:rPr>
                <w:rFonts w:hint="default" w:ascii="Times New Roman" w:hAnsi="Times New Roman" w:cs="Times New Roman"/>
                <w:b/>
                <w:bCs/>
                <w:snapToGrid w:val="0"/>
                <w:color w:val="000000"/>
                <w:sz w:val="24"/>
                <w:szCs w:val="24"/>
                <w:highlight w:val="none"/>
                <w:lang w:eastAsia="zh-CN"/>
              </w:rPr>
              <w:t>主要原辅材料及能源消耗</w:t>
            </w:r>
            <w:r>
              <w:rPr>
                <w:rFonts w:hint="default" w:ascii="Times New Roman" w:hAnsi="Times New Roman" w:cs="Times New Roman"/>
                <w:b/>
                <w:bCs/>
                <w:snapToGrid w:val="0"/>
                <w:color w:val="000000"/>
                <w:sz w:val="24"/>
                <w:szCs w:val="24"/>
                <w:highlight w:val="none"/>
              </w:rPr>
              <w:t>一览表</w:t>
            </w:r>
          </w:p>
          <w:tbl>
            <w:tblPr>
              <w:tblStyle w:val="32"/>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1"/>
              <w:gridCol w:w="729"/>
              <w:gridCol w:w="1409"/>
              <w:gridCol w:w="1791"/>
              <w:gridCol w:w="849"/>
              <w:gridCol w:w="883"/>
              <w:gridCol w:w="1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b/>
                      <w:bCs/>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b/>
                      <w:bCs/>
                      <w:color w:val="000000" w:themeColor="text1"/>
                      <w:kern w:val="0"/>
                      <w:sz w:val="21"/>
                      <w:szCs w:val="21"/>
                      <w:lang w:val="en-US" w:eastAsia="zh-CN"/>
                      <w14:textFill>
                        <w14:solidFill>
                          <w14:schemeClr w14:val="tx1"/>
                        </w14:solidFill>
                      </w14:textFill>
                    </w:rPr>
                    <w:t>项目</w:t>
                  </w: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序号</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名称</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规格</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单位</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年用量</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restar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原辅材料</w:t>
                  </w: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钢板</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﹠=2mm-120mm</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混凝土</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C40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m³</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环氧树脂</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需求定制</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4</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钢纤维</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需求定制</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工字钢</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6</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角钢</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7</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槽钢</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8</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H型钢</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9</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方圆管</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方钢管</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11</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圆钢</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Φ6-Φ150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12</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螺纹钢</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Φ6-Φ12</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13</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焊丝</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1.2</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1.5</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14</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焊条</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3.2</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0.5</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15</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铝型材</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16</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铝板</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﹠=2mm-120mm</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17</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铝棒</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Φ12-Φ150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18</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水性漆</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8</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19</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油性漆</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4</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油漆稀释剂</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2</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21</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伺服电机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100w-13Kw</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22</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RV减速机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070-215</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台</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23</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行星减速机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070-216</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台</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24</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谐波减速机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14-25</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台</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25</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滚珠丝杆</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Φ12-Φ100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26</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直线导轨</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16-50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27</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直线电机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100w-5Kw</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28</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关节模组</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14-25</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29</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关节电机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15w-3Kw</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力矩传感器</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L10-60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31</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视觉传感器</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400-1500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32</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3D相机</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3D10-500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33</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激光传感器</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400-1500</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34</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气缸</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35</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开关、继电器</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36</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轴承</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37</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五金标准件</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38</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切削液</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1.5</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厂内最大储存0.5t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39</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液压油</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0.5</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厂内最大储存0.3t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40</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润滑油</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1.5</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厂内最大储存0.5t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41</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电线电缆</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国标</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套</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500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42</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控制柜</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需求定制</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台</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600</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restar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能源</w:t>
                  </w: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1</w:t>
                  </w:r>
                </w:p>
              </w:tc>
              <w:tc>
                <w:tcPr>
                  <w:tcW w:w="841"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电</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万kw·h</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60</w:t>
                  </w:r>
                </w:p>
              </w:tc>
              <w:tc>
                <w:tcPr>
                  <w:tcW w:w="1146" w:type="pct"/>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园区市政电网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2</w:t>
                  </w:r>
                </w:p>
              </w:tc>
              <w:tc>
                <w:tcPr>
                  <w:tcW w:w="841" w:type="pct"/>
                  <w:shd w:val="clear" w:color="auto" w:fill="auto"/>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bidi="ar-SA"/>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水</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吨</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45</w:t>
                  </w: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00</w:t>
                  </w:r>
                </w:p>
              </w:tc>
              <w:tc>
                <w:tcPr>
                  <w:tcW w:w="1146" w:type="pct"/>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园区</w:t>
                  </w:r>
                  <w:r>
                    <w:rPr>
                      <w:rFonts w:hint="default" w:ascii="Times New Roman" w:hAnsi="Times New Roman" w:eastAsia="宋体" w:cs="Times New Roman"/>
                      <w:snapToGrid w:val="0"/>
                      <w:color w:val="000000"/>
                      <w:sz w:val="21"/>
                      <w:szCs w:val="21"/>
                      <w:highlight w:val="none"/>
                      <w:lang w:val="en-US" w:eastAsia="zh-CN"/>
                    </w:rPr>
                    <w:t>市政供水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472" w:type="pct"/>
                  <w:vMerge w:val="continue"/>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p>
              </w:tc>
              <w:tc>
                <w:tcPr>
                  <w:tcW w:w="435"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w:t>
                  </w:r>
                </w:p>
              </w:tc>
              <w:tc>
                <w:tcPr>
                  <w:tcW w:w="841"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天然气</w:t>
                  </w:r>
                </w:p>
              </w:tc>
              <w:tc>
                <w:tcPr>
                  <w:tcW w:w="1069"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用于食堂</w:t>
                  </w:r>
                </w:p>
              </w:tc>
              <w:tc>
                <w:tcPr>
                  <w:tcW w:w="50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万m</w:t>
                  </w:r>
                  <w:r>
                    <w:rPr>
                      <w:rFonts w:hint="default" w:ascii="Times New Roman" w:hAnsi="Times New Roman" w:eastAsia="宋体" w:cs="Times New Roman"/>
                      <w:color w:val="000000" w:themeColor="text1"/>
                      <w:kern w:val="0"/>
                      <w:sz w:val="21"/>
                      <w:szCs w:val="21"/>
                      <w:vertAlign w:val="superscript"/>
                      <w:lang w:val="en-US" w:eastAsia="zh-CN"/>
                      <w14:textFill>
                        <w14:solidFill>
                          <w14:schemeClr w14:val="tx1"/>
                        </w14:solidFill>
                      </w14:textFill>
                    </w:rPr>
                    <w:t>3</w:t>
                  </w:r>
                </w:p>
              </w:tc>
              <w:tc>
                <w:tcPr>
                  <w:tcW w:w="527"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14:textFill>
                        <w14:solidFill>
                          <w14:schemeClr w14:val="tx1"/>
                        </w14:solidFill>
                      </w14:textFill>
                    </w:rPr>
                  </w:pPr>
                  <w:r>
                    <w:rPr>
                      <w:rFonts w:hint="default" w:ascii="Times New Roman" w:hAnsi="Times New Roman" w:eastAsia="宋体" w:cs="Times New Roman"/>
                      <w:color w:val="000000" w:themeColor="text1"/>
                      <w:kern w:val="0"/>
                      <w:sz w:val="21"/>
                      <w:szCs w:val="21"/>
                      <w14:textFill>
                        <w14:solidFill>
                          <w14:schemeClr w14:val="tx1"/>
                        </w14:solidFill>
                      </w14:textFill>
                    </w:rPr>
                    <w:t>1</w:t>
                  </w: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.3</w:t>
                  </w:r>
                  <w:r>
                    <w:rPr>
                      <w:rFonts w:hint="default" w:ascii="Times New Roman" w:hAnsi="Times New Roman" w:cs="Times New Roman"/>
                      <w:color w:val="000000" w:themeColor="text1"/>
                      <w:kern w:val="0"/>
                      <w:sz w:val="21"/>
                      <w:szCs w:val="21"/>
                      <w:lang w:val="en-US" w:eastAsia="zh-CN"/>
                      <w14:textFill>
                        <w14:solidFill>
                          <w14:schemeClr w14:val="tx1"/>
                        </w14:solidFill>
                      </w14:textFill>
                    </w:rPr>
                    <w:t>6</w:t>
                  </w:r>
                </w:p>
              </w:tc>
              <w:tc>
                <w:tcPr>
                  <w:tcW w:w="1146" w:type="pct"/>
                  <w:noWrap w:val="0"/>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园区天然气管道</w:t>
                  </w:r>
                </w:p>
              </w:tc>
            </w:tr>
          </w:tbl>
          <w:p>
            <w:pPr>
              <w:keepNext w:val="0"/>
              <w:keepLines w:val="0"/>
              <w:pageBreakBefore w:val="0"/>
              <w:widowControl w:val="0"/>
              <w:kinsoku/>
              <w:wordWrap/>
              <w:overflowPunct/>
              <w:topLinePunct w:val="0"/>
              <w:autoSpaceDE/>
              <w:autoSpaceDN/>
              <w:bidi w:val="0"/>
              <w:adjustRightInd w:val="0"/>
              <w:snapToGrid w:val="0"/>
              <w:spacing w:line="480" w:lineRule="exact"/>
              <w:ind w:leftChars="0"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（10）原辅材料理化性质：</w:t>
            </w: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hint="default" w:ascii="Times New Roman" w:hAnsi="Times New Roman" w:eastAsia="宋体" w:cs="Times New Roman"/>
                <w:b/>
                <w:snapToGrid w:val="0"/>
                <w:color w:val="000000" w:themeColor="text1"/>
                <w:sz w:val="24"/>
                <w:highlight w:val="none"/>
                <w:lang w:val="en-US" w:eastAsia="zh-CN"/>
                <w14:textFill>
                  <w14:solidFill>
                    <w14:schemeClr w14:val="tx1"/>
                  </w14:solidFill>
                </w14:textFill>
              </w:rPr>
            </w:pPr>
            <w:r>
              <w:rPr>
                <w:rFonts w:hint="default" w:ascii="Times New Roman" w:hAnsi="Times New Roman" w:eastAsia="宋体" w:cs="Times New Roman"/>
                <w:b/>
                <w:snapToGrid w:val="0"/>
                <w:color w:val="000000" w:themeColor="text1"/>
                <w:sz w:val="24"/>
                <w:highlight w:val="none"/>
                <w14:textFill>
                  <w14:solidFill>
                    <w14:schemeClr w14:val="tx1"/>
                  </w14:solidFill>
                </w14:textFill>
              </w:rPr>
              <w:t>表</w:t>
            </w:r>
            <w:r>
              <w:rPr>
                <w:rFonts w:hint="default" w:ascii="Times New Roman" w:hAnsi="Times New Roman" w:eastAsia="宋体" w:cs="Times New Roman"/>
                <w:b/>
                <w:snapToGrid w:val="0"/>
                <w:color w:val="000000" w:themeColor="text1"/>
                <w:sz w:val="24"/>
                <w:highlight w:val="none"/>
                <w:lang w:val="en-US" w:eastAsia="zh-CN"/>
                <w14:textFill>
                  <w14:solidFill>
                    <w14:schemeClr w14:val="tx1"/>
                  </w14:solidFill>
                </w14:textFill>
              </w:rPr>
              <w:t>2-</w:t>
            </w:r>
            <w:r>
              <w:rPr>
                <w:rFonts w:hint="default" w:ascii="Times New Roman" w:hAnsi="Times New Roman" w:cs="Times New Roman"/>
                <w:b/>
                <w:snapToGrid w:val="0"/>
                <w:color w:val="000000" w:themeColor="text1"/>
                <w:sz w:val="24"/>
                <w:highlight w:val="none"/>
                <w:lang w:val="en-US" w:eastAsia="zh-CN"/>
                <w14:textFill>
                  <w14:solidFill>
                    <w14:schemeClr w14:val="tx1"/>
                  </w14:solidFill>
                </w14:textFill>
              </w:rPr>
              <w:t>4</w:t>
            </w:r>
            <w:r>
              <w:rPr>
                <w:rFonts w:hint="default" w:ascii="Times New Roman" w:hAnsi="Times New Roman" w:eastAsia="宋体" w:cs="Times New Roman"/>
                <w:b/>
                <w:snapToGrid w:val="0"/>
                <w:color w:val="000000" w:themeColor="text1"/>
                <w:sz w:val="24"/>
                <w:highlight w:val="none"/>
                <w14:textFill>
                  <w14:solidFill>
                    <w14:schemeClr w14:val="tx1"/>
                  </w14:solidFill>
                </w14:textFill>
              </w:rPr>
              <w:t xml:space="preserve"> </w:t>
            </w:r>
            <w:r>
              <w:rPr>
                <w:rFonts w:hint="default" w:ascii="Times New Roman" w:hAnsi="Times New Roman" w:cs="Times New Roman"/>
                <w:b/>
                <w:snapToGrid w:val="0"/>
                <w:color w:val="000000" w:themeColor="text1"/>
                <w:sz w:val="24"/>
                <w:highlight w:val="none"/>
                <w:lang w:val="en-US" w:eastAsia="zh-CN"/>
                <w14:textFill>
                  <w14:solidFill>
                    <w14:schemeClr w14:val="tx1"/>
                  </w14:solidFill>
                </w14:textFill>
              </w:rPr>
              <w:t>原辅料</w:t>
            </w:r>
            <w:r>
              <w:rPr>
                <w:rFonts w:hint="default" w:ascii="Times New Roman" w:hAnsi="Times New Roman" w:eastAsia="宋体" w:cs="Times New Roman"/>
                <w:b/>
                <w:snapToGrid w:val="0"/>
                <w:color w:val="000000" w:themeColor="text1"/>
                <w:sz w:val="24"/>
                <w:highlight w:val="none"/>
                <w:lang w:val="en-US" w:eastAsia="zh-CN"/>
                <w14:textFill>
                  <w14:solidFill>
                    <w14:schemeClr w14:val="tx1"/>
                  </w14:solidFill>
                </w14:textFill>
              </w:rPr>
              <w:t>理化性质</w:t>
            </w:r>
          </w:p>
          <w:tbl>
            <w:tblPr>
              <w:tblStyle w:val="33"/>
              <w:tblW w:w="817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3"/>
              <w:gridCol w:w="7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环氧树脂</w:t>
                  </w:r>
                </w:p>
              </w:tc>
              <w:tc>
                <w:tcPr>
                  <w:tcW w:w="7096"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环氧树脂是指分子中含有两个以上环氧基团的一类聚合物的总称。它是环氯丙烷与双酚A或多元醇的缩聚产物。由于环氧基的化学活性，可用多种含有活泼氢的化合物使其开环，固化交联成网状结构，因此它是一种热固性树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水性漆</w:t>
                  </w:r>
                </w:p>
              </w:tc>
              <w:tc>
                <w:tcPr>
                  <w:tcW w:w="7096"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水性油漆就是以水做为稀释剂、不含有机溶剂的涂料，不含苯、甲苯、二甲苯、甲醛、游离TDI有毒重金属，无毒无刺激气味，对人体无害，不污染环境，漆膜丰满、晶莹透亮、柔韧性好并且具有耐水、耐磨、耐老化、耐黄变、干燥快、使用方便等特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z w:val="21"/>
                      <w:szCs w:val="21"/>
                      <w:vertAlign w:val="baseline"/>
                      <w:lang w:val="en-US" w:eastAsia="zh-CN"/>
                    </w:rPr>
                    <w:t>油性漆</w:t>
                  </w:r>
                </w:p>
              </w:tc>
              <w:tc>
                <w:tcPr>
                  <w:tcW w:w="7096" w:type="dxa"/>
                  <w:tcBorders>
                    <w:tl2br w:val="nil"/>
                    <w:tr2bl w:val="nil"/>
                  </w:tcBorders>
                  <w:noWrap w:val="0"/>
                  <w:vAlign w:val="center"/>
                </w:tcPr>
                <w:p>
                  <w:pPr>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z w:val="21"/>
                      <w:szCs w:val="21"/>
                      <w:vertAlign w:val="baseline"/>
                      <w:lang w:val="en-US" w:eastAsia="zh-CN"/>
                    </w:rPr>
                    <w:t>主要成分为：环氧树脂15-30%；二甲苯5-15%；丁醇5-10%；锌粉20-70%；滑石粉2-10%；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z w:val="21"/>
                      <w:szCs w:val="21"/>
                      <w:vertAlign w:val="baseline"/>
                      <w:lang w:val="en-US" w:eastAsia="zh-CN"/>
                    </w:rPr>
                    <w:t>油漆稀释剂</w:t>
                  </w:r>
                </w:p>
              </w:tc>
              <w:tc>
                <w:tcPr>
                  <w:tcW w:w="7096" w:type="dxa"/>
                  <w:tcBorders>
                    <w:tl2br w:val="nil"/>
                    <w:tr2bl w:val="nil"/>
                  </w:tcBorders>
                  <w:noWrap w:val="0"/>
                  <w:vAlign w:val="center"/>
                </w:tcPr>
                <w:p>
                  <w:pPr>
                    <w:jc w:val="cente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z w:val="21"/>
                      <w:szCs w:val="21"/>
                      <w:vertAlign w:val="baseline"/>
                      <w:lang w:val="en-US" w:eastAsia="zh-CN"/>
                    </w:rPr>
                    <w:t>主要成分为：甲基异丁基酮0-5%；正丁醇0-20%；醋酸丁酯0-30%；二甲苯30-50%；丙二醇甲醚醋酸酯0-20%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切削液</w:t>
                  </w:r>
                </w:p>
              </w:tc>
              <w:tc>
                <w:tcPr>
                  <w:tcW w:w="7096"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切削液是一种用在金属切削、磨加工过程中，用来冷却和润滑刀具和加工件的工业用液体，切削液由多种超强功能助剂经科学复合配合而成，同时具备良好的冷却性能、润滑性能、防锈性能、除油清洗功能、防腐功能、易稀释特点。</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水溶性切削液主要成分有：乙二醇、四硼酸钠、偏硅酸钠、磷酸钠。</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乙二醇：又名“甘醇”、“1,2-亚乙基二醇”，简称EG。化学式为(HOCH</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)₂，是最简单的二元醇。乙二醇是无色无臭、有甜味液体，有毒性。乙二醇能与水、丙酮互溶，但在醚类中溶解度较小。用作溶剂、防冻剂以及合成涤纶的原料。</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四硼酸钠：或称硼砂，分子式Na</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B</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4</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O</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7</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·10H</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O，是非常重要的含硼矿物及硼化合物。通常为含有无色晶体的白色粉末，易溶于水。硼砂常指四硼酸钠的十水合物，即Na</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B</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4</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O</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7</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10H</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O。</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偏硅酸钠：偏硅酸钠是普通泡化碱与烧碱水热反应而制得的低分子晶</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磷酸钠：</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化学式：Na</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PO</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4</w:t>
                  </w: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为磷酸盐，是一种无机化合物。一般磷酸钠指的是十二水合磷酸钠(Na</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3</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PO</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4</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·12H</w:t>
                  </w:r>
                  <w:r>
                    <w:rPr>
                      <w:rFonts w:hint="default" w:ascii="Times New Roman" w:hAnsi="Times New Roman" w:eastAsia="宋体" w:cs="Times New Roman"/>
                      <w:color w:val="000000" w:themeColor="text1"/>
                      <w:sz w:val="21"/>
                      <w:szCs w:val="21"/>
                      <w:highlight w:val="none"/>
                      <w:vertAlign w:val="subscript"/>
                      <w:lang w:val="en-US" w:eastAsia="zh-CN"/>
                      <w14:textFill>
                        <w14:solidFill>
                          <w14:schemeClr w14:val="tx1"/>
                        </w14:solidFill>
                      </w14:textFill>
                    </w:rPr>
                    <w:t>2</w:t>
                  </w:r>
                  <w:r>
                    <w:rPr>
                      <w:rFonts w:hint="default" w:ascii="Times New Roman" w:hAnsi="Times New Roman" w:eastAsia="宋体" w:cs="Times New Roman"/>
                      <w:color w:val="000000" w:themeColor="text1"/>
                      <w:sz w:val="21"/>
                      <w:szCs w:val="21"/>
                      <w:highlight w:val="none"/>
                      <w:vertAlign w:val="baseline"/>
                      <w:lang w:val="en-US" w:eastAsia="zh-CN"/>
                      <w14:textFill>
                        <w14:solidFill>
                          <w14:schemeClr w14:val="tx1"/>
                        </w14:solidFill>
                      </w14:textFill>
                    </w:rPr>
                    <w:t>O)。十二水合磷酸钠在干燥空气中风化，且将其加热至100°C时，会失去结晶水而成为无水物。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color w:val="000000" w:themeColor="text1"/>
                      <w:kern w:val="2"/>
                      <w:sz w:val="21"/>
                      <w:szCs w:val="21"/>
                      <w:highlight w:val="none"/>
                      <w:vertAlign w:val="baseli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润滑油</w:t>
                  </w:r>
                </w:p>
              </w:tc>
              <w:tc>
                <w:tcPr>
                  <w:tcW w:w="7096" w:type="dxa"/>
                  <w:tcBorders>
                    <w:tl2br w:val="nil"/>
                    <w:tr2bl w:val="nil"/>
                  </w:tcBorders>
                  <w:shd w:val="clear" w:color="auto" w:fill="auto"/>
                  <w:noWrap w:val="0"/>
                  <w:vAlign w:val="top"/>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润滑油高度精制的矿物油和添加剂的混合物；琥珀色透明液体，气味：矿物油特性；闪电248℃，自然温度：大于300℃；稳定性：稳定。</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一般由基础油和添加剂两部分组成。基础油是润滑油的主要成分，决定着润滑油的基本性质，添加剂则可弥补和改善基础油性能方面的不足，赋予某些新的性能，是润滑油的重要组成部分。</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润滑油基础油主要分矿物基础油、合成基础油以及生物基础油三大类。矿油基础油由原油提炼而成。润滑油基础油主要生产过程有：常减压蒸馏、溶剂脱沥青、溶剂精制、溶剂脱蜡、白土或加氢补充精制。</w:t>
                  </w:r>
                </w:p>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一般常用的添加剂有：粘度指数改进剂，倾点下降剂，抗氧化剂，清净分散剂，摩擦缓和剂，油性剂，极压添加剂，抗泡沫剂，金属钝化剂，乳化剂，防腐蚀剂，防锈剂，破乳化剂，抗氧抗腐剂等。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108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液压油</w:t>
                  </w:r>
                </w:p>
              </w:tc>
              <w:tc>
                <w:tcPr>
                  <w:tcW w:w="7096"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液压油就是利用液体压力能的液压系统使用的液压介质，在</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instrText xml:space="preserve"> HYPERLINK "https://baike.baidu.com/item/%E6%B6%B2%E5%8E%8B%E7%B3%BB%E7%BB%9F/35153" \t "https://baike.baidu.com/item/_blank" </w:instrTex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液压系统</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中起着</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instrText xml:space="preserve"> HYPERLINK "https://baike.baidu.com/item/%E8%83%BD%E9%87%8F%E4%BC%A0%E9%80%92/5282377" \t "https://baike.baidu.com/item/_blank" </w:instrTex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能量传递</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、抗磨、系统润滑、</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instrText xml:space="preserve"> HYPERLINK "https://baike.baidu.com/item/%E9%98%B2%E8%85%90/1271300" \t "https://baike.baidu.com/item/_blank" </w:instrTex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防腐</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instrText xml:space="preserve"> HYPERLINK "https://baike.baidu.com/item/%E9%98%B2%E9%94%88/4591680" \t "https://baike.baidu.com/item/_blank" </w:instrTex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防锈</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begin"/>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instrText xml:space="preserve"> HYPERLINK "https://baike.baidu.com/item/%E5%86%B7%E5%8D%B4/3036655" \t "https://baike.baidu.com/item/_blank" </w:instrTex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separate"/>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冷却</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fldChar w:fldCharType="end"/>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等作用。液压油的种类繁多，分类方法各异，长期以来，习惯以用途进行分类，也有根据油品类型、化学组分或可燃性分类的，液压油的主要成分有植物基础油</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w:t>
                  </w:r>
                </w:p>
              </w:tc>
            </w:tr>
          </w:tbl>
          <w:p>
            <w:pPr>
              <w:keepNext w:val="0"/>
              <w:keepLines w:val="0"/>
              <w:pageBreakBefore w:val="0"/>
              <w:widowControl w:val="0"/>
              <w:kinsoku/>
              <w:wordWrap/>
              <w:overflowPunct/>
              <w:topLinePunct w:val="0"/>
              <w:autoSpaceDE/>
              <w:autoSpaceDN/>
              <w:bidi w:val="0"/>
              <w:adjustRightInd/>
              <w:snapToGrid w:val="0"/>
              <w:spacing w:line="480" w:lineRule="exact"/>
              <w:ind w:leftChars="0" w:firstLine="480" w:firstLineChars="200"/>
              <w:textAlignment w:val="auto"/>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11</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eastAsia="zh-CN"/>
                <w14:textFill>
                  <w14:solidFill>
                    <w14:schemeClr w14:val="tx1"/>
                  </w14:solidFill>
                </w14:textFill>
              </w:rPr>
              <w:t>产品方案表</w:t>
            </w:r>
            <w:r>
              <w:rPr>
                <w:rFonts w:hint="default" w:ascii="Times New Roman" w:hAnsi="Times New Roman" w:cs="Times New Roman"/>
                <w:color w:val="000000" w:themeColor="text1"/>
                <w:sz w:val="24"/>
                <w:szCs w:val="24"/>
                <w:highlight w:val="none"/>
                <w14:textFill>
                  <w14:solidFill>
                    <w14:schemeClr w14:val="tx1"/>
                  </w14:solidFill>
                </w14:textFill>
              </w:rPr>
              <w:t>：</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jc w:val="both"/>
              <w:textAlignment w:val="auto"/>
              <w:rPr>
                <w:rFonts w:hint="default" w:ascii="Times New Roman" w:hAnsi="Times New Roman" w:cs="Times New Roman"/>
                <w:b/>
                <w:snapToGrid w:val="0"/>
                <w:color w:val="000000" w:themeColor="text1"/>
                <w:sz w:val="24"/>
                <w:szCs w:val="24"/>
                <w:highlight w:val="none"/>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本项目产品方案见下表：</w:t>
            </w:r>
          </w:p>
          <w:p>
            <w:pPr>
              <w:keepNext w:val="0"/>
              <w:keepLines w:val="0"/>
              <w:pageBreakBefore w:val="0"/>
              <w:widowControl w:val="0"/>
              <w:kinsoku/>
              <w:wordWrap/>
              <w:overflowPunct/>
              <w:topLinePunct w:val="0"/>
              <w:autoSpaceDE/>
              <w:autoSpaceDN/>
              <w:bidi w:val="0"/>
              <w:adjustRightInd/>
              <w:snapToGrid w:val="0"/>
              <w:spacing w:line="480" w:lineRule="exact"/>
              <w:ind w:leftChars="0"/>
              <w:jc w:val="center"/>
              <w:textAlignment w:val="auto"/>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b/>
                <w:snapToGrid w:val="0"/>
                <w:color w:val="000000" w:themeColor="text1"/>
                <w:sz w:val="24"/>
                <w:szCs w:val="24"/>
                <w:highlight w:val="none"/>
                <w14:textFill>
                  <w14:solidFill>
                    <w14:schemeClr w14:val="tx1"/>
                  </w14:solidFill>
                </w14:textFill>
              </w:rPr>
              <w:t>表</w:t>
            </w:r>
            <w:r>
              <w:rPr>
                <w:rFonts w:hint="default" w:ascii="Times New Roman" w:hAnsi="Times New Roman" w:cs="Times New Roman"/>
                <w:b/>
                <w:snapToGrid w:val="0"/>
                <w:color w:val="000000" w:themeColor="text1"/>
                <w:sz w:val="24"/>
                <w:szCs w:val="24"/>
                <w:highlight w:val="none"/>
                <w:lang w:val="en-US" w:eastAsia="zh-CN"/>
                <w14:textFill>
                  <w14:solidFill>
                    <w14:schemeClr w14:val="tx1"/>
                  </w14:solidFill>
                </w14:textFill>
              </w:rPr>
              <w:t>2-5</w:t>
            </w:r>
            <w:r>
              <w:rPr>
                <w:rFonts w:hint="default" w:ascii="Times New Roman" w:hAnsi="Times New Roman" w:cs="Times New Roman"/>
                <w:b/>
                <w:snapToGrid w:val="0"/>
                <w:color w:val="000000" w:themeColor="text1"/>
                <w:sz w:val="24"/>
                <w:szCs w:val="24"/>
                <w:highlight w:val="none"/>
                <w14:textFill>
                  <w14:solidFill>
                    <w14:schemeClr w14:val="tx1"/>
                  </w14:solidFill>
                </w14:textFill>
              </w:rPr>
              <w:t xml:space="preserve"> </w:t>
            </w:r>
            <w:r>
              <w:rPr>
                <w:rFonts w:hint="default" w:ascii="Times New Roman" w:hAnsi="Times New Roman" w:eastAsia="宋体" w:cs="Times New Roman"/>
                <w:b/>
                <w:snapToGrid w:val="0"/>
                <w:color w:val="000000" w:themeColor="text1"/>
                <w:sz w:val="24"/>
                <w:szCs w:val="24"/>
                <w:highlight w:val="none"/>
                <w:lang w:eastAsia="zh-CN"/>
                <w14:textFill>
                  <w14:solidFill>
                    <w14:schemeClr w14:val="tx1"/>
                  </w14:solidFill>
                </w14:textFill>
              </w:rPr>
              <w:t>本</w:t>
            </w:r>
            <w:r>
              <w:rPr>
                <w:rFonts w:hint="default" w:ascii="Times New Roman" w:hAnsi="Times New Roman" w:eastAsia="宋体" w:cs="Times New Roman"/>
                <w:b/>
                <w:snapToGrid w:val="0"/>
                <w:color w:val="000000" w:themeColor="text1"/>
                <w:sz w:val="24"/>
                <w:szCs w:val="24"/>
                <w:highlight w:val="none"/>
                <w:lang w:val="en-US" w:eastAsia="zh-CN"/>
                <w14:textFill>
                  <w14:solidFill>
                    <w14:schemeClr w14:val="tx1"/>
                  </w14:solidFill>
                </w14:textFill>
              </w:rPr>
              <w:t>项目</w:t>
            </w:r>
            <w:r>
              <w:rPr>
                <w:rFonts w:hint="default" w:ascii="Times New Roman" w:hAnsi="Times New Roman" w:cs="Times New Roman"/>
                <w:b/>
                <w:snapToGrid w:val="0"/>
                <w:color w:val="000000" w:themeColor="text1"/>
                <w:sz w:val="24"/>
                <w:szCs w:val="24"/>
                <w:highlight w:val="none"/>
                <w:lang w:eastAsia="zh-CN"/>
                <w14:textFill>
                  <w14:solidFill>
                    <w14:schemeClr w14:val="tx1"/>
                  </w14:solidFill>
                </w14:textFill>
              </w:rPr>
              <w:t>产品方案</w:t>
            </w:r>
            <w:r>
              <w:rPr>
                <w:rFonts w:hint="default" w:ascii="Times New Roman" w:hAnsi="Times New Roman" w:cs="Times New Roman"/>
                <w:b/>
                <w:snapToGrid w:val="0"/>
                <w:color w:val="000000" w:themeColor="text1"/>
                <w:sz w:val="24"/>
                <w:szCs w:val="24"/>
                <w:highlight w:val="none"/>
                <w14:textFill>
                  <w14:solidFill>
                    <w14:schemeClr w14:val="tx1"/>
                  </w14:solidFill>
                </w14:textFill>
              </w:rPr>
              <w:t>一览表</w:t>
            </w:r>
          </w:p>
          <w:tbl>
            <w:tblPr>
              <w:tblStyle w:val="32"/>
              <w:tblW w:w="497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3"/>
              <w:gridCol w:w="2186"/>
              <w:gridCol w:w="2180"/>
              <w:gridCol w:w="31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序号</w:t>
                  </w:r>
                </w:p>
              </w:tc>
              <w:tc>
                <w:tcPr>
                  <w:tcW w:w="1311"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名称</w:t>
                  </w:r>
                </w:p>
              </w:tc>
              <w:tc>
                <w:tcPr>
                  <w:tcW w:w="1307"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年产量</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台套</w:t>
                  </w: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w:t>
                  </w:r>
                </w:p>
              </w:tc>
              <w:tc>
                <w:tcPr>
                  <w:tcW w:w="1911"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1</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人形机器人</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100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r>
                    <w:rPr>
                      <w:rFonts w:hint="default" w:ascii="Times New Roman" w:hAnsi="Times New Roman" w:eastAsia="宋体" w:cs="Times New Roman"/>
                      <w:color w:val="000000" w:themeColor="text1"/>
                      <w:sz w:val="21"/>
                      <w:szCs w:val="21"/>
                      <w:highlight w:val="none"/>
                      <w14:textFill>
                        <w14:solidFill>
                          <w14:schemeClr w14:val="tx1"/>
                        </w14:solidFill>
                      </w14:textFill>
                    </w:rPr>
                    <w:t>2</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特种机器人</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100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3</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服务机器人</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100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themeColor="text1"/>
                      <w:sz w:val="21"/>
                      <w:szCs w:val="21"/>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4</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类机器人产品</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100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5</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工业机器人</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t>100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themeColor="text1"/>
                      <w:sz w:val="21"/>
                      <w:szCs w:val="21"/>
                      <w:highlight w:val="none"/>
                      <w:shd w:val="clear" w:color="auto" w:fill="FFFFFF"/>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6</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sz w:val="21"/>
                      <w:szCs w:val="21"/>
                      <w:lang w:eastAsia="zh-CN"/>
                    </w:rPr>
                    <w:t>集成电路</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yellow"/>
                      <w:lang w:val="en-US" w:eastAsia="zh-CN"/>
                    </w:rPr>
                  </w:pPr>
                  <w:r>
                    <w:rPr>
                      <w:rFonts w:hint="default" w:ascii="Times New Roman" w:hAnsi="Times New Roman" w:eastAsia="宋体" w:cs="Times New Roman"/>
                      <w:sz w:val="21"/>
                      <w:szCs w:val="21"/>
                      <w:lang w:eastAsia="zh-CN"/>
                    </w:rPr>
                    <w:t>50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sz w:val="21"/>
                      <w:szCs w:val="21"/>
                      <w:highlight w:val="yellow"/>
                      <w:shd w:val="clear" w:color="auto" w:fill="FFFFFF"/>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jc w:val="center"/>
              </w:trPr>
              <w:tc>
                <w:tcPr>
                  <w:tcW w:w="470" w:type="pct"/>
                  <w:noWrap w:val="0"/>
                  <w:vAlign w:val="center"/>
                </w:tcPr>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240" w:lineRule="auto"/>
                    <w:ind w:right="0" w:firstLine="0" w:firstLineChars="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7</w:t>
                  </w:r>
                </w:p>
              </w:tc>
              <w:tc>
                <w:tcPr>
                  <w:tcW w:w="1311"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sz w:val="21"/>
                      <w:szCs w:val="21"/>
                      <w:lang w:eastAsia="zh-CN"/>
                    </w:rPr>
                    <w:t>机器人零部件</w:t>
                  </w:r>
                </w:p>
              </w:tc>
              <w:tc>
                <w:tcPr>
                  <w:tcW w:w="1307" w:type="pct"/>
                  <w:noWrap w:val="0"/>
                  <w:vAlign w:val="top"/>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yellow"/>
                      <w:lang w:val="en-US" w:eastAsia="zh-CN"/>
                    </w:rPr>
                  </w:pPr>
                  <w:r>
                    <w:rPr>
                      <w:rFonts w:hint="default" w:ascii="Times New Roman" w:hAnsi="Times New Roman" w:eastAsia="宋体" w:cs="Times New Roman"/>
                      <w:sz w:val="21"/>
                      <w:szCs w:val="21"/>
                      <w:lang w:eastAsia="zh-CN"/>
                    </w:rPr>
                    <w:t>50</w:t>
                  </w:r>
                </w:p>
              </w:tc>
              <w:tc>
                <w:tcPr>
                  <w:tcW w:w="1911" w:type="pct"/>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auto"/>
                    <w:rPr>
                      <w:rFonts w:hint="default" w:ascii="Times New Roman" w:hAnsi="Times New Roman" w:eastAsia="宋体" w:cs="Times New Roman"/>
                      <w:color w:val="000000"/>
                      <w:sz w:val="21"/>
                      <w:szCs w:val="21"/>
                      <w:highlight w:val="yellow"/>
                      <w:shd w:val="clear" w:color="auto" w:fill="FFFFFF"/>
                      <w:lang w:val="en-US"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12</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公用工程</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①给水</w:t>
            </w:r>
          </w:p>
          <w:p>
            <w:pPr>
              <w:pStyle w:val="7"/>
              <w:keepNext w:val="0"/>
              <w:keepLines w:val="0"/>
              <w:pageBreakBefore w:val="0"/>
              <w:widowControl w:val="0"/>
              <w:kinsoku/>
              <w:wordWrap/>
              <w:overflowPunct/>
              <w:topLinePunct w:val="0"/>
              <w:autoSpaceDE/>
              <w:autoSpaceDN/>
              <w:bidi w:val="0"/>
              <w:adjustRightInd/>
              <w:snapToGrid/>
              <w:spacing w:before="0" w:after="0" w:line="480" w:lineRule="exact"/>
              <w:ind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eastAsia="宋体" w:cs="Times New Roman"/>
                <w:snapToGrid w:val="0"/>
                <w:color w:val="000000"/>
                <w:sz w:val="24"/>
                <w:szCs w:val="24"/>
                <w:highlight w:val="none"/>
                <w:lang w:val="en-US" w:eastAsia="zh-CN"/>
              </w:rPr>
              <w:t>本</w:t>
            </w:r>
            <w:r>
              <w:rPr>
                <w:rFonts w:hint="default" w:ascii="Times New Roman" w:hAnsi="Times New Roman" w:eastAsia="宋体" w:cs="Times New Roman"/>
                <w:snapToGrid w:val="0"/>
                <w:color w:val="000000"/>
                <w:sz w:val="24"/>
                <w:szCs w:val="24"/>
                <w:highlight w:val="none"/>
                <w:lang w:eastAsia="zh-CN"/>
              </w:rPr>
              <w:t>项目</w:t>
            </w:r>
            <w:r>
              <w:rPr>
                <w:rFonts w:hint="default" w:ascii="Times New Roman" w:hAnsi="Times New Roman" w:eastAsia="宋体" w:cs="Times New Roman"/>
                <w:snapToGrid w:val="0"/>
                <w:color w:val="000000"/>
                <w:sz w:val="24"/>
                <w:szCs w:val="24"/>
                <w:highlight w:val="none"/>
                <w:lang w:val="en-US" w:eastAsia="zh-CN"/>
              </w:rPr>
              <w:t>用水由抚宁区市政供水提供</w:t>
            </w:r>
            <w:r>
              <w:rPr>
                <w:rFonts w:hint="default" w:ascii="Times New Roman" w:hAnsi="Times New Roman" w:eastAsia="宋体" w:cs="Times New Roman"/>
                <w:snapToGrid w:val="0"/>
                <w:color w:val="000000"/>
                <w:sz w:val="24"/>
                <w:szCs w:val="24"/>
                <w:highlight w:val="none"/>
                <w:lang w:eastAsia="zh-CN"/>
              </w:rPr>
              <w:t>。</w:t>
            </w:r>
          </w:p>
          <w:p>
            <w:pPr>
              <w:keepNext w:val="0"/>
              <w:keepLines w:val="0"/>
              <w:pageBreakBefore w:val="0"/>
              <w:widowControl w:val="0"/>
              <w:kinsoku/>
              <w:wordWrap/>
              <w:overflowPunct/>
              <w:topLinePunct w:val="0"/>
              <w:bidi w:val="0"/>
              <w:adjustRightInd w:val="0"/>
              <w:snapToGrid w:val="0"/>
              <w:spacing w:line="480" w:lineRule="exact"/>
              <w:ind w:firstLine="480" w:firstLineChars="200"/>
              <w:rPr>
                <w:rFonts w:hint="default" w:ascii="Times New Roman" w:hAnsi="Times New Roman" w:cs="Times New Roman"/>
                <w:bCs/>
                <w:color w:val="000000"/>
                <w:sz w:val="24"/>
              </w:rPr>
            </w:pPr>
            <w:r>
              <w:rPr>
                <w:rFonts w:hint="default" w:ascii="Times New Roman" w:hAnsi="Times New Roman" w:eastAsia="宋体" w:cs="Times New Roman"/>
                <w:snapToGrid w:val="0"/>
                <w:color w:val="000000"/>
                <w:sz w:val="24"/>
                <w:szCs w:val="24"/>
                <w:highlight w:val="none"/>
                <w:lang w:val="en-US" w:eastAsia="zh-CN"/>
              </w:rPr>
              <w:t>本项目生产用水</w:t>
            </w:r>
            <w:r>
              <w:rPr>
                <w:rFonts w:hint="default" w:ascii="Times New Roman" w:hAnsi="Times New Roman" w:cs="Times New Roman"/>
                <w:snapToGrid w:val="0"/>
                <w:color w:val="000000"/>
                <w:sz w:val="24"/>
                <w:szCs w:val="24"/>
                <w:highlight w:val="none"/>
                <w:lang w:val="en-US" w:eastAsia="zh-CN"/>
              </w:rPr>
              <w:t>为蒸汽发生器</w:t>
            </w:r>
            <w:r>
              <w:rPr>
                <w:rFonts w:hint="default" w:ascii="Times New Roman" w:hAnsi="Times New Roman" w:cs="Times New Roman"/>
                <w:bCs/>
                <w:color w:val="000000"/>
                <w:sz w:val="24"/>
              </w:rPr>
              <w:t>用水</w:t>
            </w:r>
            <w:r>
              <w:rPr>
                <w:rFonts w:hint="default" w:ascii="Times New Roman" w:hAnsi="Times New Roman" w:cs="Times New Roman"/>
                <w:bCs/>
                <w:color w:val="000000"/>
                <w:sz w:val="24"/>
                <w:lang w:eastAsia="zh-CN"/>
              </w:rPr>
              <w:t>，</w:t>
            </w:r>
            <w:r>
              <w:rPr>
                <w:rFonts w:hint="default" w:ascii="Times New Roman" w:hAnsi="Times New Roman" w:cs="Times New Roman"/>
                <w:bCs/>
                <w:color w:val="000000"/>
                <w:sz w:val="24"/>
                <w:lang w:val="en-US" w:eastAsia="zh-CN"/>
              </w:rPr>
              <w:t>无其他生产用水环节。项目矿物铸件养护</w:t>
            </w:r>
            <w:r>
              <w:rPr>
                <w:rFonts w:hint="default" w:ascii="Times New Roman" w:hAnsi="Times New Roman" w:cs="Times New Roman"/>
                <w:bCs/>
                <w:color w:val="000000"/>
                <w:sz w:val="24"/>
              </w:rPr>
              <w:t>用蒸汽由1台</w:t>
            </w:r>
            <w:r>
              <w:rPr>
                <w:rFonts w:hint="default" w:ascii="Times New Roman" w:hAnsi="Times New Roman" w:cs="Times New Roman"/>
                <w:bCs/>
                <w:color w:val="000000"/>
                <w:sz w:val="24"/>
                <w:lang w:val="en-US" w:eastAsia="zh-CN"/>
              </w:rPr>
              <w:t>2</w:t>
            </w:r>
            <w:r>
              <w:rPr>
                <w:rFonts w:hint="default" w:ascii="Times New Roman" w:hAnsi="Times New Roman" w:cs="Times New Roman"/>
                <w:bCs/>
                <w:color w:val="000000"/>
                <w:sz w:val="24"/>
              </w:rPr>
              <w:t>t/h的蒸汽发生器提供，蒸汽发生器年有效运行时间</w:t>
            </w:r>
            <w:r>
              <w:rPr>
                <w:rFonts w:hint="default" w:ascii="Times New Roman" w:hAnsi="Times New Roman" w:cs="Times New Roman"/>
                <w:bCs/>
                <w:color w:val="000000"/>
                <w:sz w:val="24"/>
                <w:lang w:val="en-US" w:eastAsia="zh-CN"/>
              </w:rPr>
              <w:t>60</w:t>
            </w:r>
            <w:r>
              <w:rPr>
                <w:rFonts w:hint="default" w:ascii="Times New Roman" w:hAnsi="Times New Roman" w:cs="Times New Roman"/>
                <w:bCs/>
                <w:color w:val="000000"/>
                <w:sz w:val="24"/>
              </w:rPr>
              <w:t>0</w:t>
            </w:r>
            <w:r>
              <w:rPr>
                <w:rFonts w:hint="default" w:ascii="Times New Roman" w:hAnsi="Times New Roman" w:cs="Times New Roman"/>
                <w:bCs/>
                <w:color w:val="000000"/>
                <w:sz w:val="24"/>
                <w:lang w:val="en-US" w:eastAsia="zh-CN"/>
              </w:rPr>
              <w:t>h</w:t>
            </w:r>
            <w:r>
              <w:rPr>
                <w:rFonts w:hint="default" w:ascii="Times New Roman" w:hAnsi="Times New Roman" w:cs="Times New Roman"/>
                <w:bCs/>
                <w:color w:val="000000"/>
                <w:sz w:val="24"/>
              </w:rPr>
              <w:t>（</w:t>
            </w:r>
            <w:r>
              <w:rPr>
                <w:rFonts w:hint="default" w:ascii="Times New Roman" w:hAnsi="Times New Roman" w:cs="Times New Roman"/>
                <w:bCs/>
                <w:color w:val="000000"/>
                <w:sz w:val="24"/>
                <w:lang w:val="en-US" w:eastAsia="zh-CN"/>
              </w:rPr>
              <w:t>2</w:t>
            </w:r>
            <w:r>
              <w:rPr>
                <w:rFonts w:hint="default" w:ascii="Times New Roman" w:hAnsi="Times New Roman" w:cs="Times New Roman"/>
                <w:bCs/>
                <w:color w:val="000000"/>
                <w:sz w:val="24"/>
              </w:rPr>
              <w:t>h</w:t>
            </w:r>
            <w:r>
              <w:rPr>
                <w:rFonts w:hint="default" w:ascii="Times New Roman" w:hAnsi="Times New Roman" w:cs="Times New Roman"/>
                <w:bCs/>
                <w:color w:val="000000"/>
                <w:sz w:val="24"/>
                <w:lang w:val="en-US" w:eastAsia="zh-CN"/>
              </w:rPr>
              <w:t>/d</w:t>
            </w:r>
            <w:r>
              <w:rPr>
                <w:rFonts w:hint="default" w:ascii="Times New Roman" w:hAnsi="Times New Roman" w:cs="Times New Roman"/>
                <w:bCs/>
                <w:color w:val="000000"/>
                <w:sz w:val="24"/>
              </w:rPr>
              <w:t>），年用软水量为</w:t>
            </w:r>
            <w:r>
              <w:rPr>
                <w:rFonts w:hint="default" w:ascii="Times New Roman" w:hAnsi="Times New Roman" w:cs="Times New Roman"/>
                <w:bCs/>
                <w:color w:val="000000"/>
                <w:sz w:val="24"/>
                <w:lang w:val="en-US" w:eastAsia="zh-CN"/>
              </w:rPr>
              <w:t>120</w:t>
            </w:r>
            <w:r>
              <w:rPr>
                <w:rFonts w:hint="default" w:ascii="Times New Roman" w:hAnsi="Times New Roman" w:cs="Times New Roman"/>
                <w:bCs/>
                <w:color w:val="000000"/>
                <w:sz w:val="24"/>
              </w:rPr>
              <w:t>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/a，每天软水用量为</w:t>
            </w:r>
            <w:r>
              <w:rPr>
                <w:rFonts w:hint="default" w:ascii="Times New Roman" w:hAnsi="Times New Roman" w:cs="Times New Roman"/>
                <w:bCs/>
                <w:color w:val="000000"/>
                <w:sz w:val="24"/>
                <w:lang w:val="en-US" w:eastAsia="zh-CN"/>
              </w:rPr>
              <w:t>4</w:t>
            </w:r>
            <w:r>
              <w:rPr>
                <w:rFonts w:hint="default" w:ascii="Times New Roman" w:hAnsi="Times New Roman" w:cs="Times New Roman"/>
                <w:bCs/>
                <w:color w:val="000000"/>
                <w:sz w:val="24"/>
              </w:rPr>
              <w:t>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/d。软水由</w:t>
            </w:r>
            <w:r>
              <w:rPr>
                <w:rFonts w:hint="default" w:ascii="Times New Roman" w:hAnsi="Times New Roman" w:cs="Times New Roman"/>
                <w:bCs/>
                <w:color w:val="000000"/>
                <w:sz w:val="24"/>
                <w:lang w:val="en-US" w:eastAsia="zh-CN"/>
              </w:rPr>
              <w:t>反渗透法</w:t>
            </w:r>
            <w:r>
              <w:rPr>
                <w:rFonts w:hint="default" w:ascii="Times New Roman" w:hAnsi="Times New Roman" w:cs="Times New Roman"/>
                <w:bCs/>
                <w:color w:val="000000"/>
                <w:sz w:val="24"/>
              </w:rPr>
              <w:t>制备，1台</w:t>
            </w:r>
            <w:r>
              <w:rPr>
                <w:rFonts w:hint="default" w:ascii="Times New Roman" w:hAnsi="Times New Roman" w:cs="Times New Roman"/>
                <w:bCs/>
                <w:color w:val="000000"/>
                <w:sz w:val="24"/>
                <w:lang w:val="en-US" w:eastAsia="zh-CN"/>
              </w:rPr>
              <w:t>2</w:t>
            </w:r>
            <w:r>
              <w:rPr>
                <w:rFonts w:hint="default" w:ascii="Times New Roman" w:hAnsi="Times New Roman" w:cs="Times New Roman"/>
                <w:bCs/>
                <w:color w:val="000000"/>
                <w:sz w:val="24"/>
              </w:rPr>
              <w:t>t/h蒸汽发生器的年用软水量为</w:t>
            </w:r>
            <w:r>
              <w:rPr>
                <w:rFonts w:hint="default" w:ascii="Times New Roman" w:hAnsi="Times New Roman" w:cs="Times New Roman"/>
                <w:bCs/>
                <w:color w:val="000000"/>
                <w:sz w:val="24"/>
                <w:lang w:val="en-US" w:eastAsia="zh-CN"/>
              </w:rPr>
              <w:t>120</w:t>
            </w:r>
            <w:r>
              <w:rPr>
                <w:rFonts w:hint="default" w:ascii="Times New Roman" w:hAnsi="Times New Roman" w:cs="Times New Roman"/>
                <w:bCs/>
                <w:color w:val="000000"/>
                <w:sz w:val="24"/>
              </w:rPr>
              <w:t>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/a，软水制备效率为80%，则新鲜水用量为</w:t>
            </w:r>
            <w:r>
              <w:rPr>
                <w:rFonts w:hint="default" w:ascii="Times New Roman" w:hAnsi="Times New Roman" w:cs="Times New Roman"/>
                <w:bCs/>
                <w:color w:val="000000"/>
                <w:sz w:val="24"/>
                <w:lang w:val="en-US" w:eastAsia="zh-CN"/>
              </w:rPr>
              <w:t>15</w:t>
            </w:r>
            <w:r>
              <w:rPr>
                <w:rFonts w:hint="default" w:ascii="Times New Roman" w:hAnsi="Times New Roman" w:cs="Times New Roman"/>
                <w:bCs/>
                <w:color w:val="000000"/>
                <w:sz w:val="24"/>
              </w:rPr>
              <w:t>00m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w:t>
            </w:r>
            <w:r>
              <w:rPr>
                <w:rFonts w:hint="default" w:ascii="Times New Roman" w:hAnsi="Times New Roman" w:cs="Times New Roman"/>
                <w:bCs/>
                <w:color w:val="000000"/>
                <w:sz w:val="24"/>
                <w:lang w:val="en-US" w:eastAsia="zh-CN"/>
              </w:rPr>
              <w:t>5</w:t>
            </w:r>
            <w:r>
              <w:rPr>
                <w:rFonts w:hint="default" w:ascii="Times New Roman" w:hAnsi="Times New Roman" w:cs="Times New Roman"/>
                <w:bCs/>
                <w:color w:val="000000"/>
                <w:sz w:val="24"/>
              </w:rPr>
              <w:t>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/d），软水制备浓水产生量为</w:t>
            </w:r>
            <w:r>
              <w:rPr>
                <w:rFonts w:hint="default" w:ascii="Times New Roman" w:hAnsi="Times New Roman" w:cs="Times New Roman"/>
                <w:bCs/>
                <w:color w:val="000000"/>
                <w:sz w:val="24"/>
                <w:lang w:val="en-US" w:eastAsia="zh-CN"/>
              </w:rPr>
              <w:t>30</w:t>
            </w:r>
            <w:r>
              <w:rPr>
                <w:rFonts w:hint="default" w:ascii="Times New Roman" w:hAnsi="Times New Roman" w:cs="Times New Roman"/>
                <w:bCs/>
                <w:color w:val="000000"/>
                <w:sz w:val="24"/>
              </w:rPr>
              <w:t>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w:t>
            </w:r>
            <w:r>
              <w:rPr>
                <w:rFonts w:hint="default" w:ascii="Times New Roman" w:hAnsi="Times New Roman" w:cs="Times New Roman"/>
                <w:bCs/>
                <w:color w:val="000000"/>
                <w:sz w:val="24"/>
                <w:lang w:val="en-US" w:eastAsia="zh-CN"/>
              </w:rPr>
              <w:t>1</w:t>
            </w:r>
            <w:r>
              <w:rPr>
                <w:rFonts w:hint="default" w:ascii="Times New Roman" w:hAnsi="Times New Roman" w:cs="Times New Roman"/>
                <w:bCs/>
                <w:color w:val="000000"/>
                <w:sz w:val="24"/>
              </w:rPr>
              <w:t>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/d）。软水制备原水水质较好，浓水各指标能达到排放标准</w:t>
            </w:r>
            <w:r>
              <w:rPr>
                <w:rFonts w:hint="default" w:ascii="Times New Roman" w:hAnsi="Times New Roman" w:cs="Times New Roman"/>
                <w:bCs/>
                <w:color w:val="000000"/>
                <w:sz w:val="24"/>
                <w:lang w:eastAsia="zh-CN"/>
              </w:rPr>
              <w:t>，</w:t>
            </w:r>
            <w:r>
              <w:rPr>
                <w:rFonts w:hint="default" w:ascii="Times New Roman" w:hAnsi="Times New Roman" w:cs="Times New Roman"/>
                <w:bCs/>
                <w:color w:val="000000"/>
                <w:sz w:val="24"/>
                <w:lang w:val="en-US" w:eastAsia="zh-CN"/>
              </w:rPr>
              <w:t>且</w:t>
            </w:r>
            <w:r>
              <w:rPr>
                <w:rFonts w:hint="default" w:ascii="Times New Roman" w:hAnsi="Times New Roman" w:cs="Times New Roman"/>
                <w:bCs/>
                <w:color w:val="000000"/>
                <w:sz w:val="24"/>
              </w:rPr>
              <w:t>流量较小，</w:t>
            </w:r>
            <w:r>
              <w:rPr>
                <w:rFonts w:hint="default" w:ascii="Times New Roman" w:hAnsi="Times New Roman" w:cs="Times New Roman"/>
                <w:bCs/>
                <w:color w:val="000000"/>
                <w:sz w:val="24"/>
                <w:lang w:val="en-US" w:eastAsia="zh-CN"/>
              </w:rPr>
              <w:t>用于厂区泼洒抑尘</w:t>
            </w:r>
            <w:r>
              <w:rPr>
                <w:rFonts w:hint="default" w:ascii="Times New Roman" w:hAnsi="Times New Roman" w:cs="Times New Roman"/>
                <w:bCs/>
                <w:color w:val="000000"/>
                <w:sz w:val="24"/>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生活用水主要为</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员工</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生活</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及</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食堂</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用水，本项目建设员工宿舍500m</w:t>
            </w:r>
            <w:r>
              <w:rPr>
                <w:rFonts w:hint="default" w:ascii="Times New Roman" w:hAnsi="Times New Roman" w:cs="Times New Roman"/>
                <w:snapToGrid w:val="0"/>
                <w:color w:val="000000" w:themeColor="text1"/>
                <w:sz w:val="24"/>
                <w:szCs w:val="24"/>
                <w:highlight w:val="none"/>
                <w:vertAlign w:val="superscript"/>
                <w:lang w:val="en-US" w:eastAsia="zh-CN"/>
                <w14:textFill>
                  <w14:solidFill>
                    <w14:schemeClr w14:val="tx1"/>
                  </w14:solidFill>
                </w14:textFill>
              </w:rPr>
              <w:t>2</w:t>
            </w:r>
            <w:r>
              <w:rPr>
                <w:rFonts w:hint="default" w:ascii="Times New Roman" w:hAnsi="Times New Roman" w:cs="Times New Roman"/>
                <w:snapToGrid w:val="0"/>
                <w:color w:val="000000" w:themeColor="text1"/>
                <w:sz w:val="24"/>
                <w:szCs w:val="24"/>
                <w:highlight w:val="none"/>
                <w:vertAlign w:val="baseline"/>
                <w:lang w:val="en-US" w:eastAsia="zh-CN"/>
                <w14:textFill>
                  <w14:solidFill>
                    <w14:schemeClr w14:val="tx1"/>
                  </w14:solidFill>
                </w14:textFill>
              </w:rPr>
              <w:t>（可住30人），</w:t>
            </w:r>
            <w:r>
              <w:rPr>
                <w:rFonts w:hint="default" w:ascii="Times New Roman" w:hAnsi="Times New Roman" w:eastAsia="Segoe UI" w:cs="Times New Roman"/>
                <w:i w:val="0"/>
                <w:iCs w:val="0"/>
                <w:caps w:val="0"/>
                <w:spacing w:val="0"/>
                <w:sz w:val="24"/>
                <w:szCs w:val="24"/>
                <w:shd w:val="clear" w:fill="FFFFFF"/>
              </w:rPr>
              <w:t>参考《建筑给水排水设计标准》</w:t>
            </w:r>
            <w:r>
              <w:rPr>
                <w:rFonts w:hint="default" w:ascii="Times New Roman" w:hAnsi="Times New Roman" w:eastAsia="宋体" w:cs="Times New Roman"/>
                <w:i w:val="0"/>
                <w:iCs w:val="0"/>
                <w:caps w:val="0"/>
                <w:spacing w:val="0"/>
                <w:sz w:val="24"/>
                <w:szCs w:val="24"/>
                <w:shd w:val="clear" w:fill="FFFFFF"/>
                <w:lang w:eastAsia="zh-CN"/>
              </w:rPr>
              <w:t>（</w:t>
            </w:r>
            <w:r>
              <w:rPr>
                <w:rFonts w:hint="default" w:ascii="Times New Roman" w:hAnsi="Times New Roman" w:eastAsia="Segoe UI" w:cs="Times New Roman"/>
                <w:i w:val="0"/>
                <w:iCs w:val="0"/>
                <w:caps w:val="0"/>
                <w:spacing w:val="0"/>
                <w:sz w:val="24"/>
                <w:szCs w:val="24"/>
                <w:shd w:val="clear" w:fill="FFFFFF"/>
              </w:rPr>
              <w:t>GB 50015-2019</w:t>
            </w:r>
            <w:r>
              <w:rPr>
                <w:rFonts w:hint="default" w:ascii="Times New Roman" w:hAnsi="Times New Roman" w:eastAsia="宋体" w:cs="Times New Roman"/>
                <w:i w:val="0"/>
                <w:iCs w:val="0"/>
                <w:caps w:val="0"/>
                <w:spacing w:val="0"/>
                <w:sz w:val="24"/>
                <w:szCs w:val="24"/>
                <w:shd w:val="clear" w:fill="FFFFFF"/>
                <w:lang w:eastAsia="zh-CN"/>
              </w:rPr>
              <w:t>）</w:t>
            </w:r>
            <w:r>
              <w:rPr>
                <w:rFonts w:hint="default" w:ascii="Times New Roman" w:hAnsi="Times New Roman" w:cs="Times New Roman"/>
                <w:i w:val="0"/>
                <w:iCs w:val="0"/>
                <w:caps w:val="0"/>
                <w:spacing w:val="0"/>
                <w:sz w:val="24"/>
                <w:szCs w:val="24"/>
                <w:shd w:val="clear" w:fill="FFFFFF"/>
                <w:lang w:val="en-US" w:eastAsia="zh-CN"/>
              </w:rPr>
              <w:t>及</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《生活与服务业用水定额 第1部分：居民生活》（DB13/T5450.1-2021）</w:t>
            </w:r>
            <w:r>
              <w:rPr>
                <w:rFonts w:hint="default" w:ascii="Times New Roman" w:hAnsi="Times New Roman" w:eastAsia="Segoe UI" w:cs="Times New Roman"/>
                <w:i w:val="0"/>
                <w:iCs w:val="0"/>
                <w:caps w:val="0"/>
                <w:spacing w:val="0"/>
                <w:sz w:val="24"/>
                <w:szCs w:val="24"/>
                <w:shd w:val="clear" w:fill="FFFFFF"/>
              </w:rPr>
              <w:t>，</w:t>
            </w:r>
            <w:r>
              <w:rPr>
                <w:rFonts w:hint="default" w:ascii="Times New Roman" w:hAnsi="Times New Roman" w:eastAsia="宋体" w:cs="Times New Roman"/>
                <w:i w:val="0"/>
                <w:iCs w:val="0"/>
                <w:caps w:val="0"/>
                <w:spacing w:val="0"/>
                <w:sz w:val="24"/>
                <w:szCs w:val="24"/>
                <w:shd w:val="clear" w:fill="FFFFFF"/>
                <w:lang w:val="en-US" w:eastAsia="zh-CN"/>
              </w:rPr>
              <w:t>结合本项目实际，员工</w:t>
            </w:r>
            <w:r>
              <w:rPr>
                <w:rFonts w:hint="default" w:ascii="Times New Roman" w:hAnsi="Times New Roman" w:eastAsia="Segoe UI" w:cs="Times New Roman"/>
                <w:i w:val="0"/>
                <w:iCs w:val="0"/>
                <w:caps w:val="0"/>
                <w:spacing w:val="0"/>
                <w:sz w:val="24"/>
                <w:szCs w:val="24"/>
                <w:shd w:val="clear" w:fill="FFFFFF"/>
              </w:rPr>
              <w:t>宿舍设单独卫生间，按照用水定额每床位每日300L计算，则员工宿舍每日用水量为</w:t>
            </w:r>
            <w:r>
              <w:rPr>
                <w:rFonts w:hint="default" w:ascii="Times New Roman" w:hAnsi="Times New Roman" w:eastAsia="宋体" w:cs="Times New Roman"/>
                <w:i w:val="0"/>
                <w:iCs w:val="0"/>
                <w:caps w:val="0"/>
                <w:spacing w:val="0"/>
                <w:sz w:val="24"/>
                <w:szCs w:val="24"/>
                <w:shd w:val="clear" w:fill="FFFFFF"/>
                <w:lang w:val="en-US" w:eastAsia="zh-CN"/>
              </w:rPr>
              <w:t>30人</w:t>
            </w:r>
            <w:r>
              <w:rPr>
                <w:rFonts w:hint="default" w:ascii="Times New Roman" w:hAnsi="Times New Roman" w:eastAsia="Segoe UI" w:cs="Times New Roman"/>
                <w:i w:val="0"/>
                <w:iCs w:val="0"/>
                <w:caps w:val="0"/>
                <w:spacing w:val="0"/>
                <w:sz w:val="24"/>
                <w:szCs w:val="24"/>
                <w:shd w:val="clear" w:fill="FFFFFF"/>
              </w:rPr>
              <w:t>×300</w:t>
            </w:r>
            <w:r>
              <w:rPr>
                <w:rFonts w:hint="default" w:ascii="Times New Roman" w:hAnsi="Times New Roman" w:eastAsia="宋体" w:cs="Times New Roman"/>
                <w:i w:val="0"/>
                <w:iCs w:val="0"/>
                <w:caps w:val="0"/>
                <w:spacing w:val="0"/>
                <w:sz w:val="24"/>
                <w:szCs w:val="24"/>
                <w:shd w:val="clear" w:fill="FFFFFF"/>
                <w:lang w:val="en-US" w:eastAsia="zh-CN"/>
              </w:rPr>
              <w:t>L</w:t>
            </w:r>
            <w:r>
              <w:rPr>
                <w:rFonts w:hint="default" w:ascii="Times New Roman" w:hAnsi="Times New Roman" w:eastAsia="Segoe UI" w:cs="Times New Roman"/>
                <w:i w:val="0"/>
                <w:iCs w:val="0"/>
                <w:caps w:val="0"/>
                <w:spacing w:val="0"/>
                <w:sz w:val="24"/>
                <w:szCs w:val="24"/>
                <w:shd w:val="clear" w:fill="FFFFFF"/>
              </w:rPr>
              <w:t>×300</w:t>
            </w:r>
            <w:r>
              <w:rPr>
                <w:rFonts w:hint="default" w:ascii="Times New Roman" w:hAnsi="Times New Roman" w:cs="Times New Roman"/>
                <w:i w:val="0"/>
                <w:iCs w:val="0"/>
                <w:caps w:val="0"/>
                <w:spacing w:val="0"/>
                <w:sz w:val="24"/>
                <w:szCs w:val="24"/>
                <w:shd w:val="clear" w:fill="FFFFFF"/>
                <w:lang w:val="en-US" w:eastAsia="zh-CN"/>
              </w:rPr>
              <w:t>d</w:t>
            </w:r>
            <w:r>
              <w:rPr>
                <w:rFonts w:hint="default" w:ascii="Times New Roman" w:hAnsi="Times New Roman" w:eastAsia="Segoe UI" w:cs="Times New Roman"/>
                <w:i w:val="0"/>
                <w:iCs w:val="0"/>
                <w:caps w:val="0"/>
                <w:spacing w:val="0"/>
                <w:sz w:val="24"/>
                <w:szCs w:val="24"/>
                <w:shd w:val="clear" w:fill="FFFFFF"/>
              </w:rPr>
              <w:t>=</w:t>
            </w:r>
            <w:r>
              <w:rPr>
                <w:rFonts w:hint="default" w:ascii="Times New Roman" w:hAnsi="Times New Roman" w:eastAsia="宋体" w:cs="Times New Roman"/>
                <w:i w:val="0"/>
                <w:iCs w:val="0"/>
                <w:caps w:val="0"/>
                <w:spacing w:val="0"/>
                <w:sz w:val="24"/>
                <w:szCs w:val="24"/>
                <w:shd w:val="clear" w:fill="FFFFFF"/>
                <w:lang w:val="en-US" w:eastAsia="zh-CN"/>
              </w:rPr>
              <w:t>2700</w:t>
            </w:r>
            <w:r>
              <w:rPr>
                <w:rFonts w:hint="default" w:ascii="Times New Roman" w:hAnsi="Times New Roman" w:eastAsia="Segoe UI" w:cs="Times New Roman"/>
                <w:i w:val="0"/>
                <w:iCs w:val="0"/>
                <w:caps w:val="0"/>
                <w:spacing w:val="0"/>
                <w:sz w:val="24"/>
                <w:szCs w:val="24"/>
                <w:shd w:val="clear" w:fill="FFFFFF"/>
              </w:rPr>
              <w:t>m</w:t>
            </w:r>
            <w:r>
              <w:rPr>
                <w:rFonts w:hint="default" w:ascii="Times New Roman" w:hAnsi="Times New Roman" w:eastAsia="宋体" w:cs="Times New Roman"/>
                <w:i w:val="0"/>
                <w:iCs w:val="0"/>
                <w:caps w:val="0"/>
                <w:spacing w:val="0"/>
                <w:sz w:val="24"/>
                <w:szCs w:val="24"/>
                <w:shd w:val="clear" w:fill="FFFFFF"/>
                <w:vertAlign w:val="superscript"/>
                <w:lang w:val="en-US" w:eastAsia="zh-CN"/>
              </w:rPr>
              <w:t>3</w:t>
            </w:r>
            <w:r>
              <w:rPr>
                <w:rFonts w:hint="default" w:ascii="Times New Roman" w:hAnsi="Times New Roman" w:eastAsia="宋体" w:cs="Times New Roman"/>
                <w:i w:val="0"/>
                <w:iCs w:val="0"/>
                <w:caps w:val="0"/>
                <w:spacing w:val="0"/>
                <w:sz w:val="24"/>
                <w:szCs w:val="24"/>
                <w:shd w:val="clear" w:fill="FFFFFF"/>
                <w:vertAlign w:val="baseline"/>
                <w:lang w:val="en-US" w:eastAsia="zh-CN"/>
              </w:rPr>
              <w:t>/a（9</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/d</w:t>
            </w:r>
            <w:r>
              <w:rPr>
                <w:rFonts w:hint="default" w:ascii="Times New Roman" w:hAnsi="Times New Roman" w:eastAsia="宋体" w:cs="Times New Roman"/>
                <w:i w:val="0"/>
                <w:iCs w:val="0"/>
                <w:caps w:val="0"/>
                <w:spacing w:val="0"/>
                <w:sz w:val="24"/>
                <w:szCs w:val="24"/>
                <w:shd w:val="clear" w:fill="FFFFFF"/>
                <w:vertAlign w:val="baseline"/>
                <w:lang w:val="en-US" w:eastAsia="zh-CN"/>
              </w:rPr>
              <w:t>）</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；员工食堂150m</w:t>
            </w:r>
            <w:r>
              <w:rPr>
                <w:rFonts w:hint="default" w:ascii="Times New Roman" w:hAnsi="Times New Roman" w:cs="Times New Roman"/>
                <w:snapToGrid w:val="0"/>
                <w:color w:val="000000" w:themeColor="text1"/>
                <w:sz w:val="24"/>
                <w:szCs w:val="24"/>
                <w:highlight w:val="none"/>
                <w:vertAlign w:val="superscript"/>
                <w:lang w:val="en-US" w:eastAsia="zh-CN"/>
                <w14:textFill>
                  <w14:solidFill>
                    <w14:schemeClr w14:val="tx1"/>
                  </w14:solidFill>
                </w14:textFill>
              </w:rPr>
              <w:t>2</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，食堂用水约300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/d）。</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综上，本项目年用水总量为</w:t>
            </w:r>
            <w:r>
              <w:rPr>
                <w:rFonts w:hint="default" w:ascii="Times New Roman" w:hAnsi="Times New Roman" w:cs="Times New Roman"/>
                <w:bCs/>
                <w:color w:val="000000" w:themeColor="text1"/>
                <w:sz w:val="24"/>
                <w:lang w:val="en-US" w:eastAsia="zh-CN"/>
                <w14:textFill>
                  <w14:solidFill>
                    <w14:schemeClr w14:val="tx1"/>
                  </w14:solidFill>
                </w14:textFill>
              </w:rPr>
              <w:t>150</w:t>
            </w:r>
            <w:r>
              <w:rPr>
                <w:rFonts w:hint="default" w:ascii="Times New Roman" w:hAnsi="Times New Roman" w:cs="Times New Roman"/>
                <w:bCs/>
                <w:color w:val="000000" w:themeColor="text1"/>
                <w:sz w:val="24"/>
                <w14:textFill>
                  <w14:solidFill>
                    <w14:schemeClr w14:val="tx1"/>
                  </w14:solidFill>
                </w14:textFill>
              </w:rPr>
              <w:t>0m</w:t>
            </w:r>
            <w:r>
              <w:rPr>
                <w:rFonts w:hint="default" w:ascii="Times New Roman" w:hAnsi="Times New Roman" w:cs="Times New Roman"/>
                <w:bCs/>
                <w:color w:val="000000" w:themeColor="text1"/>
                <w:sz w:val="24"/>
                <w:vertAlign w:val="superscript"/>
                <w14:textFill>
                  <w14:solidFill>
                    <w14:schemeClr w14:val="tx1"/>
                  </w14:solidFill>
                </w14:textFill>
              </w:rPr>
              <w:t>3</w:t>
            </w:r>
            <w:r>
              <w:rPr>
                <w:rFonts w:hint="default" w:ascii="Times New Roman" w:hAnsi="Times New Roman" w:cs="Times New Roman"/>
                <w:bCs/>
                <w:color w:val="000000" w:themeColor="text1"/>
                <w:sz w:val="24"/>
                <w14:textFill>
                  <w14:solidFill>
                    <w14:schemeClr w14:val="tx1"/>
                  </w14:solidFill>
                </w14:textFill>
              </w:rPr>
              <w:t>/a</w:t>
            </w:r>
            <w:r>
              <w:rPr>
                <w:rFonts w:hint="default" w:ascii="Times New Roman" w:hAnsi="Times New Roman" w:cs="Times New Roman"/>
                <w:bCs/>
                <w:color w:val="000000" w:themeColor="text1"/>
                <w:sz w:val="24"/>
                <w:lang w:val="en-US" w:eastAsia="zh-CN"/>
                <w14:textFill>
                  <w14:solidFill>
                    <w14:schemeClr w14:val="tx1"/>
                  </w14:solidFill>
                </w14:textFill>
              </w:rPr>
              <w:t>+</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300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2700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4500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14:textFill>
                  <w14:solidFill>
                    <w14:schemeClr w14:val="tx1"/>
                  </w14:solidFill>
                </w14:textFill>
              </w:rPr>
              <w:t>②</w:t>
            </w:r>
            <w:r>
              <w:rPr>
                <w:rFonts w:hint="default" w:ascii="Times New Roman" w:hAnsi="Times New Roman" w:eastAsia="宋体" w:cs="Times New Roman"/>
                <w:color w:val="000000" w:themeColor="text1"/>
                <w:sz w:val="24"/>
                <w:szCs w:val="24"/>
                <w:highlight w:val="none"/>
                <w:lang w:eastAsia="zh-CN"/>
                <w14:textFill>
                  <w14:solidFill>
                    <w14:schemeClr w14:val="tx1"/>
                  </w14:solidFill>
                </w14:textFill>
              </w:rPr>
              <w:t>排水</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bCs/>
                <w:color w:val="000000"/>
                <w:sz w:val="24"/>
              </w:rPr>
              <w:t>软水制备浓水各指标能达到排放标准</w:t>
            </w:r>
            <w:r>
              <w:rPr>
                <w:rFonts w:hint="default" w:ascii="Times New Roman" w:hAnsi="Times New Roman" w:cs="Times New Roman"/>
                <w:bCs/>
                <w:color w:val="000000"/>
                <w:sz w:val="24"/>
                <w:lang w:eastAsia="zh-CN"/>
              </w:rPr>
              <w:t>，</w:t>
            </w:r>
            <w:r>
              <w:rPr>
                <w:rFonts w:hint="default" w:ascii="Times New Roman" w:hAnsi="Times New Roman" w:cs="Times New Roman"/>
                <w:bCs/>
                <w:color w:val="000000"/>
                <w:sz w:val="24"/>
                <w:lang w:val="en-US" w:eastAsia="zh-CN"/>
              </w:rPr>
              <w:t>且</w:t>
            </w:r>
            <w:r>
              <w:rPr>
                <w:rFonts w:hint="default" w:ascii="Times New Roman" w:hAnsi="Times New Roman" w:cs="Times New Roman"/>
                <w:bCs/>
                <w:color w:val="000000"/>
                <w:sz w:val="24"/>
              </w:rPr>
              <w:t>流量较小，</w:t>
            </w:r>
            <w:r>
              <w:rPr>
                <w:rFonts w:hint="default" w:ascii="Times New Roman" w:hAnsi="Times New Roman" w:cs="Times New Roman"/>
                <w:bCs/>
                <w:color w:val="000000"/>
                <w:sz w:val="24"/>
                <w:lang w:val="en-US" w:eastAsia="zh-CN"/>
              </w:rPr>
              <w:t>用于厂区泼洒抑尘，不外排</w:t>
            </w:r>
            <w:r>
              <w:rPr>
                <w:rFonts w:hint="default" w:ascii="Times New Roman" w:hAnsi="Times New Roman" w:cs="Times New Roman"/>
                <w:bCs/>
                <w:color w:val="000000"/>
                <w:sz w:val="24"/>
                <w:lang w:eastAsia="zh-CN"/>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snapToGrid w:val="0"/>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生活污水：员工生活污水按用水量80%计算，</w:t>
            </w:r>
            <w:r>
              <w:rPr>
                <w:rFonts w:hint="default" w:ascii="Times New Roman" w:hAnsi="Times New Roman" w:eastAsia="宋体" w:cs="Times New Roman"/>
                <w:snapToGrid w:val="0"/>
                <w:color w:val="000000"/>
                <w:sz w:val="24"/>
                <w:szCs w:val="24"/>
                <w:highlight w:val="none"/>
                <w:lang w:val="en-US" w:eastAsia="zh-CN"/>
              </w:rPr>
              <w:t>则</w:t>
            </w:r>
            <w:r>
              <w:rPr>
                <w:rFonts w:hint="default" w:ascii="Times New Roman" w:hAnsi="Times New Roman" w:cs="Times New Roman"/>
                <w:snapToGrid w:val="0"/>
                <w:color w:val="000000"/>
                <w:sz w:val="24"/>
                <w:szCs w:val="24"/>
                <w:highlight w:val="none"/>
                <w:lang w:val="en-US" w:eastAsia="zh-CN"/>
              </w:rPr>
              <w:t>生活污水</w:t>
            </w:r>
            <w:r>
              <w:rPr>
                <w:rFonts w:hint="default" w:ascii="Times New Roman" w:hAnsi="Times New Roman" w:eastAsia="宋体" w:cs="Times New Roman"/>
                <w:snapToGrid w:val="0"/>
                <w:color w:val="000000"/>
                <w:sz w:val="24"/>
                <w:szCs w:val="24"/>
                <w:highlight w:val="none"/>
                <w:lang w:val="en-US" w:eastAsia="zh-CN"/>
              </w:rPr>
              <w:t>量为</w:t>
            </w:r>
            <w:r>
              <w:rPr>
                <w:rFonts w:hint="default" w:ascii="Times New Roman" w:hAnsi="Times New Roman" w:cs="Times New Roman"/>
                <w:snapToGrid w:val="0"/>
                <w:color w:val="000000"/>
                <w:sz w:val="24"/>
                <w:szCs w:val="24"/>
                <w:highlight w:val="none"/>
                <w:lang w:val="en-US" w:eastAsia="zh-CN"/>
              </w:rPr>
              <w:t>2160</w:t>
            </w:r>
            <w:r>
              <w:rPr>
                <w:rFonts w:hint="default" w:ascii="Times New Roman" w:hAnsi="Times New Roman" w:eastAsia="宋体" w:cs="Times New Roman"/>
                <w:snapToGrid w:val="0"/>
                <w:color w:val="000000"/>
                <w:sz w:val="24"/>
                <w:szCs w:val="24"/>
                <w:highlight w:val="none"/>
                <w:lang w:val="en-US" w:eastAsia="zh-CN"/>
              </w:rPr>
              <w:t>m</w:t>
            </w:r>
            <w:r>
              <w:rPr>
                <w:rFonts w:hint="default" w:ascii="Times New Roman" w:hAnsi="Times New Roman" w:eastAsia="宋体" w:cs="Times New Roman"/>
                <w:snapToGrid w:val="0"/>
                <w:color w:val="000000"/>
                <w:sz w:val="24"/>
                <w:szCs w:val="24"/>
                <w:highlight w:val="none"/>
                <w:vertAlign w:val="superscript"/>
                <w:lang w:val="en-US" w:eastAsia="zh-CN"/>
              </w:rPr>
              <w:t>3</w:t>
            </w:r>
            <w:r>
              <w:rPr>
                <w:rFonts w:hint="default" w:ascii="Times New Roman" w:hAnsi="Times New Roman" w:eastAsia="宋体" w:cs="Times New Roman"/>
                <w:snapToGrid w:val="0"/>
                <w:color w:val="000000"/>
                <w:sz w:val="24"/>
                <w:szCs w:val="24"/>
                <w:highlight w:val="none"/>
                <w:lang w:val="en-US" w:eastAsia="zh-CN"/>
              </w:rPr>
              <w:t>/a（</w:t>
            </w:r>
            <w:r>
              <w:rPr>
                <w:rFonts w:hint="default" w:ascii="Times New Roman" w:hAnsi="Times New Roman" w:cs="Times New Roman"/>
                <w:snapToGrid w:val="0"/>
                <w:color w:val="000000"/>
                <w:sz w:val="24"/>
                <w:szCs w:val="24"/>
                <w:highlight w:val="none"/>
                <w:lang w:val="en-US" w:eastAsia="zh-CN"/>
              </w:rPr>
              <w:t>7.2</w:t>
            </w:r>
            <w:r>
              <w:rPr>
                <w:rFonts w:hint="default" w:ascii="Times New Roman" w:hAnsi="Times New Roman" w:eastAsia="宋体" w:cs="Times New Roman"/>
                <w:snapToGrid w:val="0"/>
                <w:color w:val="000000"/>
                <w:sz w:val="24"/>
                <w:szCs w:val="24"/>
                <w:highlight w:val="none"/>
                <w:lang w:val="en-US" w:eastAsia="zh-CN"/>
              </w:rPr>
              <w:t>m</w:t>
            </w:r>
            <w:r>
              <w:rPr>
                <w:rFonts w:hint="default" w:ascii="Times New Roman" w:hAnsi="Times New Roman" w:eastAsia="宋体" w:cs="Times New Roman"/>
                <w:snapToGrid w:val="0"/>
                <w:color w:val="000000"/>
                <w:sz w:val="24"/>
                <w:szCs w:val="24"/>
                <w:highlight w:val="none"/>
                <w:vertAlign w:val="superscript"/>
                <w:lang w:val="en-US" w:eastAsia="zh-CN"/>
              </w:rPr>
              <w:t>3</w:t>
            </w:r>
            <w:r>
              <w:rPr>
                <w:rFonts w:hint="default" w:ascii="Times New Roman" w:hAnsi="Times New Roman" w:eastAsia="宋体" w:cs="Times New Roman"/>
                <w:snapToGrid w:val="0"/>
                <w:color w:val="000000"/>
                <w:sz w:val="24"/>
                <w:szCs w:val="24"/>
                <w:highlight w:val="none"/>
                <w:lang w:val="en-US" w:eastAsia="zh-CN"/>
              </w:rPr>
              <w:t>/d）</w:t>
            </w:r>
            <w:r>
              <w:rPr>
                <w:rFonts w:hint="default" w:ascii="Times New Roman" w:hAnsi="Times New Roman" w:cs="Times New Roman"/>
                <w:snapToGrid w:val="0"/>
                <w:color w:val="000000"/>
                <w:sz w:val="24"/>
                <w:szCs w:val="24"/>
                <w:highlight w:val="none"/>
                <w:lang w:val="en-US" w:eastAsia="zh-CN"/>
              </w:rPr>
              <w:t>，生活污水</w:t>
            </w:r>
            <w:r>
              <w:rPr>
                <w:rFonts w:hint="default" w:ascii="Times New Roman" w:hAnsi="Times New Roman" w:eastAsia="宋体" w:cs="Times New Roman"/>
                <w:snapToGrid w:val="0"/>
                <w:color w:val="000000"/>
                <w:sz w:val="24"/>
                <w:szCs w:val="24"/>
                <w:highlight w:val="none"/>
                <w:lang w:val="en-US" w:eastAsia="zh-CN"/>
              </w:rPr>
              <w:t>经化粪池处理后排入园区污水管网进入抚宁污水处理厂进一步处理。</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食堂废水按用水量60%计算，则</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食堂废水量为180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0.6</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/d），</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食堂废水经隔油池+</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化粪池处理后排入园区污水管网进入抚宁污水处理厂进一步处理。</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综上，本项目年排水总量为2160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180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2340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项目水平衡如下图所示。</w:t>
            </w:r>
          </w:p>
          <w:p>
            <w:pPr>
              <w:pStyle w:val="30"/>
              <w:keepNext w:val="0"/>
              <w:keepLines w:val="0"/>
              <w:pageBreakBefore w:val="0"/>
              <w:widowControl/>
              <w:kinsoku/>
              <w:wordWrap/>
              <w:overflowPunct/>
              <w:topLinePunct w:val="0"/>
              <w:autoSpaceDE/>
              <w:autoSpaceDN/>
              <w:bidi w:val="0"/>
              <w:adjustRightInd/>
              <w:snapToGrid w:val="0"/>
              <w:spacing w:before="0" w:beforeLines="0" w:after="0" w:afterLines="0" w:line="240" w:lineRule="auto"/>
              <w:ind w:right="0" w:firstLine="0" w:firstLineChars="0"/>
              <w:jc w:val="center"/>
              <w:textAlignment w:val="auto"/>
              <w:rPr>
                <w:rFonts w:hint="default" w:ascii="Times New Roman" w:hAnsi="Times New Roman" w:cs="Times New Roman"/>
                <w:color w:val="000000"/>
                <w:highlight w:val="none"/>
                <w:lang w:val="en-US" w:eastAsia="zh-CN"/>
              </w:rPr>
            </w:pPr>
            <w:r>
              <w:rPr>
                <w:rFonts w:hint="default" w:ascii="Times New Roman" w:hAnsi="Times New Roman" w:cs="Times New Roman"/>
              </w:rPr>
              <w:drawing>
                <wp:inline distT="0" distB="0" distL="114300" distR="114300">
                  <wp:extent cx="5357495" cy="1764665"/>
                  <wp:effectExtent l="0" t="0" r="14605" b="6985"/>
                  <wp:docPr id="1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
                          <pic:cNvPicPr>
                            <a:picLocks noChangeAspect="1"/>
                          </pic:cNvPicPr>
                        </pic:nvPicPr>
                        <pic:blipFill>
                          <a:blip r:embed="rId10"/>
                          <a:stretch>
                            <a:fillRect/>
                          </a:stretch>
                        </pic:blipFill>
                        <pic:spPr>
                          <a:xfrm>
                            <a:off x="0" y="0"/>
                            <a:ext cx="5357495" cy="176466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line="480" w:lineRule="exact"/>
              <w:jc w:val="center"/>
              <w:textAlignment w:val="auto"/>
              <w:rPr>
                <w:rFonts w:hint="default" w:ascii="Times New Roman" w:hAnsi="Times New Roman" w:eastAsia="宋体" w:cs="Times New Roman"/>
                <w:b/>
                <w:bCs/>
                <w:color w:val="000000"/>
                <w:sz w:val="24"/>
                <w:szCs w:val="24"/>
                <w:highlight w:val="none"/>
                <w:lang w:val="en-US" w:eastAsia="zh-CN"/>
              </w:rPr>
            </w:pPr>
            <w:r>
              <w:rPr>
                <w:rFonts w:hint="default" w:ascii="Times New Roman" w:hAnsi="Times New Roman" w:eastAsia="宋体" w:cs="Times New Roman"/>
                <w:b/>
                <w:bCs/>
                <w:color w:val="000000"/>
                <w:sz w:val="24"/>
                <w:szCs w:val="24"/>
                <w:highlight w:val="none"/>
                <w:lang w:val="en-US" w:eastAsia="zh-CN"/>
              </w:rPr>
              <w:t>图2-1 项目水平衡图（m</w:t>
            </w:r>
            <w:r>
              <w:rPr>
                <w:rFonts w:hint="default" w:ascii="Times New Roman" w:hAnsi="Times New Roman" w:eastAsia="宋体" w:cs="Times New Roman"/>
                <w:b/>
                <w:bCs/>
                <w:color w:val="000000"/>
                <w:sz w:val="24"/>
                <w:szCs w:val="24"/>
                <w:highlight w:val="none"/>
                <w:vertAlign w:val="superscript"/>
                <w:lang w:val="en-US" w:eastAsia="zh-CN"/>
              </w:rPr>
              <w:t>3</w:t>
            </w:r>
            <w:r>
              <w:rPr>
                <w:rFonts w:hint="default" w:ascii="Times New Roman" w:hAnsi="Times New Roman" w:eastAsia="宋体" w:cs="Times New Roman"/>
                <w:b/>
                <w:bCs/>
                <w:color w:val="000000"/>
                <w:sz w:val="24"/>
                <w:szCs w:val="24"/>
                <w:highlight w:val="none"/>
                <w:lang w:val="en-US" w:eastAsia="zh-CN"/>
              </w:rPr>
              <w:t>/d）</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eastAsia="宋体" w:cs="Times New Roman"/>
                <w:color w:val="000000"/>
                <w:sz w:val="24"/>
                <w:szCs w:val="24"/>
                <w:highlight w:val="none"/>
              </w:rPr>
            </w:pPr>
            <w:r>
              <w:rPr>
                <w:rFonts w:hint="default" w:ascii="Times New Roman" w:hAnsi="Times New Roman" w:cs="Times New Roman"/>
                <w:color w:val="000000"/>
                <w:sz w:val="24"/>
                <w:szCs w:val="24"/>
                <w:highlight w:val="none"/>
                <w:lang w:val="en-US" w:eastAsia="zh-CN"/>
              </w:rPr>
              <w:t>③</w:t>
            </w:r>
            <w:r>
              <w:rPr>
                <w:rFonts w:hint="default" w:ascii="Times New Roman" w:hAnsi="Times New Roman" w:eastAsia="宋体" w:cs="Times New Roman"/>
                <w:color w:val="000000"/>
                <w:sz w:val="24"/>
                <w:szCs w:val="24"/>
                <w:highlight w:val="none"/>
              </w:rPr>
              <w:t>供电</w:t>
            </w:r>
          </w:p>
          <w:p>
            <w:pPr>
              <w:keepNext w:val="0"/>
              <w:keepLines w:val="0"/>
              <w:pageBreakBefore w:val="0"/>
              <w:widowControl w:val="0"/>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val="en-US" w:eastAsia="zh-CN"/>
              </w:rPr>
              <w:t>项目用电</w:t>
            </w:r>
            <w:r>
              <w:rPr>
                <w:rFonts w:hint="default" w:ascii="Times New Roman" w:hAnsi="Times New Roman" w:cs="Times New Roman"/>
                <w:color w:val="000000"/>
                <w:sz w:val="24"/>
                <w:szCs w:val="24"/>
                <w:highlight w:val="none"/>
                <w:lang w:val="en-US" w:eastAsia="zh-CN"/>
              </w:rPr>
              <w:t>6</w:t>
            </w:r>
            <w:r>
              <w:rPr>
                <w:rFonts w:hint="default" w:ascii="Times New Roman" w:hAnsi="Times New Roman" w:eastAsia="宋体" w:cs="Times New Roman"/>
                <w:color w:val="000000"/>
                <w:sz w:val="24"/>
                <w:szCs w:val="24"/>
                <w:highlight w:val="none"/>
                <w:lang w:val="en-US" w:eastAsia="zh-CN"/>
              </w:rPr>
              <w:t>0万</w:t>
            </w:r>
            <w:r>
              <w:rPr>
                <w:rFonts w:hint="default" w:ascii="Times New Roman" w:hAnsi="Times New Roman" w:eastAsia="宋体" w:cs="Times New Roman"/>
                <w:color w:val="000000"/>
                <w:sz w:val="24"/>
                <w:szCs w:val="24"/>
                <w:highlight w:val="none"/>
              </w:rPr>
              <w:t>kW·h/a</w:t>
            </w:r>
            <w:r>
              <w:rPr>
                <w:rFonts w:hint="default" w:ascii="Times New Roman" w:hAnsi="Times New Roman" w:eastAsia="宋体" w:cs="Times New Roman"/>
                <w:color w:val="000000"/>
                <w:sz w:val="24"/>
                <w:szCs w:val="24"/>
                <w:highlight w:val="none"/>
                <w:lang w:eastAsia="zh-CN"/>
              </w:rPr>
              <w:t>。</w:t>
            </w:r>
            <w:r>
              <w:rPr>
                <w:rFonts w:hint="default" w:ascii="Times New Roman" w:hAnsi="Times New Roman" w:eastAsia="宋体" w:cs="Times New Roman"/>
                <w:color w:val="000000"/>
                <w:sz w:val="24"/>
                <w:szCs w:val="24"/>
                <w:highlight w:val="none"/>
                <w:lang w:val="en-US" w:eastAsia="zh-CN"/>
              </w:rPr>
              <w:t>由</w:t>
            </w:r>
            <w:r>
              <w:rPr>
                <w:rFonts w:hint="default" w:ascii="Times New Roman" w:hAnsi="Times New Roman" w:cs="Times New Roman"/>
                <w:color w:val="000000"/>
                <w:sz w:val="24"/>
                <w:szCs w:val="24"/>
                <w:highlight w:val="none"/>
                <w:lang w:val="en-US" w:eastAsia="zh-CN"/>
              </w:rPr>
              <w:t>园区市政</w:t>
            </w:r>
            <w:r>
              <w:rPr>
                <w:rFonts w:hint="default" w:ascii="Times New Roman" w:hAnsi="Times New Roman" w:eastAsia="宋体" w:cs="Times New Roman"/>
                <w:color w:val="000000"/>
                <w:sz w:val="24"/>
                <w:szCs w:val="24"/>
                <w:highlight w:val="none"/>
                <w:lang w:val="en-US" w:eastAsia="zh-CN"/>
              </w:rPr>
              <w:t>电网提供，可满足项目需求。</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④供热</w:t>
            </w:r>
          </w:p>
          <w:p>
            <w:pPr>
              <w:pStyle w:val="30"/>
              <w:keepNext w:val="0"/>
              <w:keepLines w:val="0"/>
              <w:pageBreakBefore w:val="0"/>
              <w:kinsoku/>
              <w:wordWrap/>
              <w:overflowPunct/>
              <w:topLinePunct w:val="0"/>
              <w:autoSpaceDE/>
              <w:autoSpaceDN/>
              <w:bidi w:val="0"/>
              <w:adjustRightInd/>
              <w:spacing w:before="0" w:beforeLines="0" w:after="0" w:afterLines="0" w:line="480" w:lineRule="exact"/>
              <w:ind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项目供暖采用空气能。</w:t>
            </w:r>
          </w:p>
          <w:p>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13</w:t>
            </w:r>
            <w:r>
              <w:rPr>
                <w:rFonts w:hint="default" w:ascii="Times New Roman" w:hAnsi="Times New Roman" w:cs="Times New Roman"/>
                <w:color w:val="000000"/>
                <w:sz w:val="24"/>
                <w:szCs w:val="24"/>
                <w:highlight w:val="none"/>
                <w:lang w:eastAsia="zh-CN"/>
              </w:rPr>
              <w:t>）厂区平面布置</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bCs/>
                <w:color w:val="000000"/>
                <w:sz w:val="24"/>
                <w:szCs w:val="24"/>
                <w:highlight w:val="none"/>
                <w:lang w:eastAsia="zh-CN"/>
              </w:rPr>
            </w:pPr>
            <w:r>
              <w:rPr>
                <w:rFonts w:hint="default" w:ascii="Times New Roman" w:hAnsi="Times New Roman" w:cs="Times New Roman"/>
                <w:color w:val="000000" w:themeColor="text1"/>
                <w:sz w:val="24"/>
                <w:szCs w:val="24"/>
                <w:highlight w:val="none"/>
                <w14:textFill>
                  <w14:solidFill>
                    <w14:schemeClr w14:val="tx1"/>
                  </w14:solidFill>
                </w14:textFill>
              </w:rPr>
              <w:t>项目位于</w:t>
            </w:r>
            <w:r>
              <w:rPr>
                <w:rFonts w:hint="default" w:ascii="Times New Roman" w:hAnsi="Times New Roman" w:cs="Times New Roman"/>
                <w:color w:val="000000" w:themeColor="text1"/>
                <w:sz w:val="24"/>
                <w:szCs w:val="24"/>
                <w:highlight w:val="none"/>
                <w:lang w:eastAsia="zh-CN"/>
                <w14:textFill>
                  <w14:solidFill>
                    <w14:schemeClr w14:val="tx1"/>
                  </w14:solidFill>
                </w14:textFill>
              </w:rPr>
              <w:t>抚宁经济开发区北区三抚路西侧，环城北路北侧</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eastAsia="宋体" w:cs="Times New Roman"/>
                <w:bCs/>
                <w:color w:val="000000" w:themeColor="text1"/>
                <w:sz w:val="24"/>
                <w:szCs w:val="24"/>
                <w:highlight w:val="none"/>
                <w:lang w:val="en-US" w:eastAsia="zh-CN"/>
                <w14:textFill>
                  <w14:solidFill>
                    <w14:schemeClr w14:val="tx1"/>
                  </w14:solidFill>
                </w14:textFill>
              </w:rPr>
              <w:t>所在位置中心地理坐标为东经119°13′23.00840″，北纬39°54′38.94275″。</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项目东侧为三抚路，南侧为环城北路，</w:t>
            </w:r>
            <w:r>
              <w:rPr>
                <w:rFonts w:hint="default" w:ascii="Times New Roman" w:hAnsi="Times New Roman" w:cs="Times New Roman"/>
                <w:color w:val="000000" w:themeColor="text1"/>
                <w:sz w:val="24"/>
                <w:szCs w:val="24"/>
                <w:highlight w:val="none"/>
                <w:shd w:val="clear" w:color="auto" w:fill="auto"/>
                <w:lang w:val="en-US" w:eastAsia="zh-CN"/>
                <w14:textFill>
                  <w14:solidFill>
                    <w14:schemeClr w14:val="tx1"/>
                  </w14:solidFill>
                </w14:textFill>
              </w:rPr>
              <w:t>南侧为空地，西侧为秦皇岛正鸿机动车检测有限公司</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。距</w:t>
            </w:r>
            <w:r>
              <w:rPr>
                <w:rFonts w:hint="default" w:ascii="Times New Roman" w:hAnsi="Times New Roman" w:cs="Times New Roman"/>
                <w:color w:val="000000" w:themeColor="text1"/>
                <w:sz w:val="24"/>
                <w:szCs w:val="24"/>
                <w:highlight w:val="none"/>
                <w:lang w:eastAsia="zh-CN"/>
                <w14:textFill>
                  <w14:solidFill>
                    <w14:schemeClr w14:val="tx1"/>
                  </w14:solidFill>
                </w14:textFill>
              </w:rPr>
              <w:t>离项目最近的敏感点为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南侧94m处的大李官营村。</w:t>
            </w:r>
            <w:r>
              <w:rPr>
                <w:rFonts w:hint="default" w:ascii="Times New Roman" w:hAnsi="Times New Roman" w:eastAsia="宋体" w:cs="Times New Roman"/>
                <w:bCs/>
                <w:color w:val="000000" w:themeColor="text1"/>
                <w:sz w:val="24"/>
                <w:szCs w:val="24"/>
                <w:highlight w:val="none"/>
                <w:lang w:eastAsia="zh-CN"/>
                <w14:textFill>
                  <w14:solidFill>
                    <w14:schemeClr w14:val="tx1"/>
                  </w14:solidFill>
                </w14:textFill>
              </w:rPr>
              <w:t>本项目根据“分区合理、工艺流畅、物流短捷、突出环保”的原则，结合项目场地的用地条件及</w:t>
            </w:r>
            <w:r>
              <w:rPr>
                <w:rFonts w:hint="default" w:ascii="Times New Roman" w:hAnsi="Times New Roman" w:eastAsia="宋体" w:cs="Times New Roman"/>
                <w:bCs/>
                <w:color w:val="000000"/>
                <w:sz w:val="24"/>
                <w:szCs w:val="24"/>
                <w:highlight w:val="none"/>
                <w:lang w:eastAsia="zh-CN"/>
              </w:rPr>
              <w:t>生产工艺，综合考虑环保、劳动卫生等要求，对车间进行了统筹安排。</w:t>
            </w:r>
            <w:r>
              <w:rPr>
                <w:rFonts w:hint="default" w:ascii="Times New Roman" w:hAnsi="Times New Roman" w:eastAsia="宋体" w:cs="Times New Roman"/>
                <w:bCs/>
                <w:color w:val="000000"/>
                <w:sz w:val="24"/>
                <w:szCs w:val="24"/>
                <w:highlight w:val="none"/>
                <w:lang w:val="en-US" w:eastAsia="zh-CN"/>
              </w:rPr>
              <w:t>项目分区明确，总平面布置较好的满足了工艺流程的顺畅性，体现了物料输送的便捷性，使物料在厂区内的输送简单化，方便了生产，</w:t>
            </w:r>
            <w:r>
              <w:rPr>
                <w:rFonts w:hint="default" w:ascii="Times New Roman" w:hAnsi="Times New Roman" w:eastAsia="宋体" w:cs="Times New Roman"/>
                <w:bCs/>
                <w:color w:val="000000"/>
                <w:sz w:val="24"/>
                <w:szCs w:val="24"/>
                <w:highlight w:val="none"/>
                <w:lang w:eastAsia="zh-CN"/>
              </w:rPr>
              <w:t>项目平面布置功能区分清晰，工艺流程顺畅，设计合理。</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bCs/>
                <w:color w:val="000000"/>
                <w:sz w:val="24"/>
                <w:szCs w:val="24"/>
                <w:highlight w:val="none"/>
                <w:lang w:eastAsia="zh-CN"/>
              </w:rPr>
            </w:pPr>
            <w:r>
              <w:rPr>
                <w:rFonts w:hint="default" w:ascii="Times New Roman" w:hAnsi="Times New Roman" w:cs="Times New Roman"/>
                <w:color w:val="000000"/>
                <w:sz w:val="24"/>
                <w:szCs w:val="24"/>
                <w:highlight w:val="none"/>
                <w:lang w:val="en-US" w:eastAsia="zh-CN"/>
              </w:rPr>
              <w:t>本项目厂区地理位置图见附图1，平面布置详见附图6</w:t>
            </w:r>
            <w:r>
              <w:rPr>
                <w:rFonts w:hint="default" w:ascii="Times New Roman" w:hAnsi="Times New Roman" w:eastAsia="宋体" w:cs="Times New Roman"/>
                <w:bCs/>
                <w:color w:val="000000"/>
                <w:sz w:val="24"/>
                <w:szCs w:val="24"/>
                <w:highlight w:val="none"/>
                <w:lang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bCs/>
                <w:color w:val="000000"/>
                <w:sz w:val="24"/>
                <w:szCs w:val="24"/>
                <w:highlight w:val="none"/>
                <w:lang w:eastAsia="zh-CN"/>
              </w:rPr>
            </w:pPr>
          </w:p>
          <w:p>
            <w:pPr>
              <w:pStyle w:val="2"/>
              <w:rPr>
                <w:rFonts w:hint="default" w:ascii="Times New Roman" w:hAnsi="Times New Roman" w:eastAsia="宋体" w:cs="Times New Roman"/>
                <w:bCs/>
                <w:color w:val="000000"/>
                <w:sz w:val="24"/>
                <w:szCs w:val="24"/>
                <w:highlight w:val="none"/>
                <w:lang w:eastAsia="zh-CN"/>
              </w:rPr>
            </w:pPr>
          </w:p>
          <w:p>
            <w:pPr>
              <w:rPr>
                <w:rFonts w:hint="default" w:ascii="Times New Roman" w:hAnsi="Times New Roman" w:eastAsia="宋体" w:cs="Times New Roman"/>
                <w:bCs/>
                <w:color w:val="000000"/>
                <w:sz w:val="24"/>
                <w:szCs w:val="24"/>
                <w:highlight w:val="none"/>
                <w:lang w:eastAsia="zh-CN"/>
              </w:rPr>
            </w:pPr>
          </w:p>
          <w:p>
            <w:pPr>
              <w:pStyle w:val="2"/>
              <w:rPr>
                <w:rFonts w:hint="default" w:ascii="Times New Roman" w:hAnsi="Times New Roman" w:eastAsia="宋体" w:cs="Times New Roman"/>
                <w:bCs/>
                <w:color w:val="000000"/>
                <w:sz w:val="24"/>
                <w:szCs w:val="24"/>
                <w:highlight w:val="none"/>
                <w:lang w:eastAsia="zh-CN"/>
              </w:rPr>
            </w:pPr>
          </w:p>
          <w:p>
            <w:pPr>
              <w:rPr>
                <w:rFonts w:hint="default" w:ascii="Times New Roman" w:hAnsi="Times New Roman" w:eastAsia="宋体" w:cs="Times New Roman"/>
                <w:bCs/>
                <w:color w:val="000000"/>
                <w:sz w:val="24"/>
                <w:szCs w:val="24"/>
                <w:highlight w:val="none"/>
                <w:lang w:eastAsia="zh-CN"/>
              </w:rPr>
            </w:pPr>
          </w:p>
          <w:p>
            <w:pPr>
              <w:pStyle w:val="2"/>
              <w:rPr>
                <w:rFonts w:hint="default" w:ascii="Times New Roman" w:hAnsi="Times New Roman" w:cs="Times New Roman"/>
                <w:lang w:eastAsia="zh-CN"/>
              </w:rPr>
            </w:pP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bCs/>
                <w:color w:val="000000"/>
                <w:sz w:val="24"/>
                <w:szCs w:val="24"/>
                <w:highlight w:val="none"/>
                <w:lang w:eastAsia="zh-CN"/>
              </w:rPr>
            </w:pP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bCs/>
                <w:color w:val="000000"/>
                <w:sz w:val="24"/>
                <w:szCs w:val="24"/>
                <w:highlight w:val="none"/>
                <w:lang w:eastAsia="zh-CN"/>
              </w:rPr>
            </w:pP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bCs/>
                <w:color w:val="000000"/>
                <w:sz w:val="24"/>
                <w:szCs w:val="24"/>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23" w:type="dxa"/>
            <w:noWrap w:val="0"/>
            <w:vAlign w:val="center"/>
          </w:tcPr>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cs="Times New Roman"/>
                <w:color w:val="000000"/>
                <w:sz w:val="21"/>
                <w:szCs w:val="21"/>
                <w:highlight w:val="none"/>
              </w:rPr>
            </w:pPr>
            <w:bookmarkStart w:id="7" w:name="_Toc6814"/>
            <w:r>
              <w:rPr>
                <w:rFonts w:hint="default" w:ascii="Times New Roman" w:hAnsi="Times New Roman" w:cs="Times New Roman"/>
                <w:color w:val="000000"/>
                <w:sz w:val="21"/>
                <w:szCs w:val="21"/>
                <w:highlight w:val="none"/>
              </w:rPr>
              <w:t>工艺流程和产排污环节</w:t>
            </w:r>
            <w:bookmarkEnd w:id="7"/>
          </w:p>
        </w:tc>
        <w:tc>
          <w:tcPr>
            <w:tcW w:w="8161" w:type="dxa"/>
            <w:noWrap w:val="0"/>
            <w:vAlign w:val="top"/>
          </w:tcPr>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一、施工期</w:t>
            </w:r>
          </w:p>
          <w:p>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both"/>
              <w:textAlignment w:val="auto"/>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本项目施工期首先进行场地平整，然后进行厂房建设，然后进行配套设备、设施安装调试工作，安装调试后进行工程验收合格后投入使用，其工艺流程见图2-2。</w:t>
            </w:r>
          </w:p>
          <w:p>
            <w:pPr>
              <w:pStyle w:val="31"/>
              <w:keepNext w:val="0"/>
              <w:keepLines w:val="0"/>
              <w:pageBreakBefore w:val="0"/>
              <w:widowControl w:val="0"/>
              <w:kinsoku/>
              <w:wordWrap/>
              <w:overflowPunct/>
              <w:topLinePunct w:val="0"/>
              <w:autoSpaceDE/>
              <w:autoSpaceDN/>
              <w:bidi w:val="0"/>
              <w:adjustRightInd/>
              <w:snapToGrid/>
              <w:spacing w:after="0" w:line="360" w:lineRule="auto"/>
              <w:ind w:left="0" w:leftChars="0" w:firstLine="0"/>
              <w:jc w:val="center"/>
              <w:textAlignment w:val="auto"/>
              <w:rPr>
                <w:rFonts w:hint="default" w:ascii="Times New Roman" w:hAnsi="Times New Roman" w:cs="Times New Roman"/>
                <w:color w:val="000000"/>
                <w:highlight w:val="none"/>
              </w:rPr>
            </w:pPr>
            <w:r>
              <w:rPr>
                <w:rFonts w:hint="default" w:ascii="Times New Roman" w:hAnsi="Times New Roman" w:cs="Times New Roman"/>
                <w:color w:val="000000"/>
                <w:sz w:val="21"/>
                <w:highlight w:val="none"/>
              </w:rPr>
              <mc:AlternateContent>
                <mc:Choice Requires="wpg">
                  <w:drawing>
                    <wp:inline distT="0" distB="0" distL="114300" distR="114300">
                      <wp:extent cx="1881505" cy="955040"/>
                      <wp:effectExtent l="0" t="4445" r="23495" b="0"/>
                      <wp:docPr id="8" name="组合 18"/>
                      <wp:cNvGraphicFramePr/>
                      <a:graphic xmlns:a="http://schemas.openxmlformats.org/drawingml/2006/main">
                        <a:graphicData uri="http://schemas.microsoft.com/office/word/2010/wordprocessingGroup">
                          <wpg:wgp>
                            <wpg:cNvGrpSpPr/>
                            <wpg:grpSpPr>
                              <a:xfrm>
                                <a:off x="0" y="0"/>
                                <a:ext cx="1881505" cy="955040"/>
                                <a:chOff x="6936" y="261146"/>
                                <a:chExt cx="2963" cy="1504"/>
                              </a:xfrm>
                            </wpg:grpSpPr>
                            <wps:wsp>
                              <wps:cNvPr id="1" name="矩形 6"/>
                              <wps:cNvSpPr/>
                              <wps:spPr>
                                <a:xfrm>
                                  <a:off x="6936" y="262158"/>
                                  <a:ext cx="1347" cy="492"/>
                                </a:xfrm>
                                <a:prstGeom prst="rect">
                                  <a:avLst/>
                                </a:prstGeom>
                                <a:noFill/>
                                <a:ln w="6350">
                                  <a:noFill/>
                                </a:ln>
                              </wps:spPr>
                              <wps:txbx>
                                <w:txbxContent>
                                  <w:p>
                                    <w:pPr>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N、S、G、W</w:t>
                                    </w:r>
                                  </w:p>
                                </w:txbxContent>
                              </wps:txbx>
                              <wps:bodyPr vert="horz" wrap="square" anchor="t" anchorCtr="0" upright="1"/>
                            </wps:wsp>
                            <wps:wsp>
                              <wps:cNvPr id="2" name="矩形 2"/>
                              <wps:cNvSpPr/>
                              <wps:spPr>
                                <a:xfrm>
                                  <a:off x="6989" y="261170"/>
                                  <a:ext cx="1195" cy="447"/>
                                </a:xfrm>
                                <a:prstGeom prst="rect">
                                  <a:avLst/>
                                </a:prstGeom>
                                <a:noFill/>
                                <a:ln w="6350" cap="flat" cmpd="sng">
                                  <a:solidFill>
                                    <a:srgbClr val="000000"/>
                                  </a:solidFill>
                                  <a:prstDash val="solid"/>
                                  <a:round/>
                                  <a:headEnd type="none" w="med" len="med"/>
                                  <a:tailEnd type="none" w="med" len="med"/>
                                </a:ln>
                              </wps:spPr>
                              <wps:txb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val="en-US" w:eastAsia="zh-CN"/>
                                      </w:rPr>
                                      <w:t>厂房</w:t>
                                    </w:r>
                                    <w:r>
                                      <w:rPr>
                                        <w:rFonts w:hint="eastAsia" w:ascii="宋体" w:hAnsi="宋体"/>
                                        <w:sz w:val="21"/>
                                        <w:szCs w:val="21"/>
                                        <w:lang w:eastAsia="zh-CN"/>
                                      </w:rPr>
                                      <w:t>建设施工</w:t>
                                    </w:r>
                                  </w:p>
                                </w:txbxContent>
                              </wps:txbx>
                              <wps:bodyPr vert="horz" wrap="square" anchor="t" anchorCtr="0" upright="1"/>
                            </wps:wsp>
                            <wps:wsp>
                              <wps:cNvPr id="3" name="矩形 2"/>
                              <wps:cNvSpPr/>
                              <wps:spPr>
                                <a:xfrm>
                                  <a:off x="8705" y="261146"/>
                                  <a:ext cx="1195" cy="423"/>
                                </a:xfrm>
                                <a:prstGeom prst="rect">
                                  <a:avLst/>
                                </a:prstGeom>
                                <a:noFill/>
                                <a:ln w="6350" cap="flat" cmpd="sng">
                                  <a:solidFill>
                                    <a:srgbClr val="000000"/>
                                  </a:solidFill>
                                  <a:prstDash val="solid"/>
                                  <a:round/>
                                  <a:headEnd type="none" w="med" len="med"/>
                                  <a:tailEnd type="none" w="med" len="med"/>
                                </a:ln>
                              </wps:spPr>
                              <wps:txb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设备安装</w:t>
                                    </w:r>
                                  </w:p>
                                </w:txbxContent>
                              </wps:txbx>
                              <wps:bodyPr vert="horz" wrap="square" anchor="t" anchorCtr="0" upright="1"/>
                            </wps:wsp>
                            <wps:wsp>
                              <wps:cNvPr id="4" name="直接箭头连接符 8"/>
                              <wps:cNvCnPr/>
                              <wps:spPr>
                                <a:xfrm>
                                  <a:off x="8225" y="261371"/>
                                  <a:ext cx="397" cy="4"/>
                                </a:xfrm>
                                <a:prstGeom prst="straightConnector1">
                                  <a:avLst/>
                                </a:prstGeom>
                                <a:ln w="9525" cap="flat" cmpd="sng">
                                  <a:solidFill>
                                    <a:srgbClr val="000000"/>
                                  </a:solidFill>
                                  <a:prstDash val="solid"/>
                                  <a:headEnd type="none" w="med" len="med"/>
                                  <a:tailEnd type="triangle" w="med" len="med"/>
                                </a:ln>
                              </wps:spPr>
                              <wps:bodyPr/>
                            </wps:wsp>
                            <wps:wsp>
                              <wps:cNvPr id="5" name="直接箭头连接符 10"/>
                              <wps:cNvCnPr/>
                              <wps:spPr>
                                <a:xfrm>
                                  <a:off x="7576" y="261679"/>
                                  <a:ext cx="3" cy="429"/>
                                </a:xfrm>
                                <a:prstGeom prst="straightConnector1">
                                  <a:avLst/>
                                </a:prstGeom>
                                <a:ln w="9525" cap="flat" cmpd="sng">
                                  <a:solidFill>
                                    <a:srgbClr val="000000"/>
                                  </a:solidFill>
                                  <a:prstDash val="dash"/>
                                  <a:headEnd type="none" w="med" len="med"/>
                                  <a:tailEnd type="triangle" w="med" len="med"/>
                                </a:ln>
                              </wps:spPr>
                              <wps:bodyPr/>
                            </wps:wsp>
                            <wps:wsp>
                              <wps:cNvPr id="6" name="直接箭头连接符 10"/>
                              <wps:cNvCnPr/>
                              <wps:spPr>
                                <a:xfrm>
                                  <a:off x="9364" y="261619"/>
                                  <a:ext cx="3" cy="429"/>
                                </a:xfrm>
                                <a:prstGeom prst="straightConnector1">
                                  <a:avLst/>
                                </a:prstGeom>
                                <a:ln w="9525" cap="flat" cmpd="sng">
                                  <a:solidFill>
                                    <a:srgbClr val="000000"/>
                                  </a:solidFill>
                                  <a:prstDash val="dash"/>
                                  <a:headEnd type="none" w="med" len="med"/>
                                  <a:tailEnd type="triangle" w="med" len="med"/>
                                </a:ln>
                              </wps:spPr>
                              <wps:bodyPr/>
                            </wps:wsp>
                            <wps:wsp>
                              <wps:cNvPr id="7" name="矩形 6"/>
                              <wps:cNvSpPr/>
                              <wps:spPr>
                                <a:xfrm>
                                  <a:off x="8988" y="262090"/>
                                  <a:ext cx="785" cy="492"/>
                                </a:xfrm>
                                <a:prstGeom prst="rect">
                                  <a:avLst/>
                                </a:prstGeom>
                                <a:noFill/>
                                <a:ln w="6350">
                                  <a:noFill/>
                                </a:ln>
                              </wps:spPr>
                              <wps:txbx>
                                <w:txbxContent>
                                  <w:p>
                                    <w:pPr>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N、S</w:t>
                                    </w:r>
                                  </w:p>
                                </w:txbxContent>
                              </wps:txbx>
                              <wps:bodyPr vert="horz" wrap="square" anchor="t" anchorCtr="0" upright="1"/>
                            </wps:wsp>
                          </wpg:wgp>
                        </a:graphicData>
                      </a:graphic>
                    </wp:inline>
                  </w:drawing>
                </mc:Choice>
                <mc:Fallback>
                  <w:pict>
                    <v:group id="组合 18" o:spid="_x0000_s1026" o:spt="203" style="height:75.2pt;width:148.15pt;" coordorigin="6936,261146" coordsize="2963,1504" o:gfxdata="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">
                      <o:lock v:ext="edit" aspectratio="f"/>
                      <v:rect id="矩形 6" o:spid="_x0000_s1026" o:spt="1" style="position:absolute;left:6936;top:262158;height:492;width:1347;" filled="f" stroked="f" coordsize="21600,21600" o:gfxdata="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PqbbzvQAA&#10;ANo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N、S、G、W</w:t>
                              </w:r>
                            </w:p>
                          </w:txbxContent>
                        </v:textbox>
                      </v:rect>
                      <v:rect id="_x0000_s1026" o:spid="_x0000_s1026" o:spt="1" style="position:absolute;left:6989;top:261170;height:447;width:1195;" filled="f" stroked="t" coordsize="21600,21600" o:gfxdata="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RVXcugAAANoA&#10;AAAPAAAAAAAAAAEAIAAAACIAAABkcnMvZG93bnJldi54bWxQSwECFAAUAAAACACHTuJAMy8FnjsA&#10;AAA5AAAAEAAAAAAAAAABACAAAAAJAQAAZHJzL3NoYXBleG1sLnhtbFBLBQYAAAAABgAGAFsBAACz&#10;AwAAAAA=&#10;">
                        <v:fill on="f" focussize="0,0"/>
                        <v:stroke weight="0.5pt" color="#000000" joinstyle="round"/>
                        <v:imagedata o:title=""/>
                        <o:lock v:ext="edit" aspectratio="f"/>
                        <v:textbo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val="en-US" w:eastAsia="zh-CN"/>
                                </w:rPr>
                                <w:t>厂房</w:t>
                              </w:r>
                              <w:r>
                                <w:rPr>
                                  <w:rFonts w:hint="eastAsia" w:ascii="宋体" w:hAnsi="宋体"/>
                                  <w:sz w:val="21"/>
                                  <w:szCs w:val="21"/>
                                  <w:lang w:eastAsia="zh-CN"/>
                                </w:rPr>
                                <w:t>建设施工</w:t>
                              </w:r>
                            </w:p>
                          </w:txbxContent>
                        </v:textbox>
                      </v:rect>
                      <v:rect id="矩形 2" o:spid="_x0000_s1026" o:spt="1" style="position:absolute;left:8705;top:261146;height:423;width:1195;" filled="f" stroked="t" coordsize="21600,21600" o:gfxdata="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kJ8Ee5AAAA2gAA&#10;AA8AAAAAAAAAAQAgAAAAIgAAAGRycy9kb3ducmV2LnhtbFBLAQIUABQAAAAIAIdO4kAzLwWeOwAA&#10;ADkAAAAQAAAAAAAAAAEAIAAAAAgBAABkcnMvc2hhcGV4bWwueG1sUEsFBgAAAAAGAAYAWwEAALID&#10;AAAAAA==&#10;">
                        <v:fill on="f" focussize="0,0"/>
                        <v:stroke weight="0.5pt" color="#000000" joinstyle="round"/>
                        <v:imagedata o:title=""/>
                        <o:lock v:ext="edit" aspectratio="f"/>
                        <v:textbo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设备安装</w:t>
                              </w:r>
                            </w:p>
                          </w:txbxContent>
                        </v:textbox>
                      </v:rect>
                      <v:shape id="直接箭头连接符 8" o:spid="_x0000_s1026" o:spt="32" type="#_x0000_t32" style="position:absolute;left:8225;top:261371;height:4;width:397;" filled="f" stroked="t" coordsize="21600,21600" o:gfxdata="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h5fk28AAAA&#10;2gAAAA8AAAAAAAAAAQAgAAAAIgAAAGRycy9kb3ducmV2LnhtbFBLAQIUABQAAAAIAIdO4kAzLwWe&#10;OwAAADkAAAAQAAAAAAAAAAEAIAAAAAsBAABkcnMvc2hhcGV4bWwueG1sUEsFBgAAAAAGAAYAWwEA&#10;ALUDAAAAAA==&#10;">
                        <v:fill on="f" focussize="0,0"/>
                        <v:stroke color="#000000" joinstyle="round" endarrow="block"/>
                        <v:imagedata o:title=""/>
                        <o:lock v:ext="edit" aspectratio="f"/>
                      </v:shape>
                      <v:shape id="直接箭头连接符 10" o:spid="_x0000_s1026" o:spt="32" type="#_x0000_t32" style="position:absolute;left:7576;top:261679;height:429;width:3;" filled="f" stroked="t" coordsize="21600,21600" o:gfxdata="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K3he8AAAA&#10;2g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shape id="直接箭头连接符 10" o:spid="_x0000_s1026" o:spt="32" type="#_x0000_t32" style="position:absolute;left:9364;top:261619;height:429;width:3;" filled="f" stroked="t" coordsize="21600,21600" o:gfxdata="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MYQGC8AAAA&#10;2g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rect id="矩形 6" o:spid="_x0000_s1026" o:spt="1" style="position:absolute;left:8988;top:262090;height:492;width:785;" filled="f" stroked="f" coordsize="21600,21600" o:gfxdata="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8Mixy/&#10;AAAA2g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ind w:firstLine="0" w:firstLineChars="0"/>
                                <w:rPr>
                                  <w:rFonts w:hint="default" w:ascii="Times New Roman" w:hAnsi="Times New Roman" w:eastAsia="宋体" w:cs="Times New Roman"/>
                                  <w:sz w:val="18"/>
                                  <w:szCs w:val="18"/>
                                  <w:lang w:val="en-US" w:eastAsia="zh-CN"/>
                                </w:rPr>
                              </w:pPr>
                              <w:r>
                                <w:rPr>
                                  <w:rFonts w:hint="default" w:ascii="Times New Roman" w:hAnsi="Times New Roman" w:cs="Times New Roman"/>
                                  <w:sz w:val="18"/>
                                  <w:szCs w:val="18"/>
                                  <w:lang w:val="en-US" w:eastAsia="zh-CN"/>
                                </w:rPr>
                                <w:t>N、S</w:t>
                              </w:r>
                            </w:p>
                          </w:txbxContent>
                        </v:textbox>
                      </v:rect>
                      <w10:wrap type="none"/>
                      <w10:anchorlock/>
                    </v:group>
                  </w:pict>
                </mc:Fallback>
              </mc:AlternateContent>
            </w:r>
          </w:p>
          <w:p>
            <w:pPr>
              <w:pStyle w:val="30"/>
              <w:keepNext w:val="0"/>
              <w:keepLines w:val="0"/>
              <w:pageBreakBefore w:val="0"/>
              <w:widowControl/>
              <w:kinsoku/>
              <w:wordWrap/>
              <w:overflowPunct/>
              <w:topLinePunct w:val="0"/>
              <w:autoSpaceDE/>
              <w:autoSpaceDN/>
              <w:bidi w:val="0"/>
              <w:adjustRightInd w:val="0"/>
              <w:snapToGrid w:val="0"/>
              <w:spacing w:before="0" w:beforeLines="0" w:after="0" w:afterLines="0" w:line="480" w:lineRule="exact"/>
              <w:ind w:left="0" w:leftChars="0" w:right="0" w:firstLine="0" w:firstLineChars="0"/>
              <w:jc w:val="center"/>
              <w:textAlignment w:val="auto"/>
              <w:rPr>
                <w:rFonts w:hint="default" w:ascii="Times New Roman" w:hAnsi="Times New Roman" w:cs="Times New Roman"/>
                <w:b/>
                <w:bCs/>
                <w:color w:val="000000"/>
                <w:kern w:val="0"/>
                <w:sz w:val="21"/>
                <w:szCs w:val="21"/>
                <w:highlight w:val="none"/>
                <w:lang w:val="en-US" w:eastAsia="zh-CN" w:bidi="ar-SA"/>
              </w:rPr>
            </w:pPr>
            <w:r>
              <w:rPr>
                <w:rFonts w:hint="default" w:ascii="Times New Roman" w:hAnsi="Times New Roman" w:cs="Times New Roman"/>
                <w:color w:val="000000"/>
                <w:sz w:val="21"/>
                <w:szCs w:val="21"/>
                <w:highlight w:val="none"/>
              </w:rPr>
              <w:t>注：   废气：G   废水：W   噪声：N    固废：S</w:t>
            </w:r>
          </w:p>
          <w:p>
            <w:pPr>
              <w:pStyle w:val="30"/>
              <w:keepNext w:val="0"/>
              <w:keepLines w:val="0"/>
              <w:pageBreakBefore w:val="0"/>
              <w:widowControl/>
              <w:kinsoku/>
              <w:wordWrap/>
              <w:overflowPunct/>
              <w:topLinePunct w:val="0"/>
              <w:autoSpaceDE/>
              <w:autoSpaceDN/>
              <w:bidi w:val="0"/>
              <w:snapToGrid w:val="0"/>
              <w:spacing w:before="0" w:beforeLines="0" w:after="0" w:afterLines="0" w:line="480" w:lineRule="exact"/>
              <w:ind w:right="0" w:firstLine="0" w:firstLineChars="0"/>
              <w:jc w:val="center"/>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b/>
                <w:color w:val="000000"/>
                <w:sz w:val="24"/>
                <w:szCs w:val="24"/>
                <w:highlight w:val="none"/>
              </w:rPr>
              <w:t>图</w:t>
            </w:r>
            <w:r>
              <w:rPr>
                <w:rFonts w:hint="default" w:ascii="Times New Roman" w:hAnsi="Times New Roman" w:cs="Times New Roman"/>
                <w:b/>
                <w:color w:val="000000"/>
                <w:sz w:val="24"/>
                <w:szCs w:val="24"/>
                <w:highlight w:val="none"/>
                <w:lang w:val="en-US" w:eastAsia="zh-CN"/>
              </w:rPr>
              <w:t>2-2</w:t>
            </w:r>
            <w:r>
              <w:rPr>
                <w:rFonts w:hint="default" w:ascii="Times New Roman" w:hAnsi="Times New Roman" w:cs="Times New Roman"/>
                <w:b/>
                <w:color w:val="000000"/>
                <w:sz w:val="24"/>
                <w:szCs w:val="24"/>
                <w:highlight w:val="none"/>
              </w:rPr>
              <w:t xml:space="preserve"> </w:t>
            </w:r>
            <w:r>
              <w:rPr>
                <w:rFonts w:hint="default" w:ascii="Times New Roman" w:hAnsi="Times New Roman" w:cs="Times New Roman"/>
                <w:b/>
                <w:color w:val="000000"/>
                <w:sz w:val="24"/>
                <w:szCs w:val="24"/>
                <w:highlight w:val="none"/>
                <w:lang w:eastAsia="zh-CN"/>
              </w:rPr>
              <w:t>施工期</w:t>
            </w:r>
            <w:r>
              <w:rPr>
                <w:rFonts w:hint="default" w:ascii="Times New Roman" w:hAnsi="Times New Roman" w:cs="Times New Roman"/>
                <w:b/>
                <w:color w:val="000000"/>
                <w:sz w:val="24"/>
                <w:szCs w:val="24"/>
                <w:highlight w:val="none"/>
              </w:rPr>
              <w:t>工艺流程及排污节点图</w:t>
            </w:r>
          </w:p>
          <w:p>
            <w:pPr>
              <w:keepNext w:val="0"/>
              <w:keepLines w:val="0"/>
              <w:pageBreakBefore w:val="0"/>
              <w:widowControl w:val="0"/>
              <w:kinsoku/>
              <w:wordWrap/>
              <w:overflowPunct/>
              <w:topLinePunct w:val="0"/>
              <w:autoSpaceDE w:val="0"/>
              <w:autoSpaceDN w:val="0"/>
              <w:bidi w:val="0"/>
              <w:adjustRightInd w:val="0"/>
              <w:snapToGrid w:val="0"/>
              <w:spacing w:line="480" w:lineRule="exact"/>
              <w:ind w:right="0" w:firstLine="480" w:firstLineChars="200"/>
              <w:jc w:val="both"/>
              <w:textAlignment w:val="auto"/>
              <w:rPr>
                <w:rFonts w:hint="default" w:ascii="Times New Roman" w:hAnsi="Times New Roman" w:eastAsia="宋体" w:cs="Times New Roman"/>
                <w:bCs/>
                <w:color w:val="000000"/>
                <w:sz w:val="24"/>
                <w:szCs w:val="24"/>
                <w:highlight w:val="none"/>
              </w:rPr>
            </w:pPr>
            <w:r>
              <w:rPr>
                <w:rFonts w:hint="default" w:ascii="Times New Roman" w:hAnsi="Times New Roman" w:eastAsia="宋体" w:cs="Times New Roman"/>
                <w:bCs/>
                <w:color w:val="000000"/>
                <w:sz w:val="24"/>
                <w:szCs w:val="24"/>
                <w:highlight w:val="none"/>
              </w:rPr>
              <w:t>项目在施工期间，会对该区域生态环境造成一定的影响，但影响较小，随着施工期的结束，该类影响随之消失，不会改变当地生态现状。</w:t>
            </w: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p>
          <w:p>
            <w:pPr>
              <w:keepNext w:val="0"/>
              <w:keepLines w:val="0"/>
              <w:pageBreakBefore w:val="0"/>
              <w:widowControl w:val="0"/>
              <w:numPr>
                <w:ilvl w:val="0"/>
                <w:numId w:val="0"/>
              </w:numPr>
              <w:kinsoku/>
              <w:wordWrap/>
              <w:overflowPunct/>
              <w:topLinePunct w:val="0"/>
              <w:bidi w:val="0"/>
              <w:adjustRightInd w:val="0"/>
              <w:snapToGrid w:val="0"/>
              <w:spacing w:line="480" w:lineRule="exact"/>
              <w:ind w:right="0"/>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二、运营期</w:t>
            </w:r>
          </w:p>
          <w:p>
            <w:pPr>
              <w:keepNext w:val="0"/>
              <w:keepLines w:val="0"/>
              <w:pageBreakBefore w:val="0"/>
              <w:widowControl w:val="0"/>
              <w:kinsoku/>
              <w:wordWrap/>
              <w:overflowPunct/>
              <w:topLinePunct w:val="0"/>
              <w:autoSpaceDE w:val="0"/>
              <w:autoSpaceDN w:val="0"/>
              <w:bidi w:val="0"/>
              <w:adjustRightInd/>
              <w:snapToGrid w:val="0"/>
              <w:spacing w:line="480" w:lineRule="exact"/>
              <w:ind w:right="0"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1、运营期工艺流程与产污环节</w:t>
            </w:r>
          </w:p>
          <w:p>
            <w:pPr>
              <w:keepNext w:val="0"/>
              <w:keepLines w:val="0"/>
              <w:pageBreakBefore w:val="0"/>
              <w:widowControl w:val="0"/>
              <w:kinsoku/>
              <w:wordWrap/>
              <w:overflowPunct/>
              <w:topLinePunct w:val="0"/>
              <w:autoSpaceDE w:val="0"/>
              <w:autoSpaceDN w:val="0"/>
              <w:bidi w:val="0"/>
              <w:adjustRightInd/>
              <w:snapToGrid w:val="0"/>
              <w:spacing w:line="360" w:lineRule="auto"/>
              <w:ind w:firstLine="0" w:firstLineChars="0"/>
              <w:jc w:val="center"/>
              <w:textAlignment w:val="bottom"/>
              <w:rPr>
                <w:rFonts w:hint="default" w:ascii="Times New Roman" w:hAnsi="Times New Roman" w:cs="Times New Roman"/>
                <w:color w:val="000000"/>
                <w:highlight w:val="none"/>
              </w:rPr>
            </w:pPr>
            <w:r>
              <w:rPr>
                <w:rFonts w:hint="default" w:ascii="Times New Roman" w:hAnsi="Times New Roman" w:cs="Times New Roman"/>
              </w:rPr>
              <w:drawing>
                <wp:inline distT="0" distB="0" distL="114300" distR="114300">
                  <wp:extent cx="5349240" cy="6512560"/>
                  <wp:effectExtent l="0" t="0" r="0" b="0"/>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1"/>
                          <a:srcRect b="243"/>
                          <a:stretch>
                            <a:fillRect/>
                          </a:stretch>
                        </pic:blipFill>
                        <pic:spPr>
                          <a:xfrm>
                            <a:off x="0" y="0"/>
                            <a:ext cx="5349240" cy="6512560"/>
                          </a:xfrm>
                          <a:prstGeom prst="rect">
                            <a:avLst/>
                          </a:prstGeom>
                          <a:noFill/>
                          <a:ln>
                            <a:noFill/>
                          </a:ln>
                        </pic:spPr>
                      </pic:pic>
                    </a:graphicData>
                  </a:graphic>
                </wp:inline>
              </w:drawing>
            </w:r>
          </w:p>
          <w:p>
            <w:pPr>
              <w:pStyle w:val="30"/>
              <w:keepNext w:val="0"/>
              <w:keepLines w:val="0"/>
              <w:pageBreakBefore w:val="0"/>
              <w:widowControl/>
              <w:kinsoku/>
              <w:wordWrap/>
              <w:overflowPunct/>
              <w:topLinePunct w:val="0"/>
              <w:autoSpaceDE/>
              <w:autoSpaceDN/>
              <w:bidi w:val="0"/>
              <w:adjustRightInd/>
              <w:snapToGrid w:val="0"/>
              <w:spacing w:before="0" w:beforeLines="0" w:after="0" w:afterLines="0" w:line="240" w:lineRule="auto"/>
              <w:ind w:right="0" w:firstLine="0" w:firstLineChars="0"/>
              <w:jc w:val="center"/>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b/>
                <w:bCs w:val="0"/>
                <w:color w:val="000000"/>
                <w:sz w:val="24"/>
                <w:szCs w:val="24"/>
                <w:highlight w:val="none"/>
              </w:rPr>
              <w:t>图</w:t>
            </w:r>
            <w:r>
              <w:rPr>
                <w:rFonts w:hint="default" w:ascii="Times New Roman" w:hAnsi="Times New Roman" w:cs="Times New Roman"/>
                <w:b/>
                <w:bCs w:val="0"/>
                <w:color w:val="000000"/>
                <w:sz w:val="24"/>
                <w:szCs w:val="24"/>
                <w:highlight w:val="none"/>
                <w:lang w:val="en-US" w:eastAsia="zh-CN"/>
              </w:rPr>
              <w:t>2-3</w:t>
            </w:r>
            <w:r>
              <w:rPr>
                <w:rFonts w:hint="default" w:ascii="Times New Roman" w:hAnsi="Times New Roman" w:cs="Times New Roman"/>
                <w:b/>
                <w:bCs w:val="0"/>
                <w:color w:val="000000"/>
                <w:sz w:val="24"/>
                <w:szCs w:val="24"/>
                <w:highlight w:val="none"/>
              </w:rPr>
              <w:t xml:space="preserve"> 工艺流程及排污节点</w:t>
            </w:r>
            <w:r>
              <w:rPr>
                <w:rFonts w:hint="default" w:ascii="Times New Roman" w:hAnsi="Times New Roman" w:cs="Times New Roman"/>
                <w:b/>
                <w:color w:val="000000"/>
                <w:sz w:val="24"/>
                <w:szCs w:val="24"/>
                <w:highlight w:val="none"/>
              </w:rPr>
              <w:t>图</w:t>
            </w:r>
          </w:p>
          <w:p>
            <w:pPr>
              <w:keepNext w:val="0"/>
              <w:keepLines w:val="0"/>
              <w:pageBreakBefore w:val="0"/>
              <w:widowControl w:val="0"/>
              <w:kinsoku/>
              <w:wordWrap/>
              <w:overflowPunct/>
              <w:topLinePunct w:val="0"/>
              <w:autoSpaceDE w:val="0"/>
              <w:autoSpaceDN w:val="0"/>
              <w:bidi w:val="0"/>
              <w:adjustRightInd/>
              <w:snapToGrid w:val="0"/>
              <w:spacing w:line="480" w:lineRule="exact"/>
              <w:ind w:right="0"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2、运营期工艺流程简述</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①矿物铸件制作工艺流程：</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混合搅拌-</w:t>
            </w:r>
            <w:r>
              <w:rPr>
                <w:rFonts w:hint="default" w:ascii="Times New Roman" w:hAnsi="Times New Roman" w:eastAsia="宋体" w:cs="Times New Roman"/>
                <w:color w:val="000000"/>
                <w:sz w:val="24"/>
                <w:szCs w:val="24"/>
                <w:highlight w:val="none"/>
                <w:lang w:val="en-US" w:eastAsia="zh-CN"/>
              </w:rPr>
              <w:t>模具装配-预埋-浇筑-养护-加工-打磨喷漆-检验</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b/>
                <w:bCs/>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混合搅拌：由混凝土搅拌车</w:t>
            </w:r>
            <w:r>
              <w:rPr>
                <w:rFonts w:hint="default" w:ascii="Times New Roman" w:hAnsi="Times New Roman" w:cs="Times New Roman"/>
                <w:color w:val="000000"/>
                <w:sz w:val="24"/>
                <w:szCs w:val="24"/>
                <w:highlight w:val="none"/>
                <w:lang w:val="en-US" w:eastAsia="zh-CN"/>
              </w:rPr>
              <w:t>将</w:t>
            </w:r>
            <w:r>
              <w:rPr>
                <w:rFonts w:hint="default" w:ascii="Times New Roman" w:hAnsi="Times New Roman" w:eastAsia="宋体" w:cs="Times New Roman"/>
                <w:color w:val="000000"/>
                <w:sz w:val="24"/>
                <w:szCs w:val="24"/>
                <w:highlight w:val="none"/>
                <w:lang w:val="en-US" w:eastAsia="zh-CN"/>
              </w:rPr>
              <w:t>预拌混凝土运输至厂内后再添加环氧树脂及钢纤维。将混凝土、环氧树脂及钢纤维均匀分布并充分混合</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模具装配：模具是由金属加工好的定型模具，浇筑前进行精确装配检验</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预埋：在矿物铸件的制作过程中，</w:t>
            </w:r>
            <w:r>
              <w:rPr>
                <w:rFonts w:hint="default" w:ascii="Times New Roman" w:hAnsi="Times New Roman" w:cs="Times New Roman"/>
                <w:color w:val="000000"/>
                <w:sz w:val="24"/>
                <w:szCs w:val="24"/>
                <w:highlight w:val="none"/>
                <w:lang w:val="en-US" w:eastAsia="zh-CN"/>
              </w:rPr>
              <w:t>根据需求</w:t>
            </w:r>
            <w:r>
              <w:rPr>
                <w:rFonts w:hint="default" w:ascii="Times New Roman" w:hAnsi="Times New Roman" w:eastAsia="宋体" w:cs="Times New Roman"/>
                <w:color w:val="000000"/>
                <w:sz w:val="24"/>
                <w:szCs w:val="24"/>
                <w:highlight w:val="none"/>
                <w:lang w:val="en-US" w:eastAsia="zh-CN"/>
              </w:rPr>
              <w:t>在模具中预先整合其他部件，如线管、液压管等</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浇</w:t>
            </w:r>
            <w:r>
              <w:rPr>
                <w:rFonts w:hint="default" w:ascii="Times New Roman" w:hAnsi="Times New Roman" w:cs="Times New Roman"/>
                <w:color w:val="000000"/>
                <w:sz w:val="24"/>
                <w:szCs w:val="24"/>
                <w:highlight w:val="none"/>
                <w:lang w:val="en-US" w:eastAsia="zh-CN"/>
              </w:rPr>
              <w:t>筑</w:t>
            </w:r>
            <w:r>
              <w:rPr>
                <w:rFonts w:hint="default" w:ascii="Times New Roman" w:hAnsi="Times New Roman" w:eastAsia="宋体" w:cs="Times New Roman"/>
                <w:color w:val="000000"/>
                <w:sz w:val="24"/>
                <w:szCs w:val="24"/>
                <w:highlight w:val="none"/>
                <w:lang w:val="en-US" w:eastAsia="zh-CN"/>
              </w:rPr>
              <w:t>：将充分搅拌的原材料浇灌入预先制作好的模具中。浇</w:t>
            </w:r>
            <w:r>
              <w:rPr>
                <w:rFonts w:hint="default" w:ascii="Times New Roman" w:hAnsi="Times New Roman" w:cs="Times New Roman"/>
                <w:color w:val="000000"/>
                <w:sz w:val="24"/>
                <w:szCs w:val="24"/>
                <w:highlight w:val="none"/>
                <w:lang w:val="en-US" w:eastAsia="zh-CN"/>
              </w:rPr>
              <w:t>筑</w:t>
            </w:r>
            <w:r>
              <w:rPr>
                <w:rFonts w:hint="default" w:ascii="Times New Roman" w:hAnsi="Times New Roman" w:eastAsia="宋体" w:cs="Times New Roman"/>
                <w:color w:val="000000"/>
                <w:sz w:val="24"/>
                <w:szCs w:val="24"/>
                <w:highlight w:val="none"/>
                <w:lang w:val="en-US" w:eastAsia="zh-CN"/>
              </w:rPr>
              <w:t>过程要尽可能快速完成，同时要通过机械振动的方式减少气泡，让原料快速、紧密地结合</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固化成型</w:t>
            </w:r>
            <w:r>
              <w:rPr>
                <w:rFonts w:hint="default" w:ascii="Times New Roman" w:hAnsi="Times New Roman" w:cs="Times New Roman"/>
                <w:color w:val="000000"/>
                <w:sz w:val="24"/>
                <w:szCs w:val="24"/>
                <w:highlight w:val="none"/>
                <w:lang w:val="en-US" w:eastAsia="zh-CN"/>
              </w:rPr>
              <w:t>（养护）</w:t>
            </w:r>
            <w:r>
              <w:rPr>
                <w:rFonts w:hint="default" w:ascii="Times New Roman" w:hAnsi="Times New Roman" w:eastAsia="宋体" w:cs="Times New Roman"/>
                <w:color w:val="000000"/>
                <w:sz w:val="24"/>
                <w:szCs w:val="24"/>
                <w:highlight w:val="none"/>
                <w:lang w:val="en-US" w:eastAsia="zh-CN"/>
              </w:rPr>
              <w:t>：矿物铸件可以在常温下固化成型</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固化时间取决于配方和工艺条件，</w:t>
            </w:r>
            <w:r>
              <w:rPr>
                <w:rFonts w:hint="default" w:ascii="Times New Roman" w:hAnsi="Times New Roman" w:cs="Times New Roman"/>
                <w:color w:val="000000"/>
                <w:sz w:val="24"/>
                <w:szCs w:val="24"/>
                <w:highlight w:val="none"/>
                <w:lang w:val="en-US" w:eastAsia="zh-CN"/>
              </w:rPr>
              <w:t>本项目使用2t/h蒸汽发生器（每天工作约2h）对矿物铸件进行加温养护，进一步缩短制造周期，使矿物铸件性能更稳定。</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加工：</w:t>
            </w:r>
            <w:r>
              <w:rPr>
                <w:rFonts w:hint="default" w:ascii="Times New Roman" w:hAnsi="Times New Roman" w:eastAsia="宋体" w:cs="Times New Roman"/>
                <w:color w:val="000000"/>
                <w:sz w:val="24"/>
                <w:szCs w:val="24"/>
                <w:highlight w:val="none"/>
                <w:lang w:val="en-US" w:eastAsia="zh-CN"/>
              </w:rPr>
              <w:t>固化成型后，需要将铸件从模具中取出，即脱模。脱模后，</w:t>
            </w:r>
            <w:r>
              <w:rPr>
                <w:rFonts w:hint="default" w:ascii="Times New Roman" w:hAnsi="Times New Roman" w:cs="Times New Roman"/>
                <w:color w:val="000000"/>
                <w:sz w:val="24"/>
                <w:szCs w:val="24"/>
                <w:highlight w:val="none"/>
                <w:lang w:val="en-US" w:eastAsia="zh-CN"/>
              </w:rPr>
              <w:t>主要是对矿物铸件进行</w:t>
            </w:r>
            <w:r>
              <w:rPr>
                <w:rFonts w:hint="default" w:ascii="Times New Roman" w:hAnsi="Times New Roman" w:eastAsia="宋体" w:cs="Times New Roman"/>
                <w:color w:val="000000"/>
                <w:sz w:val="24"/>
                <w:szCs w:val="24"/>
                <w:highlight w:val="none"/>
                <w:lang w:val="en-US" w:eastAsia="zh-CN"/>
              </w:rPr>
              <w:t>打磨、修整</w:t>
            </w:r>
            <w:r>
              <w:rPr>
                <w:rFonts w:hint="default" w:ascii="Times New Roman" w:hAnsi="Times New Roman" w:cs="Times New Roman"/>
                <w:color w:val="000000"/>
                <w:sz w:val="24"/>
                <w:szCs w:val="24"/>
                <w:highlight w:val="none"/>
                <w:lang w:val="en-US" w:eastAsia="zh-CN"/>
              </w:rPr>
              <w:t>及打孔</w:t>
            </w:r>
            <w:r>
              <w:rPr>
                <w:rFonts w:hint="default" w:ascii="Times New Roman" w:hAnsi="Times New Roman" w:eastAsia="宋体" w:cs="Times New Roman"/>
                <w:color w:val="000000"/>
                <w:sz w:val="24"/>
                <w:szCs w:val="24"/>
                <w:highlight w:val="none"/>
                <w:lang w:val="en-US" w:eastAsia="zh-CN"/>
              </w:rPr>
              <w:t>，以确保产品表面光滑、无瑕疵</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打磨喷漆：主要是对矿物铸件进行表面处理，</w:t>
            </w:r>
            <w:r>
              <w:rPr>
                <w:rFonts w:hint="default" w:ascii="Times New Roman" w:hAnsi="Times New Roman" w:eastAsia="宋体" w:cs="Times New Roman"/>
                <w:color w:val="000000"/>
                <w:sz w:val="24"/>
                <w:szCs w:val="24"/>
                <w:highlight w:val="none"/>
                <w:lang w:val="en-US" w:eastAsia="zh-CN"/>
              </w:rPr>
              <w:t>可以去除材料表面的污垢，增加表面的粗糙度，</w:t>
            </w:r>
            <w:r>
              <w:rPr>
                <w:rFonts w:hint="default" w:ascii="Times New Roman" w:hAnsi="Times New Roman" w:cs="Times New Roman"/>
                <w:color w:val="000000"/>
                <w:sz w:val="24"/>
                <w:szCs w:val="24"/>
                <w:highlight w:val="none"/>
                <w:lang w:val="en-US" w:eastAsia="zh-CN"/>
              </w:rPr>
              <w:t>然后进行喷漆，水性油漆和油性油漆各喷一遍，</w:t>
            </w:r>
            <w:r>
              <w:rPr>
                <w:rFonts w:hint="default" w:ascii="Times New Roman" w:hAnsi="Times New Roman" w:eastAsia="宋体" w:cs="Times New Roman"/>
                <w:color w:val="000000"/>
                <w:sz w:val="24"/>
                <w:szCs w:val="24"/>
                <w:highlight w:val="none"/>
                <w:lang w:val="en-US" w:eastAsia="zh-CN"/>
              </w:rPr>
              <w:t>喷漆则能赋予材料丰富的颜色和光泽，提高产品的美观性。</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检验与测试：需要对铸件进行严格的检验和测试，包括外观检查、尺寸测量、化学成分分析和力学性能测试等</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②金属结构件制作工艺流程：</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下料-组对-焊合-无损检测-应力处理-加工-打磨喷涂</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下料</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通常采用切割工艺，其作用是将大块金属材料按照所需尺寸精确地分离出来。</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焊合（</w:t>
            </w:r>
            <w:r>
              <w:rPr>
                <w:rFonts w:hint="default" w:ascii="Times New Roman" w:hAnsi="Times New Roman" w:eastAsia="宋体" w:cs="Times New Roman"/>
                <w:color w:val="000000"/>
                <w:sz w:val="24"/>
                <w:szCs w:val="24"/>
                <w:highlight w:val="none"/>
                <w:lang w:val="en-US" w:eastAsia="zh-CN"/>
              </w:rPr>
              <w:t>焊接</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其目的是将两个或多个金属结构件永久性地连接在一起，确保其结构的稳定性和密封性。焊接工艺的选择需考虑材料的种类、厚度、焊接接头的形式以及产品的使用要求。例如，对于薄板材料，通常采用氩弧焊或激光焊，以减少热影响区和变形；而对于厚板材料，手工电弧焊或气体保护焊则更为适用。手工电弧焊是一种常用的焊接方法，其通过电弧加热金属材料，同时加入填充材料以形成焊缝。气体保护焊则利用惰性气体作为保护剂，防止焊接过程中产生氧化。氩弧焊则是使用氩气作为保护剂，适用于焊接铝、镁等活泼金属。激光焊则是利用高能激光束作为热源，将金属材料熔化并连接在一起，具有精度高、热影响区小等优点。</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无损检测：指在检查机械材料内部不损害或不影响被检测对象使用性能，不伤害被检测对象内部组织的前提下，利用材料内部结构异常或缺陷存在引起的热、声、光、电、磁等反应的变化，以物理或化学方法为手段，借助现代化的技术和设备器材，对试件内部及表面的结构、状态及缺陷的类型、数量、形状、性质、位置、尺寸、分布及其变化进行检查和测试的方法。</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应力处理：利用钢锤锤击工件残余应力聚集的部位，使工件接受锤击的金属表面受到锤击的压应力，发生局部的塑性变形，从而减小残余应力的峰值，改善和均衡工件原有残余应力的分布，避免工件的脆性破坏。这种方法特别适合于焊接件，且在焊接加工场合应用广泛，对冲压件使用不多。</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加工：主要是对金属结构件进行铣平面及打孔。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打磨喷涂：主要是对金属结构件进行表面处理，</w:t>
            </w:r>
            <w:r>
              <w:rPr>
                <w:rFonts w:hint="default" w:ascii="Times New Roman" w:hAnsi="Times New Roman" w:eastAsia="宋体" w:cs="Times New Roman"/>
                <w:color w:val="000000"/>
                <w:sz w:val="24"/>
                <w:szCs w:val="24"/>
                <w:highlight w:val="none"/>
                <w:lang w:val="en-US" w:eastAsia="zh-CN"/>
              </w:rPr>
              <w:t>表面处理工艺为通过式抛丸机除锈</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可以去除材料表面的氧化皮和污垢，增加表面的粗糙度，</w:t>
            </w:r>
            <w:r>
              <w:rPr>
                <w:rFonts w:hint="default" w:ascii="Times New Roman" w:hAnsi="Times New Roman" w:cs="Times New Roman"/>
                <w:color w:val="000000"/>
                <w:sz w:val="24"/>
                <w:szCs w:val="24"/>
                <w:highlight w:val="none"/>
                <w:lang w:val="en-US" w:eastAsia="zh-CN"/>
              </w:rPr>
              <w:t>然后进行喷漆，水性油漆和油性油漆各喷一遍，</w:t>
            </w:r>
            <w:r>
              <w:rPr>
                <w:rFonts w:hint="default" w:ascii="Times New Roman" w:hAnsi="Times New Roman" w:eastAsia="宋体" w:cs="Times New Roman"/>
                <w:color w:val="000000"/>
                <w:sz w:val="24"/>
                <w:szCs w:val="24"/>
                <w:highlight w:val="none"/>
                <w:lang w:val="en-US" w:eastAsia="zh-CN"/>
              </w:rPr>
              <w:t>喷漆则能赋予材料丰富的颜色和光泽，提高产品的美观性。</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③机加工零部件制作工艺流程：</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铸件毛坯-整形-粗加工-精加工-喷涂-检验</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毛坯制造：根据零件图纸和产品装配图，选择适合的毛坯材料，如金属、塑料等，毛坯的制造方法包括铸造、锻造、焊接等</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粗加工：通过切削、磨削等方法，去除毛坯上多余的材料，初步形成零件的形状和尺寸，粗加工的目的是快速去除大量材料，为精加工做准备</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精加工：在粗加工的基础上，进一步对零件进行精确的切削、磨削或抛光，以达到图纸要求的形状、尺寸和表面质量</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精加工的方法包括车削、铣削、磨削、钻削、镗削等</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装配与检验：将加工好的零部件进行装配，形成完整的产品或组件</w:t>
            </w:r>
            <w:r>
              <w:rPr>
                <w:rFonts w:hint="default" w:ascii="Times New Roman" w:hAnsi="Times New Roman" w:cs="Times New Roman"/>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对装配好的产品进行检验，包括外观检查、功能测试等，确保产品质量符合要求。</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④电气控制系统设计组装工艺流程：</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控制系统设计-电气元件检验-组装-单价试验-整机调试</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控制系统设计</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包括软件开发和硬件设计，依据设计图纸和相应的技术规格书，对配电柜内的各类元件进行科学合理的分配与排列组合。这包括但不限于断路器、继电器、计量表、开关等所有构成配电系统的部件。</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电气元件检验</w:t>
            </w:r>
            <w:r>
              <w:rPr>
                <w:rFonts w:hint="default" w:ascii="Times New Roman" w:hAnsi="Times New Roman" w:cs="Times New Roman"/>
                <w:color w:val="000000"/>
                <w:sz w:val="24"/>
                <w:szCs w:val="24"/>
                <w:highlight w:val="none"/>
                <w:lang w:val="en-US" w:eastAsia="zh-CN"/>
              </w:rPr>
              <w:t>：性能检测</w:t>
            </w:r>
            <w:r>
              <w:rPr>
                <w:rFonts w:hint="default" w:ascii="Times New Roman" w:hAnsi="Times New Roman" w:eastAsia="宋体" w:cs="Times New Roman"/>
                <w:color w:val="000000"/>
                <w:sz w:val="24"/>
                <w:szCs w:val="24"/>
                <w:highlight w:val="none"/>
                <w:lang w:val="en-US" w:eastAsia="zh-CN"/>
              </w:rPr>
              <w:t>过程涉及对配电柜的多个关键参数进行严格测试，通过使用专业的绝缘电阻测试仪对配电柜的各个部分进行测量，确认其绝缘电阻值符合规定要求。技术人员会采用耐压试验装置对设备进行加压测试，确保其在正常运行过程中能可靠地承受住内部或外部产生的瞬态电压峰值而不发生击穿或损坏。通过专用接地电阻测试仪的测量，确认接地电阻值满足安全规范要求，从而保障操作人员的人身安全和设备的稳定运行。</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组装</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配电柜</w:t>
            </w:r>
            <w:r>
              <w:rPr>
                <w:rFonts w:hint="default" w:ascii="Times New Roman" w:hAnsi="Times New Roman" w:cs="Times New Roman"/>
                <w:color w:val="000000"/>
                <w:sz w:val="24"/>
                <w:szCs w:val="24"/>
                <w:highlight w:val="none"/>
                <w:lang w:val="en-US" w:eastAsia="zh-CN"/>
              </w:rPr>
              <w:t>组装</w:t>
            </w:r>
            <w:r>
              <w:rPr>
                <w:rFonts w:hint="default" w:ascii="Times New Roman" w:hAnsi="Times New Roman" w:eastAsia="宋体" w:cs="Times New Roman"/>
                <w:color w:val="000000"/>
                <w:sz w:val="24"/>
                <w:szCs w:val="24"/>
                <w:highlight w:val="none"/>
                <w:lang w:val="en-US" w:eastAsia="zh-CN"/>
              </w:rPr>
              <w:t>过程中，工作人员必须严格按照设计图纸和技术规格书的要求执行每一步操作，确保所有元件准确无误地安装到指定位置。在接线过程中，首先，工作人员使用剥线钳将电缆或导线的绝缘层剥开，露出足够的导体长度。然后，使用压线钳将导体压接到接线端子上，确保接触良好，无松动现象。最后，使用绝缘胶带将接线端子包裹好，以防止裸露的导体部分触碰其他部位导致短路故障。</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单价试验及整机调试：</w:t>
            </w:r>
            <w:r>
              <w:rPr>
                <w:rFonts w:hint="default" w:ascii="Times New Roman" w:hAnsi="Times New Roman" w:eastAsia="宋体" w:cs="Times New Roman"/>
                <w:color w:val="000000"/>
                <w:sz w:val="24"/>
                <w:szCs w:val="24"/>
                <w:highlight w:val="none"/>
                <w:lang w:val="en-US" w:eastAsia="zh-CN"/>
              </w:rPr>
              <w:t>功能调试旨在验证和确认配电柜的各项功能是否达到设计规格和预期要求。在具体调试操作中，技术人员需逐一细致检查并测试配电柜的所有功能模块，包括但不限于开关设备的动作准确性，如断路器、隔离开关等能否按照设定程序正常闭合和断开；接触器、继电器等控制元件是否能准确无误地完成信号输入与输出，实现电路的有效接通与切断；指示灯显示系统，包括各种信号灯、数码管等是否能够清晰、准确地反映配电柜的工作状态和故障信息。</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⑤组合装配及调试工艺流程：</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金属结构件、矿物铸件、机械零部件-整机装配-模拟动作联调-单机空载试运行-联动空载试运行-整机负载运行试验-整机负载运行试验-验收-包装入库-发货。</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3、运营期主要</w:t>
            </w:r>
            <w:r>
              <w:rPr>
                <w:rFonts w:hint="default" w:ascii="Times New Roman" w:hAnsi="Times New Roman" w:eastAsia="宋体" w:cs="Times New Roman"/>
                <w:color w:val="000000"/>
                <w:sz w:val="24"/>
                <w:szCs w:val="24"/>
                <w:highlight w:val="none"/>
                <w:lang w:val="en-US" w:eastAsia="zh-CN"/>
              </w:rPr>
              <w:t>污染</w:t>
            </w:r>
            <w:r>
              <w:rPr>
                <w:rFonts w:hint="default" w:ascii="Times New Roman" w:hAnsi="Times New Roman" w:cs="Times New Roman"/>
                <w:color w:val="000000"/>
                <w:sz w:val="24"/>
                <w:szCs w:val="24"/>
                <w:highlight w:val="none"/>
                <w:lang w:val="en-US" w:eastAsia="zh-CN"/>
              </w:rPr>
              <w:t>工序</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bCs/>
                <w:color w:val="000000"/>
                <w:sz w:val="24"/>
                <w:szCs w:val="24"/>
                <w:highlight w:val="none"/>
                <w:lang w:val="en-US" w:eastAsia="zh-CN"/>
              </w:rPr>
            </w:pPr>
            <w:r>
              <w:rPr>
                <w:rFonts w:hint="default" w:ascii="Times New Roman" w:hAnsi="Times New Roman" w:eastAsia="宋体" w:cs="Times New Roman"/>
                <w:bCs/>
                <w:color w:val="000000"/>
                <w:sz w:val="24"/>
                <w:szCs w:val="24"/>
                <w:highlight w:val="none"/>
                <w:lang w:val="en-US" w:eastAsia="zh-CN"/>
              </w:rPr>
              <w:t>（1）废气：</w:t>
            </w:r>
            <w:r>
              <w:rPr>
                <w:rFonts w:hint="default" w:ascii="Times New Roman" w:hAnsi="Times New Roman" w:cs="Times New Roman"/>
                <w:bCs/>
                <w:color w:val="000000"/>
                <w:sz w:val="24"/>
                <w:szCs w:val="24"/>
                <w:highlight w:val="none"/>
                <w:lang w:val="en-US" w:eastAsia="zh-CN"/>
              </w:rPr>
              <w:t>下料切割</w:t>
            </w:r>
            <w:r>
              <w:rPr>
                <w:rFonts w:hint="default" w:ascii="Times New Roman" w:hAnsi="Times New Roman" w:eastAsia="宋体" w:cs="Times New Roman"/>
                <w:bCs/>
                <w:color w:val="000000"/>
                <w:sz w:val="24"/>
                <w:szCs w:val="24"/>
                <w:highlight w:val="none"/>
                <w:lang w:val="en-US" w:eastAsia="zh-CN"/>
              </w:rPr>
              <w:t>过程产生的颗粒物</w:t>
            </w:r>
            <w:r>
              <w:rPr>
                <w:rFonts w:hint="default" w:ascii="Times New Roman" w:hAnsi="Times New Roman" w:cs="Times New Roman"/>
                <w:bCs/>
                <w:color w:val="000000"/>
                <w:sz w:val="24"/>
                <w:szCs w:val="24"/>
                <w:highlight w:val="none"/>
                <w:lang w:val="en-US" w:eastAsia="zh-CN"/>
              </w:rPr>
              <w:t>；抛丸过程产生的颗粒物；焊接过程产生的焊接烟尘；喷漆房产生的喷漆废气；食堂油烟。</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color w:val="000000"/>
                <w:sz w:val="24"/>
                <w:szCs w:val="24"/>
                <w:highlight w:val="none"/>
                <w:lang w:val="en-US"/>
              </w:rPr>
            </w:pPr>
            <w:r>
              <w:rPr>
                <w:rFonts w:hint="default" w:ascii="Times New Roman" w:hAnsi="Times New Roman" w:eastAsia="宋体" w:cs="Times New Roman"/>
                <w:bCs/>
                <w:color w:val="000000"/>
                <w:sz w:val="24"/>
                <w:szCs w:val="24"/>
                <w:highlight w:val="none"/>
                <w:lang w:val="en-US" w:eastAsia="zh-CN"/>
              </w:rPr>
              <w:t>（2）废水：</w:t>
            </w:r>
            <w:r>
              <w:rPr>
                <w:rFonts w:hint="default" w:ascii="Times New Roman" w:hAnsi="Times New Roman" w:cs="Times New Roman"/>
                <w:bCs/>
                <w:color w:val="000000"/>
                <w:sz w:val="24"/>
                <w:szCs w:val="24"/>
                <w:highlight w:val="none"/>
                <w:lang w:val="en-US" w:eastAsia="zh-CN"/>
              </w:rPr>
              <w:t>蒸汽发生器软水制备产生的浓水、食堂废水、员工生活污水</w:t>
            </w:r>
            <w:r>
              <w:rPr>
                <w:rFonts w:hint="default" w:ascii="Times New Roman" w:hAnsi="Times New Roman" w:eastAsia="宋体" w:cs="Times New Roman"/>
                <w:bCs/>
                <w:color w:val="000000"/>
                <w:sz w:val="24"/>
                <w:szCs w:val="24"/>
                <w:highlight w:val="none"/>
                <w:lang w:val="en-US"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bCs/>
                <w:color w:val="000000"/>
                <w:sz w:val="24"/>
                <w:szCs w:val="24"/>
                <w:highlight w:val="none"/>
                <w:lang w:val="en-US" w:eastAsia="zh-CN"/>
              </w:rPr>
              <w:t>（3）</w:t>
            </w:r>
            <w:r>
              <w:rPr>
                <w:rFonts w:hint="default" w:ascii="Times New Roman" w:hAnsi="Times New Roman" w:eastAsia="宋体" w:cs="Times New Roman"/>
                <w:color w:val="000000"/>
                <w:sz w:val="24"/>
                <w:szCs w:val="24"/>
                <w:highlight w:val="none"/>
              </w:rPr>
              <w:t>噪声：各</w:t>
            </w:r>
            <w:r>
              <w:rPr>
                <w:rFonts w:hint="default" w:ascii="Times New Roman" w:hAnsi="Times New Roman" w:eastAsia="宋体" w:cs="Times New Roman"/>
                <w:color w:val="000000"/>
                <w:sz w:val="24"/>
                <w:szCs w:val="24"/>
                <w:highlight w:val="none"/>
                <w:lang w:val="en-US" w:eastAsia="zh-CN"/>
              </w:rPr>
              <w:t>生产</w:t>
            </w:r>
            <w:r>
              <w:rPr>
                <w:rFonts w:hint="default" w:ascii="Times New Roman" w:hAnsi="Times New Roman" w:eastAsia="宋体" w:cs="Times New Roman"/>
                <w:color w:val="000000"/>
                <w:sz w:val="24"/>
                <w:szCs w:val="24"/>
                <w:highlight w:val="none"/>
              </w:rPr>
              <w:t>设备运行时产生的噪声。</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sz w:val="24"/>
                <w:szCs w:val="24"/>
                <w:highlight w:val="none"/>
              </w:rPr>
              <w:t>（</w:t>
            </w:r>
            <w:r>
              <w:rPr>
                <w:rFonts w:hint="default" w:ascii="Times New Roman" w:hAnsi="Times New Roman" w:eastAsia="宋体" w:cs="Times New Roman"/>
                <w:color w:val="000000"/>
                <w:sz w:val="24"/>
                <w:szCs w:val="24"/>
                <w:highlight w:val="none"/>
                <w:lang w:val="en-US" w:eastAsia="zh-CN"/>
              </w:rPr>
              <w:t>4</w:t>
            </w:r>
            <w:r>
              <w:rPr>
                <w:rFonts w:hint="default" w:ascii="Times New Roman" w:hAnsi="Times New Roman" w:eastAsia="宋体" w:cs="Times New Roman"/>
                <w:color w:val="000000"/>
                <w:sz w:val="24"/>
                <w:szCs w:val="24"/>
                <w:highlight w:val="none"/>
              </w:rPr>
              <w:t>）固体废物：</w:t>
            </w:r>
            <w:r>
              <w:rPr>
                <w:rFonts w:hint="default" w:ascii="Times New Roman" w:hAnsi="Times New Roman" w:eastAsia="宋体" w:cs="Times New Roman"/>
                <w:color w:val="000000"/>
                <w:sz w:val="24"/>
                <w:szCs w:val="24"/>
                <w:highlight w:val="none"/>
                <w:lang w:val="en-US" w:eastAsia="zh-CN"/>
              </w:rPr>
              <w:t>生产过</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程中的金属废料、废包装材料、除尘灰、</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废切削液</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、废</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润滑</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油、废液压油、废油桶、废</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活性炭、漆渣</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w:t>
            </w:r>
          </w:p>
          <w:p>
            <w:pPr>
              <w:pStyle w:val="30"/>
              <w:keepNext w:val="0"/>
              <w:keepLines w:val="0"/>
              <w:pageBreakBefore w:val="0"/>
              <w:widowControl/>
              <w:kinsoku/>
              <w:wordWrap/>
              <w:overflowPunct/>
              <w:topLinePunct w:val="0"/>
              <w:autoSpaceDE/>
              <w:autoSpaceDN/>
              <w:bidi w:val="0"/>
              <w:adjustRightInd/>
              <w:snapToGrid w:val="0"/>
              <w:spacing w:before="0" w:beforeLines="0" w:after="0" w:afterLines="0" w:line="480" w:lineRule="exact"/>
              <w:ind w:right="0" w:firstLine="0" w:firstLineChars="0"/>
              <w:jc w:val="center"/>
              <w:textAlignment w:val="auto"/>
              <w:rPr>
                <w:rFonts w:hint="default" w:ascii="Times New Roman" w:hAnsi="Times New Roman" w:eastAsia="宋体" w:cs="Times New Roman"/>
                <w:b/>
                <w:color w:val="000000"/>
                <w:sz w:val="24"/>
                <w:szCs w:val="24"/>
                <w:highlight w:val="none"/>
                <w:lang w:val="zh-CN" w:eastAsia="zh-CN"/>
              </w:rPr>
            </w:pPr>
            <w:r>
              <w:rPr>
                <w:rFonts w:hint="default" w:ascii="Times New Roman" w:hAnsi="Times New Roman" w:eastAsia="宋体" w:cs="Times New Roman"/>
                <w:b/>
                <w:color w:val="000000"/>
                <w:sz w:val="24"/>
                <w:szCs w:val="24"/>
                <w:highlight w:val="none"/>
              </w:rPr>
              <w:t>表</w:t>
            </w:r>
            <w:r>
              <w:rPr>
                <w:rFonts w:hint="default" w:ascii="Times New Roman" w:hAnsi="Times New Roman" w:eastAsia="宋体" w:cs="Times New Roman"/>
                <w:b/>
                <w:color w:val="000000"/>
                <w:sz w:val="24"/>
                <w:szCs w:val="24"/>
                <w:highlight w:val="none"/>
                <w:lang w:val="en-US" w:eastAsia="zh-CN"/>
              </w:rPr>
              <w:t>2-</w:t>
            </w:r>
            <w:r>
              <w:rPr>
                <w:rFonts w:hint="default" w:ascii="Times New Roman" w:hAnsi="Times New Roman" w:cs="Times New Roman"/>
                <w:b/>
                <w:color w:val="000000"/>
                <w:sz w:val="24"/>
                <w:szCs w:val="24"/>
                <w:highlight w:val="none"/>
                <w:lang w:val="en-US" w:eastAsia="zh-CN"/>
              </w:rPr>
              <w:t>6</w:t>
            </w:r>
            <w:r>
              <w:rPr>
                <w:rFonts w:hint="default" w:ascii="Times New Roman" w:hAnsi="Times New Roman" w:eastAsia="宋体" w:cs="Times New Roman"/>
                <w:b/>
                <w:color w:val="000000"/>
                <w:sz w:val="24"/>
                <w:szCs w:val="24"/>
                <w:highlight w:val="none"/>
              </w:rPr>
              <w:t xml:space="preserve"> </w:t>
            </w:r>
            <w:r>
              <w:rPr>
                <w:rFonts w:hint="default" w:ascii="Times New Roman" w:hAnsi="Times New Roman" w:eastAsia="宋体" w:cs="Times New Roman"/>
                <w:b/>
                <w:color w:val="000000"/>
                <w:sz w:val="24"/>
                <w:szCs w:val="24"/>
                <w:highlight w:val="none"/>
                <w:lang w:eastAsia="zh-CN"/>
              </w:rPr>
              <w:t>运营期主要污染工序一览表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73"/>
              <w:gridCol w:w="731"/>
              <w:gridCol w:w="1108"/>
              <w:gridCol w:w="1422"/>
              <w:gridCol w:w="44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40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类型</w:t>
                  </w: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排污节点</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主要污染物</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402"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废气</w:t>
                  </w: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下料切割过程</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 w:val="21"/>
                      <w:szCs w:val="21"/>
                      <w:highlight w:val="none"/>
                      <w:lang w:eastAsia="zh-CN"/>
                    </w:rPr>
                  </w:pPr>
                  <w:r>
                    <w:rPr>
                      <w:rFonts w:hint="default" w:ascii="Times New Roman" w:hAnsi="Times New Roman" w:cs="Times New Roman"/>
                      <w:bCs/>
                      <w:color w:val="000000"/>
                      <w:sz w:val="21"/>
                      <w:szCs w:val="21"/>
                      <w:highlight w:val="none"/>
                    </w:rPr>
                    <w:t>颗粒物</w:t>
                  </w:r>
                </w:p>
              </w:tc>
              <w:tc>
                <w:tcPr>
                  <w:tcW w:w="265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eastAsia="宋体" w:cs="Times New Roman"/>
                      <w:bCs/>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由移动式焊烟净化器处理后无组织排放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抛丸过程</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颗粒物</w:t>
                  </w:r>
                </w:p>
              </w:tc>
              <w:tc>
                <w:tcPr>
                  <w:tcW w:w="265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通过沉降+旋风除尘+滤筒除尘处理后由一根15m排气筒（DA001）排放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焊接过程</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颗粒物</w:t>
                  </w:r>
                </w:p>
              </w:tc>
              <w:tc>
                <w:tcPr>
                  <w:tcW w:w="265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由移动式焊烟净化器处理后无组织排放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喷漆房</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VOCs</w:t>
                  </w:r>
                </w:p>
              </w:tc>
              <w:tc>
                <w:tcPr>
                  <w:tcW w:w="265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通过风机使喷漆房内形成微负压状态，又管道收集喷漆废气经干式过滤+活性炭吸附+催化燃烧处理后由一根15m排气筒（DA002）排放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 w:val="21"/>
                      <w:szCs w:val="21"/>
                      <w:highlight w:val="none"/>
                    </w:rPr>
                  </w:pP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食堂</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油烟</w:t>
                  </w:r>
                </w:p>
              </w:tc>
              <w:tc>
                <w:tcPr>
                  <w:tcW w:w="2652" w:type="pct"/>
                  <w:tcBorders>
                    <w:tl2br w:val="nil"/>
                    <w:tr2bl w:val="nil"/>
                  </w:tcBorders>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经油烟净化器处理后由一根15m排气筒（DA003）排放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402"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废水</w:t>
                  </w: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 w:val="21"/>
                      <w:szCs w:val="21"/>
                      <w:highlight w:val="none"/>
                      <w:lang w:val="en-US" w:eastAsia="zh-CN"/>
                    </w:rPr>
                  </w:pPr>
                  <w:r>
                    <w:rPr>
                      <w:rFonts w:hint="default" w:ascii="Times New Roman" w:hAnsi="Times New Roman" w:cs="Times New Roman"/>
                      <w:bCs/>
                      <w:color w:val="000000"/>
                      <w:sz w:val="21"/>
                      <w:szCs w:val="21"/>
                      <w:highlight w:val="none"/>
                      <w:lang w:val="en-US" w:eastAsia="zh-CN"/>
                    </w:rPr>
                    <w:t>软水制备浓水</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钙、镁离子</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用于厂区泼洒抑尘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员工生活污水</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COD、SS</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经化粪池处理后排入园区污水管网进入抚宁污水处理厂进一步处理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1097" w:type="pct"/>
                  <w:gridSpan w:val="2"/>
                  <w:tcBorders>
                    <w:tl2br w:val="nil"/>
                    <w:tr2bl w:val="nil"/>
                  </w:tcBorders>
                  <w:shd w:val="clear" w:color="auto" w:fill="auto"/>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kern w:val="2"/>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食堂</w:t>
                  </w:r>
                  <w:r>
                    <w:rPr>
                      <w:rFonts w:hint="default" w:ascii="Times New Roman" w:hAnsi="Times New Roman" w:cs="Times New Roman"/>
                      <w:color w:val="000000"/>
                      <w:sz w:val="21"/>
                      <w:szCs w:val="21"/>
                      <w:highlight w:val="none"/>
                      <w:lang w:eastAsia="zh-CN"/>
                    </w:rPr>
                    <w:t>废水</w:t>
                  </w:r>
                </w:p>
              </w:tc>
              <w:tc>
                <w:tcPr>
                  <w:tcW w:w="848" w:type="pct"/>
                  <w:tcBorders>
                    <w:tl2br w:val="nil"/>
                    <w:tr2bl w:val="nil"/>
                  </w:tcBorders>
                  <w:shd w:val="clear" w:color="auto" w:fill="auto"/>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kern w:val="2"/>
                      <w:sz w:val="21"/>
                      <w:szCs w:val="21"/>
                      <w:highlight w:val="none"/>
                      <w:lang w:val="en-US" w:eastAsia="zh-CN" w:bidi="ar-SA"/>
                    </w:rPr>
                  </w:pPr>
                  <w:r>
                    <w:rPr>
                      <w:rFonts w:hint="default" w:ascii="Times New Roman" w:hAnsi="Times New Roman" w:cs="Times New Roman"/>
                      <w:bCs/>
                      <w:color w:val="000000"/>
                      <w:szCs w:val="21"/>
                      <w:highlight w:val="none"/>
                      <w:lang w:val="en-US" w:eastAsia="zh-CN"/>
                    </w:rPr>
                    <w:t>油、</w:t>
                  </w:r>
                  <w:r>
                    <w:rPr>
                      <w:rFonts w:hint="default" w:ascii="Times New Roman" w:hAnsi="Times New Roman" w:cs="Times New Roman"/>
                      <w:bCs/>
                      <w:color w:val="000000"/>
                      <w:szCs w:val="21"/>
                      <w:highlight w:val="none"/>
                    </w:rPr>
                    <w:t>COD、SS</w:t>
                  </w:r>
                </w:p>
              </w:tc>
              <w:tc>
                <w:tcPr>
                  <w:tcW w:w="2652" w:type="pct"/>
                  <w:tcBorders>
                    <w:tl2br w:val="nil"/>
                    <w:tr2bl w:val="nil"/>
                  </w:tcBorders>
                  <w:shd w:val="clear" w:color="auto" w:fill="auto"/>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kern w:val="2"/>
                      <w:sz w:val="21"/>
                      <w:szCs w:val="21"/>
                      <w:highlight w:val="none"/>
                      <w:lang w:val="en-US" w:eastAsia="zh-CN" w:bidi="ar-SA"/>
                    </w:rPr>
                  </w:pPr>
                  <w:r>
                    <w:rPr>
                      <w:rFonts w:hint="default" w:ascii="Times New Roman" w:hAnsi="Times New Roman" w:cs="Times New Roman"/>
                      <w:bCs/>
                      <w:color w:val="000000"/>
                      <w:kern w:val="2"/>
                      <w:sz w:val="21"/>
                      <w:szCs w:val="21"/>
                      <w:highlight w:val="none"/>
                      <w:lang w:val="en-US" w:eastAsia="zh-CN" w:bidi="ar-SA"/>
                    </w:rPr>
                    <w:t>经隔油池+化粪池处理后</w:t>
                  </w:r>
                  <w:r>
                    <w:rPr>
                      <w:rFonts w:hint="default" w:ascii="Times New Roman" w:hAnsi="Times New Roman" w:eastAsia="宋体" w:cs="Times New Roman"/>
                      <w:color w:val="000000"/>
                      <w:sz w:val="21"/>
                      <w:szCs w:val="21"/>
                      <w:highlight w:val="none"/>
                      <w:lang w:val="en-US" w:eastAsia="zh-CN"/>
                    </w:rPr>
                    <w:t>排入园区污水管网进入抚宁污水处理厂进一步处理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jc w:val="center"/>
              </w:trPr>
              <w:tc>
                <w:tcPr>
                  <w:tcW w:w="40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噪声</w:t>
                  </w:r>
                </w:p>
              </w:tc>
              <w:tc>
                <w:tcPr>
                  <w:tcW w:w="1097" w:type="pct"/>
                  <w:gridSpan w:val="2"/>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生产设备</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等效连续A声级</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eastAsia="宋体" w:cs="Times New Roman"/>
                      <w:color w:val="000000"/>
                      <w:sz w:val="21"/>
                      <w:szCs w:val="21"/>
                      <w:highlight w:val="none"/>
                      <w:lang w:eastAsia="zh-CN"/>
                    </w:rPr>
                    <w:t>基础减振</w:t>
                  </w:r>
                  <w:r>
                    <w:rPr>
                      <w:rFonts w:hint="default" w:ascii="Times New Roman" w:hAnsi="Times New Roman" w:eastAsia="宋体" w:cs="Times New Roman"/>
                      <w:color w:val="000000"/>
                      <w:sz w:val="21"/>
                      <w:szCs w:val="21"/>
                      <w:highlight w:val="none"/>
                    </w:rPr>
                    <w:t>+厂房隔声</w:t>
                  </w:r>
                  <w:r>
                    <w:rPr>
                      <w:rFonts w:hint="default" w:ascii="Times New Roman" w:hAnsi="Times New Roman" w:eastAsia="宋体" w:cs="Times New Roman"/>
                      <w:color w:val="000000"/>
                      <w:sz w:val="21"/>
                      <w:szCs w:val="21"/>
                      <w:highlight w:val="none"/>
                      <w:lang w:val="en-US" w:eastAsia="zh-CN"/>
                    </w:rPr>
                    <w:t>+距离衰减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固废</w:t>
                  </w:r>
                </w:p>
              </w:tc>
              <w:tc>
                <w:tcPr>
                  <w:tcW w:w="436"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一般固体废物</w:t>
                  </w:r>
                </w:p>
              </w:tc>
              <w:tc>
                <w:tcPr>
                  <w:tcW w:w="661"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生产过程</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eastAsia="宋体" w:cs="Times New Roman"/>
                      <w:bCs/>
                      <w:color w:val="000000"/>
                      <w:szCs w:val="21"/>
                      <w:highlight w:val="none"/>
                      <w:lang w:eastAsia="zh-CN"/>
                    </w:rPr>
                    <w:t>金属废料</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lang w:val="en-US" w:eastAsia="zh-CN"/>
                    </w:rPr>
                    <w:t>废包装材料</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废焊渣</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661"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r>
                    <w:rPr>
                      <w:rFonts w:hint="default" w:ascii="Times New Roman" w:hAnsi="Times New Roman" w:cs="Times New Roman"/>
                      <w:color w:val="000000"/>
                      <w:sz w:val="21"/>
                      <w:szCs w:val="21"/>
                      <w:highlight w:val="none"/>
                      <w:lang w:val="en-US" w:eastAsia="zh-CN"/>
                    </w:rPr>
                    <w:t>抛丸</w:t>
                  </w:r>
                  <w:r>
                    <w:rPr>
                      <w:rFonts w:hint="default" w:ascii="Times New Roman" w:hAnsi="Times New Roman" w:eastAsia="宋体" w:cs="Times New Roman"/>
                      <w:color w:val="000000"/>
                      <w:sz w:val="21"/>
                      <w:szCs w:val="21"/>
                      <w:highlight w:val="none"/>
                      <w:lang w:val="en-US" w:eastAsia="zh-CN"/>
                    </w:rPr>
                    <w:t>除尘</w:t>
                  </w: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除尘灰</w:t>
                  </w:r>
                </w:p>
              </w:tc>
              <w:tc>
                <w:tcPr>
                  <w:tcW w:w="2652"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收集后外售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危险废物</w:t>
                  </w:r>
                </w:p>
              </w:tc>
              <w:tc>
                <w:tcPr>
                  <w:tcW w:w="661"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生产过程</w:t>
                  </w:r>
                </w:p>
              </w:tc>
              <w:tc>
                <w:tcPr>
                  <w:tcW w:w="848" w:type="pct"/>
                  <w:tcBorders>
                    <w:tl2br w:val="nil"/>
                    <w:tr2bl w:val="nil"/>
                  </w:tcBorders>
                  <w:shd w:val="clear" w:color="auto" w:fill="auto"/>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kern w:val="2"/>
                      <w:sz w:val="21"/>
                      <w:szCs w:val="24"/>
                      <w:highlight w:val="none"/>
                      <w:lang w:val="en-US" w:eastAsia="zh-CN" w:bidi="ar-SA"/>
                    </w:rPr>
                  </w:pPr>
                  <w:r>
                    <w:rPr>
                      <w:rFonts w:hint="default" w:ascii="Times New Roman" w:hAnsi="Times New Roman" w:cs="Times New Roman"/>
                      <w:color w:val="000000"/>
                      <w:kern w:val="2"/>
                      <w:sz w:val="21"/>
                      <w:szCs w:val="24"/>
                      <w:highlight w:val="none"/>
                      <w:lang w:val="en-US" w:eastAsia="zh-CN" w:bidi="ar-SA"/>
                    </w:rPr>
                    <w:t>废润滑油</w:t>
                  </w:r>
                </w:p>
              </w:tc>
              <w:tc>
                <w:tcPr>
                  <w:tcW w:w="2652" w:type="pct"/>
                  <w:vMerge w:val="restar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r>
                    <w:rPr>
                      <w:rFonts w:hint="default" w:ascii="Times New Roman" w:hAnsi="Times New Roman" w:cs="Times New Roman"/>
                      <w:color w:val="000000"/>
                      <w:sz w:val="21"/>
                      <w:szCs w:val="21"/>
                      <w:highlight w:val="none"/>
                      <w:lang w:val="en-US" w:eastAsia="zh-CN"/>
                    </w:rPr>
                    <w:t>新建一座20m</w:t>
                  </w:r>
                  <w:r>
                    <w:rPr>
                      <w:rFonts w:hint="default" w:ascii="Times New Roman" w:hAnsi="Times New Roman" w:cs="Times New Roman"/>
                      <w:color w:val="000000"/>
                      <w:sz w:val="21"/>
                      <w:szCs w:val="21"/>
                      <w:highlight w:val="none"/>
                      <w:vertAlign w:val="superscript"/>
                      <w:lang w:val="en-US" w:eastAsia="zh-CN"/>
                    </w:rPr>
                    <w:t>2</w:t>
                  </w:r>
                  <w:r>
                    <w:rPr>
                      <w:rFonts w:hint="default" w:ascii="Times New Roman" w:hAnsi="Times New Roman" w:cs="Times New Roman"/>
                      <w:color w:val="000000"/>
                      <w:sz w:val="21"/>
                      <w:szCs w:val="21"/>
                      <w:highlight w:val="none"/>
                      <w:vertAlign w:val="baseline"/>
                      <w:lang w:val="en-US" w:eastAsia="zh-CN"/>
                    </w:rPr>
                    <w:t>危险废物暂存间，</w:t>
                  </w:r>
                  <w:r>
                    <w:rPr>
                      <w:rFonts w:hint="default" w:ascii="Times New Roman" w:hAnsi="Times New Roman" w:cs="Times New Roman"/>
                      <w:color w:val="000000"/>
                      <w:sz w:val="21"/>
                      <w:szCs w:val="21"/>
                      <w:highlight w:val="none"/>
                      <w:lang w:val="en-US" w:eastAsia="zh-CN"/>
                    </w:rPr>
                    <w:t>暂存</w:t>
                  </w:r>
                  <w:r>
                    <w:rPr>
                      <w:rFonts w:hint="default" w:ascii="Times New Roman" w:hAnsi="Times New Roman" w:cs="Times New Roman"/>
                      <w:color w:val="000000"/>
                      <w:sz w:val="21"/>
                      <w:szCs w:val="21"/>
                      <w:highlight w:val="none"/>
                      <w:vertAlign w:val="baseline"/>
                      <w:lang w:val="en-US" w:eastAsia="zh-CN"/>
                    </w:rPr>
                    <w:t>危险废物暂存间</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定期交</w:t>
                  </w:r>
                  <w:r>
                    <w:rPr>
                      <w:rFonts w:hint="default" w:ascii="Times New Roman" w:hAnsi="Times New Roman" w:cs="Times New Roman"/>
                      <w:color w:val="000000"/>
                      <w:sz w:val="21"/>
                      <w:szCs w:val="21"/>
                      <w:highlight w:val="none"/>
                      <w:lang w:val="en-US" w:eastAsia="zh-CN"/>
                    </w:rPr>
                    <w:t>由</w:t>
                  </w:r>
                  <w:r>
                    <w:rPr>
                      <w:rFonts w:hint="default" w:ascii="Times New Roman" w:hAnsi="Times New Roman" w:cs="Times New Roman"/>
                      <w:color w:val="000000"/>
                      <w:sz w:val="21"/>
                      <w:szCs w:val="21"/>
                      <w:highlight w:val="none"/>
                    </w:rPr>
                    <w:t>有资质单位处理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848" w:type="pct"/>
                  <w:tcBorders>
                    <w:tl2br w:val="nil"/>
                    <w:tr2bl w:val="nil"/>
                  </w:tcBorders>
                  <w:shd w:val="clear" w:color="auto" w:fill="auto"/>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kern w:val="2"/>
                      <w:sz w:val="21"/>
                      <w:szCs w:val="24"/>
                      <w:highlight w:val="none"/>
                      <w:lang w:val="en-US" w:eastAsia="zh-CN" w:bidi="ar-SA"/>
                    </w:rPr>
                  </w:pPr>
                  <w:r>
                    <w:rPr>
                      <w:rFonts w:hint="default" w:ascii="Times New Roman" w:hAnsi="Times New Roman" w:cs="Times New Roman"/>
                      <w:color w:val="000000"/>
                      <w:kern w:val="2"/>
                      <w:sz w:val="21"/>
                      <w:szCs w:val="24"/>
                      <w:highlight w:val="none"/>
                      <w:lang w:val="en-US" w:eastAsia="zh-CN" w:bidi="ar-SA"/>
                    </w:rPr>
                    <w:t>废液压油</w:t>
                  </w:r>
                </w:p>
              </w:tc>
              <w:tc>
                <w:tcPr>
                  <w:tcW w:w="265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848" w:type="pct"/>
                  <w:tcBorders>
                    <w:tl2br w:val="nil"/>
                    <w:tr2bl w:val="nil"/>
                  </w:tcBorders>
                  <w:shd w:val="clear" w:color="auto" w:fill="auto"/>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4"/>
                      <w:highlight w:val="none"/>
                      <w:lang w:val="en-US" w:eastAsia="zh-CN" w:bidi="ar-SA"/>
                    </w:rPr>
                    <w:t>废油桶</w:t>
                  </w:r>
                </w:p>
              </w:tc>
              <w:tc>
                <w:tcPr>
                  <w:tcW w:w="265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废切削液</w:t>
                  </w:r>
                </w:p>
              </w:tc>
              <w:tc>
                <w:tcPr>
                  <w:tcW w:w="265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eastAsia="宋体" w:cs="Times New Roman"/>
                      <w:bCs/>
                      <w:color w:val="000000"/>
                      <w:szCs w:val="21"/>
                      <w:highlight w:val="none"/>
                      <w:lang w:val="en-US" w:eastAsia="zh-CN"/>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kern w:val="2"/>
                      <w:sz w:val="21"/>
                      <w:szCs w:val="24"/>
                      <w:highlight w:val="none"/>
                      <w:lang w:val="en-US" w:eastAsia="zh-CN" w:bidi="ar-SA"/>
                    </w:rPr>
                  </w:pPr>
                  <w:r>
                    <w:rPr>
                      <w:rFonts w:hint="default" w:ascii="Times New Roman" w:hAnsi="Times New Roman" w:cs="Times New Roman"/>
                      <w:color w:val="000000"/>
                      <w:kern w:val="2"/>
                      <w:sz w:val="21"/>
                      <w:szCs w:val="24"/>
                      <w:highlight w:val="none"/>
                      <w:lang w:val="en-US" w:eastAsia="zh-CN" w:bidi="ar-SA"/>
                    </w:rPr>
                    <w:t>废活性炭</w:t>
                  </w:r>
                </w:p>
              </w:tc>
              <w:tc>
                <w:tcPr>
                  <w:tcW w:w="265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40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rPr>
                  </w:pPr>
                </w:p>
              </w:tc>
              <w:tc>
                <w:tcPr>
                  <w:tcW w:w="436"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661"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bCs/>
                      <w:color w:val="000000"/>
                      <w:szCs w:val="21"/>
                      <w:highlight w:val="none"/>
                      <w:lang w:val="en-US" w:eastAsia="zh-CN"/>
                    </w:rPr>
                  </w:pPr>
                </w:p>
              </w:tc>
              <w:tc>
                <w:tcPr>
                  <w:tcW w:w="848" w:type="pct"/>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kern w:val="2"/>
                      <w:sz w:val="21"/>
                      <w:szCs w:val="24"/>
                      <w:highlight w:val="none"/>
                      <w:lang w:val="en-US" w:eastAsia="zh-CN" w:bidi="ar-SA"/>
                    </w:rPr>
                  </w:pPr>
                  <w:r>
                    <w:rPr>
                      <w:rFonts w:hint="default" w:ascii="Times New Roman" w:hAnsi="Times New Roman" w:cs="Times New Roman"/>
                      <w:color w:val="000000"/>
                      <w:kern w:val="2"/>
                      <w:sz w:val="21"/>
                      <w:szCs w:val="24"/>
                      <w:highlight w:val="none"/>
                      <w:lang w:val="en-US" w:eastAsia="zh-CN" w:bidi="ar-SA"/>
                    </w:rPr>
                    <w:t>漆渣</w:t>
                  </w:r>
                </w:p>
              </w:tc>
              <w:tc>
                <w:tcPr>
                  <w:tcW w:w="2652" w:type="pct"/>
                  <w:vMerge w:val="continue"/>
                  <w:tcBorders>
                    <w:tl2br w:val="nil"/>
                    <w:tr2bl w:val="nil"/>
                  </w:tcBorders>
                  <w:noWrap w:val="0"/>
                  <w:vAlign w:val="center"/>
                </w:tcPr>
                <w:p>
                  <w:pPr>
                    <w:keepNext w:val="0"/>
                    <w:keepLines w:val="0"/>
                    <w:pageBreakBefore w:val="0"/>
                    <w:kinsoku/>
                    <w:overflowPunct/>
                    <w:topLinePunct w:val="0"/>
                    <w:bidi w:val="0"/>
                    <w:jc w:val="center"/>
                    <w:rPr>
                      <w:rFonts w:hint="default" w:ascii="Times New Roman" w:hAnsi="Times New Roman" w:cs="Times New Roman"/>
                      <w:color w:val="000000"/>
                      <w:sz w:val="21"/>
                      <w:szCs w:val="21"/>
                      <w:highlight w:val="none"/>
                      <w:lang w:val="en-US" w:eastAsia="zh-CN"/>
                    </w:rPr>
                  </w:pPr>
                </w:p>
              </w:tc>
            </w:tr>
          </w:tbl>
          <w:p>
            <w:pPr>
              <w:pStyle w:val="31"/>
              <w:keepNext w:val="0"/>
              <w:keepLines w:val="0"/>
              <w:pageBreakBefore w:val="0"/>
              <w:kinsoku/>
              <w:overflowPunct/>
              <w:topLinePunct w:val="0"/>
              <w:bidi w:val="0"/>
              <w:spacing w:after="0"/>
              <w:ind w:left="0" w:leftChars="0" w:firstLine="0" w:firstLineChars="0"/>
              <w:rPr>
                <w:rFonts w:hint="default" w:ascii="Times New Roman" w:hAnsi="Times New Roman" w:cs="Times New Roman"/>
                <w:color w:val="000000"/>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23" w:type="dxa"/>
            <w:noWrap w:val="0"/>
            <w:vAlign w:val="center"/>
          </w:tcPr>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eastAsia="宋体" w:cs="Times New Roman"/>
                <w:color w:val="000000"/>
                <w:sz w:val="21"/>
                <w:szCs w:val="21"/>
                <w:highlight w:val="none"/>
                <w:lang w:val="en-US" w:eastAsia="zh-CN"/>
              </w:rPr>
            </w:pPr>
            <w:bookmarkStart w:id="8" w:name="_Toc10364"/>
            <w:r>
              <w:rPr>
                <w:rFonts w:hint="default" w:ascii="Times New Roman" w:hAnsi="Times New Roman" w:cs="Times New Roman"/>
                <w:bCs/>
                <w:color w:val="000000"/>
                <w:kern w:val="2"/>
                <w:sz w:val="24"/>
                <w:szCs w:val="24"/>
                <w:highlight w:val="none"/>
              </w:rPr>
              <w:t>与项目有关的原有环境污染</w:t>
            </w:r>
            <w:r>
              <w:rPr>
                <w:rFonts w:hint="default" w:ascii="Times New Roman" w:hAnsi="Times New Roman" w:cs="Times New Roman"/>
                <w:bCs/>
                <w:color w:val="000000"/>
                <w:kern w:val="2"/>
                <w:sz w:val="24"/>
                <w:szCs w:val="24"/>
                <w:highlight w:val="none"/>
                <w:lang w:val="en-US" w:eastAsia="zh-CN"/>
              </w:rPr>
              <w:t>问题</w:t>
            </w:r>
            <w:bookmarkEnd w:id="8"/>
          </w:p>
        </w:tc>
        <w:tc>
          <w:tcPr>
            <w:tcW w:w="8161" w:type="dxa"/>
            <w:noWrap w:val="0"/>
            <w:vAlign w:val="center"/>
          </w:tcPr>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kinsoku/>
              <w:overflowPunct/>
              <w:topLinePunct w:val="0"/>
              <w:bidi w:val="0"/>
              <w:adjustRightInd w:val="0"/>
              <w:snapToGrid w:val="0"/>
              <w:jc w:val="both"/>
              <w:rPr>
                <w:rFonts w:hint="default" w:ascii="Times New Roman" w:hAnsi="Times New Roman" w:cs="Times New Roman"/>
                <w:bCs/>
                <w:color w:val="000000"/>
                <w:szCs w:val="21"/>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本项目为新建项目</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rPr>
              <w:t>没有与项目有关的原有环境污染问题。</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center"/>
              <w:textAlignment w:val="auto"/>
              <w:rPr>
                <w:rFonts w:hint="default" w:ascii="Times New Roman" w:hAnsi="Times New Roman" w:cs="Times New Roman"/>
                <w:color w:val="000000"/>
                <w:sz w:val="24"/>
                <w:szCs w:val="24"/>
                <w:highlight w:val="none"/>
              </w:rPr>
            </w:pPr>
          </w:p>
          <w:p>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default" w:ascii="Times New Roman" w:hAnsi="Times New Roman" w:cs="Times New Roman"/>
                <w:color w:val="000000"/>
                <w:sz w:val="24"/>
                <w:szCs w:val="24"/>
                <w:highlight w:val="none"/>
                <w:lang w:val="en-US" w:eastAsia="zh-CN"/>
              </w:rPr>
            </w:pPr>
          </w:p>
        </w:tc>
      </w:tr>
    </w:tbl>
    <w:p>
      <w:pPr>
        <w:pStyle w:val="28"/>
        <w:jc w:val="center"/>
        <w:rPr>
          <w:rFonts w:hint="default" w:ascii="Times New Roman" w:hAnsi="Times New Roman" w:eastAsia="黑体" w:cs="Times New Roman"/>
          <w:snapToGrid w:val="0"/>
          <w:color w:val="000000"/>
          <w:sz w:val="36"/>
          <w:szCs w:val="36"/>
          <w:highlight w:val="none"/>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pPr>
        <w:pStyle w:val="28"/>
        <w:keepNext w:val="0"/>
        <w:keepLines w:val="0"/>
        <w:pageBreakBefore w:val="0"/>
        <w:widowControl/>
        <w:kinsoku/>
        <w:wordWrap/>
        <w:overflowPunct/>
        <w:topLinePunct w:val="0"/>
        <w:autoSpaceDE/>
        <w:autoSpaceDN/>
        <w:bidi w:val="0"/>
        <w:adjustRightInd/>
        <w:snapToGrid/>
        <w:jc w:val="center"/>
        <w:textAlignment w:val="auto"/>
        <w:outlineLvl w:val="0"/>
        <w:rPr>
          <w:rFonts w:hint="default" w:ascii="Times New Roman" w:hAnsi="Times New Roman" w:eastAsia="黑体" w:cs="Times New Roman"/>
          <w:snapToGrid w:val="0"/>
          <w:color w:val="000000"/>
          <w:sz w:val="30"/>
          <w:szCs w:val="30"/>
          <w:highlight w:val="none"/>
        </w:rPr>
      </w:pPr>
      <w:bookmarkStart w:id="9" w:name="_Toc31250"/>
      <w:r>
        <w:rPr>
          <w:rFonts w:hint="default" w:ascii="Times New Roman" w:hAnsi="Times New Roman" w:eastAsia="黑体" w:cs="Times New Roman"/>
          <w:snapToGrid w:val="0"/>
          <w:color w:val="000000"/>
          <w:sz w:val="30"/>
          <w:szCs w:val="30"/>
          <w:highlight w:val="none"/>
        </w:rPr>
        <w:t>三、区域环境质量现状、环境保护目标及评价标准</w:t>
      </w:r>
      <w:bookmarkEnd w:id="9"/>
    </w:p>
    <w:tbl>
      <w:tblPr>
        <w:tblStyle w:val="3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46"/>
        <w:gridCol w:w="854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894" w:hRule="atLeast"/>
          <w:jc w:val="center"/>
        </w:trPr>
        <w:tc>
          <w:tcPr>
            <w:tcW w:w="446"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10" w:name="_Toc2032"/>
            <w:r>
              <w:rPr>
                <w:rFonts w:hint="default" w:ascii="Times New Roman" w:hAnsi="Times New Roman" w:cs="Times New Roman"/>
                <w:color w:val="000000"/>
                <w:kern w:val="0"/>
                <w:szCs w:val="21"/>
                <w:highlight w:val="none"/>
              </w:rPr>
              <w:t>区域</w:t>
            </w:r>
            <w:bookmarkEnd w:id="10"/>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11" w:name="_Toc14816"/>
            <w:r>
              <w:rPr>
                <w:rFonts w:hint="default" w:ascii="Times New Roman" w:hAnsi="Times New Roman" w:cs="Times New Roman"/>
                <w:color w:val="000000"/>
                <w:kern w:val="0"/>
                <w:szCs w:val="21"/>
                <w:highlight w:val="none"/>
              </w:rPr>
              <w:t>环境</w:t>
            </w:r>
            <w:bookmarkEnd w:id="11"/>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12" w:name="_Toc10021"/>
            <w:r>
              <w:rPr>
                <w:rFonts w:hint="default" w:ascii="Times New Roman" w:hAnsi="Times New Roman" w:cs="Times New Roman"/>
                <w:color w:val="000000"/>
                <w:kern w:val="0"/>
                <w:szCs w:val="21"/>
                <w:highlight w:val="none"/>
              </w:rPr>
              <w:t>质量</w:t>
            </w:r>
            <w:bookmarkEnd w:id="12"/>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13" w:name="_Toc21773"/>
            <w:r>
              <w:rPr>
                <w:rFonts w:hint="default" w:ascii="Times New Roman" w:hAnsi="Times New Roman" w:cs="Times New Roman"/>
                <w:color w:val="000000"/>
                <w:kern w:val="0"/>
                <w:szCs w:val="21"/>
                <w:highlight w:val="none"/>
              </w:rPr>
              <w:t>现状</w:t>
            </w:r>
            <w:bookmarkEnd w:id="13"/>
          </w:p>
        </w:tc>
        <w:tc>
          <w:tcPr>
            <w:tcW w:w="854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hint="default" w:ascii="Times New Roman" w:hAnsi="Times New Roman" w:cs="Times New Roman"/>
                <w:b/>
                <w:bCs/>
                <w:color w:val="000000"/>
                <w:sz w:val="24"/>
                <w:szCs w:val="24"/>
                <w:highlight w:val="none"/>
              </w:rPr>
            </w:pPr>
            <w:r>
              <w:rPr>
                <w:rFonts w:hint="default" w:ascii="Times New Roman" w:hAnsi="Times New Roman" w:cs="Times New Roman"/>
                <w:b/>
                <w:bCs/>
                <w:color w:val="000000"/>
                <w:sz w:val="24"/>
                <w:szCs w:val="24"/>
                <w:highlight w:val="none"/>
                <w:lang w:eastAsia="zh-CN"/>
              </w:rPr>
              <w:t>一、</w:t>
            </w:r>
            <w:r>
              <w:rPr>
                <w:rFonts w:hint="default" w:ascii="Times New Roman" w:hAnsi="Times New Roman" w:cs="Times New Roman"/>
                <w:b/>
                <w:bCs/>
                <w:color w:val="000000"/>
                <w:sz w:val="24"/>
                <w:szCs w:val="24"/>
                <w:highlight w:val="none"/>
              </w:rPr>
              <w:t>环境空气质量现状</w:t>
            </w:r>
          </w:p>
          <w:p>
            <w:pPr>
              <w:keepNext w:val="0"/>
              <w:keepLines w:val="0"/>
              <w:pageBreakBefore w:val="0"/>
              <w:widowControl w:val="0"/>
              <w:kinsoku/>
              <w:wordWrap/>
              <w:overflowPunct/>
              <w:topLinePunct w:val="0"/>
              <w:autoSpaceDE/>
              <w:autoSpaceDN/>
              <w:bidi w:val="0"/>
              <w:adjustRightInd/>
              <w:snapToGrid/>
              <w:spacing w:line="480" w:lineRule="exact"/>
              <w:ind w:right="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1.区域大气环境质量现状</w:t>
            </w:r>
          </w:p>
          <w:p>
            <w:pPr>
              <w:keepNext w:val="0"/>
              <w:keepLines w:val="0"/>
              <w:pageBreakBefore w:val="0"/>
              <w:widowControl w:val="0"/>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基本污染物环境质量现状数据引用</w:t>
            </w:r>
            <w:r>
              <w:rPr>
                <w:rFonts w:hint="default" w:ascii="Times New Roman" w:hAnsi="Times New Roman" w:eastAsia="宋体" w:cs="Times New Roman"/>
                <w:color w:val="000000"/>
                <w:spacing w:val="0"/>
                <w:w w:val="100"/>
                <w:position w:val="0"/>
                <w:sz w:val="24"/>
                <w:szCs w:val="24"/>
              </w:rPr>
              <w:t>秦皇岛市生态环境保护委员会办公室</w:t>
            </w:r>
            <w:r>
              <w:rPr>
                <w:rFonts w:hint="default" w:ascii="Times New Roman" w:hAnsi="Times New Roman" w:cs="Times New Roman"/>
                <w:bCs/>
                <w:color w:val="000000"/>
                <w:spacing w:val="0"/>
                <w:w w:val="100"/>
                <w:position w:val="0"/>
                <w:sz w:val="24"/>
              </w:rPr>
              <w:t>《关于202</w:t>
            </w:r>
            <w:r>
              <w:rPr>
                <w:rFonts w:hint="default" w:ascii="Times New Roman" w:hAnsi="Times New Roman" w:cs="Times New Roman"/>
                <w:bCs/>
                <w:color w:val="000000"/>
                <w:spacing w:val="0"/>
                <w:w w:val="100"/>
                <w:position w:val="0"/>
                <w:sz w:val="24"/>
                <w:lang w:val="en-US" w:eastAsia="zh-CN"/>
              </w:rPr>
              <w:t>4</w:t>
            </w:r>
            <w:r>
              <w:rPr>
                <w:rFonts w:hint="default" w:ascii="Times New Roman" w:hAnsi="Times New Roman" w:cs="Times New Roman"/>
                <w:bCs/>
                <w:color w:val="000000"/>
                <w:spacing w:val="0"/>
                <w:w w:val="100"/>
                <w:position w:val="0"/>
                <w:sz w:val="24"/>
              </w:rPr>
              <w:t>年1</w:t>
            </w:r>
            <w:r>
              <w:rPr>
                <w:rFonts w:hint="default" w:ascii="Times New Roman" w:hAnsi="Times New Roman" w:cs="Times New Roman"/>
                <w:bCs/>
                <w:color w:val="000000"/>
                <w:spacing w:val="0"/>
                <w:w w:val="100"/>
                <w:position w:val="0"/>
                <w:sz w:val="24"/>
                <w:lang w:val="en-US" w:eastAsia="zh-CN"/>
              </w:rPr>
              <w:t>0</w:t>
            </w:r>
            <w:r>
              <w:rPr>
                <w:rFonts w:hint="default" w:ascii="Times New Roman" w:hAnsi="Times New Roman" w:cs="Times New Roman"/>
                <w:bCs/>
                <w:color w:val="000000"/>
                <w:spacing w:val="0"/>
                <w:w w:val="100"/>
                <w:position w:val="0"/>
                <w:sz w:val="24"/>
              </w:rPr>
              <w:t>月份环境空气质量情况的通报》（秦生态委办气〔2024〕31号）中附件2《2024年1-10月份各县区空气质量综合指数排名及各项污染物指标变化情况》</w:t>
            </w:r>
            <w:r>
              <w:rPr>
                <w:rFonts w:hint="default" w:ascii="Times New Roman" w:hAnsi="Times New Roman" w:cs="Times New Roman"/>
                <w:color w:val="000000"/>
                <w:sz w:val="24"/>
                <w:szCs w:val="24"/>
                <w:highlight w:val="none"/>
              </w:rPr>
              <w:t>中的数据，抚宁区环境空气质量现状及评价如下：</w:t>
            </w:r>
          </w:p>
          <w:p>
            <w:pPr>
              <w:keepNext w:val="0"/>
              <w:keepLines w:val="0"/>
              <w:pageBreakBefore w:val="0"/>
              <w:widowControl w:val="0"/>
              <w:kinsoku/>
              <w:wordWrap/>
              <w:overflowPunct/>
              <w:topLinePunct w:val="0"/>
              <w:autoSpaceDE/>
              <w:autoSpaceDN/>
              <w:bidi w:val="0"/>
              <w:adjustRightInd/>
              <w:snapToGrid/>
              <w:spacing w:line="480" w:lineRule="exact"/>
              <w:ind w:right="0" w:firstLine="482" w:firstLineChars="200"/>
              <w:jc w:val="center"/>
              <w:textAlignment w:val="auto"/>
              <w:rPr>
                <w:rFonts w:hint="default" w:ascii="Times New Roman" w:hAnsi="Times New Roman" w:cs="Times New Roman"/>
                <w:b/>
                <w:color w:val="000000"/>
                <w:sz w:val="24"/>
                <w:szCs w:val="24"/>
                <w:highlight w:val="none"/>
              </w:rPr>
            </w:pPr>
            <w:r>
              <w:rPr>
                <w:rFonts w:hint="default" w:ascii="Times New Roman" w:hAnsi="Times New Roman" w:cs="Times New Roman"/>
                <w:b/>
                <w:bCs/>
                <w:color w:val="000000"/>
                <w:sz w:val="24"/>
                <w:szCs w:val="24"/>
                <w:highlight w:val="none"/>
              </w:rPr>
              <w:t>表3-1</w:t>
            </w:r>
            <w:r>
              <w:rPr>
                <w:rFonts w:hint="default" w:ascii="Times New Roman" w:hAnsi="Times New Roman" w:cs="Times New Roman"/>
                <w:b/>
                <w:color w:val="000000"/>
                <w:sz w:val="24"/>
                <w:szCs w:val="24"/>
                <w:highlight w:val="none"/>
                <w:lang w:val="en-US" w:eastAsia="zh-CN"/>
              </w:rPr>
              <w:t xml:space="preserve"> </w:t>
            </w:r>
            <w:r>
              <w:rPr>
                <w:rFonts w:hint="default" w:ascii="Times New Roman" w:hAnsi="Times New Roman" w:cs="Times New Roman"/>
                <w:b/>
                <w:color w:val="000000"/>
                <w:sz w:val="24"/>
                <w:szCs w:val="24"/>
                <w:highlight w:val="none"/>
              </w:rPr>
              <w:t>202</w:t>
            </w:r>
            <w:r>
              <w:rPr>
                <w:rFonts w:hint="default" w:ascii="Times New Roman" w:hAnsi="Times New Roman" w:cs="Times New Roman"/>
                <w:b/>
                <w:color w:val="000000"/>
                <w:sz w:val="24"/>
                <w:szCs w:val="24"/>
                <w:highlight w:val="none"/>
                <w:lang w:val="en-US" w:eastAsia="zh-CN"/>
              </w:rPr>
              <w:t>4</w:t>
            </w:r>
            <w:r>
              <w:rPr>
                <w:rFonts w:hint="default" w:ascii="Times New Roman" w:hAnsi="Times New Roman" w:cs="Times New Roman"/>
                <w:b/>
                <w:color w:val="000000"/>
                <w:sz w:val="24"/>
                <w:szCs w:val="24"/>
                <w:highlight w:val="none"/>
              </w:rPr>
              <w:t>年抚宁区基本污染物环境质量现状一览表</w:t>
            </w:r>
          </w:p>
          <w:tbl>
            <w:tblPr>
              <w:tblStyle w:val="32"/>
              <w:tblW w:w="81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9"/>
              <w:gridCol w:w="2900"/>
              <w:gridCol w:w="1657"/>
              <w:gridCol w:w="1447"/>
              <w:gridCol w:w="1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污染物</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年评价指标</w:t>
                  </w:r>
                </w:p>
              </w:tc>
              <w:tc>
                <w:tcPr>
                  <w:tcW w:w="1657" w:type="dxa"/>
                  <w:tcBorders>
                    <w:tl2br w:val="nil"/>
                    <w:tr2bl w:val="nil"/>
                  </w:tcBorders>
                  <w:noWrap w:val="0"/>
                  <w:vAlign w:val="center"/>
                </w:tcPr>
                <w:p>
                  <w:pPr>
                    <w:pStyle w:val="88"/>
                    <w:keepNext w:val="0"/>
                    <w:keepLines w:val="0"/>
                    <w:pageBreakBefore w:val="0"/>
                    <w:kinsoku/>
                    <w:wordWrap/>
                    <w:overflowPunct/>
                    <w:topLinePunct w:val="0"/>
                    <w:autoSpaceDE/>
                    <w:autoSpaceDN/>
                    <w:bidi w:val="0"/>
                    <w:spacing w:line="240" w:lineRule="auto"/>
                    <w:ind w:right="0" w:firstLine="0" w:firstLineChars="0"/>
                    <w:jc w:val="center"/>
                    <w:textAlignment w:val="auto"/>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现状浓度μg/m</w:t>
                  </w:r>
                  <w:r>
                    <w:rPr>
                      <w:rFonts w:hint="default" w:ascii="Times New Roman" w:hAnsi="Times New Roman" w:cs="Times New Roman"/>
                      <w:bCs/>
                      <w:color w:val="000000"/>
                      <w:sz w:val="21"/>
                      <w:szCs w:val="21"/>
                      <w:highlight w:val="none"/>
                      <w:vertAlign w:val="superscript"/>
                    </w:rPr>
                    <w:t>3</w:t>
                  </w:r>
                </w:p>
              </w:tc>
              <w:tc>
                <w:tcPr>
                  <w:tcW w:w="1447" w:type="dxa"/>
                  <w:tcBorders>
                    <w:tl2br w:val="nil"/>
                    <w:tr2bl w:val="nil"/>
                  </w:tcBorders>
                  <w:noWrap w:val="0"/>
                  <w:vAlign w:val="center"/>
                </w:tcPr>
                <w:p>
                  <w:pPr>
                    <w:pStyle w:val="88"/>
                    <w:keepNext w:val="0"/>
                    <w:keepLines w:val="0"/>
                    <w:pageBreakBefore w:val="0"/>
                    <w:kinsoku/>
                    <w:wordWrap/>
                    <w:overflowPunct/>
                    <w:topLinePunct w:val="0"/>
                    <w:autoSpaceDE/>
                    <w:autoSpaceDN/>
                    <w:bidi w:val="0"/>
                    <w:spacing w:line="240" w:lineRule="auto"/>
                    <w:ind w:right="0" w:firstLine="0" w:firstLineChars="0"/>
                    <w:jc w:val="center"/>
                    <w:textAlignment w:val="auto"/>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标准值μg/m</w:t>
                  </w:r>
                  <w:r>
                    <w:rPr>
                      <w:rFonts w:hint="default" w:ascii="Times New Roman" w:hAnsi="Times New Roman" w:cs="Times New Roman"/>
                      <w:bCs/>
                      <w:color w:val="000000"/>
                      <w:sz w:val="21"/>
                      <w:szCs w:val="21"/>
                      <w:highlight w:val="none"/>
                      <w:vertAlign w:val="superscript"/>
                    </w:rPr>
                    <w:t>3</w:t>
                  </w:r>
                </w:p>
              </w:tc>
              <w:tc>
                <w:tcPr>
                  <w:tcW w:w="1163" w:type="dxa"/>
                  <w:tcBorders>
                    <w:tl2br w:val="nil"/>
                    <w:tr2bl w:val="nil"/>
                  </w:tcBorders>
                  <w:noWrap w:val="0"/>
                  <w:vAlign w:val="center"/>
                </w:tcPr>
                <w:p>
                  <w:pPr>
                    <w:pStyle w:val="88"/>
                    <w:keepNext w:val="0"/>
                    <w:keepLines w:val="0"/>
                    <w:pageBreakBefore w:val="0"/>
                    <w:kinsoku/>
                    <w:wordWrap/>
                    <w:overflowPunct/>
                    <w:topLinePunct w:val="0"/>
                    <w:autoSpaceDE/>
                    <w:autoSpaceDN/>
                    <w:bidi w:val="0"/>
                    <w:spacing w:line="240" w:lineRule="auto"/>
                    <w:ind w:right="0" w:firstLine="0" w:firstLineChars="0"/>
                    <w:jc w:val="center"/>
                    <w:textAlignment w:val="auto"/>
                    <w:rPr>
                      <w:rFonts w:hint="default" w:ascii="Times New Roman" w:hAnsi="Times New Roman" w:cs="Times New Roman"/>
                      <w:bCs/>
                      <w:color w:val="000000"/>
                      <w:sz w:val="21"/>
                      <w:szCs w:val="21"/>
                      <w:highlight w:val="none"/>
                    </w:rPr>
                  </w:pPr>
                  <w:r>
                    <w:rPr>
                      <w:rFonts w:hint="default" w:ascii="Times New Roman" w:hAnsi="Times New Roman" w:cs="Times New Roman"/>
                      <w:bCs/>
                      <w:color w:val="000000"/>
                      <w:sz w:val="21"/>
                      <w:szCs w:val="21"/>
                      <w:highlight w:val="none"/>
                    </w:rPr>
                    <w:t>超标倍数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SO</w:t>
                  </w:r>
                  <w:r>
                    <w:rPr>
                      <w:rFonts w:hint="default" w:ascii="Times New Roman" w:hAnsi="Times New Roman" w:cs="Times New Roman"/>
                      <w:color w:val="000000"/>
                      <w:sz w:val="21"/>
                      <w:szCs w:val="21"/>
                      <w:highlight w:val="none"/>
                      <w:vertAlign w:val="subscript"/>
                    </w:rPr>
                    <w:t>2</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年平均质量浓度</w:t>
                  </w:r>
                </w:p>
              </w:tc>
              <w:tc>
                <w:tcPr>
                  <w:tcW w:w="165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9</w:t>
                  </w:r>
                </w:p>
              </w:tc>
              <w:tc>
                <w:tcPr>
                  <w:tcW w:w="144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60</w:t>
                  </w:r>
                </w:p>
              </w:tc>
              <w:tc>
                <w:tcPr>
                  <w:tcW w:w="1163"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NO</w:t>
                  </w:r>
                  <w:r>
                    <w:rPr>
                      <w:rFonts w:hint="default" w:ascii="Times New Roman" w:hAnsi="Times New Roman" w:cs="Times New Roman"/>
                      <w:color w:val="000000"/>
                      <w:sz w:val="21"/>
                      <w:szCs w:val="21"/>
                      <w:highlight w:val="none"/>
                      <w:vertAlign w:val="subscript"/>
                    </w:rPr>
                    <w:t>2</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年平均质量浓度</w:t>
                  </w:r>
                </w:p>
              </w:tc>
              <w:tc>
                <w:tcPr>
                  <w:tcW w:w="165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25</w:t>
                  </w:r>
                </w:p>
              </w:tc>
              <w:tc>
                <w:tcPr>
                  <w:tcW w:w="144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40</w:t>
                  </w:r>
                </w:p>
              </w:tc>
              <w:tc>
                <w:tcPr>
                  <w:tcW w:w="1163"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PM</w:t>
                  </w:r>
                  <w:r>
                    <w:rPr>
                      <w:rFonts w:hint="default" w:ascii="Times New Roman" w:hAnsi="Times New Roman" w:cs="Times New Roman"/>
                      <w:color w:val="000000"/>
                      <w:sz w:val="21"/>
                      <w:szCs w:val="21"/>
                      <w:highlight w:val="none"/>
                      <w:vertAlign w:val="subscript"/>
                    </w:rPr>
                    <w:t>10</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年平均质量浓度</w:t>
                  </w:r>
                </w:p>
              </w:tc>
              <w:tc>
                <w:tcPr>
                  <w:tcW w:w="165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62</w:t>
                  </w:r>
                </w:p>
              </w:tc>
              <w:tc>
                <w:tcPr>
                  <w:tcW w:w="144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70</w:t>
                  </w:r>
                </w:p>
              </w:tc>
              <w:tc>
                <w:tcPr>
                  <w:tcW w:w="1163"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8"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PM</w:t>
                  </w:r>
                  <w:r>
                    <w:rPr>
                      <w:rFonts w:hint="default" w:ascii="Times New Roman" w:hAnsi="Times New Roman" w:cs="Times New Roman"/>
                      <w:color w:val="000000"/>
                      <w:sz w:val="21"/>
                      <w:szCs w:val="21"/>
                      <w:highlight w:val="none"/>
                      <w:vertAlign w:val="subscript"/>
                    </w:rPr>
                    <w:t>2.5</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年平均质量浓度</w:t>
                  </w:r>
                </w:p>
              </w:tc>
              <w:tc>
                <w:tcPr>
                  <w:tcW w:w="165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2</w:t>
                  </w:r>
                  <w:r>
                    <w:rPr>
                      <w:rFonts w:hint="default" w:ascii="Times New Roman" w:hAnsi="Times New Roman" w:cs="Times New Roman"/>
                      <w:color w:val="000000"/>
                      <w:sz w:val="21"/>
                      <w:szCs w:val="21"/>
                      <w:highlight w:val="none"/>
                      <w:lang w:val="en-US" w:eastAsia="zh-CN"/>
                    </w:rPr>
                    <w:t>8</w:t>
                  </w:r>
                </w:p>
              </w:tc>
              <w:tc>
                <w:tcPr>
                  <w:tcW w:w="144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35</w:t>
                  </w:r>
                </w:p>
              </w:tc>
              <w:tc>
                <w:tcPr>
                  <w:tcW w:w="1163"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CO</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24小时平均第95位百分位数</w:t>
                  </w:r>
                </w:p>
              </w:tc>
              <w:tc>
                <w:tcPr>
                  <w:tcW w:w="165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1</w:t>
                  </w:r>
                  <w:r>
                    <w:rPr>
                      <w:rFonts w:hint="default" w:ascii="Times New Roman" w:hAnsi="Times New Roman" w:cs="Times New Roman"/>
                      <w:color w:val="000000"/>
                      <w:sz w:val="21"/>
                      <w:szCs w:val="21"/>
                      <w:highlight w:val="none"/>
                      <w:lang w:val="en-US" w:eastAsia="zh-CN"/>
                    </w:rPr>
                    <w:t>400</w:t>
                  </w:r>
                </w:p>
              </w:tc>
              <w:tc>
                <w:tcPr>
                  <w:tcW w:w="144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4000</w:t>
                  </w:r>
                </w:p>
              </w:tc>
              <w:tc>
                <w:tcPr>
                  <w:tcW w:w="1163"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969"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O</w:t>
                  </w:r>
                  <w:r>
                    <w:rPr>
                      <w:rFonts w:hint="default" w:ascii="Times New Roman" w:hAnsi="Times New Roman" w:cs="Times New Roman"/>
                      <w:color w:val="000000"/>
                      <w:sz w:val="21"/>
                      <w:szCs w:val="21"/>
                      <w:highlight w:val="none"/>
                      <w:vertAlign w:val="subscript"/>
                    </w:rPr>
                    <w:t>3</w:t>
                  </w:r>
                </w:p>
              </w:tc>
              <w:tc>
                <w:tcPr>
                  <w:tcW w:w="2900"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8小时平均第90位百分位数</w:t>
                  </w:r>
                </w:p>
              </w:tc>
              <w:tc>
                <w:tcPr>
                  <w:tcW w:w="165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1</w:t>
                  </w:r>
                  <w:r>
                    <w:rPr>
                      <w:rFonts w:hint="default" w:ascii="Times New Roman" w:hAnsi="Times New Roman" w:cs="Times New Roman"/>
                      <w:color w:val="000000"/>
                      <w:sz w:val="21"/>
                      <w:szCs w:val="21"/>
                      <w:highlight w:val="none"/>
                      <w:lang w:val="en-US" w:eastAsia="zh-CN"/>
                    </w:rPr>
                    <w:t>87</w:t>
                  </w:r>
                </w:p>
              </w:tc>
              <w:tc>
                <w:tcPr>
                  <w:tcW w:w="1447"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160</w:t>
                  </w:r>
                </w:p>
              </w:tc>
              <w:tc>
                <w:tcPr>
                  <w:tcW w:w="1163" w:type="dxa"/>
                  <w:tcBorders>
                    <w:tl2br w:val="nil"/>
                    <w:tr2bl w:val="nil"/>
                  </w:tcBorders>
                  <w:noWrap w:val="0"/>
                  <w:vAlign w:val="center"/>
                </w:tcPr>
                <w:p>
                  <w:pPr>
                    <w:pStyle w:val="53"/>
                    <w:keepNext w:val="0"/>
                    <w:keepLines w:val="0"/>
                    <w:pageBreakBefore w:val="0"/>
                    <w:kinsoku/>
                    <w:wordWrap/>
                    <w:overflowPunct/>
                    <w:topLinePunct w:val="0"/>
                    <w:autoSpaceDE/>
                    <w:autoSpaceDN/>
                    <w:bidi w:val="0"/>
                    <w:spacing w:before="0" w:beforeLines="0" w:after="0" w:afterLines="0" w:line="240" w:lineRule="auto"/>
                    <w:ind w:right="0" w:firstLine="0" w:firstLineChars="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0.1688</w:t>
                  </w:r>
                </w:p>
              </w:tc>
            </w:tr>
          </w:tbl>
          <w:p>
            <w:pPr>
              <w:keepNext w:val="0"/>
              <w:keepLines w:val="0"/>
              <w:pageBreakBefore w:val="0"/>
              <w:widowControl w:val="0"/>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cs="Times New Roman"/>
                <w:color w:val="000000"/>
                <w:sz w:val="24"/>
                <w:szCs w:val="24"/>
                <w:highlight w:val="none"/>
              </w:rPr>
              <w:t>由上表可知，202</w:t>
            </w:r>
            <w:r>
              <w:rPr>
                <w:rFonts w:hint="default" w:ascii="Times New Roman" w:hAnsi="Times New Roman" w:cs="Times New Roman"/>
                <w:color w:val="000000"/>
                <w:sz w:val="24"/>
                <w:szCs w:val="24"/>
                <w:highlight w:val="none"/>
                <w:lang w:val="en-US" w:eastAsia="zh-CN"/>
              </w:rPr>
              <w:t>4</w:t>
            </w:r>
            <w:r>
              <w:rPr>
                <w:rFonts w:hint="default" w:ascii="Times New Roman" w:hAnsi="Times New Roman" w:cs="Times New Roman"/>
                <w:color w:val="000000"/>
                <w:sz w:val="24"/>
                <w:szCs w:val="24"/>
                <w:highlight w:val="none"/>
              </w:rPr>
              <w:t>年抚宁区臭氧（O</w:t>
            </w:r>
            <w:r>
              <w:rPr>
                <w:rFonts w:hint="default" w:ascii="Times New Roman" w:hAnsi="Times New Roman" w:cs="Times New Roman"/>
                <w:color w:val="000000"/>
                <w:sz w:val="24"/>
                <w:szCs w:val="24"/>
                <w:highlight w:val="none"/>
                <w:vertAlign w:val="subscript"/>
              </w:rPr>
              <w:t>3</w:t>
            </w:r>
            <w:r>
              <w:rPr>
                <w:rFonts w:hint="default" w:ascii="Times New Roman" w:hAnsi="Times New Roman" w:cs="Times New Roman"/>
                <w:color w:val="000000"/>
                <w:sz w:val="24"/>
                <w:szCs w:val="24"/>
                <w:highlight w:val="none"/>
              </w:rPr>
              <w:t>）浓度不达标，其他指标均达到《环境空气质量标准》(GB3095-2012)二级标准要求及其修改单。《秦皇岛市生态环境保</w:t>
            </w:r>
            <w:r>
              <w:rPr>
                <w:rFonts w:hint="default" w:ascii="Times New Roman" w:hAnsi="Times New Roman" w:eastAsia="宋体" w:cs="Times New Roman"/>
                <w:color w:val="000000"/>
                <w:sz w:val="24"/>
                <w:szCs w:val="24"/>
                <w:highlight w:val="none"/>
              </w:rPr>
              <w:t>护“十四五”</w:t>
            </w:r>
            <w:r>
              <w:rPr>
                <w:rFonts w:hint="default" w:ascii="Times New Roman" w:hAnsi="Times New Roman" w:cs="Times New Roman"/>
                <w:color w:val="000000"/>
                <w:sz w:val="24"/>
                <w:szCs w:val="24"/>
                <w:highlight w:val="none"/>
              </w:rPr>
              <w:t>规划（2021-2025年）》中指出，实</w:t>
            </w:r>
            <w:r>
              <w:rPr>
                <w:rFonts w:hint="default" w:ascii="Times New Roman" w:hAnsi="Times New Roman" w:eastAsia="宋体" w:cs="Times New Roman"/>
                <w:color w:val="000000"/>
                <w:sz w:val="24"/>
                <w:szCs w:val="24"/>
                <w:highlight w:val="none"/>
              </w:rPr>
              <w:t>施“协同</w:t>
            </w:r>
            <w:r>
              <w:rPr>
                <w:rFonts w:hint="default" w:ascii="Times New Roman" w:hAnsi="Times New Roman" w:cs="Times New Roman"/>
                <w:color w:val="000000"/>
                <w:sz w:val="24"/>
                <w:szCs w:val="24"/>
                <w:highlight w:val="none"/>
              </w:rPr>
              <w:t>开展PM</w:t>
            </w:r>
            <w:r>
              <w:rPr>
                <w:rFonts w:hint="default" w:ascii="Times New Roman" w:hAnsi="Times New Roman" w:cs="Times New Roman"/>
                <w:color w:val="000000"/>
                <w:sz w:val="24"/>
                <w:szCs w:val="24"/>
                <w:highlight w:val="none"/>
                <w:vertAlign w:val="subscript"/>
              </w:rPr>
              <w:t>2.5</w:t>
            </w:r>
            <w:r>
              <w:rPr>
                <w:rFonts w:hint="default" w:ascii="Times New Roman" w:hAnsi="Times New Roman" w:cs="Times New Roman"/>
                <w:color w:val="000000"/>
                <w:sz w:val="24"/>
                <w:szCs w:val="24"/>
                <w:highlight w:val="none"/>
              </w:rPr>
              <w:t>与臭氧污染防治、完善PM</w:t>
            </w:r>
            <w:r>
              <w:rPr>
                <w:rFonts w:hint="default" w:ascii="Times New Roman" w:hAnsi="Times New Roman" w:cs="Times New Roman"/>
                <w:color w:val="000000"/>
                <w:sz w:val="24"/>
                <w:szCs w:val="24"/>
                <w:highlight w:val="none"/>
                <w:vertAlign w:val="subscript"/>
              </w:rPr>
              <w:t>2.5</w:t>
            </w:r>
            <w:r>
              <w:rPr>
                <w:rFonts w:hint="default" w:ascii="Times New Roman" w:hAnsi="Times New Roman" w:cs="Times New Roman"/>
                <w:color w:val="000000"/>
                <w:sz w:val="24"/>
                <w:szCs w:val="24"/>
                <w:highlight w:val="none"/>
              </w:rPr>
              <w:t>与臭氧预测预报体系、强化区域大气污染综合治</w:t>
            </w:r>
            <w:r>
              <w:rPr>
                <w:rFonts w:hint="default" w:ascii="Times New Roman" w:hAnsi="Times New Roman" w:eastAsia="宋体" w:cs="Times New Roman"/>
                <w:color w:val="000000"/>
                <w:sz w:val="24"/>
                <w:szCs w:val="24"/>
                <w:highlight w:val="none"/>
              </w:rPr>
              <w:t>理”</w:t>
            </w:r>
            <w:r>
              <w:rPr>
                <w:rFonts w:hint="default" w:ascii="Times New Roman" w:hAnsi="Times New Roman" w:cs="Times New Roman"/>
                <w:color w:val="000000"/>
                <w:sz w:val="24"/>
                <w:szCs w:val="24"/>
                <w:highlight w:val="none"/>
              </w:rPr>
              <w:t>等措施，如此区域大气环境将逐步改善</w:t>
            </w:r>
            <w:r>
              <w:rPr>
                <w:rFonts w:hint="default" w:ascii="Times New Roman" w:hAnsi="Times New Roman" w:eastAsia="宋体" w:cs="Times New Roman"/>
                <w:b w:val="0"/>
                <w:bCs w:val="0"/>
                <w:color w:val="000000"/>
                <w:sz w:val="24"/>
                <w:szCs w:val="24"/>
                <w:highlight w:val="none"/>
              </w:rPr>
              <w:t>。</w:t>
            </w:r>
          </w:p>
          <w:p>
            <w:pPr>
              <w:keepNext w:val="0"/>
              <w:keepLines w:val="0"/>
              <w:pageBreakBefore w:val="0"/>
              <w:widowControl w:val="0"/>
              <w:kinsoku/>
              <w:wordWrap/>
              <w:overflowPunct/>
              <w:topLinePunct w:val="0"/>
              <w:autoSpaceDE/>
              <w:autoSpaceDN/>
              <w:bidi w:val="0"/>
              <w:adjustRightInd/>
              <w:snapToGrid/>
              <w:spacing w:line="480" w:lineRule="exact"/>
              <w:ind w:right="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rPr>
              <w:t>特征污染物环境质量现状</w:t>
            </w:r>
          </w:p>
          <w:p>
            <w:pPr>
              <w:keepNext w:val="0"/>
              <w:keepLines w:val="0"/>
              <w:pageBreakBefore w:val="0"/>
              <w:widowControl w:val="0"/>
              <w:shd w:val="clear" w:color="auto" w:fill="auto"/>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color w:val="000000"/>
                <w:sz w:val="24"/>
                <w:highlight w:val="none"/>
                <w:shd w:val="clear" w:color="auto" w:fill="auto"/>
                <w:lang w:val="en-US" w:eastAsia="zh-CN"/>
              </w:rPr>
            </w:pPr>
            <w:r>
              <w:rPr>
                <w:rFonts w:hint="default" w:ascii="Times New Roman" w:hAnsi="Times New Roman" w:eastAsia="宋体" w:cs="Times New Roman"/>
                <w:color w:val="000000"/>
                <w:sz w:val="24"/>
                <w:highlight w:val="none"/>
                <w:shd w:val="clear" w:color="auto" w:fill="auto"/>
                <w:lang w:val="en-US" w:eastAsia="zh-CN"/>
              </w:rPr>
              <w:t>本项目特征污染物主要为颗粒物、非甲烷总烃、苯、甲苯、二甲苯，本次评价引用《秦皇岛精工绿筑集成科技有限公司涂装车间喷漆房技改项目环境影响报告表》中现状监测数据进行说明。该项目的现状监测点位位于本项目</w:t>
            </w:r>
            <w:r>
              <w:rPr>
                <w:rFonts w:hint="default" w:ascii="Times New Roman" w:hAnsi="Times New Roman" w:cs="Times New Roman"/>
                <w:color w:val="000000"/>
                <w:sz w:val="24"/>
                <w:highlight w:val="none"/>
                <w:shd w:val="clear" w:color="auto" w:fill="auto"/>
                <w:lang w:val="en-US" w:eastAsia="zh-CN"/>
              </w:rPr>
              <w:t>南</w:t>
            </w:r>
            <w:r>
              <w:rPr>
                <w:rFonts w:hint="default" w:ascii="Times New Roman" w:hAnsi="Times New Roman" w:eastAsia="宋体" w:cs="Times New Roman"/>
                <w:color w:val="000000"/>
                <w:sz w:val="24"/>
                <w:highlight w:val="none"/>
                <w:shd w:val="clear" w:color="auto" w:fill="auto"/>
                <w:lang w:val="en-US" w:eastAsia="zh-CN"/>
              </w:rPr>
              <w:t>侧</w:t>
            </w:r>
            <w:r>
              <w:rPr>
                <w:rFonts w:hint="default" w:ascii="Times New Roman" w:hAnsi="Times New Roman" w:cs="Times New Roman"/>
                <w:color w:val="000000"/>
                <w:sz w:val="24"/>
                <w:highlight w:val="none"/>
                <w:shd w:val="clear" w:color="auto" w:fill="auto"/>
                <w:lang w:val="en-US" w:eastAsia="zh-CN"/>
              </w:rPr>
              <w:t>约8</w:t>
            </w:r>
            <w:r>
              <w:rPr>
                <w:rFonts w:hint="default" w:ascii="Times New Roman" w:hAnsi="Times New Roman" w:eastAsia="宋体" w:cs="Times New Roman"/>
                <w:color w:val="000000"/>
                <w:sz w:val="24"/>
                <w:highlight w:val="none"/>
                <w:shd w:val="clear" w:color="auto" w:fill="auto"/>
                <w:lang w:val="en-US" w:eastAsia="zh-CN"/>
              </w:rPr>
              <w:t>00m处，监测时间为2024年06月28日-06月30日。监测数据属于本项目周边5千米范围内近3年的现有监测数据。因此，本项目引用的现状监测数据有效。具体监测情况如下</w:t>
            </w:r>
            <w:r>
              <w:rPr>
                <w:rFonts w:hint="default" w:ascii="Times New Roman" w:hAnsi="Times New Roman" w:cs="Times New Roman"/>
                <w:color w:val="000000"/>
                <w:sz w:val="24"/>
                <w:highlight w:val="none"/>
                <w:shd w:val="clear" w:color="auto" w:fill="auto"/>
                <w:lang w:val="en-US" w:eastAsia="zh-CN"/>
              </w:rPr>
              <w:t>：</w:t>
            </w:r>
          </w:p>
          <w:p>
            <w:pPr>
              <w:numPr>
                <w:ilvl w:val="0"/>
                <w:numId w:val="0"/>
              </w:numPr>
              <w:spacing w:line="240" w:lineRule="auto"/>
              <w:ind w:leftChars="0"/>
              <w:jc w:val="center"/>
              <w:rPr>
                <w:rFonts w:hint="default" w:ascii="Times New Roman" w:hAnsi="Times New Roman" w:eastAsia="宋体" w:cs="Times New Roman"/>
                <w:b/>
                <w:bCs/>
                <w:color w:val="000000"/>
                <w:spacing w:val="0"/>
                <w:w w:val="100"/>
                <w:position w:val="0"/>
                <w:sz w:val="24"/>
                <w:szCs w:val="24"/>
                <w:highlight w:val="none"/>
                <w:lang w:val="en-US" w:eastAsia="zh-CN"/>
              </w:rPr>
            </w:pPr>
            <w:r>
              <w:rPr>
                <w:rFonts w:hint="default" w:ascii="Times New Roman" w:hAnsi="Times New Roman" w:eastAsia="宋体" w:cs="Times New Roman"/>
                <w:b/>
                <w:bCs/>
                <w:color w:val="000000"/>
                <w:spacing w:val="0"/>
                <w:w w:val="100"/>
                <w:position w:val="0"/>
                <w:sz w:val="24"/>
                <w:szCs w:val="24"/>
                <w:highlight w:val="none"/>
                <w:lang w:val="en-US" w:eastAsia="zh-CN"/>
              </w:rPr>
              <w:t>表3-2  特征污染物现状数据情况</w:t>
            </w:r>
          </w:p>
          <w:tbl>
            <w:tblPr>
              <w:tblStyle w:val="32"/>
              <w:tblW w:w="499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43"/>
              <w:gridCol w:w="3848"/>
              <w:gridCol w:w="1365"/>
              <w:gridCol w:w="915"/>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48" w:type="pct"/>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检测因子</w:t>
                  </w:r>
                </w:p>
              </w:tc>
              <w:tc>
                <w:tcPr>
                  <w:tcW w:w="2316" w:type="pct"/>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cs="Times New Roman"/>
                      <w:color w:val="000000"/>
                      <w:spacing w:val="0"/>
                      <w:w w:val="100"/>
                      <w:position w:val="0"/>
                      <w:sz w:val="21"/>
                      <w:szCs w:val="21"/>
                      <w:highlight w:val="none"/>
                      <w:lang w:val="en-US" w:eastAsia="zh-CN"/>
                    </w:rPr>
                    <w:t>标准要求</w:t>
                  </w:r>
                </w:p>
              </w:tc>
              <w:tc>
                <w:tcPr>
                  <w:tcW w:w="821" w:type="pct"/>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最大监测值</w:t>
                  </w:r>
                </w:p>
              </w:tc>
              <w:tc>
                <w:tcPr>
                  <w:tcW w:w="550" w:type="pct"/>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cs="Times New Roman"/>
                      <w:color w:val="000000"/>
                      <w:spacing w:val="0"/>
                      <w:w w:val="100"/>
                      <w:position w:val="0"/>
                      <w:sz w:val="21"/>
                      <w:szCs w:val="21"/>
                      <w:highlight w:val="none"/>
                      <w:lang w:val="en-US" w:eastAsia="zh-CN"/>
                    </w:rPr>
                    <w:t>标准值</w:t>
                  </w:r>
                </w:p>
              </w:tc>
              <w:tc>
                <w:tcPr>
                  <w:tcW w:w="563" w:type="pct"/>
                  <w:tcBorders>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cs="Times New Roman"/>
                      <w:b w:val="0"/>
                      <w:bCs w:val="0"/>
                      <w:color w:val="000000"/>
                      <w:spacing w:val="0"/>
                      <w:w w:val="100"/>
                      <w:position w:val="0"/>
                      <w:sz w:val="21"/>
                      <w:szCs w:val="21"/>
                      <w:highlight w:val="none"/>
                      <w:vertAlign w:val="baseline"/>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748" w:type="pct"/>
                  <w:tcBorders>
                    <w:top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颗粒物</w:t>
                  </w:r>
                </w:p>
              </w:tc>
              <w:tc>
                <w:tcPr>
                  <w:tcW w:w="2316"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秦皇岛市人民政府办公室《关于执行钢铁等行业大气污染物排放特别要求的通知》</w:t>
                  </w:r>
                </w:p>
              </w:tc>
              <w:tc>
                <w:tcPr>
                  <w:tcW w:w="8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0.167</w:t>
                  </w:r>
                </w:p>
              </w:tc>
              <w:tc>
                <w:tcPr>
                  <w:tcW w:w="55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0.3</w:t>
                  </w:r>
                </w:p>
              </w:tc>
              <w:tc>
                <w:tcPr>
                  <w:tcW w:w="563"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mg/m</w:t>
                  </w:r>
                  <w:r>
                    <w:rPr>
                      <w:rFonts w:hint="default" w:ascii="Times New Roman" w:hAnsi="Times New Roman" w:eastAsia="宋体" w:cs="Times New Roman"/>
                      <w:color w:val="000000"/>
                      <w:spacing w:val="0"/>
                      <w:w w:val="100"/>
                      <w:position w:val="0"/>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48" w:type="pct"/>
                  <w:tcBorders>
                    <w:top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非甲烷总烃</w:t>
                  </w:r>
                </w:p>
              </w:tc>
              <w:tc>
                <w:tcPr>
                  <w:tcW w:w="2316" w:type="pct"/>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《工业企业挥发性有机物排放控制标准》(DB13/2322-2016)表 2中企业边界大气污染物浓度限值</w:t>
                  </w:r>
                </w:p>
              </w:tc>
              <w:tc>
                <w:tcPr>
                  <w:tcW w:w="8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0.68</w:t>
                  </w:r>
                </w:p>
              </w:tc>
              <w:tc>
                <w:tcPr>
                  <w:tcW w:w="55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2.0</w:t>
                  </w:r>
                </w:p>
              </w:tc>
              <w:tc>
                <w:tcPr>
                  <w:tcW w:w="563"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mg/m</w:t>
                  </w:r>
                  <w:r>
                    <w:rPr>
                      <w:rFonts w:hint="default" w:ascii="Times New Roman" w:hAnsi="Times New Roman" w:cs="Times New Roman"/>
                      <w:color w:val="000000"/>
                      <w:spacing w:val="0"/>
                      <w:w w:val="100"/>
                      <w:position w:val="0"/>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48" w:type="pct"/>
                  <w:tcBorders>
                    <w:top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苯</w:t>
                  </w:r>
                </w:p>
              </w:tc>
              <w:tc>
                <w:tcPr>
                  <w:tcW w:w="2316" w:type="pct"/>
                  <w:vMerge w:val="continue"/>
                  <w:tcBorders>
                    <w:left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p>
              </w:tc>
              <w:tc>
                <w:tcPr>
                  <w:tcW w:w="8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ND</w:t>
                  </w:r>
                </w:p>
              </w:tc>
              <w:tc>
                <w:tcPr>
                  <w:tcW w:w="55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0.1</w:t>
                  </w:r>
                </w:p>
              </w:tc>
              <w:tc>
                <w:tcPr>
                  <w:tcW w:w="563"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mg/m</w:t>
                  </w:r>
                  <w:r>
                    <w:rPr>
                      <w:rFonts w:hint="default" w:ascii="Times New Roman" w:hAnsi="Times New Roman" w:eastAsia="宋体" w:cs="Times New Roman"/>
                      <w:color w:val="000000"/>
                      <w:spacing w:val="0"/>
                      <w:w w:val="100"/>
                      <w:position w:val="0"/>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48" w:type="pct"/>
                  <w:tcBorders>
                    <w:top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甲苯</w:t>
                  </w:r>
                </w:p>
              </w:tc>
              <w:tc>
                <w:tcPr>
                  <w:tcW w:w="2316" w:type="pct"/>
                  <w:vMerge w:val="continue"/>
                  <w:tcBorders>
                    <w:left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p>
              </w:tc>
              <w:tc>
                <w:tcPr>
                  <w:tcW w:w="8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ND</w:t>
                  </w:r>
                </w:p>
              </w:tc>
              <w:tc>
                <w:tcPr>
                  <w:tcW w:w="55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0.6</w:t>
                  </w:r>
                </w:p>
              </w:tc>
              <w:tc>
                <w:tcPr>
                  <w:tcW w:w="563"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mg/m</w:t>
                  </w:r>
                  <w:r>
                    <w:rPr>
                      <w:rFonts w:hint="default" w:ascii="Times New Roman" w:hAnsi="Times New Roman" w:eastAsia="宋体" w:cs="Times New Roman"/>
                      <w:color w:val="000000"/>
                      <w:spacing w:val="0"/>
                      <w:w w:val="100"/>
                      <w:position w:val="0"/>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748" w:type="pct"/>
                  <w:tcBorders>
                    <w:top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二甲苯</w:t>
                  </w:r>
                </w:p>
              </w:tc>
              <w:tc>
                <w:tcPr>
                  <w:tcW w:w="2316" w:type="pct"/>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p>
              </w:tc>
              <w:tc>
                <w:tcPr>
                  <w:tcW w:w="821"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b w:val="0"/>
                      <w:bCs w:val="0"/>
                      <w:color w:val="000000"/>
                      <w:spacing w:val="0"/>
                      <w:w w:val="100"/>
                      <w:position w:val="0"/>
                      <w:sz w:val="21"/>
                      <w:szCs w:val="21"/>
                      <w:highlight w:val="none"/>
                      <w:vertAlign w:val="baseli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ND</w:t>
                  </w:r>
                </w:p>
              </w:tc>
              <w:tc>
                <w:tcPr>
                  <w:tcW w:w="550" w:type="pct"/>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0.2</w:t>
                  </w:r>
                </w:p>
              </w:tc>
              <w:tc>
                <w:tcPr>
                  <w:tcW w:w="563" w:type="pct"/>
                  <w:tcBorders>
                    <w:top w:val="single" w:color="auto" w:sz="4" w:space="0"/>
                    <w:left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mg/m</w:t>
                  </w:r>
                  <w:r>
                    <w:rPr>
                      <w:rFonts w:hint="default" w:ascii="Times New Roman" w:hAnsi="Times New Roman" w:cs="Times New Roman"/>
                      <w:color w:val="000000"/>
                      <w:spacing w:val="0"/>
                      <w:w w:val="100"/>
                      <w:position w:val="0"/>
                      <w:sz w:val="21"/>
                      <w:szCs w:val="21"/>
                      <w:highlight w:val="none"/>
                      <w:vertAlign w:val="superscript"/>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trPr>
              <w:tc>
                <w:tcPr>
                  <w:tcW w:w="5000" w:type="pct"/>
                  <w:gridSpan w:val="5"/>
                  <w:tcBorders>
                    <w:top w:val="single" w:color="auto" w:sz="4" w:space="0"/>
                    <w:bottom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left="-105" w:leftChars="-50" w:right="-105" w:rightChars="-50"/>
                    <w:jc w:val="center"/>
                    <w:textAlignment w:val="auto"/>
                    <w:rPr>
                      <w:rFonts w:hint="default" w:ascii="Times New Roman" w:hAnsi="Times New Roman" w:eastAsia="宋体" w:cs="Times New Roman"/>
                      <w:color w:val="000000"/>
                      <w:spacing w:val="0"/>
                      <w:w w:val="100"/>
                      <w:position w:val="0"/>
                      <w:sz w:val="21"/>
                      <w:szCs w:val="21"/>
                      <w:highlight w:val="none"/>
                      <w:lang w:val="en-US" w:eastAsia="zh-CN"/>
                    </w:rPr>
                  </w:pPr>
                  <w:r>
                    <w:rPr>
                      <w:rFonts w:hint="default" w:ascii="Times New Roman" w:hAnsi="Times New Roman" w:eastAsia="宋体" w:cs="Times New Roman"/>
                      <w:color w:val="000000"/>
                      <w:spacing w:val="0"/>
                      <w:w w:val="100"/>
                      <w:position w:val="0"/>
                      <w:sz w:val="21"/>
                      <w:szCs w:val="21"/>
                      <w:highlight w:val="none"/>
                      <w:lang w:val="en-US" w:eastAsia="zh-CN"/>
                    </w:rPr>
                    <w:t>注:ND 表示未检出或低于方法检出限，苯、甲苯、二甲苯检出限为0.004mg/m</w:t>
                  </w:r>
                  <w:r>
                    <w:rPr>
                      <w:rFonts w:hint="default" w:ascii="Times New Roman" w:hAnsi="Times New Roman" w:cs="Times New Roman"/>
                      <w:color w:val="000000"/>
                      <w:spacing w:val="0"/>
                      <w:w w:val="100"/>
                      <w:position w:val="0"/>
                      <w:sz w:val="21"/>
                      <w:szCs w:val="21"/>
                      <w:highlight w:val="none"/>
                      <w:vertAlign w:val="superscript"/>
                      <w:lang w:val="en-US" w:eastAsia="zh-CN"/>
                    </w:rPr>
                    <w:t>3</w:t>
                  </w:r>
                  <w:r>
                    <w:rPr>
                      <w:rFonts w:hint="default" w:ascii="Times New Roman" w:hAnsi="Times New Roman" w:eastAsia="宋体" w:cs="Times New Roman"/>
                      <w:color w:val="000000"/>
                      <w:spacing w:val="0"/>
                      <w:w w:val="100"/>
                      <w:position w:val="0"/>
                      <w:sz w:val="21"/>
                      <w:szCs w:val="21"/>
                      <w:highlight w:val="none"/>
                      <w:lang w:val="en-US" w:eastAsia="zh-CN"/>
                    </w:rPr>
                    <w:t>。</w:t>
                  </w:r>
                </w:p>
              </w:tc>
            </w:tr>
          </w:tbl>
          <w:p>
            <w:pPr>
              <w:keepNext w:val="0"/>
              <w:keepLines w:val="0"/>
              <w:pageBreakBefore w:val="0"/>
              <w:widowControl w:val="0"/>
              <w:shd w:val="clear" w:color="auto" w:fill="auto"/>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color w:val="000000"/>
                <w:sz w:val="24"/>
                <w:highlight w:val="none"/>
                <w:shd w:val="clear" w:color="auto" w:fill="auto"/>
                <w:lang w:val="en-US" w:eastAsia="zh-CN"/>
              </w:rPr>
            </w:pPr>
            <w:r>
              <w:rPr>
                <w:rFonts w:hint="default" w:ascii="Times New Roman" w:hAnsi="Times New Roman" w:eastAsia="宋体" w:cs="Times New Roman"/>
                <w:color w:val="000000"/>
                <w:sz w:val="24"/>
                <w:highlight w:val="none"/>
                <w:shd w:val="clear" w:color="auto" w:fill="auto"/>
                <w:lang w:val="en-US" w:eastAsia="zh-CN"/>
              </w:rPr>
              <w:t>根据监测结果，项目所在区域非甲烷总烃、颗粒物、苯、甲苯、二甲苯均满足相关要求。</w:t>
            </w:r>
          </w:p>
          <w:p>
            <w:pPr>
              <w:keepNext w:val="0"/>
              <w:keepLines w:val="0"/>
              <w:pageBreakBefore w:val="0"/>
              <w:widowControl w:val="0"/>
              <w:kinsoku/>
              <w:wordWrap/>
              <w:overflowPunct/>
              <w:topLinePunct w:val="0"/>
              <w:autoSpaceDE/>
              <w:autoSpaceDN/>
              <w:bidi w:val="0"/>
              <w:adjustRightInd w:val="0"/>
              <w:snapToGrid w:val="0"/>
              <w:spacing w:line="480" w:lineRule="exact"/>
              <w:ind w:right="0" w:firstLine="0" w:firstLineChars="0"/>
              <w:textAlignment w:val="auto"/>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b/>
                <w:bCs/>
                <w:color w:val="000000"/>
                <w:sz w:val="24"/>
                <w:szCs w:val="24"/>
                <w:highlight w:val="none"/>
              </w:rPr>
              <w:t>二、声环境质量现状</w:t>
            </w:r>
          </w:p>
          <w:p>
            <w:pPr>
              <w:keepNext w:val="0"/>
              <w:keepLines w:val="0"/>
              <w:pageBreakBefore w:val="0"/>
              <w:widowControl w:val="0"/>
              <w:shd w:val="clear" w:color="auto" w:fill="auto"/>
              <w:kinsoku/>
              <w:wordWrap/>
              <w:overflowPunct/>
              <w:topLinePunct w:val="0"/>
              <w:autoSpaceDE/>
              <w:autoSpaceDN/>
              <w:bidi w:val="0"/>
              <w:spacing w:line="480" w:lineRule="exact"/>
              <w:ind w:firstLine="480" w:firstLineChars="200"/>
              <w:jc w:val="both"/>
              <w:textAlignment w:val="auto"/>
              <w:rPr>
                <w:rFonts w:hint="default" w:ascii="Times New Roman" w:hAnsi="Times New Roman" w:eastAsia="宋体" w:cs="Times New Roman"/>
                <w:color w:val="000000"/>
                <w:sz w:val="24"/>
                <w:szCs w:val="24"/>
                <w:highlight w:val="none"/>
                <w:shd w:val="clear" w:color="auto" w:fill="auto"/>
              </w:rPr>
            </w:pPr>
            <w:r>
              <w:rPr>
                <w:rFonts w:hint="default" w:ascii="Times New Roman" w:hAnsi="Times New Roman" w:eastAsia="宋体" w:cs="Times New Roman"/>
                <w:color w:val="000000"/>
                <w:sz w:val="24"/>
                <w:highlight w:val="none"/>
                <w:shd w:val="clear" w:color="auto" w:fill="auto"/>
                <w:lang w:val="en-US" w:eastAsia="zh-CN"/>
              </w:rPr>
              <w:t>项目50m范围内无声环境保护目标，声环境质量执行</w:t>
            </w:r>
            <w:r>
              <w:rPr>
                <w:rFonts w:hint="default" w:ascii="Times New Roman" w:hAnsi="Times New Roman" w:eastAsia="宋体" w:cs="Times New Roman"/>
                <w:color w:val="000000"/>
                <w:sz w:val="24"/>
                <w:highlight w:val="none"/>
                <w:shd w:val="clear" w:color="auto" w:fill="auto"/>
              </w:rPr>
              <w:t>《声环境质量标准》（GB3096-2008）</w:t>
            </w:r>
            <w:r>
              <w:rPr>
                <w:rFonts w:hint="default" w:ascii="Times New Roman" w:hAnsi="Times New Roman" w:eastAsia="宋体" w:cs="Times New Roman"/>
                <w:color w:val="000000"/>
                <w:sz w:val="24"/>
                <w:highlight w:val="none"/>
                <w:shd w:val="clear" w:color="auto" w:fill="auto"/>
                <w:lang w:val="en-US" w:eastAsia="zh-CN"/>
              </w:rPr>
              <w:t>3</w:t>
            </w:r>
            <w:r>
              <w:rPr>
                <w:rFonts w:hint="default" w:ascii="Times New Roman" w:hAnsi="Times New Roman" w:eastAsia="宋体" w:cs="Times New Roman"/>
                <w:color w:val="000000"/>
                <w:sz w:val="24"/>
                <w:highlight w:val="none"/>
                <w:shd w:val="clear" w:color="auto" w:fill="auto"/>
              </w:rPr>
              <w:t>类标准要求</w:t>
            </w:r>
            <w:r>
              <w:rPr>
                <w:rFonts w:hint="default" w:ascii="Times New Roman" w:hAnsi="Times New Roman" w:eastAsia="宋体" w:cs="Times New Roman"/>
                <w:color w:val="000000"/>
                <w:sz w:val="24"/>
                <w:szCs w:val="24"/>
                <w:highlight w:val="none"/>
                <w:shd w:val="clear" w:color="auto" w:fill="auto"/>
              </w:rPr>
              <w:t>。</w:t>
            </w:r>
          </w:p>
          <w:p>
            <w:pPr>
              <w:keepNext w:val="0"/>
              <w:keepLines w:val="0"/>
              <w:pageBreakBefore w:val="0"/>
              <w:kinsoku/>
              <w:wordWrap/>
              <w:overflowPunct/>
              <w:topLinePunct w:val="0"/>
              <w:autoSpaceDE/>
              <w:autoSpaceDN/>
              <w:bidi w:val="0"/>
              <w:adjustRightInd w:val="0"/>
              <w:snapToGrid/>
              <w:spacing w:line="480" w:lineRule="exact"/>
              <w:ind w:right="0"/>
              <w:rPr>
                <w:rFonts w:hint="default" w:ascii="Times New Roman" w:hAnsi="Times New Roman" w:eastAsia="宋体" w:cs="Times New Roman"/>
                <w:b/>
                <w:bCs/>
                <w:color w:val="000000"/>
                <w:sz w:val="24"/>
                <w:highlight w:val="none"/>
                <w:lang w:val="en-US" w:eastAsia="zh-CN"/>
              </w:rPr>
            </w:pPr>
            <w:r>
              <w:rPr>
                <w:rFonts w:hint="default" w:ascii="Times New Roman" w:hAnsi="Times New Roman" w:cs="Times New Roman"/>
                <w:b/>
                <w:bCs/>
                <w:color w:val="000000"/>
                <w:sz w:val="24"/>
                <w:highlight w:val="none"/>
                <w:lang w:val="en-US" w:eastAsia="zh-CN"/>
              </w:rPr>
              <w:t>三、地表水环境质量现状</w:t>
            </w:r>
          </w:p>
          <w:p>
            <w:pPr>
              <w:pStyle w:val="7"/>
              <w:keepNext w:val="0"/>
              <w:keepLines w:val="0"/>
              <w:pageBreakBefore w:val="0"/>
              <w:kinsoku/>
              <w:wordWrap/>
              <w:overflowPunct/>
              <w:topLinePunct w:val="0"/>
              <w:autoSpaceDE/>
              <w:autoSpaceDN/>
              <w:bidi w:val="0"/>
              <w:snapToGrid/>
              <w:spacing w:before="0" w:after="0" w:line="480" w:lineRule="exact"/>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rPr>
              <w:t>距离本项目最近的地表水体为</w:t>
            </w:r>
            <w:r>
              <w:rPr>
                <w:rFonts w:hint="default" w:ascii="Times New Roman" w:hAnsi="Times New Roman" w:cs="Times New Roman"/>
                <w:color w:val="000000"/>
                <w:sz w:val="24"/>
                <w:szCs w:val="24"/>
                <w:highlight w:val="none"/>
                <w:lang w:val="en-US" w:eastAsia="zh-CN"/>
              </w:rPr>
              <w:t>西侧约560m的洋河</w:t>
            </w: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shd w:val="clear" w:color="auto" w:fill="auto"/>
                <w:lang w:eastAsia="zh-CN"/>
              </w:rPr>
              <w:t>根据秦皇岛市生态环境局官网发布的《20</w:t>
            </w:r>
            <w:r>
              <w:rPr>
                <w:rFonts w:hint="default" w:ascii="Times New Roman" w:hAnsi="Times New Roman" w:cs="Times New Roman"/>
                <w:color w:val="000000"/>
                <w:sz w:val="24"/>
                <w:szCs w:val="24"/>
                <w:highlight w:val="none"/>
                <w:shd w:val="clear" w:color="auto" w:fill="auto"/>
                <w:lang w:val="en-US" w:eastAsia="zh-CN"/>
              </w:rPr>
              <w:t>25</w:t>
            </w:r>
            <w:r>
              <w:rPr>
                <w:rFonts w:hint="default" w:ascii="Times New Roman" w:hAnsi="Times New Roman" w:cs="Times New Roman"/>
                <w:color w:val="000000"/>
                <w:sz w:val="24"/>
                <w:szCs w:val="24"/>
                <w:highlight w:val="none"/>
                <w:shd w:val="clear" w:color="auto" w:fill="auto"/>
                <w:lang w:eastAsia="zh-CN"/>
              </w:rPr>
              <w:t>年</w:t>
            </w:r>
            <w:r>
              <w:rPr>
                <w:rFonts w:hint="default" w:ascii="Times New Roman" w:hAnsi="Times New Roman" w:cs="Times New Roman"/>
                <w:color w:val="000000"/>
                <w:sz w:val="24"/>
                <w:szCs w:val="24"/>
                <w:highlight w:val="none"/>
                <w:shd w:val="clear" w:color="auto" w:fill="auto"/>
                <w:lang w:val="en-US" w:eastAsia="zh-CN"/>
              </w:rPr>
              <w:t>2</w:t>
            </w:r>
            <w:r>
              <w:rPr>
                <w:rFonts w:hint="default" w:ascii="Times New Roman" w:hAnsi="Times New Roman" w:cs="Times New Roman"/>
                <w:color w:val="000000"/>
                <w:sz w:val="24"/>
                <w:szCs w:val="24"/>
                <w:highlight w:val="none"/>
                <w:shd w:val="clear" w:color="auto" w:fill="auto"/>
                <w:lang w:eastAsia="zh-CN"/>
              </w:rPr>
              <w:t>月秦皇岛市主要河流断面水质监测月报》，洋河的洋河口断面</w:t>
            </w:r>
            <w:r>
              <w:rPr>
                <w:rFonts w:hint="default" w:ascii="Times New Roman" w:hAnsi="Times New Roman" w:cs="Times New Roman"/>
                <w:color w:val="000000"/>
                <w:sz w:val="24"/>
                <w:szCs w:val="24"/>
                <w:highlight w:val="none"/>
                <w:shd w:val="clear" w:color="auto" w:fill="auto"/>
                <w:lang w:val="en-US" w:eastAsia="zh-CN"/>
              </w:rPr>
              <w:t>为</w:t>
            </w:r>
            <w:r>
              <w:rPr>
                <w:rFonts w:hint="default" w:ascii="Times New Roman" w:hAnsi="Times New Roman" w:cs="Times New Roman"/>
                <w:color w:val="000000"/>
                <w:sz w:val="24"/>
                <w:szCs w:val="24"/>
                <w:highlight w:val="none"/>
                <w:lang w:val="en-US" w:eastAsia="zh-CN"/>
              </w:rPr>
              <w:t>III</w:t>
            </w:r>
            <w:r>
              <w:rPr>
                <w:rFonts w:hint="default" w:ascii="Times New Roman" w:hAnsi="Times New Roman" w:cs="Times New Roman"/>
                <w:color w:val="000000"/>
                <w:sz w:val="24"/>
                <w:szCs w:val="24"/>
                <w:highlight w:val="none"/>
                <w:shd w:val="clear" w:color="auto" w:fill="auto"/>
                <w:lang w:val="en-US" w:eastAsia="zh-CN"/>
              </w:rPr>
              <w:t>类水质断面，</w:t>
            </w:r>
            <w:r>
              <w:rPr>
                <w:rFonts w:hint="default" w:ascii="Times New Roman" w:hAnsi="Times New Roman" w:cs="Times New Roman"/>
                <w:color w:val="000000"/>
                <w:sz w:val="24"/>
                <w:szCs w:val="24"/>
                <w:highlight w:val="none"/>
                <w:lang w:val="en-US" w:eastAsia="zh-CN"/>
              </w:rPr>
              <w:t>水质满足《地表水环境质量标准》（GB 3838-2002）III类要求</w:t>
            </w:r>
            <w:r>
              <w:rPr>
                <w:rFonts w:hint="default" w:ascii="Times New Roman" w:hAnsi="Times New Roman" w:cs="Times New Roman"/>
                <w:color w:val="000000"/>
                <w:sz w:val="24"/>
                <w:szCs w:val="24"/>
                <w:highlight w:val="none"/>
                <w:lang w:eastAsia="zh-CN"/>
              </w:rPr>
              <w:t>。</w:t>
            </w:r>
          </w:p>
          <w:p>
            <w:pPr>
              <w:keepNext w:val="0"/>
              <w:keepLines w:val="0"/>
              <w:pageBreakBefore w:val="0"/>
              <w:kinsoku/>
              <w:wordWrap/>
              <w:overflowPunct/>
              <w:topLinePunct w:val="0"/>
              <w:autoSpaceDE/>
              <w:autoSpaceDN/>
              <w:bidi w:val="0"/>
              <w:adjustRightInd w:val="0"/>
              <w:snapToGrid/>
              <w:spacing w:line="480" w:lineRule="exact"/>
              <w:ind w:right="0"/>
              <w:rPr>
                <w:rFonts w:hint="default" w:ascii="Times New Roman" w:hAnsi="Times New Roman" w:cs="Times New Roman"/>
                <w:b/>
                <w:bCs/>
                <w:color w:val="000000"/>
                <w:sz w:val="24"/>
                <w:highlight w:val="none"/>
                <w:lang w:val="en-US" w:eastAsia="zh-CN"/>
              </w:rPr>
            </w:pPr>
            <w:r>
              <w:rPr>
                <w:rFonts w:hint="default" w:ascii="Times New Roman" w:hAnsi="Times New Roman" w:cs="Times New Roman"/>
                <w:b/>
                <w:bCs/>
                <w:color w:val="000000"/>
                <w:sz w:val="24"/>
                <w:highlight w:val="none"/>
                <w:lang w:val="en-US" w:eastAsia="zh-CN"/>
              </w:rPr>
              <w:t>四、地下水、土壤环境质量现状</w:t>
            </w:r>
          </w:p>
          <w:p>
            <w:pPr>
              <w:pStyle w:val="7"/>
              <w:keepNext w:val="0"/>
              <w:keepLines w:val="0"/>
              <w:pageBreakBefore w:val="0"/>
              <w:kinsoku/>
              <w:wordWrap/>
              <w:overflowPunct/>
              <w:topLinePunct w:val="0"/>
              <w:autoSpaceDE/>
              <w:autoSpaceDN/>
              <w:bidi w:val="0"/>
              <w:snapToGrid/>
              <w:spacing w:before="0" w:after="0" w:line="480" w:lineRule="exact"/>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kern w:val="0"/>
                <w:sz w:val="24"/>
              </w:rPr>
              <w:t>本项目周边无集中式地下水饮用水水源地，占地</w:t>
            </w:r>
            <w:r>
              <w:rPr>
                <w:rFonts w:hint="default" w:ascii="Times New Roman" w:hAnsi="Times New Roman" w:cs="Times New Roman"/>
                <w:color w:val="000000"/>
                <w:kern w:val="0"/>
                <w:sz w:val="24"/>
                <w:lang w:val="en-US" w:eastAsia="zh-CN"/>
              </w:rPr>
              <w:t>工业</w:t>
            </w:r>
            <w:r>
              <w:rPr>
                <w:rFonts w:hint="default" w:ascii="Times New Roman" w:hAnsi="Times New Roman" w:cs="Times New Roman"/>
                <w:color w:val="000000"/>
                <w:kern w:val="0"/>
                <w:sz w:val="24"/>
              </w:rPr>
              <w:t>用地，无废水直接排入外环境，项目建成后厂区内地面进行硬化及分区防渗，项目不存在土壤、地下水环境污染途径，对地下水、土壤环境影响较小。因此，未开展地下水、土壤环境质量现状调查</w:t>
            </w:r>
            <w:r>
              <w:rPr>
                <w:rFonts w:hint="default" w:ascii="Times New Roman" w:hAnsi="Times New Roman" w:cs="Times New Roman"/>
                <w:color w:val="000000"/>
                <w:sz w:val="24"/>
                <w:szCs w:val="24"/>
                <w:highlight w:val="none"/>
                <w:lang w:val="en-US" w:eastAsia="zh-CN"/>
              </w:rPr>
              <w:t>。</w:t>
            </w:r>
          </w:p>
          <w:p>
            <w:pPr>
              <w:keepNext w:val="0"/>
              <w:keepLines w:val="0"/>
              <w:pageBreakBefore w:val="0"/>
              <w:kinsoku/>
              <w:wordWrap/>
              <w:overflowPunct/>
              <w:topLinePunct w:val="0"/>
              <w:autoSpaceDE/>
              <w:autoSpaceDN/>
              <w:bidi w:val="0"/>
              <w:adjustRightInd w:val="0"/>
              <w:snapToGrid/>
              <w:spacing w:line="480" w:lineRule="exact"/>
              <w:ind w:right="0"/>
              <w:rPr>
                <w:rFonts w:hint="default" w:ascii="Times New Roman" w:hAnsi="Times New Roman" w:eastAsia="宋体" w:cs="Times New Roman"/>
                <w:b/>
                <w:bCs/>
                <w:color w:val="000000"/>
                <w:sz w:val="24"/>
                <w:highlight w:val="none"/>
              </w:rPr>
            </w:pPr>
            <w:r>
              <w:rPr>
                <w:rFonts w:hint="default" w:ascii="Times New Roman" w:hAnsi="Times New Roman" w:cs="Times New Roman"/>
                <w:b/>
                <w:bCs/>
                <w:color w:val="000000"/>
                <w:sz w:val="24"/>
                <w:highlight w:val="none"/>
                <w:lang w:val="en-US" w:eastAsia="zh-CN"/>
              </w:rPr>
              <w:t>五</w:t>
            </w:r>
            <w:r>
              <w:rPr>
                <w:rFonts w:hint="default" w:ascii="Times New Roman" w:hAnsi="Times New Roman" w:eastAsia="宋体" w:cs="Times New Roman"/>
                <w:b/>
                <w:bCs/>
                <w:color w:val="000000"/>
                <w:sz w:val="24"/>
                <w:highlight w:val="none"/>
              </w:rPr>
              <w:t>、生态环境</w:t>
            </w:r>
          </w:p>
          <w:p>
            <w:pPr>
              <w:pStyle w:val="30"/>
              <w:keepNext w:val="0"/>
              <w:keepLines w:val="0"/>
              <w:pageBreakBefore w:val="0"/>
              <w:kinsoku/>
              <w:wordWrap/>
              <w:overflowPunct/>
              <w:topLinePunct w:val="0"/>
              <w:autoSpaceDE/>
              <w:autoSpaceDN/>
              <w:bidi w:val="0"/>
              <w:snapToGrid/>
              <w:spacing w:before="0" w:after="0" w:line="480" w:lineRule="exact"/>
              <w:ind w:right="0" w:firstLine="480" w:firstLineChars="200"/>
              <w:rPr>
                <w:rFonts w:hint="default" w:ascii="Times New Roman" w:hAnsi="Times New Roman" w:eastAsia="宋体" w:cs="Times New Roman"/>
                <w:color w:val="000000"/>
                <w:highlight w:val="none"/>
                <w:lang w:val="en-US" w:eastAsia="zh-CN"/>
              </w:rPr>
            </w:pPr>
            <w:r>
              <w:rPr>
                <w:rFonts w:hint="default" w:ascii="Times New Roman" w:hAnsi="Times New Roman" w:eastAsia="宋体" w:cs="Times New Roman"/>
                <w:color w:val="000000"/>
                <w:sz w:val="24"/>
                <w:highlight w:val="none"/>
              </w:rPr>
              <w:t>本项目本项目位于河北抚宁经济开发区园区内</w:t>
            </w:r>
            <w:r>
              <w:rPr>
                <w:rFonts w:hint="default" w:ascii="Times New Roman" w:hAnsi="Times New Roman" w:cs="Times New Roman"/>
                <w:b w:val="0"/>
                <w:bCs/>
                <w:color w:val="0000FF"/>
                <w:kern w:val="2"/>
                <w:sz w:val="24"/>
                <w:szCs w:val="24"/>
                <w:highlight w:val="none"/>
                <w:lang w:val="en-US" w:eastAsia="zh-CN" w:bidi="ar-SA"/>
              </w:rPr>
              <w:t>，</w:t>
            </w:r>
            <w:r>
              <w:rPr>
                <w:rFonts w:hint="default" w:ascii="Times New Roman" w:hAnsi="Times New Roman" w:cs="Times New Roman"/>
                <w:color w:val="000000"/>
                <w:kern w:val="0"/>
                <w:sz w:val="24"/>
              </w:rPr>
              <w:t>无生态环境保护目标，无需进行生态环境现状调查</w:t>
            </w:r>
            <w:r>
              <w:rPr>
                <w:rFonts w:hint="default" w:ascii="Times New Roman" w:hAnsi="Times New Roman" w:cs="Times New Roman"/>
                <w:color w:val="000000"/>
                <w:kern w:val="2"/>
                <w:szCs w:val="24"/>
                <w:highlight w:val="none"/>
              </w:rPr>
              <w:t>。</w:t>
            </w:r>
          </w:p>
          <w:p>
            <w:pPr>
              <w:rPr>
                <w:rFonts w:hint="default" w:ascii="Times New Roman" w:hAnsi="Times New Roman" w:eastAsia="宋体" w:cs="Times New Roman"/>
                <w:color w:val="000000"/>
                <w:highlight w:val="none"/>
                <w:lang w:val="en-US" w:eastAsia="zh-CN"/>
              </w:rPr>
            </w:pPr>
          </w:p>
          <w:p>
            <w:pPr>
              <w:rPr>
                <w:rFonts w:hint="default" w:ascii="Times New Roman" w:hAnsi="Times New Roman" w:eastAsia="宋体" w:cs="Times New Roman"/>
                <w:color w:val="000000"/>
                <w:highlight w:val="none"/>
                <w:lang w:val="en-US" w:eastAsia="zh-CN"/>
              </w:rPr>
            </w:pPr>
          </w:p>
          <w:p>
            <w:pPr>
              <w:rPr>
                <w:rFonts w:hint="default" w:ascii="Times New Roman" w:hAnsi="Times New Roman" w:eastAsia="宋体" w:cs="Times New Roman"/>
                <w:color w:val="000000"/>
                <w:highlight w:val="none"/>
                <w:lang w:val="en-US" w:eastAsia="zh-CN"/>
              </w:rPr>
            </w:pPr>
          </w:p>
          <w:p>
            <w:pPr>
              <w:rPr>
                <w:rFonts w:hint="default" w:ascii="Times New Roman" w:hAnsi="Times New Roman" w:eastAsia="宋体" w:cs="Times New Roman"/>
                <w:color w:val="000000"/>
                <w:highlight w:val="none"/>
                <w:lang w:val="en-US" w:eastAsia="zh-CN"/>
              </w:rPr>
            </w:pPr>
          </w:p>
          <w:p>
            <w:pPr>
              <w:rPr>
                <w:rFonts w:hint="default" w:ascii="Times New Roman" w:hAnsi="Times New Roman" w:eastAsia="宋体" w:cs="Times New Roman"/>
                <w:color w:val="000000"/>
                <w:highlight w:val="none"/>
                <w:lang w:val="en-US"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006" w:hRule="atLeast"/>
          <w:jc w:val="center"/>
        </w:trPr>
        <w:tc>
          <w:tcPr>
            <w:tcW w:w="446"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14" w:name="_Toc11616"/>
            <w:r>
              <w:rPr>
                <w:rFonts w:hint="default" w:ascii="Times New Roman" w:hAnsi="Times New Roman" w:cs="Times New Roman"/>
                <w:color w:val="000000"/>
                <w:kern w:val="0"/>
                <w:sz w:val="24"/>
                <w:szCs w:val="24"/>
                <w:highlight w:val="none"/>
              </w:rPr>
              <w:t>环境</w:t>
            </w:r>
            <w:bookmarkEnd w:id="14"/>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15" w:name="_Toc29878"/>
            <w:r>
              <w:rPr>
                <w:rFonts w:hint="default" w:ascii="Times New Roman" w:hAnsi="Times New Roman" w:cs="Times New Roman"/>
                <w:color w:val="000000"/>
                <w:kern w:val="0"/>
                <w:sz w:val="24"/>
                <w:szCs w:val="24"/>
                <w:highlight w:val="none"/>
              </w:rPr>
              <w:t>保护</w:t>
            </w:r>
            <w:bookmarkEnd w:id="15"/>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16" w:name="_Toc2677"/>
            <w:r>
              <w:rPr>
                <w:rFonts w:hint="default" w:ascii="Times New Roman" w:hAnsi="Times New Roman" w:cs="Times New Roman"/>
                <w:color w:val="000000"/>
                <w:kern w:val="0"/>
                <w:sz w:val="24"/>
                <w:szCs w:val="24"/>
                <w:highlight w:val="none"/>
              </w:rPr>
              <w:t>目标</w:t>
            </w:r>
            <w:bookmarkEnd w:id="16"/>
          </w:p>
        </w:tc>
        <w:tc>
          <w:tcPr>
            <w:tcW w:w="8542"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cs="Times New Roman"/>
                <w:b/>
                <w:color w:val="000000"/>
                <w:sz w:val="24"/>
                <w:szCs w:val="24"/>
                <w:highlight w:val="none"/>
              </w:rPr>
            </w:pPr>
            <w:r>
              <w:rPr>
                <w:rFonts w:hint="default" w:ascii="Times New Roman" w:hAnsi="Times New Roman" w:eastAsia="宋体" w:cs="Times New Roman"/>
                <w:b w:val="0"/>
                <w:bCs w:val="0"/>
                <w:color w:val="000000"/>
                <w:spacing w:val="0"/>
                <w:w w:val="100"/>
                <w:kern w:val="2"/>
                <w:position w:val="0"/>
                <w:sz w:val="24"/>
                <w:szCs w:val="24"/>
                <w:highlight w:val="none"/>
                <w:lang w:val="en-US" w:eastAsia="zh-CN" w:bidi="ar-SA"/>
              </w:rPr>
              <w:t>本项目所在区域环境50m内无声环境保护目标，500m内无地下水保护目标，500m内存在一个大气保护目标。保护目标情况见下表：</w:t>
            </w:r>
          </w:p>
          <w:p>
            <w:pPr>
              <w:adjustRightInd w:val="0"/>
              <w:snapToGrid w:val="0"/>
              <w:spacing w:line="360" w:lineRule="exact"/>
              <w:jc w:val="center"/>
              <w:rPr>
                <w:rFonts w:hint="default" w:ascii="Times New Roman" w:hAnsi="Times New Roman" w:cs="Times New Roman"/>
                <w:b/>
                <w:color w:val="000000"/>
                <w:sz w:val="24"/>
              </w:rPr>
            </w:pPr>
            <w:r>
              <w:rPr>
                <w:rFonts w:hint="default" w:ascii="Times New Roman" w:hAnsi="Times New Roman" w:cs="Times New Roman"/>
                <w:b/>
                <w:color w:val="000000"/>
                <w:sz w:val="24"/>
              </w:rPr>
              <w:t>表3-2 大气环境保护对象及保护目标一览表</w:t>
            </w:r>
          </w:p>
          <w:tbl>
            <w:tblPr>
              <w:tblStyle w:val="32"/>
              <w:tblW w:w="83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614"/>
              <w:gridCol w:w="1448"/>
              <w:gridCol w:w="1200"/>
              <w:gridCol w:w="1197"/>
              <w:gridCol w:w="639"/>
              <w:gridCol w:w="623"/>
              <w:gridCol w:w="1042"/>
              <w:gridCol w:w="1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369"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环境</w:t>
                  </w:r>
                </w:p>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要素</w:t>
                  </w:r>
                </w:p>
              </w:tc>
              <w:tc>
                <w:tcPr>
                  <w:tcW w:w="870"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保护目标</w:t>
                  </w:r>
                </w:p>
              </w:tc>
              <w:tc>
                <w:tcPr>
                  <w:tcW w:w="1440" w:type="pct"/>
                  <w:gridSpan w:val="2"/>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坐标</w:t>
                  </w:r>
                </w:p>
              </w:tc>
              <w:tc>
                <w:tcPr>
                  <w:tcW w:w="384"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保护内容</w:t>
                  </w:r>
                </w:p>
              </w:tc>
              <w:tc>
                <w:tcPr>
                  <w:tcW w:w="374"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方位</w:t>
                  </w:r>
                </w:p>
              </w:tc>
              <w:tc>
                <w:tcPr>
                  <w:tcW w:w="626"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相对厂界距离（m）</w:t>
                  </w:r>
                </w:p>
              </w:tc>
              <w:tc>
                <w:tcPr>
                  <w:tcW w:w="934"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功能要求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369"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color w:val="000000"/>
                    </w:rPr>
                  </w:pPr>
                </w:p>
              </w:tc>
              <w:tc>
                <w:tcPr>
                  <w:tcW w:w="870"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color w:val="000000"/>
                    </w:rPr>
                  </w:pPr>
                </w:p>
              </w:tc>
              <w:tc>
                <w:tcPr>
                  <w:tcW w:w="721"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北纬</w:t>
                  </w:r>
                </w:p>
              </w:tc>
              <w:tc>
                <w:tcPr>
                  <w:tcW w:w="71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r>
                    <w:rPr>
                      <w:rFonts w:hint="default" w:ascii="Times New Roman" w:hAnsi="Times New Roman" w:cs="Times New Roman"/>
                      <w:b/>
                      <w:color w:val="000000"/>
                      <w:szCs w:val="21"/>
                    </w:rPr>
                    <w:t>东经</w:t>
                  </w:r>
                </w:p>
              </w:tc>
              <w:tc>
                <w:tcPr>
                  <w:tcW w:w="384"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p>
              </w:tc>
              <w:tc>
                <w:tcPr>
                  <w:tcW w:w="374"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p>
              </w:tc>
              <w:tc>
                <w:tcPr>
                  <w:tcW w:w="626"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p>
              </w:tc>
              <w:tc>
                <w:tcPr>
                  <w:tcW w:w="934" w:type="pct"/>
                  <w:vMerge w:val="continue"/>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b/>
                      <w:color w:val="00000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369"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color w:val="000000"/>
                      <w:szCs w:val="21"/>
                    </w:rPr>
                  </w:pPr>
                  <w:r>
                    <w:rPr>
                      <w:rFonts w:hint="default" w:ascii="Times New Roman" w:hAnsi="Times New Roman" w:cs="Times New Roman"/>
                      <w:color w:val="000000"/>
                      <w:szCs w:val="21"/>
                    </w:rPr>
                    <w:t>大气</w:t>
                  </w:r>
                </w:p>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color w:val="000000"/>
                      <w:szCs w:val="21"/>
                    </w:rPr>
                  </w:pPr>
                  <w:r>
                    <w:rPr>
                      <w:rFonts w:hint="default" w:ascii="Times New Roman" w:hAnsi="Times New Roman" w:cs="Times New Roman"/>
                      <w:color w:val="000000"/>
                      <w:szCs w:val="21"/>
                    </w:rPr>
                    <w:t>环境</w:t>
                  </w:r>
                </w:p>
              </w:tc>
              <w:tc>
                <w:tcPr>
                  <w:tcW w:w="870" w:type="pct"/>
                  <w:shd w:val="clear" w:color="auto" w:fill="auto"/>
                  <w:noWrap w:val="0"/>
                  <w:vAlign w:val="center"/>
                </w:tcPr>
                <w:p>
                  <w:pPr>
                    <w:pStyle w:val="64"/>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eastAsia="宋体" w:cs="Times New Roman"/>
                      <w:color w:val="000000"/>
                      <w:sz w:val="21"/>
                      <w:szCs w:val="21"/>
                      <w:highlight w:val="none"/>
                      <w:lang w:eastAsia="zh-CN"/>
                    </w:rPr>
                    <w:t>大李官营村</w:t>
                  </w:r>
                </w:p>
                <w:p>
                  <w:pPr>
                    <w:pStyle w:val="64"/>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eastAsia="宋体" w:cs="Times New Roman"/>
                      <w:color w:val="000000"/>
                      <w:sz w:val="21"/>
                      <w:szCs w:val="21"/>
                      <w:highlight w:val="none"/>
                      <w:lang w:eastAsia="zh-CN"/>
                    </w:rPr>
                    <w:t>（地下水分散式饮用水源）</w:t>
                  </w:r>
                </w:p>
              </w:tc>
              <w:tc>
                <w:tcPr>
                  <w:tcW w:w="721" w:type="pct"/>
                  <w:shd w:val="clear" w:color="auto" w:fill="auto"/>
                  <w:noWrap w:val="0"/>
                  <w:vAlign w:val="center"/>
                </w:tcPr>
                <w:p>
                  <w:pPr>
                    <w:pStyle w:val="64"/>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kern w:val="2"/>
                      <w:sz w:val="21"/>
                      <w:szCs w:val="21"/>
                      <w:highlight w:val="none"/>
                      <w:lang w:val="zh-CN" w:eastAsia="zh-CN" w:bidi="ar-SA"/>
                    </w:rPr>
                  </w:pPr>
                  <w:r>
                    <w:rPr>
                      <w:rFonts w:hint="default" w:ascii="Times New Roman" w:hAnsi="Times New Roman" w:cs="Times New Roman"/>
                      <w:color w:val="000000"/>
                      <w:sz w:val="21"/>
                      <w:szCs w:val="21"/>
                      <w:highlight w:val="none"/>
                    </w:rPr>
                    <w:t>119.22605</w:t>
                  </w:r>
                </w:p>
              </w:tc>
              <w:tc>
                <w:tcPr>
                  <w:tcW w:w="719" w:type="pct"/>
                  <w:shd w:val="clear" w:color="auto" w:fill="auto"/>
                  <w:noWrap w:val="0"/>
                  <w:vAlign w:val="center"/>
                </w:tcPr>
                <w:p>
                  <w:pPr>
                    <w:pStyle w:val="64"/>
                    <w:keepNext w:val="0"/>
                    <w:keepLines w:val="0"/>
                    <w:pageBreakBefore w:val="0"/>
                    <w:widowControl w:val="0"/>
                    <w:kinsoku/>
                    <w:wordWrap/>
                    <w:overflowPunct/>
                    <w:topLinePunct w:val="0"/>
                    <w:autoSpaceDE/>
                    <w:autoSpaceDN/>
                    <w:bidi w:val="0"/>
                    <w:adjustRightInd/>
                    <w:snapToGrid/>
                    <w:spacing w:line="240" w:lineRule="auto"/>
                    <w:ind w:firstLine="0" w:firstLineChars="0"/>
                    <w:jc w:val="center"/>
                    <w:textAlignment w:val="auto"/>
                    <w:rPr>
                      <w:rFonts w:hint="default" w:ascii="Times New Roman" w:hAnsi="Times New Roman" w:eastAsia="宋体" w:cs="Times New Roman"/>
                      <w:color w:val="000000"/>
                      <w:kern w:val="2"/>
                      <w:sz w:val="21"/>
                      <w:szCs w:val="21"/>
                      <w:highlight w:val="none"/>
                      <w:lang w:val="zh-CN" w:eastAsia="zh-CN" w:bidi="ar-SA"/>
                    </w:rPr>
                  </w:pPr>
                  <w:r>
                    <w:rPr>
                      <w:rFonts w:hint="default" w:ascii="Times New Roman" w:hAnsi="Times New Roman" w:cs="Times New Roman"/>
                      <w:color w:val="000000"/>
                      <w:sz w:val="21"/>
                      <w:szCs w:val="21"/>
                      <w:highlight w:val="none"/>
                    </w:rPr>
                    <w:t>39.90592</w:t>
                  </w:r>
                </w:p>
              </w:tc>
              <w:tc>
                <w:tcPr>
                  <w:tcW w:w="38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color w:val="000000"/>
                      <w:szCs w:val="21"/>
                    </w:rPr>
                  </w:pPr>
                  <w:r>
                    <w:rPr>
                      <w:rFonts w:hint="default" w:ascii="Times New Roman" w:hAnsi="Times New Roman" w:cs="Times New Roman"/>
                      <w:color w:val="000000"/>
                      <w:szCs w:val="21"/>
                    </w:rPr>
                    <w:t>居民</w:t>
                  </w:r>
                </w:p>
              </w:tc>
              <w:tc>
                <w:tcPr>
                  <w:tcW w:w="37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eastAsia="宋体" w:cs="Times New Roman"/>
                      <w:color w:val="000000"/>
                      <w:szCs w:val="21"/>
                      <w:lang w:eastAsia="zh-CN"/>
                    </w:rPr>
                  </w:pPr>
                  <w:r>
                    <w:rPr>
                      <w:rFonts w:hint="default" w:ascii="Times New Roman" w:hAnsi="Times New Roman" w:cs="Times New Roman"/>
                      <w:color w:val="000000"/>
                      <w:szCs w:val="21"/>
                      <w:lang w:val="en-US" w:eastAsia="zh-CN"/>
                    </w:rPr>
                    <w:t>南</w:t>
                  </w:r>
                </w:p>
              </w:tc>
              <w:tc>
                <w:tcPr>
                  <w:tcW w:w="626"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eastAsia="宋体" w:cs="Times New Roman"/>
                      <w:color w:val="000000"/>
                      <w:szCs w:val="21"/>
                      <w:lang w:val="en-US" w:eastAsia="zh-CN"/>
                    </w:rPr>
                  </w:pPr>
                  <w:r>
                    <w:rPr>
                      <w:rFonts w:hint="default" w:ascii="Times New Roman" w:hAnsi="Times New Roman" w:cs="Times New Roman"/>
                      <w:color w:val="000000"/>
                      <w:szCs w:val="21"/>
                      <w:lang w:val="en-US" w:eastAsia="zh-CN"/>
                    </w:rPr>
                    <w:t>94</w:t>
                  </w:r>
                </w:p>
              </w:tc>
              <w:tc>
                <w:tcPr>
                  <w:tcW w:w="934" w:type="pct"/>
                  <w:noWrap w:val="0"/>
                  <w:vAlign w:val="center"/>
                </w:tcPr>
                <w:p>
                  <w:pPr>
                    <w:keepNext w:val="0"/>
                    <w:keepLines w:val="0"/>
                    <w:pageBreakBefore w:val="0"/>
                    <w:widowControl w:val="0"/>
                    <w:kinsoku/>
                    <w:wordWrap/>
                    <w:overflowPunct/>
                    <w:topLinePunct w:val="0"/>
                    <w:autoSpaceDE/>
                    <w:autoSpaceDN/>
                    <w:bidi w:val="0"/>
                    <w:adjustRightInd/>
                    <w:snapToGrid/>
                    <w:spacing w:line="240" w:lineRule="auto"/>
                    <w:ind w:firstLine="0"/>
                    <w:jc w:val="center"/>
                    <w:textAlignment w:val="auto"/>
                    <w:rPr>
                      <w:rFonts w:hint="default" w:ascii="Times New Roman" w:hAnsi="Times New Roman" w:cs="Times New Roman"/>
                      <w:color w:val="000000"/>
                      <w:szCs w:val="21"/>
                      <w:lang w:val="zh-CN"/>
                    </w:rPr>
                  </w:pPr>
                  <w:r>
                    <w:rPr>
                      <w:rFonts w:hint="default" w:ascii="Times New Roman" w:hAnsi="Times New Roman" w:cs="Times New Roman"/>
                      <w:color w:val="000000"/>
                      <w:szCs w:val="21"/>
                      <w:lang w:val="zh-CN"/>
                    </w:rPr>
                    <w:t>GB3095-2012 《环境空气质量标准》二级标准</w:t>
                  </w:r>
                </w:p>
              </w:tc>
            </w:tr>
          </w:tbl>
          <w:p>
            <w:pPr>
              <w:pStyle w:val="7"/>
              <w:ind w:left="0" w:leftChars="0" w:firstLine="0" w:firstLineChars="0"/>
              <w:rPr>
                <w:rFonts w:hint="default" w:ascii="Times New Roman" w:hAnsi="Times New Roman" w:cs="Times New Roman"/>
                <w:color w:val="000000"/>
                <w:highlight w:val="none"/>
              </w:rPr>
            </w:pPr>
          </w:p>
          <w:p>
            <w:pPr>
              <w:rPr>
                <w:rFonts w:hint="default" w:ascii="Times New Roman" w:hAnsi="Times New Roman" w:cs="Times New Roman"/>
                <w:color w:val="000000"/>
                <w:highlight w:val="none"/>
              </w:rPr>
            </w:pPr>
          </w:p>
          <w:p>
            <w:pPr>
              <w:rPr>
                <w:rFonts w:hint="default" w:ascii="Times New Roman" w:hAnsi="Times New Roman" w:cs="Times New Roman"/>
                <w:color w:val="000000"/>
                <w:highlight w:val="none"/>
              </w:rPr>
            </w:pPr>
          </w:p>
          <w:p>
            <w:pPr>
              <w:rPr>
                <w:rFonts w:hint="default" w:ascii="Times New Roman" w:hAnsi="Times New Roman" w:cs="Times New Roman"/>
                <w:color w:val="000000"/>
                <w:highlight w:val="none"/>
              </w:rPr>
            </w:pPr>
          </w:p>
          <w:p>
            <w:pPr>
              <w:rPr>
                <w:rFonts w:hint="default" w:ascii="Times New Roman" w:hAnsi="Times New Roman" w:cs="Times New Roman"/>
                <w:color w:val="000000"/>
                <w:highlight w:val="none"/>
              </w:rPr>
            </w:pPr>
          </w:p>
          <w:p>
            <w:pPr>
              <w:rPr>
                <w:rFonts w:hint="default" w:ascii="Times New Roman" w:hAnsi="Times New Roman" w:cs="Times New Roman"/>
                <w:color w:val="000000"/>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46" w:type="dxa"/>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17" w:name="_Toc12258"/>
            <w:r>
              <w:rPr>
                <w:rFonts w:hint="default" w:ascii="Times New Roman" w:hAnsi="Times New Roman" w:cs="Times New Roman"/>
                <w:color w:val="000000"/>
                <w:kern w:val="0"/>
                <w:sz w:val="24"/>
                <w:szCs w:val="24"/>
                <w:highlight w:val="none"/>
              </w:rPr>
              <w:t>污染</w:t>
            </w:r>
            <w:bookmarkEnd w:id="17"/>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18" w:name="_Toc19914"/>
            <w:r>
              <w:rPr>
                <w:rFonts w:hint="default" w:ascii="Times New Roman" w:hAnsi="Times New Roman" w:cs="Times New Roman"/>
                <w:color w:val="000000"/>
                <w:kern w:val="0"/>
                <w:sz w:val="24"/>
                <w:szCs w:val="24"/>
                <w:highlight w:val="none"/>
              </w:rPr>
              <w:t>物排</w:t>
            </w:r>
            <w:bookmarkEnd w:id="18"/>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19" w:name="_Toc17139"/>
            <w:r>
              <w:rPr>
                <w:rFonts w:hint="default" w:ascii="Times New Roman" w:hAnsi="Times New Roman" w:cs="Times New Roman"/>
                <w:color w:val="000000"/>
                <w:kern w:val="0"/>
                <w:sz w:val="24"/>
                <w:szCs w:val="24"/>
                <w:highlight w:val="none"/>
              </w:rPr>
              <w:t>放控</w:t>
            </w:r>
            <w:bookmarkEnd w:id="19"/>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20" w:name="_Toc19077"/>
            <w:r>
              <w:rPr>
                <w:rFonts w:hint="default" w:ascii="Times New Roman" w:hAnsi="Times New Roman" w:cs="Times New Roman"/>
                <w:color w:val="000000"/>
                <w:kern w:val="0"/>
                <w:sz w:val="24"/>
                <w:szCs w:val="24"/>
                <w:highlight w:val="none"/>
              </w:rPr>
              <w:t>制标</w:t>
            </w:r>
            <w:bookmarkEnd w:id="20"/>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21" w:name="_Toc17307"/>
            <w:r>
              <w:rPr>
                <w:rFonts w:hint="default" w:ascii="Times New Roman" w:hAnsi="Times New Roman" w:cs="Times New Roman"/>
                <w:color w:val="000000"/>
                <w:kern w:val="0"/>
                <w:sz w:val="24"/>
                <w:szCs w:val="24"/>
                <w:highlight w:val="none"/>
              </w:rPr>
              <w:t>准</w:t>
            </w:r>
            <w:bookmarkEnd w:id="21"/>
          </w:p>
        </w:tc>
        <w:tc>
          <w:tcPr>
            <w:tcW w:w="854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一、施工期污染物排放标准：</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1、废气</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施工期扬尘排放执行河北省地标《施工场地扬尘排放标准》（DB13/2934-2019）、《河北省扬尘污染防治办法》（河北省人民政府令【2020】第1号）及《河北省202</w:t>
            </w:r>
            <w:r>
              <w:rPr>
                <w:rFonts w:hint="default" w:ascii="Times New Roman" w:hAnsi="Times New Roman" w:cs="Times New Roman"/>
                <w:color w:val="000000"/>
                <w:sz w:val="24"/>
                <w:szCs w:val="24"/>
                <w:highlight w:val="none"/>
                <w:lang w:val="en-US" w:eastAsia="zh-CN"/>
              </w:rPr>
              <w:t>1</w:t>
            </w:r>
            <w:r>
              <w:rPr>
                <w:rFonts w:hint="default" w:ascii="Times New Roman" w:hAnsi="Times New Roman" w:cs="Times New Roman"/>
                <w:color w:val="000000"/>
                <w:sz w:val="24"/>
                <w:szCs w:val="24"/>
                <w:highlight w:val="none"/>
                <w:lang w:eastAsia="zh-CN"/>
              </w:rPr>
              <w:t>年建筑施工扬尘污染防治工作方案》的通知（冀建质安函〔202</w:t>
            </w:r>
            <w:r>
              <w:rPr>
                <w:rFonts w:hint="default" w:ascii="Times New Roman" w:hAnsi="Times New Roman" w:cs="Times New Roman"/>
                <w:color w:val="000000"/>
                <w:sz w:val="24"/>
                <w:szCs w:val="24"/>
                <w:highlight w:val="none"/>
                <w:lang w:val="en-US" w:eastAsia="zh-CN"/>
              </w:rPr>
              <w:t>1</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158</w:t>
            </w:r>
            <w:r>
              <w:rPr>
                <w:rFonts w:hint="default" w:ascii="Times New Roman" w:hAnsi="Times New Roman" w:cs="Times New Roman"/>
                <w:color w:val="000000"/>
                <w:sz w:val="24"/>
                <w:szCs w:val="24"/>
                <w:highlight w:val="none"/>
                <w:lang w:eastAsia="zh-CN"/>
              </w:rPr>
              <w:t>号）的要求。</w:t>
            </w:r>
          </w:p>
          <w:p>
            <w:pPr>
              <w:keepNext w:val="0"/>
              <w:keepLines w:val="0"/>
              <w:pageBreakBefore w:val="0"/>
              <w:widowControl w:val="0"/>
              <w:kinsoku/>
              <w:wordWrap/>
              <w:overflowPunct/>
              <w:topLinePunct w:val="0"/>
              <w:autoSpaceDE/>
              <w:autoSpaceDN/>
              <w:bidi w:val="0"/>
              <w:adjustRightInd/>
              <w:snapToGrid/>
              <w:spacing w:line="480" w:lineRule="exact"/>
              <w:ind w:firstLine="0" w:firstLineChars="0"/>
              <w:jc w:val="center"/>
              <w:textAlignment w:val="auto"/>
              <w:rPr>
                <w:rFonts w:hint="default" w:ascii="Times New Roman" w:hAnsi="Times New Roman" w:cs="Times New Roman"/>
                <w:b/>
                <w:color w:val="000000"/>
                <w:sz w:val="24"/>
                <w:szCs w:val="24"/>
                <w:highlight w:val="none"/>
                <w:lang w:eastAsia="zh-CN"/>
              </w:rPr>
            </w:pPr>
            <w:r>
              <w:rPr>
                <w:rFonts w:hint="default" w:ascii="Times New Roman" w:hAnsi="Times New Roman" w:cs="Times New Roman"/>
                <w:b/>
                <w:color w:val="000000"/>
                <w:sz w:val="24"/>
                <w:szCs w:val="24"/>
                <w:highlight w:val="none"/>
              </w:rPr>
              <w:t>表</w:t>
            </w:r>
            <w:r>
              <w:rPr>
                <w:rFonts w:hint="default" w:ascii="Times New Roman" w:hAnsi="Times New Roman" w:cs="Times New Roman"/>
                <w:b/>
                <w:color w:val="000000"/>
                <w:sz w:val="24"/>
                <w:szCs w:val="24"/>
                <w:highlight w:val="none"/>
                <w:lang w:val="en-US" w:eastAsia="zh-CN"/>
              </w:rPr>
              <w:t>3-4</w:t>
            </w:r>
            <w:r>
              <w:rPr>
                <w:rFonts w:hint="default" w:ascii="Times New Roman" w:hAnsi="Times New Roman" w:cs="Times New Roman"/>
                <w:b/>
                <w:color w:val="000000"/>
                <w:sz w:val="24"/>
                <w:szCs w:val="24"/>
                <w:highlight w:val="none"/>
              </w:rPr>
              <w:t xml:space="preserve"> 扬尘排放浓度限值</w:t>
            </w:r>
          </w:p>
          <w:tbl>
            <w:tblPr>
              <w:tblStyle w:val="32"/>
              <w:tblW w:w="4998"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339"/>
              <w:gridCol w:w="3200"/>
              <w:gridCol w:w="27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2" w:hRule="atLeast"/>
              </w:trPr>
              <w:tc>
                <w:tcPr>
                  <w:tcW w:w="1407" w:type="pct"/>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控制项目</w:t>
                  </w:r>
                </w:p>
              </w:tc>
              <w:tc>
                <w:tcPr>
                  <w:tcW w:w="1925" w:type="pct"/>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监测点浓度限值a（μg/m</w:t>
                  </w:r>
                  <w:r>
                    <w:rPr>
                      <w:rFonts w:hint="default" w:ascii="Times New Roman" w:hAnsi="Times New Roman" w:cs="Times New Roman"/>
                      <w:color w:val="000000"/>
                      <w:sz w:val="21"/>
                      <w:highlight w:val="none"/>
                      <w:vertAlign w:val="superscript"/>
                      <w:lang w:val="en-US" w:eastAsia="zh-CN"/>
                    </w:rPr>
                    <w:t>3</w:t>
                  </w:r>
                  <w:r>
                    <w:rPr>
                      <w:rFonts w:hint="default" w:ascii="Times New Roman" w:hAnsi="Times New Roman" w:cs="Times New Roman"/>
                      <w:color w:val="000000"/>
                      <w:sz w:val="21"/>
                      <w:highlight w:val="none"/>
                    </w:rPr>
                    <w:t>）</w:t>
                  </w:r>
                </w:p>
              </w:tc>
              <w:tc>
                <w:tcPr>
                  <w:tcW w:w="1666" w:type="pct"/>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11" w:hRule="atLeast"/>
              </w:trPr>
              <w:tc>
                <w:tcPr>
                  <w:tcW w:w="1407" w:type="pct"/>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PM</w:t>
                  </w:r>
                  <w:r>
                    <w:rPr>
                      <w:rFonts w:hint="default" w:ascii="Times New Roman" w:hAnsi="Times New Roman" w:cs="Times New Roman"/>
                      <w:color w:val="000000"/>
                      <w:sz w:val="21"/>
                      <w:highlight w:val="none"/>
                      <w:vertAlign w:val="subscript"/>
                    </w:rPr>
                    <w:t>10</w:t>
                  </w:r>
                </w:p>
              </w:tc>
              <w:tc>
                <w:tcPr>
                  <w:tcW w:w="1925" w:type="pct"/>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80</w:t>
                  </w:r>
                </w:p>
              </w:tc>
              <w:tc>
                <w:tcPr>
                  <w:tcW w:w="1666" w:type="pct"/>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4" w:hRule="atLeast"/>
              </w:trPr>
              <w:tc>
                <w:tcPr>
                  <w:tcW w:w="5000" w:type="pct"/>
                  <w:gridSpan w:val="3"/>
                  <w:tcBorders>
                    <w:tl2br w:val="nil"/>
                    <w:tr2bl w:val="nil"/>
                  </w:tcBorders>
                  <w:noWrap w:val="0"/>
                  <w:vAlign w:val="center"/>
                </w:tcPr>
                <w:p>
                  <w:pPr>
                    <w:pStyle w:val="64"/>
                    <w:spacing w:line="280" w:lineRule="exact"/>
                    <w:ind w:firstLine="0" w:firstLineChars="0"/>
                    <w:jc w:val="center"/>
                    <w:rPr>
                      <w:rFonts w:hint="default" w:ascii="Times New Roman" w:hAnsi="Times New Roman" w:cs="Times New Roman"/>
                      <w:color w:val="000000"/>
                      <w:sz w:val="21"/>
                      <w:highlight w:val="none"/>
                    </w:rPr>
                  </w:pPr>
                  <w:r>
                    <w:rPr>
                      <w:rFonts w:hint="default" w:ascii="Times New Roman" w:hAnsi="Times New Roman" w:cs="Times New Roman"/>
                      <w:color w:val="000000"/>
                      <w:sz w:val="21"/>
                      <w:highlight w:val="none"/>
                    </w:rPr>
                    <w:t>a指监测点PM</w:t>
                  </w:r>
                  <w:r>
                    <w:rPr>
                      <w:rFonts w:hint="default" w:ascii="Times New Roman" w:hAnsi="Times New Roman" w:cs="Times New Roman"/>
                      <w:color w:val="000000"/>
                      <w:sz w:val="21"/>
                      <w:highlight w:val="none"/>
                      <w:vertAlign w:val="subscript"/>
                    </w:rPr>
                    <w:t>10</w:t>
                  </w:r>
                  <w:r>
                    <w:rPr>
                      <w:rFonts w:hint="default" w:ascii="Times New Roman" w:hAnsi="Times New Roman" w:cs="Times New Roman"/>
                      <w:color w:val="000000"/>
                      <w:sz w:val="21"/>
                      <w:highlight w:val="none"/>
                    </w:rPr>
                    <w:t>小时平均浓度实测值与同时段所属县（市、区）PM</w:t>
                  </w:r>
                  <w:r>
                    <w:rPr>
                      <w:rFonts w:hint="default" w:ascii="Times New Roman" w:hAnsi="Times New Roman" w:cs="Times New Roman"/>
                      <w:color w:val="000000"/>
                      <w:sz w:val="21"/>
                      <w:highlight w:val="none"/>
                      <w:vertAlign w:val="subscript"/>
                    </w:rPr>
                    <w:t>10</w:t>
                  </w:r>
                  <w:r>
                    <w:rPr>
                      <w:rFonts w:hint="default" w:ascii="Times New Roman" w:hAnsi="Times New Roman" w:cs="Times New Roman"/>
                      <w:color w:val="000000"/>
                      <w:sz w:val="21"/>
                      <w:highlight w:val="none"/>
                    </w:rPr>
                    <w:t>小时平均浓度的差值。当县（市、区）PM</w:t>
                  </w:r>
                  <w:r>
                    <w:rPr>
                      <w:rFonts w:hint="default" w:ascii="Times New Roman" w:hAnsi="Times New Roman" w:cs="Times New Roman"/>
                      <w:color w:val="000000"/>
                      <w:sz w:val="21"/>
                      <w:highlight w:val="none"/>
                      <w:vertAlign w:val="subscript"/>
                    </w:rPr>
                    <w:t>10</w:t>
                  </w:r>
                  <w:r>
                    <w:rPr>
                      <w:rFonts w:hint="default" w:ascii="Times New Roman" w:hAnsi="Times New Roman" w:cs="Times New Roman"/>
                      <w:color w:val="000000"/>
                      <w:sz w:val="21"/>
                      <w:highlight w:val="none"/>
                    </w:rPr>
                    <w:t>小时平均浓度值大于150μg/m</w:t>
                  </w:r>
                  <w:r>
                    <w:rPr>
                      <w:rFonts w:hint="default" w:ascii="Times New Roman" w:hAnsi="Times New Roman" w:cs="Times New Roman"/>
                      <w:color w:val="000000"/>
                      <w:sz w:val="21"/>
                      <w:highlight w:val="none"/>
                      <w:vertAlign w:val="superscript"/>
                      <w:lang w:val="en-US" w:eastAsia="zh-CN"/>
                    </w:rPr>
                    <w:t>3</w:t>
                  </w:r>
                  <w:r>
                    <w:rPr>
                      <w:rFonts w:hint="default" w:ascii="Times New Roman" w:hAnsi="Times New Roman" w:cs="Times New Roman"/>
                      <w:color w:val="000000"/>
                      <w:sz w:val="21"/>
                      <w:highlight w:val="none"/>
                    </w:rPr>
                    <w:t>时，以150μg/m</w:t>
                  </w:r>
                  <w:r>
                    <w:rPr>
                      <w:rFonts w:hint="default" w:ascii="Times New Roman" w:hAnsi="Times New Roman" w:cs="Times New Roman"/>
                      <w:color w:val="000000"/>
                      <w:sz w:val="21"/>
                      <w:highlight w:val="none"/>
                      <w:vertAlign w:val="superscript"/>
                      <w:lang w:val="en-US" w:eastAsia="zh-CN"/>
                    </w:rPr>
                    <w:t>3</w:t>
                  </w:r>
                  <w:r>
                    <w:rPr>
                      <w:rFonts w:hint="default" w:ascii="Times New Roman" w:hAnsi="Times New Roman" w:cs="Times New Roman"/>
                      <w:color w:val="000000"/>
                      <w:sz w:val="21"/>
                      <w:highlight w:val="none"/>
                    </w:rPr>
                    <w:t>计。</w:t>
                  </w: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2、噪声</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建筑施工噪声执行《建筑施工场界环境噪声排放标准》（GB12523-2011）相关标准：昼间≤70dB(A)，夜间≤55dB(A)。</w:t>
            </w:r>
          </w:p>
          <w:p>
            <w:pPr>
              <w:keepNext w:val="0"/>
              <w:keepLines w:val="0"/>
              <w:pageBreakBefore w:val="0"/>
              <w:widowControl w:val="0"/>
              <w:kinsoku/>
              <w:wordWrap/>
              <w:overflowPunct/>
              <w:topLinePunct w:val="0"/>
              <w:autoSpaceDE/>
              <w:autoSpaceDN/>
              <w:bidi w:val="0"/>
              <w:adjustRightInd w:val="0"/>
              <w:snapToGrid w:val="0"/>
              <w:spacing w:line="480" w:lineRule="exact"/>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eastAsia="zh-CN"/>
              </w:rPr>
              <w:t>二、运营期污染物排放标准：</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lang w:val="en-US" w:eastAsia="zh-CN"/>
              </w:rPr>
              <w:t>1</w:t>
            </w:r>
            <w:r>
              <w:rPr>
                <w:rFonts w:hint="default" w:ascii="Times New Roman" w:hAnsi="Times New Roman" w:cs="Times New Roman"/>
                <w:color w:val="000000"/>
                <w:sz w:val="24"/>
                <w:szCs w:val="24"/>
                <w:highlight w:val="none"/>
              </w:rPr>
              <w:t>、废气</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项目营运期废气主要为</w:t>
            </w:r>
            <w:r>
              <w:rPr>
                <w:rFonts w:hint="default" w:ascii="Times New Roman" w:hAnsi="Times New Roman" w:cs="Times New Roman"/>
                <w:color w:val="000000"/>
                <w:sz w:val="24"/>
                <w:szCs w:val="24"/>
                <w:highlight w:val="none"/>
                <w:lang w:val="en-US" w:eastAsia="zh-CN"/>
              </w:rPr>
              <w:t>下料过程</w:t>
            </w:r>
            <w:r>
              <w:rPr>
                <w:rFonts w:hint="default" w:ascii="Times New Roman" w:hAnsi="Times New Roman" w:eastAsia="宋体" w:cs="Times New Roman"/>
                <w:color w:val="000000"/>
                <w:sz w:val="24"/>
                <w:szCs w:val="24"/>
                <w:highlight w:val="none"/>
                <w:lang w:val="en-US" w:eastAsia="zh-CN"/>
              </w:rPr>
              <w:t>废气</w:t>
            </w:r>
            <w:r>
              <w:rPr>
                <w:rFonts w:hint="default" w:ascii="Times New Roman" w:hAnsi="Times New Roman" w:cs="Times New Roman"/>
                <w:color w:val="000000"/>
                <w:sz w:val="24"/>
                <w:szCs w:val="24"/>
                <w:highlight w:val="none"/>
                <w:lang w:val="en-US" w:eastAsia="zh-CN"/>
              </w:rPr>
              <w:t>（颗粒物）、</w:t>
            </w:r>
            <w:r>
              <w:rPr>
                <w:rFonts w:hint="default" w:ascii="Times New Roman" w:hAnsi="Times New Roman" w:eastAsia="宋体" w:cs="Times New Roman"/>
                <w:color w:val="000000"/>
                <w:sz w:val="24"/>
                <w:szCs w:val="24"/>
                <w:highlight w:val="none"/>
                <w:lang w:val="en-US" w:eastAsia="zh-CN"/>
              </w:rPr>
              <w:t>焊接</w:t>
            </w:r>
            <w:r>
              <w:rPr>
                <w:rFonts w:hint="default" w:ascii="Times New Roman" w:hAnsi="Times New Roman" w:cs="Times New Roman"/>
                <w:color w:val="000000"/>
                <w:sz w:val="24"/>
                <w:szCs w:val="24"/>
                <w:highlight w:val="none"/>
                <w:lang w:val="en-US" w:eastAsia="zh-CN"/>
              </w:rPr>
              <w:t>过程</w:t>
            </w:r>
            <w:r>
              <w:rPr>
                <w:rFonts w:hint="default" w:ascii="Times New Roman" w:hAnsi="Times New Roman" w:eastAsia="宋体" w:cs="Times New Roman"/>
                <w:color w:val="000000"/>
                <w:sz w:val="24"/>
                <w:szCs w:val="24"/>
                <w:highlight w:val="none"/>
                <w:lang w:val="en-US" w:eastAsia="zh-CN"/>
              </w:rPr>
              <w:t>废气</w:t>
            </w:r>
            <w:r>
              <w:rPr>
                <w:rFonts w:hint="default" w:ascii="Times New Roman" w:hAnsi="Times New Roman" w:cs="Times New Roman"/>
                <w:color w:val="000000"/>
                <w:sz w:val="24"/>
                <w:szCs w:val="24"/>
                <w:highlight w:val="none"/>
                <w:lang w:val="en-US" w:eastAsia="zh-CN"/>
              </w:rPr>
              <w:t>（颗粒物）、</w:t>
            </w:r>
            <w:r>
              <w:rPr>
                <w:rFonts w:hint="default" w:ascii="Times New Roman" w:hAnsi="Times New Roman" w:eastAsia="宋体" w:cs="Times New Roman"/>
                <w:color w:val="000000"/>
                <w:sz w:val="24"/>
                <w:szCs w:val="24"/>
                <w:highlight w:val="none"/>
                <w:lang w:val="en-US" w:eastAsia="zh-CN"/>
              </w:rPr>
              <w:t>抛丸</w:t>
            </w:r>
            <w:r>
              <w:rPr>
                <w:rFonts w:hint="default" w:ascii="Times New Roman" w:hAnsi="Times New Roman" w:cs="Times New Roman"/>
                <w:color w:val="000000"/>
                <w:sz w:val="24"/>
                <w:szCs w:val="24"/>
                <w:highlight w:val="none"/>
                <w:lang w:val="en-US" w:eastAsia="zh-CN"/>
              </w:rPr>
              <w:t>设备</w:t>
            </w:r>
            <w:r>
              <w:rPr>
                <w:rFonts w:hint="default" w:ascii="Times New Roman" w:hAnsi="Times New Roman" w:eastAsia="宋体" w:cs="Times New Roman"/>
                <w:color w:val="000000"/>
                <w:sz w:val="24"/>
                <w:szCs w:val="24"/>
                <w:highlight w:val="none"/>
                <w:lang w:val="en-US" w:eastAsia="zh-CN"/>
              </w:rPr>
              <w:t>废气</w:t>
            </w:r>
            <w:r>
              <w:rPr>
                <w:rFonts w:hint="default" w:ascii="Times New Roman" w:hAnsi="Times New Roman" w:cs="Times New Roman"/>
                <w:color w:val="000000"/>
                <w:sz w:val="24"/>
                <w:szCs w:val="24"/>
                <w:highlight w:val="none"/>
                <w:lang w:val="en-US" w:eastAsia="zh-CN"/>
              </w:rPr>
              <w:t>（颗粒物）、</w:t>
            </w:r>
            <w:r>
              <w:rPr>
                <w:rFonts w:hint="default" w:ascii="Times New Roman" w:hAnsi="Times New Roman" w:eastAsia="宋体" w:cs="Times New Roman"/>
                <w:color w:val="000000"/>
                <w:sz w:val="24"/>
                <w:szCs w:val="24"/>
                <w:highlight w:val="none"/>
                <w:lang w:val="en-US" w:eastAsia="zh-CN"/>
              </w:rPr>
              <w:t>喷漆房废气</w:t>
            </w:r>
            <w:r>
              <w:rPr>
                <w:rFonts w:hint="default" w:ascii="Times New Roman" w:hAnsi="Times New Roman" w:cs="Times New Roman"/>
                <w:color w:val="000000"/>
                <w:sz w:val="24"/>
                <w:szCs w:val="24"/>
                <w:highlight w:val="none"/>
                <w:lang w:val="en-US" w:eastAsia="zh-CN"/>
              </w:rPr>
              <w:t>、</w:t>
            </w:r>
            <w:r>
              <w:rPr>
                <w:rFonts w:hint="default" w:ascii="Times New Roman" w:hAnsi="Times New Roman" w:eastAsia="宋体" w:cs="Times New Roman"/>
                <w:color w:val="000000"/>
                <w:sz w:val="24"/>
                <w:szCs w:val="24"/>
                <w:highlight w:val="none"/>
                <w:lang w:val="en-US" w:eastAsia="zh-CN"/>
              </w:rPr>
              <w:t>食堂油烟。</w:t>
            </w:r>
          </w:p>
          <w:p>
            <w:pPr>
              <w:spacing w:line="480" w:lineRule="exact"/>
              <w:ind w:firstLine="480" w:firstLineChars="200"/>
              <w:rPr>
                <w:rFonts w:hint="default" w:ascii="Times New Roman" w:hAnsi="Times New Roman" w:eastAsia="宋体" w:cs="Times New Roman"/>
                <w:color w:val="000000" w:themeColor="text1"/>
                <w:sz w:val="24"/>
                <w14:textFill>
                  <w14:solidFill>
                    <w14:schemeClr w14:val="tx1"/>
                  </w14:solidFill>
                </w14:textFill>
              </w:rPr>
            </w:pPr>
            <w:r>
              <w:rPr>
                <w:rFonts w:hint="default" w:ascii="Times New Roman" w:hAnsi="Times New Roman" w:eastAsia="宋体" w:cs="Times New Roman"/>
                <w:color w:val="000000" w:themeColor="text1"/>
                <w:sz w:val="24"/>
                <w14:textFill>
                  <w14:solidFill>
                    <w14:schemeClr w14:val="tx1"/>
                  </w14:solidFill>
                </w14:textFill>
              </w:rPr>
              <w:t>(1)颗粒物</w:t>
            </w:r>
          </w:p>
          <w:p>
            <w:pPr>
              <w:pStyle w:val="66"/>
              <w:keepNext w:val="0"/>
              <w:keepLines w:val="0"/>
              <w:pageBreakBefore w:val="0"/>
              <w:widowControl/>
              <w:shd w:val="clear" w:color="auto"/>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sz w:val="24"/>
                <w:szCs w:val="24"/>
                <w:highlight w:val="none"/>
                <w:lang w:eastAsia="zh-CN"/>
              </w:rPr>
            </w:pPr>
            <w:r>
              <w:rPr>
                <w:rFonts w:hint="default" w:ascii="Times New Roman" w:hAnsi="Times New Roman" w:cs="Times New Roman"/>
                <w:color w:val="000000"/>
                <w:sz w:val="24"/>
                <w:szCs w:val="24"/>
                <w:highlight w:val="none"/>
                <w:lang w:val="en-US" w:eastAsia="zh-CN"/>
              </w:rPr>
              <w:t>抛丸设备产生的废气经沉降+旋风除尘+滤筒除尘处理后经一根15m排气筒（DA001）排放，颗粒物有组织排放应满足</w:t>
            </w:r>
            <w:r>
              <w:rPr>
                <w:rFonts w:hint="default" w:ascii="Times New Roman" w:hAnsi="Times New Roman" w:cs="Times New Roman"/>
                <w:color w:val="000000"/>
                <w:sz w:val="24"/>
                <w:szCs w:val="24"/>
                <w:highlight w:val="none"/>
              </w:rPr>
              <w:t>《大气污染物综合排放标准（GB16297-1996）表2</w:t>
            </w:r>
            <w:r>
              <w:rPr>
                <w:rFonts w:hint="default" w:ascii="Times New Roman" w:hAnsi="Times New Roman" w:eastAsia="宋体" w:cs="Times New Roman"/>
                <w:b w:val="0"/>
                <w:bCs/>
                <w:color w:val="000000"/>
                <w:spacing w:val="-3"/>
                <w:sz w:val="24"/>
                <w:szCs w:val="24"/>
                <w:highlight w:val="none"/>
              </w:rPr>
              <w:t>二级</w:t>
            </w:r>
            <w:r>
              <w:rPr>
                <w:rFonts w:hint="default" w:ascii="Times New Roman" w:hAnsi="Times New Roman" w:cs="Times New Roman"/>
                <w:color w:val="000000"/>
                <w:sz w:val="24"/>
                <w:szCs w:val="24"/>
                <w:highlight w:val="none"/>
              </w:rPr>
              <w:t>标准要求</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即</w:t>
            </w:r>
            <w:r>
              <w:rPr>
                <w:rFonts w:hint="default" w:ascii="Times New Roman" w:hAnsi="Times New Roman" w:cs="Times New Roman"/>
                <w:color w:val="000000"/>
                <w:sz w:val="24"/>
                <w:szCs w:val="24"/>
                <w:highlight w:val="none"/>
              </w:rPr>
              <w:t>排放浓度≤120mg/m</w:t>
            </w:r>
            <w:r>
              <w:rPr>
                <w:rFonts w:hint="default" w:ascii="Times New Roman" w:hAnsi="Times New Roman" w:cs="Times New Roman"/>
                <w:color w:val="000000"/>
                <w:sz w:val="24"/>
                <w:szCs w:val="24"/>
                <w:highlight w:val="none"/>
                <w:vertAlign w:val="superscript"/>
              </w:rPr>
              <w:t>3</w:t>
            </w:r>
            <w:r>
              <w:rPr>
                <w:rFonts w:hint="default" w:ascii="Times New Roman" w:hAnsi="Times New Roman" w:cs="Times New Roman"/>
                <w:color w:val="000000"/>
                <w:sz w:val="24"/>
                <w:szCs w:val="24"/>
                <w:highlight w:val="none"/>
              </w:rPr>
              <w:t>、排放速率≤3.5kg/h</w:t>
            </w:r>
            <w:r>
              <w:rPr>
                <w:rFonts w:hint="default" w:ascii="Times New Roman" w:hAnsi="Times New Roman" w:cs="Times New Roman"/>
                <w:color w:val="000000"/>
                <w:sz w:val="24"/>
                <w:szCs w:val="24"/>
                <w:highlight w:val="none"/>
                <w:lang w:eastAsia="zh-CN"/>
              </w:rPr>
              <w:t>。</w:t>
            </w:r>
          </w:p>
          <w:p>
            <w:pPr>
              <w:pStyle w:val="66"/>
              <w:keepNext w:val="0"/>
              <w:keepLines w:val="0"/>
              <w:pageBreakBefore w:val="0"/>
              <w:widowControl/>
              <w:shd w:val="clear" w:color="auto"/>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lang w:val="en-US" w:eastAsia="zh-CN"/>
              </w:rPr>
              <w:t>本项目下料及焊接过程产生的废气由移动式焊烟净化器处理后无组织排放。</w:t>
            </w:r>
            <w:r>
              <w:rPr>
                <w:rFonts w:hint="default" w:ascii="Times New Roman" w:hAnsi="Times New Roman" w:cs="Times New Roman"/>
                <w:bCs/>
                <w:color w:val="000000"/>
                <w:sz w:val="24"/>
                <w:szCs w:val="24"/>
                <w:highlight w:val="none"/>
                <w:lang w:val="en-US" w:eastAsia="zh-CN"/>
              </w:rPr>
              <w:t>项目采取厂房密闭、定期清扫、洒水抑尘措施抑制无组织颗粒物排放，</w:t>
            </w:r>
            <w:r>
              <w:rPr>
                <w:rFonts w:hint="default" w:ascii="Times New Roman" w:hAnsi="Times New Roman" w:cs="Times New Roman"/>
                <w:color w:val="000000"/>
                <w:kern w:val="2"/>
                <w:sz w:val="24"/>
                <w:szCs w:val="24"/>
                <w:highlight w:val="none"/>
                <w:vertAlign w:val="baseline"/>
                <w:lang w:val="en-US" w:eastAsia="zh-CN" w:bidi="ar-SA"/>
              </w:rPr>
              <w:t>厂界无组织颗粒物满足</w:t>
            </w:r>
            <w:r>
              <w:rPr>
                <w:rFonts w:hint="default" w:ascii="Times New Roman" w:hAnsi="Times New Roman" w:cs="Times New Roman"/>
                <w:color w:val="000000"/>
                <w:sz w:val="24"/>
                <w:szCs w:val="24"/>
                <w:highlight w:val="none"/>
              </w:rPr>
              <w:t>《大气污染物综合排放标准</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rPr>
              <w:t>（GB16297-1996）表2颗粒物无组织排放监控浓度限值</w:t>
            </w:r>
            <w:r>
              <w:rPr>
                <w:rFonts w:hint="default" w:ascii="Times New Roman" w:hAnsi="Times New Roman" w:eastAsia="宋体" w:cs="Times New Roman"/>
                <w:color w:val="000000"/>
                <w:sz w:val="24"/>
                <w:szCs w:val="24"/>
                <w:highlight w:val="none"/>
                <w:lang w:val="en-US" w:eastAsia="zh-CN"/>
              </w:rPr>
              <w:t>及《秦皇岛市人民政府办公室关于执行钢铁等行业大气污染物排放特别要求的通知》（[2021]-10）中无组织排放浓度特别管控要求</w:t>
            </w: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即</w:t>
            </w:r>
            <w:r>
              <w:rPr>
                <w:rFonts w:hint="default" w:ascii="Times New Roman" w:hAnsi="Times New Roman" w:cs="Times New Roman"/>
                <w:color w:val="000000"/>
                <w:sz w:val="24"/>
                <w:szCs w:val="24"/>
                <w:highlight w:val="none"/>
              </w:rPr>
              <w:t>颗粒物</w:t>
            </w:r>
            <w:r>
              <w:rPr>
                <w:rFonts w:hint="default" w:ascii="Times New Roman" w:hAnsi="Times New Roman" w:cs="Times New Roman"/>
                <w:color w:val="000000"/>
                <w:sz w:val="24"/>
                <w:szCs w:val="24"/>
                <w:highlight w:val="none"/>
                <w:lang w:val="en-US" w:eastAsia="zh-CN"/>
              </w:rPr>
              <w:t>0.3</w:t>
            </w:r>
            <w:r>
              <w:rPr>
                <w:rFonts w:hint="default" w:ascii="Times New Roman" w:hAnsi="Times New Roman" w:cs="Times New Roman"/>
                <w:color w:val="000000"/>
                <w:sz w:val="24"/>
                <w:szCs w:val="24"/>
                <w:highlight w:val="none"/>
              </w:rPr>
              <w:t>mg/m</w:t>
            </w:r>
            <w:r>
              <w:rPr>
                <w:rFonts w:hint="default" w:ascii="Times New Roman" w:hAnsi="Times New Roman" w:cs="Times New Roman"/>
                <w:color w:val="000000"/>
                <w:sz w:val="24"/>
                <w:szCs w:val="24"/>
                <w:highlight w:val="none"/>
                <w:vertAlign w:val="superscript"/>
              </w:rPr>
              <w:t>3</w:t>
            </w:r>
            <w:r>
              <w:rPr>
                <w:rFonts w:hint="default" w:ascii="Times New Roman" w:hAnsi="Times New Roman" w:cs="Times New Roman"/>
                <w:color w:val="000000"/>
                <w:sz w:val="24"/>
                <w:szCs w:val="24"/>
                <w:highlight w:val="none"/>
              </w:rPr>
              <w:t>。</w:t>
            </w:r>
          </w:p>
          <w:p>
            <w:pPr>
              <w:spacing w:line="480" w:lineRule="exact"/>
              <w:ind w:firstLine="480" w:firstLineChars="200"/>
              <w:rPr>
                <w:rFonts w:hint="default" w:ascii="Times New Roman" w:hAnsi="Times New Roman" w:eastAsia="宋体" w:cs="Times New Roman"/>
                <w:color w:val="000000" w:themeColor="text1"/>
                <w:sz w:val="24"/>
                <w14:textFill>
                  <w14:solidFill>
                    <w14:schemeClr w14:val="tx1"/>
                  </w14:solidFill>
                </w14:textFill>
              </w:rPr>
            </w:pPr>
            <w:r>
              <w:rPr>
                <w:rFonts w:hint="default" w:ascii="Times New Roman" w:hAnsi="Times New Roman" w:cs="Times New Roman"/>
                <w:color w:val="000000" w:themeColor="text1"/>
                <w:sz w:val="24"/>
                <w:lang w:val="en-US" w:eastAsia="zh-CN"/>
                <w14:textFill>
                  <w14:solidFill>
                    <w14:schemeClr w14:val="tx1"/>
                  </w14:solidFill>
                </w14:textFill>
              </w:rPr>
              <w:t>本项目抛丸过程产生的颗粒物</w:t>
            </w:r>
            <w:r>
              <w:rPr>
                <w:rFonts w:hint="default" w:ascii="Times New Roman" w:hAnsi="Times New Roman" w:eastAsia="宋体" w:cs="Times New Roman"/>
                <w:color w:val="000000" w:themeColor="text1"/>
                <w:sz w:val="24"/>
                <w14:textFill>
                  <w14:solidFill>
                    <w14:schemeClr w14:val="tx1"/>
                  </w14:solidFill>
                </w14:textFill>
              </w:rPr>
              <w:t>有组织排放浓度执行《大气污染物综合排放标准》（GB16297-1996）“表2 新污染源大气污染物排放限值”中颗粒物的最高允许排放浓度限值要求，排放速率执行《大气污染物综合排放标准》（GB16297-1996）“表2 新污染源大气污染物排放限值”中颗粒物的相应高度排气筒二级排放速率限值要求；</w:t>
            </w:r>
            <w:r>
              <w:rPr>
                <w:rFonts w:hint="default" w:ascii="Times New Roman" w:hAnsi="Times New Roman" w:cs="Times New Roman"/>
                <w:color w:val="000000" w:themeColor="text1"/>
                <w:sz w:val="24"/>
                <w:lang w:val="en-US" w:eastAsia="zh-CN"/>
                <w14:textFill>
                  <w14:solidFill>
                    <w14:schemeClr w14:val="tx1"/>
                  </w14:solidFill>
                </w14:textFill>
              </w:rPr>
              <w:t>本项目抛丸过程产生的颗粒物</w:t>
            </w:r>
            <w:r>
              <w:rPr>
                <w:rFonts w:hint="default" w:ascii="Times New Roman" w:hAnsi="Times New Roman" w:eastAsia="宋体" w:cs="Times New Roman"/>
                <w:color w:val="000000" w:themeColor="text1"/>
                <w:sz w:val="24"/>
                <w14:textFill>
                  <w14:solidFill>
                    <w14:schemeClr w14:val="tx1"/>
                  </w14:solidFill>
                </w14:textFill>
              </w:rPr>
              <w:t>无组织排放执行《大气污染物综合排放标准》（GB16297-1996）“表2 新污染源大气污染物排放限值”中的无组织排放监控浓度限值要求及《秦皇岛市人民政府办公室关于执行钢铁等行业大气污染物排放特别要求的通知》（[2021]-10）中全市工业企业厂界执行无组织排放浓度特别管控要求0.3mg/m</w:t>
            </w:r>
            <w:r>
              <w:rPr>
                <w:rFonts w:hint="default" w:ascii="Times New Roman" w:hAnsi="Times New Roman" w:eastAsia="宋体" w:cs="Times New Roman"/>
                <w:color w:val="000000" w:themeColor="text1"/>
                <w:sz w:val="24"/>
                <w:vertAlign w:val="superscript"/>
                <w14:textFill>
                  <w14:solidFill>
                    <w14:schemeClr w14:val="tx1"/>
                  </w14:solidFill>
                </w14:textFill>
              </w:rPr>
              <w:t>3</w:t>
            </w:r>
            <w:r>
              <w:rPr>
                <w:rFonts w:hint="default" w:ascii="Times New Roman" w:hAnsi="Times New Roman" w:eastAsia="宋体" w:cs="Times New Roman"/>
                <w:color w:val="000000" w:themeColor="text1"/>
                <w:sz w:val="24"/>
                <w14:textFill>
                  <w14:solidFill>
                    <w14:schemeClr w14:val="tx1"/>
                  </w14:solidFill>
                </w14:textFill>
              </w:rPr>
              <w:t>。</w:t>
            </w:r>
          </w:p>
          <w:p>
            <w:pPr>
              <w:spacing w:line="480" w:lineRule="exact"/>
              <w:ind w:firstLine="480" w:firstLineChars="200"/>
              <w:rPr>
                <w:rFonts w:hint="default" w:ascii="Times New Roman" w:hAnsi="Times New Roman" w:eastAsia="宋体" w:cs="Times New Roman"/>
                <w:color w:val="000000" w:themeColor="text1"/>
                <w:sz w:val="24"/>
                <w:vertAlign w:val="baseline"/>
                <w14:textFill>
                  <w14:solidFill>
                    <w14:schemeClr w14:val="tx1"/>
                  </w14:solidFill>
                </w14:textFill>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本项目喷漆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颗粒物有组织排放浓度满足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《大气污染物综合排放标准》（GB16297-1996）表2中颗粒物染料尘限值</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18</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vertAlign w:val="baseline"/>
                <w:lang w:val="en-US" w:eastAsia="zh-CN"/>
                <w14:textFill>
                  <w14:solidFill>
                    <w14:schemeClr w14:val="tx1"/>
                  </w14:solidFill>
                </w14:textFill>
              </w:rPr>
              <w:t>。</w:t>
            </w:r>
          </w:p>
          <w:p>
            <w:pPr>
              <w:spacing w:line="480" w:lineRule="exact"/>
              <w:ind w:firstLine="480" w:firstLineChars="200"/>
              <w:rPr>
                <w:rFonts w:hint="default" w:ascii="Times New Roman" w:hAnsi="Times New Roman" w:eastAsia="宋体" w:cs="Times New Roman"/>
                <w:color w:val="000000" w:themeColor="text1"/>
                <w:sz w:val="24"/>
                <w14:textFill>
                  <w14:solidFill>
                    <w14:schemeClr w14:val="tx1"/>
                  </w14:solidFill>
                </w14:textFill>
              </w:rPr>
            </w:pPr>
            <w:r>
              <w:rPr>
                <w:rFonts w:hint="default" w:ascii="Times New Roman" w:hAnsi="Times New Roman" w:eastAsia="宋体" w:cs="Times New Roman"/>
                <w:color w:val="000000" w:themeColor="text1"/>
                <w:sz w:val="24"/>
                <w14:textFill>
                  <w14:solidFill>
                    <w14:schemeClr w14:val="tx1"/>
                  </w14:solidFill>
                </w14:textFill>
              </w:rPr>
              <w:t>颗粒物排放标准见表3-</w:t>
            </w:r>
            <w:r>
              <w:rPr>
                <w:rFonts w:hint="default" w:ascii="Times New Roman" w:hAnsi="Times New Roman" w:cs="Times New Roman"/>
                <w:color w:val="000000" w:themeColor="text1"/>
                <w:sz w:val="24"/>
                <w:lang w:val="en-US" w:eastAsia="zh-CN"/>
                <w14:textFill>
                  <w14:solidFill>
                    <w14:schemeClr w14:val="tx1"/>
                  </w14:solidFill>
                </w14:textFill>
              </w:rPr>
              <w:t>5</w:t>
            </w:r>
            <w:r>
              <w:rPr>
                <w:rFonts w:hint="default" w:ascii="Times New Roman" w:hAnsi="Times New Roman" w:eastAsia="宋体" w:cs="Times New Roman"/>
                <w:color w:val="000000" w:themeColor="text1"/>
                <w:sz w:val="24"/>
                <w14:textFill>
                  <w14:solidFill>
                    <w14:schemeClr w14:val="tx1"/>
                  </w14:solidFill>
                </w14:textFill>
              </w:rPr>
              <w:t>。</w:t>
            </w:r>
          </w:p>
          <w:p>
            <w:pPr>
              <w:spacing w:line="480" w:lineRule="exact"/>
              <w:jc w:val="center"/>
              <w:rPr>
                <w:rFonts w:hint="default" w:ascii="Times New Roman" w:hAnsi="Times New Roman" w:eastAsia="宋体" w:cs="Times New Roman"/>
                <w:b/>
                <w:bCs/>
                <w:color w:val="000000" w:themeColor="text1"/>
                <w:sz w:val="24"/>
                <w14:textFill>
                  <w14:solidFill>
                    <w14:schemeClr w14:val="tx1"/>
                  </w14:solidFill>
                </w14:textFill>
              </w:rPr>
            </w:pPr>
            <w:r>
              <w:rPr>
                <w:rFonts w:hint="default" w:ascii="Times New Roman" w:hAnsi="Times New Roman" w:eastAsia="宋体" w:cs="Times New Roman"/>
                <w:b/>
                <w:bCs/>
                <w:color w:val="000000" w:themeColor="text1"/>
                <w:sz w:val="24"/>
                <w14:textFill>
                  <w14:solidFill>
                    <w14:schemeClr w14:val="tx1"/>
                  </w14:solidFill>
                </w14:textFill>
              </w:rPr>
              <w:t>表3-</w:t>
            </w:r>
            <w:r>
              <w:rPr>
                <w:rFonts w:hint="default" w:ascii="Times New Roman" w:hAnsi="Times New Roman" w:cs="Times New Roman"/>
                <w:b/>
                <w:bCs/>
                <w:color w:val="000000" w:themeColor="text1"/>
                <w:sz w:val="24"/>
                <w:lang w:val="en-US" w:eastAsia="zh-CN"/>
                <w14:textFill>
                  <w14:solidFill>
                    <w14:schemeClr w14:val="tx1"/>
                  </w14:solidFill>
                </w14:textFill>
              </w:rPr>
              <w:t>5</w:t>
            </w:r>
            <w:r>
              <w:rPr>
                <w:rFonts w:hint="default" w:ascii="Times New Roman" w:hAnsi="Times New Roman" w:eastAsia="宋体" w:cs="Times New Roman"/>
                <w:b/>
                <w:bCs/>
                <w:color w:val="000000" w:themeColor="text1"/>
                <w:sz w:val="24"/>
                <w14:textFill>
                  <w14:solidFill>
                    <w14:schemeClr w14:val="tx1"/>
                  </w14:solidFill>
                </w14:textFill>
              </w:rPr>
              <w:t xml:space="preserve">    颗粒物排放标准一览表</w:t>
            </w:r>
          </w:p>
          <w:tbl>
            <w:tblPr>
              <w:tblStyle w:val="32"/>
              <w:tblW w:w="49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35"/>
              <w:gridCol w:w="649"/>
              <w:gridCol w:w="787"/>
              <w:gridCol w:w="2186"/>
              <w:gridCol w:w="746"/>
              <w:gridCol w:w="879"/>
              <w:gridCol w:w="2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17" w:hRule="atLeast"/>
                <w:jc w:val="center"/>
              </w:trPr>
              <w:tc>
                <w:tcPr>
                  <w:tcW w:w="713" w:type="pct"/>
                  <w:gridSpan w:val="2"/>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污染物名称</w:t>
                  </w:r>
                </w:p>
              </w:tc>
              <w:tc>
                <w:tcPr>
                  <w:tcW w:w="2240" w:type="pct"/>
                  <w:gridSpan w:val="3"/>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排放标准值</w:t>
                  </w:r>
                </w:p>
              </w:tc>
              <w:tc>
                <w:tcPr>
                  <w:tcW w:w="529" w:type="pct"/>
                  <w:shd w:val="clear" w:color="auto" w:fill="auto"/>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firstLineChars="0"/>
                    <w:jc w:val="center"/>
                    <w:textAlignment w:val="auto"/>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单位</w:t>
                  </w:r>
                </w:p>
              </w:tc>
              <w:tc>
                <w:tcPr>
                  <w:tcW w:w="1516"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标准名称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87" w:hRule="atLeast"/>
                <w:jc w:val="center"/>
              </w:trPr>
              <w:tc>
                <w:tcPr>
                  <w:tcW w:w="322" w:type="pct"/>
                  <w:vMerge w:val="restar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颗粒物</w:t>
                  </w:r>
                </w:p>
              </w:tc>
              <w:tc>
                <w:tcPr>
                  <w:tcW w:w="390" w:type="pct"/>
                  <w:vMerge w:val="restar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有组织</w:t>
                  </w:r>
                </w:p>
              </w:tc>
              <w:tc>
                <w:tcPr>
                  <w:tcW w:w="474" w:type="pct"/>
                  <w:vMerge w:val="restar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废气排放口</w:t>
                  </w:r>
                </w:p>
              </w:tc>
              <w:tc>
                <w:tcPr>
                  <w:tcW w:w="1317"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w:t>
                  </w:r>
                </w:p>
              </w:tc>
              <w:tc>
                <w:tcPr>
                  <w:tcW w:w="449"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120</w:t>
                  </w:r>
                </w:p>
              </w:tc>
              <w:tc>
                <w:tcPr>
                  <w:tcW w:w="529" w:type="pct"/>
                  <w:tcBorders>
                    <w:top w:val="single" w:color="auto" w:sz="6" w:space="0"/>
                    <w:bottom w:val="single" w:color="auto" w:sz="4" w:space="0"/>
                  </w:tcBorders>
                  <w:shd w:val="clear" w:color="auto" w:fill="auto"/>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firstLineChars="0"/>
                    <w:jc w:val="center"/>
                    <w:textAlignment w:val="auto"/>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516" w:type="pct"/>
                  <w:vMerge w:val="restart"/>
                  <w:tcBorders>
                    <w:top w:val="single" w:color="auto" w:sz="6" w:space="0"/>
                  </w:tcBorders>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《大气污染物综合排放标准》（GB16297-1996）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322"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390"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474"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1317"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15m高排气筒（</w:t>
                  </w:r>
                  <w:r>
                    <w:rPr>
                      <w:rFonts w:hint="default" w:ascii="Times New Roman" w:hAnsi="Times New Roman" w:cs="Times New Roman"/>
                      <w:color w:val="000000" w:themeColor="text1"/>
                      <w:sz w:val="21"/>
                      <w:szCs w:val="21"/>
                      <w:lang w:val="en-US" w:eastAsia="zh-CN"/>
                      <w14:textFill>
                        <w14:solidFill>
                          <w14:schemeClr w14:val="tx1"/>
                        </w14:solidFill>
                      </w14:textFill>
                    </w:rPr>
                    <w:t>DA001</w:t>
                  </w:r>
                  <w:r>
                    <w:rPr>
                      <w:rFonts w:hint="default" w:ascii="Times New Roman" w:hAnsi="Times New Roman" w:cs="Times New Roman"/>
                      <w:color w:val="000000" w:themeColor="text1"/>
                      <w:sz w:val="21"/>
                      <w:szCs w:val="21"/>
                      <w14:textFill>
                        <w14:solidFill>
                          <w14:schemeClr w14:val="tx1"/>
                        </w14:solidFill>
                      </w14:textFill>
                    </w:rPr>
                    <w:t>）</w:t>
                  </w:r>
                </w:p>
              </w:tc>
              <w:tc>
                <w:tcPr>
                  <w:tcW w:w="449"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3.5</w:t>
                  </w:r>
                </w:p>
              </w:tc>
              <w:tc>
                <w:tcPr>
                  <w:tcW w:w="529" w:type="pct"/>
                  <w:tcBorders>
                    <w:top w:val="single" w:color="auto" w:sz="6" w:space="0"/>
                    <w:bottom w:val="single" w:color="auto" w:sz="4" w:space="0"/>
                  </w:tcBorders>
                  <w:shd w:val="clear" w:color="auto" w:fill="auto"/>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firstLineChars="0"/>
                    <w:jc w:val="center"/>
                    <w:textAlignment w:val="auto"/>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kg/h</w:t>
                  </w:r>
                </w:p>
              </w:tc>
              <w:tc>
                <w:tcPr>
                  <w:tcW w:w="1516"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40" w:hRule="atLeast"/>
                <w:jc w:val="center"/>
              </w:trPr>
              <w:tc>
                <w:tcPr>
                  <w:tcW w:w="322"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390"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474"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1317"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15m高排气筒（</w:t>
                  </w:r>
                  <w:r>
                    <w:rPr>
                      <w:rFonts w:hint="default" w:ascii="Times New Roman" w:hAnsi="Times New Roman" w:cs="Times New Roman"/>
                      <w:color w:val="000000" w:themeColor="text1"/>
                      <w:sz w:val="21"/>
                      <w:szCs w:val="21"/>
                      <w:lang w:val="en-US" w:eastAsia="zh-CN"/>
                      <w14:textFill>
                        <w14:solidFill>
                          <w14:schemeClr w14:val="tx1"/>
                        </w14:solidFill>
                      </w14:textFill>
                    </w:rPr>
                    <w:t>DA002</w:t>
                  </w:r>
                  <w:r>
                    <w:rPr>
                      <w:rFonts w:hint="default" w:ascii="Times New Roman" w:hAnsi="Times New Roman" w:cs="Times New Roman"/>
                      <w:color w:val="000000" w:themeColor="text1"/>
                      <w:sz w:val="21"/>
                      <w:szCs w:val="21"/>
                      <w14:textFill>
                        <w14:solidFill>
                          <w14:schemeClr w14:val="tx1"/>
                        </w14:solidFill>
                      </w14:textFill>
                    </w:rPr>
                    <w:t>）</w:t>
                  </w:r>
                </w:p>
              </w:tc>
              <w:tc>
                <w:tcPr>
                  <w:tcW w:w="449"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18</w:t>
                  </w:r>
                </w:p>
              </w:tc>
              <w:tc>
                <w:tcPr>
                  <w:tcW w:w="529" w:type="pct"/>
                  <w:tcBorders>
                    <w:top w:val="single" w:color="auto" w:sz="6" w:space="0"/>
                    <w:bottom w:val="single" w:color="auto" w:sz="4" w:space="0"/>
                  </w:tcBorders>
                  <w:shd w:val="clear" w:color="auto" w:fill="auto"/>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firstLineChars="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516"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3" w:hRule="atLeast"/>
                <w:jc w:val="center"/>
              </w:trPr>
              <w:tc>
                <w:tcPr>
                  <w:tcW w:w="322"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390" w:type="pct"/>
                  <w:vMerge w:val="restar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无组织</w:t>
                  </w:r>
                </w:p>
              </w:tc>
              <w:tc>
                <w:tcPr>
                  <w:tcW w:w="1791" w:type="pct"/>
                  <w:gridSpan w:val="2"/>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单位周界无组织排放监控点浓度限值</w:t>
                  </w:r>
                </w:p>
              </w:tc>
              <w:tc>
                <w:tcPr>
                  <w:tcW w:w="449"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1.0</w:t>
                  </w:r>
                </w:p>
              </w:tc>
              <w:tc>
                <w:tcPr>
                  <w:tcW w:w="529" w:type="pct"/>
                  <w:tcBorders>
                    <w:top w:val="single" w:color="auto" w:sz="6" w:space="0"/>
                    <w:bottom w:val="single" w:color="auto" w:sz="6" w:space="0"/>
                  </w:tcBorders>
                  <w:shd w:val="clear" w:color="auto" w:fill="auto"/>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firstLineChars="0"/>
                    <w:jc w:val="center"/>
                    <w:textAlignment w:val="auto"/>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516" w:type="pct"/>
                  <w:vMerge w:val="continue"/>
                  <w:tcBorders>
                    <w:bottom w:val="single" w:color="auto" w:sz="6" w:space="0"/>
                  </w:tcBorders>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38" w:hRule="atLeast"/>
                <w:jc w:val="center"/>
              </w:trPr>
              <w:tc>
                <w:tcPr>
                  <w:tcW w:w="322"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390" w:type="pct"/>
                  <w:vMerge w:val="continue"/>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1791" w:type="pct"/>
                  <w:gridSpan w:val="2"/>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工业企业厂界执行无组织排放浓度特别管控要求</w:t>
                  </w:r>
                </w:p>
              </w:tc>
              <w:tc>
                <w:tcPr>
                  <w:tcW w:w="449" w:type="pct"/>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0.3</w:t>
                  </w:r>
                </w:p>
              </w:tc>
              <w:tc>
                <w:tcPr>
                  <w:tcW w:w="529" w:type="pct"/>
                  <w:tcBorders>
                    <w:top w:val="single" w:color="auto" w:sz="6" w:space="0"/>
                    <w:bottom w:val="single" w:color="auto" w:sz="6" w:space="0"/>
                  </w:tcBorders>
                  <w:shd w:val="clear" w:color="auto" w:fill="auto"/>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firstLineChars="0"/>
                    <w:jc w:val="center"/>
                    <w:textAlignment w:val="auto"/>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516" w:type="pct"/>
                  <w:tcBorders>
                    <w:top w:val="single" w:color="auto" w:sz="6" w:space="0"/>
                    <w:bottom w:val="single" w:color="auto" w:sz="6" w:space="0"/>
                  </w:tcBorders>
                  <w:vAlign w:val="center"/>
                </w:tcPr>
                <w:p>
                  <w:pPr>
                    <w:pStyle w:val="53"/>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jc w:val="center"/>
                    <w:textAlignment w:val="auto"/>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《秦皇岛市人民政府办公室关于执行钢铁等行业大气污染物排放特别要求的通知》（[2021]-10）</w:t>
                  </w:r>
                </w:p>
              </w:tc>
            </w:tr>
          </w:tbl>
          <w:p>
            <w:pPr>
              <w:spacing w:line="480" w:lineRule="exact"/>
              <w:ind w:firstLine="480" w:firstLineChars="200"/>
              <w:rPr>
                <w:rFonts w:hint="default" w:ascii="Times New Roman" w:hAnsi="Times New Roman" w:eastAsia="宋体" w:cs="Times New Roman"/>
                <w:color w:val="000000" w:themeColor="text1"/>
                <w:sz w:val="24"/>
                <w:lang w:val="en-US" w:eastAsia="zh-CN"/>
                <w14:textFill>
                  <w14:solidFill>
                    <w14:schemeClr w14:val="tx1"/>
                  </w14:solidFill>
                </w14:textFill>
              </w:rPr>
            </w:pPr>
            <w:r>
              <w:rPr>
                <w:rFonts w:hint="default" w:ascii="Times New Roman" w:hAnsi="Times New Roman" w:eastAsia="宋体" w:cs="Times New Roman"/>
                <w:color w:val="000000" w:themeColor="text1"/>
                <w:sz w:val="24"/>
                <w14:textFill>
                  <w14:solidFill>
                    <w14:schemeClr w14:val="tx1"/>
                  </w14:solidFill>
                </w14:textFill>
              </w:rPr>
              <w:t>(2)</w:t>
            </w:r>
            <w:r>
              <w:rPr>
                <w:rFonts w:hint="default" w:ascii="Times New Roman" w:hAnsi="Times New Roman" w:cs="Times New Roman"/>
                <w:color w:val="000000" w:themeColor="text1"/>
                <w:sz w:val="24"/>
                <w:lang w:val="en-US" w:eastAsia="zh-CN"/>
                <w14:textFill>
                  <w14:solidFill>
                    <w14:schemeClr w14:val="tx1"/>
                  </w14:solidFill>
                </w14:textFill>
              </w:rPr>
              <w:t>VOCs</w:t>
            </w:r>
          </w:p>
          <w:p>
            <w:pPr>
              <w:spacing w:line="480" w:lineRule="exact"/>
              <w:ind w:firstLine="480" w:firstLineChars="200"/>
              <w:rPr>
                <w:rFonts w:hint="default" w:ascii="Times New Roman" w:hAnsi="Times New Roman" w:eastAsia="宋体" w:cs="Times New Roman"/>
                <w:color w:val="000000" w:themeColor="text1"/>
                <w:sz w:val="24"/>
                <w14:textFill>
                  <w14:solidFill>
                    <w14:schemeClr w14:val="tx1"/>
                  </w14:solidFill>
                </w14:textFill>
              </w:rPr>
            </w:pPr>
            <w:r>
              <w:rPr>
                <w:rFonts w:hint="default" w:ascii="Times New Roman" w:hAnsi="Times New Roman" w:eastAsia="宋体" w:cs="Times New Roman"/>
                <w:color w:val="000000" w:themeColor="text1"/>
                <w:sz w:val="24"/>
                <w:lang w:val="en-US" w:eastAsia="zh-CN"/>
                <w14:textFill>
                  <w14:solidFill>
                    <w14:schemeClr w14:val="tx1"/>
                  </w14:solidFill>
                </w14:textFill>
              </w:rPr>
              <w:t>本项目喷漆房</w:t>
            </w:r>
            <w:r>
              <w:rPr>
                <w:rFonts w:hint="default" w:ascii="Times New Roman" w:hAnsi="Times New Roman" w:eastAsia="宋体" w:cs="Times New Roman"/>
                <w:color w:val="000000" w:themeColor="text1"/>
                <w:sz w:val="24"/>
                <w14:textFill>
                  <w14:solidFill>
                    <w14:schemeClr w14:val="tx1"/>
                  </w14:solidFill>
                </w14:textFill>
              </w:rPr>
              <w:t>废气</w:t>
            </w:r>
            <w:r>
              <w:rPr>
                <w:rFonts w:hint="default" w:ascii="Times New Roman" w:hAnsi="Times New Roman" w:cs="Times New Roman"/>
                <w:color w:val="000000" w:themeColor="text1"/>
                <w:sz w:val="24"/>
                <w:lang w:val="en-US" w:eastAsia="zh-CN"/>
                <w14:textFill>
                  <w14:solidFill>
                    <w14:schemeClr w14:val="tx1"/>
                  </w14:solidFill>
                </w14:textFill>
              </w:rPr>
              <w:t>VOCs</w:t>
            </w:r>
            <w:r>
              <w:rPr>
                <w:rFonts w:hint="default" w:ascii="Times New Roman" w:hAnsi="Times New Roman" w:eastAsia="宋体" w:cs="Times New Roman"/>
                <w:color w:val="000000" w:themeColor="text1"/>
                <w:sz w:val="24"/>
                <w14:textFill>
                  <w14:solidFill>
                    <w14:schemeClr w14:val="tx1"/>
                  </w14:solidFill>
                </w14:textFill>
              </w:rPr>
              <w:t>有组织排放浓度执行《工业企业挥发性有机物排放控制标准》（DB13/2322-2016）“表1 大气污染物排放限值”中</w:t>
            </w:r>
            <w:r>
              <w:rPr>
                <w:rFonts w:hint="default" w:ascii="Times New Roman" w:hAnsi="Times New Roman" w:eastAsia="宋体" w:cs="Times New Roman"/>
                <w:color w:val="000000" w:themeColor="text1"/>
                <w:sz w:val="24"/>
                <w:lang w:val="en-US" w:eastAsia="zh-CN"/>
                <w14:textFill>
                  <w14:solidFill>
                    <w14:schemeClr w14:val="tx1"/>
                  </w14:solidFill>
                </w14:textFill>
              </w:rPr>
              <w:t>表面涂装</w:t>
            </w:r>
            <w:r>
              <w:rPr>
                <w:rFonts w:hint="default" w:ascii="Times New Roman" w:hAnsi="Times New Roman" w:eastAsia="宋体" w:cs="Times New Roman"/>
                <w:color w:val="000000" w:themeColor="text1"/>
                <w:sz w:val="24"/>
                <w14:textFill>
                  <w14:solidFill>
                    <w14:schemeClr w14:val="tx1"/>
                  </w14:solidFill>
                </w14:textFill>
              </w:rPr>
              <w:t>业最高允许排放浓度限值要求；</w:t>
            </w:r>
            <w:r>
              <w:rPr>
                <w:rFonts w:hint="default" w:ascii="Times New Roman" w:hAnsi="Times New Roman" w:eastAsia="宋体" w:cs="Times New Roman"/>
                <w:color w:val="000000" w:themeColor="text1"/>
                <w:sz w:val="24"/>
                <w:lang w:val="en-US" w:eastAsia="zh-CN"/>
                <w14:textFill>
                  <w14:solidFill>
                    <w14:schemeClr w14:val="tx1"/>
                  </w14:solidFill>
                </w14:textFill>
              </w:rPr>
              <w:t>本项目喷漆房</w:t>
            </w:r>
            <w:r>
              <w:rPr>
                <w:rFonts w:hint="default" w:ascii="Times New Roman" w:hAnsi="Times New Roman" w:eastAsia="宋体" w:cs="Times New Roman"/>
                <w:color w:val="000000" w:themeColor="text1"/>
                <w:sz w:val="24"/>
                <w14:textFill>
                  <w14:solidFill>
                    <w14:schemeClr w14:val="tx1"/>
                  </w14:solidFill>
                </w14:textFill>
              </w:rPr>
              <w:t>废气</w:t>
            </w:r>
            <w:r>
              <w:rPr>
                <w:rFonts w:hint="default" w:ascii="Times New Roman" w:hAnsi="Times New Roman" w:cs="Times New Roman"/>
                <w:color w:val="000000" w:themeColor="text1"/>
                <w:sz w:val="24"/>
                <w:lang w:val="en-US" w:eastAsia="zh-CN"/>
                <w14:textFill>
                  <w14:solidFill>
                    <w14:schemeClr w14:val="tx1"/>
                  </w14:solidFill>
                </w14:textFill>
              </w:rPr>
              <w:t>VOCs</w:t>
            </w:r>
            <w:r>
              <w:rPr>
                <w:rFonts w:hint="default" w:ascii="Times New Roman" w:hAnsi="Times New Roman" w:eastAsia="宋体" w:cs="Times New Roman"/>
                <w:color w:val="000000" w:themeColor="text1"/>
                <w:sz w:val="24"/>
                <w14:textFill>
                  <w14:solidFill>
                    <w14:schemeClr w14:val="tx1"/>
                  </w14:solidFill>
                </w14:textFill>
              </w:rPr>
              <w:t>无组织排放执行《工业企业挥发性有机物排放控制标准》（DB13/2322-2016）“表2 企业边界大气污染物浓度限值”要求</w:t>
            </w:r>
            <w:r>
              <w:rPr>
                <w:rFonts w:hint="default" w:ascii="Times New Roman" w:hAnsi="Times New Roman" w:eastAsia="宋体" w:cs="Times New Roman"/>
                <w:color w:val="000000" w:themeColor="text1"/>
                <w:sz w:val="24"/>
                <w:lang w:eastAsia="zh-CN"/>
                <w14:textFill>
                  <w14:solidFill>
                    <w14:schemeClr w14:val="tx1"/>
                  </w14:solidFill>
                </w14:textFill>
              </w:rPr>
              <w:t>，厂区内VOCs无组织排放</w:t>
            </w:r>
            <w:r>
              <w:rPr>
                <w:rFonts w:hint="default" w:ascii="Times New Roman" w:hAnsi="Times New Roman" w:eastAsia="宋体" w:cs="Times New Roman"/>
                <w:color w:val="000000" w:themeColor="text1"/>
                <w:sz w:val="24"/>
                <w:lang w:val="en-US" w:eastAsia="zh-CN"/>
                <w14:textFill>
                  <w14:solidFill>
                    <w14:schemeClr w14:val="tx1"/>
                  </w14:solidFill>
                </w14:textFill>
              </w:rPr>
              <w:t>执行</w:t>
            </w:r>
            <w:r>
              <w:rPr>
                <w:rFonts w:hint="default" w:ascii="Times New Roman" w:hAnsi="Times New Roman" w:eastAsia="宋体" w:cs="Times New Roman"/>
                <w:color w:val="000000" w:themeColor="text1"/>
                <w:sz w:val="24"/>
                <w14:textFill>
                  <w14:solidFill>
                    <w14:schemeClr w14:val="tx1"/>
                  </w14:solidFill>
                </w14:textFill>
              </w:rPr>
              <w:t>《挥发性有机物无组织排放控制标准》（GB37822-2019）表A.1厂区内VOCs无组织排放限值要求。排放标准见表3-7。</w:t>
            </w:r>
          </w:p>
          <w:p>
            <w:pPr>
              <w:spacing w:line="480" w:lineRule="exact"/>
              <w:jc w:val="center"/>
              <w:rPr>
                <w:rFonts w:hint="default" w:ascii="Times New Roman" w:hAnsi="Times New Roman" w:eastAsia="宋体" w:cs="Times New Roman"/>
                <w:b/>
                <w:bCs/>
                <w:color w:val="000000" w:themeColor="text1"/>
                <w:sz w:val="24"/>
                <w14:textFill>
                  <w14:solidFill>
                    <w14:schemeClr w14:val="tx1"/>
                  </w14:solidFill>
                </w14:textFill>
              </w:rPr>
            </w:pPr>
            <w:r>
              <w:rPr>
                <w:rFonts w:hint="default" w:ascii="Times New Roman" w:hAnsi="Times New Roman" w:eastAsia="宋体" w:cs="Times New Roman"/>
                <w:b/>
                <w:bCs/>
                <w:color w:val="000000" w:themeColor="text1"/>
                <w:sz w:val="24"/>
                <w14:textFill>
                  <w14:solidFill>
                    <w14:schemeClr w14:val="tx1"/>
                  </w14:solidFill>
                </w14:textFill>
              </w:rPr>
              <w:t>表3-</w:t>
            </w:r>
            <w:r>
              <w:rPr>
                <w:rFonts w:hint="default" w:ascii="Times New Roman" w:hAnsi="Times New Roman" w:cs="Times New Roman"/>
                <w:b/>
                <w:bCs/>
                <w:color w:val="000000" w:themeColor="text1"/>
                <w:sz w:val="24"/>
                <w:lang w:val="en-US" w:eastAsia="zh-CN"/>
                <w14:textFill>
                  <w14:solidFill>
                    <w14:schemeClr w14:val="tx1"/>
                  </w14:solidFill>
                </w14:textFill>
              </w:rPr>
              <w:t>6</w:t>
            </w:r>
            <w:r>
              <w:rPr>
                <w:rFonts w:hint="default" w:ascii="Times New Roman" w:hAnsi="Times New Roman" w:eastAsia="宋体" w:cs="Times New Roman"/>
                <w:b/>
                <w:bCs/>
                <w:color w:val="000000" w:themeColor="text1"/>
                <w:sz w:val="24"/>
                <w14:textFill>
                  <w14:solidFill>
                    <w14:schemeClr w14:val="tx1"/>
                  </w14:solidFill>
                </w14:textFill>
              </w:rPr>
              <w:t xml:space="preserve">    非甲烷总烃排放标准一览表</w:t>
            </w:r>
          </w:p>
          <w:tbl>
            <w:tblPr>
              <w:tblStyle w:val="32"/>
              <w:tblW w:w="49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56"/>
              <w:gridCol w:w="1004"/>
              <w:gridCol w:w="1215"/>
              <w:gridCol w:w="1292"/>
              <w:gridCol w:w="1020"/>
              <w:gridCol w:w="28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576" w:type="pct"/>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排放形式</w:t>
                  </w:r>
                </w:p>
              </w:tc>
              <w:tc>
                <w:tcPr>
                  <w:tcW w:w="2115" w:type="pct"/>
                  <w:gridSpan w:val="3"/>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排放标准值</w:t>
                  </w:r>
                </w:p>
              </w:tc>
              <w:tc>
                <w:tcPr>
                  <w:tcW w:w="614" w:type="pct"/>
                  <w:shd w:val="clear" w:color="auto" w:fill="auto"/>
                  <w:vAlign w:val="center"/>
                </w:tcPr>
                <w:p>
                  <w:pPr>
                    <w:pStyle w:val="53"/>
                    <w:spacing w:beforeLines="0" w:line="240" w:lineRule="auto"/>
                    <w:ind w:firstLine="0" w:firstLineChars="0"/>
                    <w:jc w:val="center"/>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单位</w:t>
                  </w:r>
                </w:p>
              </w:tc>
              <w:tc>
                <w:tcPr>
                  <w:tcW w:w="1693" w:type="pct"/>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标准名称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restart"/>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有组织</w:t>
                  </w:r>
                </w:p>
              </w:tc>
              <w:tc>
                <w:tcPr>
                  <w:tcW w:w="604" w:type="pct"/>
                  <w:vMerge w:val="restart"/>
                  <w:vAlign w:val="center"/>
                </w:tcPr>
                <w:p>
                  <w:pPr>
                    <w:pStyle w:val="53"/>
                    <w:spacing w:beforeLines="0" w:line="240" w:lineRule="auto"/>
                    <w:ind w:firstLine="0"/>
                    <w:jc w:val="center"/>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废气排放口</w:t>
                  </w:r>
                  <w:r>
                    <w:rPr>
                      <w:rFonts w:hint="default" w:ascii="Times New Roman" w:hAnsi="Times New Roman" w:cs="Times New Roman"/>
                      <w:color w:val="000000" w:themeColor="text1"/>
                      <w:sz w:val="21"/>
                      <w:szCs w:val="21"/>
                      <w:lang w:eastAsia="zh-CN"/>
                      <w14:textFill>
                        <w14:solidFill>
                          <w14:schemeClr w14:val="tx1"/>
                        </w14:solidFill>
                      </w14:textFill>
                    </w:rPr>
                    <w:t>（</w:t>
                  </w:r>
                  <w:r>
                    <w:rPr>
                      <w:rFonts w:hint="default" w:ascii="Times New Roman" w:hAnsi="Times New Roman" w:cs="Times New Roman"/>
                      <w:color w:val="000000" w:themeColor="text1"/>
                      <w:sz w:val="21"/>
                      <w:szCs w:val="21"/>
                      <w:lang w:val="en-US" w:eastAsia="zh-CN"/>
                      <w14:textFill>
                        <w14:solidFill>
                          <w14:schemeClr w14:val="tx1"/>
                        </w14:solidFill>
                      </w14:textFill>
                    </w:rPr>
                    <w:t>DA002</w:t>
                  </w:r>
                  <w:r>
                    <w:rPr>
                      <w:rFonts w:hint="default" w:ascii="Times New Roman" w:hAnsi="Times New Roman" w:cs="Times New Roman"/>
                      <w:color w:val="000000" w:themeColor="text1"/>
                      <w:sz w:val="21"/>
                      <w:szCs w:val="21"/>
                      <w:lang w:eastAsia="zh-CN"/>
                      <w14:textFill>
                        <w14:solidFill>
                          <w14:schemeClr w14:val="tx1"/>
                        </w14:solidFill>
                      </w14:textFill>
                    </w:rPr>
                    <w:t>）</w:t>
                  </w:r>
                </w:p>
              </w:tc>
              <w:tc>
                <w:tcPr>
                  <w:tcW w:w="732" w:type="pct"/>
                  <w:vMerge w:val="restart"/>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非甲烷总烃</w:t>
                  </w:r>
                </w:p>
              </w:tc>
              <w:tc>
                <w:tcPr>
                  <w:tcW w:w="778"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6</w:t>
                  </w:r>
                  <w:r>
                    <w:rPr>
                      <w:rFonts w:hint="default" w:ascii="Times New Roman" w:hAnsi="Times New Roman" w:cs="Times New Roman"/>
                      <w:color w:val="000000" w:themeColor="text1"/>
                      <w:sz w:val="21"/>
                      <w:szCs w:val="21"/>
                      <w14:textFill>
                        <w14:solidFill>
                          <w14:schemeClr w14:val="tx1"/>
                        </w14:solidFill>
                      </w14:textFill>
                    </w:rPr>
                    <w:t>0</w:t>
                  </w:r>
                </w:p>
              </w:tc>
              <w:tc>
                <w:tcPr>
                  <w:tcW w:w="614" w:type="pct"/>
                  <w:tcBorders>
                    <w:top w:val="single" w:color="auto" w:sz="6" w:space="0"/>
                    <w:bottom w:val="single" w:color="auto" w:sz="4"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restart"/>
                  <w:tcBorders>
                    <w:top w:val="single" w:color="auto" w:sz="6" w:space="0"/>
                  </w:tcBorders>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《工业企业挥发性有机物排放控制标准》（DB13/2322-2016）</w:t>
                  </w:r>
                  <w:r>
                    <w:rPr>
                      <w:rFonts w:hint="default" w:ascii="Times New Roman" w:hAnsi="Times New Roman" w:cs="Times New Roman"/>
                      <w:color w:val="000000" w:themeColor="text1"/>
                      <w:sz w:val="21"/>
                      <w:szCs w:val="21"/>
                      <w:lang w:val="en-US" w:eastAsia="zh-CN"/>
                      <w14:textFill>
                        <w14:solidFill>
                          <w14:schemeClr w14:val="tx1"/>
                        </w14:solidFill>
                      </w14:textFill>
                    </w:rPr>
                    <w:t>中表1表面涂装业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604"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732"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p>
              </w:tc>
              <w:tc>
                <w:tcPr>
                  <w:tcW w:w="1393" w:type="pct"/>
                  <w:gridSpan w:val="2"/>
                  <w:vAlign w:val="center"/>
                </w:tcPr>
                <w:p>
                  <w:pPr>
                    <w:pStyle w:val="53"/>
                    <w:spacing w:beforeLines="0" w:line="240" w:lineRule="auto"/>
                    <w:ind w:firstLine="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最低去除效率：70%</w:t>
                  </w:r>
                </w:p>
              </w:tc>
              <w:tc>
                <w:tcPr>
                  <w:tcW w:w="1693"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604"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732"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苯</w:t>
                  </w:r>
                </w:p>
              </w:tc>
              <w:tc>
                <w:tcPr>
                  <w:tcW w:w="778"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w:t>
                  </w:r>
                </w:p>
              </w:tc>
              <w:tc>
                <w:tcPr>
                  <w:tcW w:w="614" w:type="pct"/>
                  <w:tcBorders>
                    <w:top w:val="single" w:color="auto" w:sz="6" w:space="0"/>
                    <w:bottom w:val="single" w:color="auto" w:sz="4"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21"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604"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732"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甲苯与二甲苯合计</w:t>
                  </w:r>
                </w:p>
              </w:tc>
              <w:tc>
                <w:tcPr>
                  <w:tcW w:w="778"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20</w:t>
                  </w:r>
                </w:p>
              </w:tc>
              <w:tc>
                <w:tcPr>
                  <w:tcW w:w="614" w:type="pct"/>
                  <w:tcBorders>
                    <w:top w:val="single" w:color="auto" w:sz="6" w:space="0"/>
                    <w:bottom w:val="single" w:color="auto" w:sz="4"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restart"/>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无组织</w:t>
                  </w:r>
                </w:p>
              </w:tc>
              <w:tc>
                <w:tcPr>
                  <w:tcW w:w="604" w:type="pct"/>
                  <w:vMerge w:val="restart"/>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厂</w:t>
                  </w:r>
                  <w:r>
                    <w:rPr>
                      <w:rFonts w:hint="default" w:ascii="Times New Roman" w:hAnsi="Times New Roman" w:cs="Times New Roman"/>
                      <w:color w:val="000000" w:themeColor="text1"/>
                      <w:sz w:val="21"/>
                      <w:szCs w:val="21"/>
                      <w14:textFill>
                        <w14:solidFill>
                          <w14:schemeClr w14:val="tx1"/>
                        </w14:solidFill>
                      </w14:textFill>
                    </w:rPr>
                    <w:t>界大气污染物浓度限值</w:t>
                  </w:r>
                </w:p>
              </w:tc>
              <w:tc>
                <w:tcPr>
                  <w:tcW w:w="732" w:type="pc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非甲烷总烃</w:t>
                  </w:r>
                </w:p>
              </w:tc>
              <w:tc>
                <w:tcPr>
                  <w:tcW w:w="778"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2.0</w:t>
                  </w:r>
                </w:p>
              </w:tc>
              <w:tc>
                <w:tcPr>
                  <w:tcW w:w="614" w:type="pct"/>
                  <w:tcBorders>
                    <w:top w:val="single" w:color="auto" w:sz="6" w:space="0"/>
                    <w:bottom w:val="single" w:color="auto" w:sz="6"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restart"/>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《工业企业挥发性有机物排放控制标准》（DB13/2322-2016）</w:t>
                  </w:r>
                  <w:r>
                    <w:rPr>
                      <w:rFonts w:hint="default" w:ascii="Times New Roman" w:hAnsi="Times New Roman" w:cs="Times New Roman"/>
                      <w:color w:val="000000" w:themeColor="text1"/>
                      <w:sz w:val="21"/>
                      <w:szCs w:val="21"/>
                      <w:lang w:val="en-US" w:eastAsia="zh-CN"/>
                      <w14:textFill>
                        <w14:solidFill>
                          <w14:schemeClr w14:val="tx1"/>
                        </w14:solidFill>
                      </w14:textFill>
                    </w:rPr>
                    <w:t>中表2其他企业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604"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p>
              </w:tc>
              <w:tc>
                <w:tcPr>
                  <w:tcW w:w="732" w:type="pc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苯</w:t>
                  </w:r>
                </w:p>
              </w:tc>
              <w:tc>
                <w:tcPr>
                  <w:tcW w:w="778" w:type="pct"/>
                  <w:vAlign w:val="center"/>
                </w:tcPr>
                <w:p>
                  <w:pPr>
                    <w:pStyle w:val="53"/>
                    <w:spacing w:beforeLines="0" w:line="240" w:lineRule="auto"/>
                    <w:ind w:firstLine="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0.1</w:t>
                  </w:r>
                </w:p>
              </w:tc>
              <w:tc>
                <w:tcPr>
                  <w:tcW w:w="614" w:type="pct"/>
                  <w:tcBorders>
                    <w:top w:val="single" w:color="auto" w:sz="6" w:space="0"/>
                    <w:bottom w:val="single" w:color="auto" w:sz="6"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604"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p>
              </w:tc>
              <w:tc>
                <w:tcPr>
                  <w:tcW w:w="732" w:type="pc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甲苯</w:t>
                  </w:r>
                </w:p>
              </w:tc>
              <w:tc>
                <w:tcPr>
                  <w:tcW w:w="778" w:type="pct"/>
                  <w:vAlign w:val="center"/>
                </w:tcPr>
                <w:p>
                  <w:pPr>
                    <w:pStyle w:val="53"/>
                    <w:spacing w:beforeLines="0" w:line="240" w:lineRule="auto"/>
                    <w:ind w:firstLine="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0.6</w:t>
                  </w:r>
                </w:p>
              </w:tc>
              <w:tc>
                <w:tcPr>
                  <w:tcW w:w="614" w:type="pct"/>
                  <w:tcBorders>
                    <w:top w:val="single" w:color="auto" w:sz="6" w:space="0"/>
                    <w:bottom w:val="single" w:color="auto" w:sz="6"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42"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604"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eastAsia="zh-CN"/>
                      <w14:textFill>
                        <w14:solidFill>
                          <w14:schemeClr w14:val="tx1"/>
                        </w14:solidFill>
                      </w14:textFill>
                    </w:rPr>
                  </w:pPr>
                </w:p>
              </w:tc>
              <w:tc>
                <w:tcPr>
                  <w:tcW w:w="732" w:type="pc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二甲苯</w:t>
                  </w:r>
                </w:p>
              </w:tc>
              <w:tc>
                <w:tcPr>
                  <w:tcW w:w="778" w:type="pct"/>
                  <w:vAlign w:val="center"/>
                </w:tcPr>
                <w:p>
                  <w:pPr>
                    <w:pStyle w:val="53"/>
                    <w:spacing w:beforeLines="0" w:line="240" w:lineRule="auto"/>
                    <w:ind w:firstLine="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0.2</w:t>
                  </w:r>
                </w:p>
              </w:tc>
              <w:tc>
                <w:tcPr>
                  <w:tcW w:w="614" w:type="pct"/>
                  <w:tcBorders>
                    <w:top w:val="single" w:color="auto" w:sz="6" w:space="0"/>
                    <w:bottom w:val="single" w:color="auto" w:sz="6"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21"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1337" w:type="pct"/>
                  <w:gridSpan w:val="2"/>
                  <w:vMerge w:val="restart"/>
                  <w:vAlign w:val="center"/>
                </w:tcPr>
                <w:p>
                  <w:pPr>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厂房外非甲烷总烃排放限值</w:t>
                  </w:r>
                </w:p>
              </w:tc>
              <w:tc>
                <w:tcPr>
                  <w:tcW w:w="778" w:type="pc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1h平均浓度限值</w:t>
                  </w:r>
                  <w:r>
                    <w:rPr>
                      <w:rFonts w:hint="default" w:ascii="Times New Roman" w:hAnsi="Times New Roman" w:cs="Times New Roman"/>
                      <w:color w:val="000000" w:themeColor="text1"/>
                      <w:sz w:val="21"/>
                      <w:szCs w:val="21"/>
                      <w:lang w:val="en-US" w:eastAsia="zh-CN"/>
                      <w14:textFill>
                        <w14:solidFill>
                          <w14:schemeClr w14:val="tx1"/>
                        </w14:solidFill>
                      </w14:textFill>
                    </w:rPr>
                    <w:t>6</w:t>
                  </w:r>
                  <w:r>
                    <w:rPr>
                      <w:rFonts w:hint="default" w:ascii="Times New Roman" w:hAnsi="Times New Roman" w:cs="Times New Roman"/>
                      <w:color w:val="000000" w:themeColor="text1"/>
                      <w:sz w:val="21"/>
                      <w:szCs w:val="21"/>
                      <w14:textFill>
                        <w14:solidFill>
                          <w14:schemeClr w14:val="tx1"/>
                        </w14:solidFill>
                      </w14:textFill>
                    </w:rPr>
                    <w:t>；</w:t>
                  </w:r>
                </w:p>
              </w:tc>
              <w:tc>
                <w:tcPr>
                  <w:tcW w:w="614" w:type="pct"/>
                  <w:vMerge w:val="restart"/>
                  <w:tcBorders>
                    <w:top w:val="single" w:color="auto" w:sz="6"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1693" w:type="pct"/>
                  <w:vMerge w:val="restar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《挥发性有机物无组织排放控制标准》（GB37822-2019）表A.1厂区内VOCs无组织排放限值要求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31" w:hRule="atLeast"/>
                <w:jc w:val="center"/>
              </w:trPr>
              <w:tc>
                <w:tcPr>
                  <w:tcW w:w="576" w:type="pct"/>
                  <w:vMerge w:val="continue"/>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p>
              </w:tc>
              <w:tc>
                <w:tcPr>
                  <w:tcW w:w="1337" w:type="pct"/>
                  <w:gridSpan w:val="2"/>
                  <w:vMerge w:val="continue"/>
                  <w:vAlign w:val="center"/>
                </w:tcPr>
                <w:p>
                  <w:pPr>
                    <w:jc w:val="center"/>
                    <w:rPr>
                      <w:rFonts w:hint="default" w:ascii="Times New Roman" w:hAnsi="Times New Roman" w:cs="Times New Roman"/>
                      <w:color w:val="000000" w:themeColor="text1"/>
                      <w:sz w:val="21"/>
                      <w:szCs w:val="21"/>
                      <w:lang w:val="en-US" w:eastAsia="zh-CN"/>
                      <w14:textFill>
                        <w14:solidFill>
                          <w14:schemeClr w14:val="tx1"/>
                        </w14:solidFill>
                      </w14:textFill>
                    </w:rPr>
                  </w:pPr>
                </w:p>
              </w:tc>
              <w:tc>
                <w:tcPr>
                  <w:tcW w:w="778" w:type="pct"/>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任意一次浓度限值</w:t>
                  </w:r>
                  <w:r>
                    <w:rPr>
                      <w:rFonts w:hint="default" w:ascii="Times New Roman" w:hAnsi="Times New Roman" w:cs="Times New Roman"/>
                      <w:color w:val="000000" w:themeColor="text1"/>
                      <w:sz w:val="21"/>
                      <w:szCs w:val="21"/>
                      <w:lang w:val="en-US" w:eastAsia="zh-CN"/>
                      <w14:textFill>
                        <w14:solidFill>
                          <w14:schemeClr w14:val="tx1"/>
                        </w14:solidFill>
                      </w14:textFill>
                    </w:rPr>
                    <w:t>20</w:t>
                  </w:r>
                </w:p>
              </w:tc>
              <w:tc>
                <w:tcPr>
                  <w:tcW w:w="614" w:type="pct"/>
                  <w:vMerge w:val="continue"/>
                  <w:tcBorders>
                    <w:bottom w:val="single" w:color="auto" w:sz="6"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p>
              </w:tc>
              <w:tc>
                <w:tcPr>
                  <w:tcW w:w="1693" w:type="pct"/>
                  <w:vMerge w:val="continue"/>
                  <w:vAlign w:val="center"/>
                </w:tcPr>
                <w:p>
                  <w:pPr>
                    <w:pStyle w:val="53"/>
                    <w:spacing w:beforeLines="0" w:line="240" w:lineRule="auto"/>
                    <w:ind w:firstLine="0" w:firstLineChars="0"/>
                    <w:jc w:val="center"/>
                    <w:rPr>
                      <w:rFonts w:hint="default" w:ascii="Times New Roman" w:hAnsi="Times New Roman" w:cs="Times New Roman"/>
                      <w:color w:val="000000" w:themeColor="text1"/>
                      <w:sz w:val="21"/>
                      <w:szCs w:val="21"/>
                      <w14:textFill>
                        <w14:solidFill>
                          <w14:schemeClr w14:val="tx1"/>
                        </w14:solidFill>
                      </w14:textFill>
                    </w:rPr>
                  </w:pP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（3）食堂油烟</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vertAlign w:val="baseline"/>
                <w:lang w:val="en-US" w:eastAsia="zh-CN"/>
              </w:rPr>
            </w:pPr>
            <w:r>
              <w:rPr>
                <w:rFonts w:hint="default" w:ascii="Times New Roman" w:hAnsi="Times New Roman" w:cs="Times New Roman"/>
                <w:color w:val="000000"/>
                <w:sz w:val="24"/>
                <w:szCs w:val="24"/>
                <w:highlight w:val="none"/>
                <w:lang w:val="en-US" w:eastAsia="zh-CN"/>
              </w:rPr>
              <w:t>本项目食堂有2个灶头，劳动定员60人，故食堂油烟排放浓度执行《餐饮业大气污染物排放标准》(DB13/5808-2023)小型</w:t>
            </w:r>
            <w:r>
              <w:rPr>
                <w:rFonts w:hint="default" w:ascii="Times New Roman" w:hAnsi="Times New Roman" w:eastAsia="宋体" w:cs="Times New Roman"/>
                <w:sz w:val="24"/>
                <w:szCs w:val="24"/>
              </w:rPr>
              <w:t>餐饮服务单位的大气污染物最高允许排放浓度</w:t>
            </w:r>
            <w:r>
              <w:rPr>
                <w:rFonts w:hint="default" w:ascii="Times New Roman" w:hAnsi="Times New Roman" w:eastAsia="宋体" w:cs="Times New Roman"/>
                <w:sz w:val="24"/>
                <w:szCs w:val="24"/>
                <w:lang w:val="en-US" w:eastAsia="zh-CN"/>
              </w:rPr>
              <w:t>油烟1.5mg/m</w:t>
            </w:r>
            <w:r>
              <w:rPr>
                <w:rFonts w:hint="default" w:ascii="Times New Roman" w:hAnsi="Times New Roman" w:eastAsia="宋体" w:cs="Times New Roman"/>
                <w:sz w:val="24"/>
                <w:szCs w:val="24"/>
                <w:vertAlign w:val="superscript"/>
                <w:lang w:val="en-US" w:eastAsia="zh-CN"/>
              </w:rPr>
              <w:t>3</w:t>
            </w:r>
            <w:r>
              <w:rPr>
                <w:rFonts w:hint="default" w:ascii="Times New Roman" w:hAnsi="Times New Roman" w:eastAsia="宋体" w:cs="Times New Roman"/>
                <w:sz w:val="24"/>
                <w:szCs w:val="24"/>
                <w:vertAlign w:val="baseline"/>
                <w:lang w:val="en-US" w:eastAsia="zh-CN"/>
              </w:rPr>
              <w:t>。</w:t>
            </w:r>
          </w:p>
          <w:p>
            <w:pPr>
              <w:spacing w:line="480" w:lineRule="exact"/>
              <w:jc w:val="center"/>
              <w:rPr>
                <w:rFonts w:hint="default" w:ascii="Times New Roman" w:hAnsi="Times New Roman" w:eastAsia="宋体" w:cs="Times New Roman"/>
                <w:b/>
                <w:bCs/>
                <w:color w:val="000000" w:themeColor="text1"/>
                <w:sz w:val="24"/>
                <w14:textFill>
                  <w14:solidFill>
                    <w14:schemeClr w14:val="tx1"/>
                  </w14:solidFill>
                </w14:textFill>
              </w:rPr>
            </w:pPr>
            <w:r>
              <w:rPr>
                <w:rFonts w:hint="default" w:ascii="Times New Roman" w:hAnsi="Times New Roman" w:eastAsia="宋体" w:cs="Times New Roman"/>
                <w:b/>
                <w:bCs/>
                <w:color w:val="000000" w:themeColor="text1"/>
                <w:sz w:val="24"/>
                <w14:textFill>
                  <w14:solidFill>
                    <w14:schemeClr w14:val="tx1"/>
                  </w14:solidFill>
                </w14:textFill>
              </w:rPr>
              <w:t>表3-</w:t>
            </w:r>
            <w:r>
              <w:rPr>
                <w:rFonts w:hint="default" w:ascii="Times New Roman" w:hAnsi="Times New Roman" w:cs="Times New Roman"/>
                <w:b/>
                <w:bCs/>
                <w:color w:val="000000" w:themeColor="text1"/>
                <w:sz w:val="24"/>
                <w:lang w:val="en-US" w:eastAsia="zh-CN"/>
                <w14:textFill>
                  <w14:solidFill>
                    <w14:schemeClr w14:val="tx1"/>
                  </w14:solidFill>
                </w14:textFill>
              </w:rPr>
              <w:t>7</w:t>
            </w:r>
            <w:r>
              <w:rPr>
                <w:rFonts w:hint="default" w:ascii="Times New Roman" w:hAnsi="Times New Roman" w:eastAsia="宋体" w:cs="Times New Roman"/>
                <w:b/>
                <w:bCs/>
                <w:color w:val="000000" w:themeColor="text1"/>
                <w:sz w:val="24"/>
                <w14:textFill>
                  <w14:solidFill>
                    <w14:schemeClr w14:val="tx1"/>
                  </w14:solidFill>
                </w14:textFill>
              </w:rPr>
              <w:t xml:space="preserve">    </w:t>
            </w:r>
            <w:r>
              <w:rPr>
                <w:rFonts w:hint="default" w:ascii="Times New Roman" w:hAnsi="Times New Roman" w:cs="Times New Roman"/>
                <w:b/>
                <w:bCs/>
                <w:color w:val="000000" w:themeColor="text1"/>
                <w:sz w:val="24"/>
                <w:lang w:val="en-US" w:eastAsia="zh-CN"/>
                <w14:textFill>
                  <w14:solidFill>
                    <w14:schemeClr w14:val="tx1"/>
                  </w14:solidFill>
                </w14:textFill>
              </w:rPr>
              <w:t>食堂油烟</w:t>
            </w:r>
            <w:r>
              <w:rPr>
                <w:rFonts w:hint="default" w:ascii="Times New Roman" w:hAnsi="Times New Roman" w:eastAsia="宋体" w:cs="Times New Roman"/>
                <w:b/>
                <w:bCs/>
                <w:color w:val="000000" w:themeColor="text1"/>
                <w:sz w:val="24"/>
                <w14:textFill>
                  <w14:solidFill>
                    <w14:schemeClr w14:val="tx1"/>
                  </w14:solidFill>
                </w14:textFill>
              </w:rPr>
              <w:t>排放标准一览表</w:t>
            </w:r>
          </w:p>
          <w:tbl>
            <w:tblPr>
              <w:tblStyle w:val="32"/>
              <w:tblW w:w="498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037"/>
              <w:gridCol w:w="830"/>
              <w:gridCol w:w="694"/>
              <w:gridCol w:w="835"/>
              <w:gridCol w:w="39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3" w:hRule="atLeast"/>
                <w:jc w:val="center"/>
              </w:trPr>
              <w:tc>
                <w:tcPr>
                  <w:tcW w:w="2145" w:type="pct"/>
                  <w:gridSpan w:val="3"/>
                  <w:vAlign w:val="center"/>
                </w:tcPr>
                <w:p>
                  <w:pPr>
                    <w:pStyle w:val="53"/>
                    <w:spacing w:beforeLines="0" w:line="240" w:lineRule="auto"/>
                    <w:ind w:firstLine="0"/>
                    <w:jc w:val="center"/>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排放标准值</w:t>
                  </w:r>
                </w:p>
              </w:tc>
              <w:tc>
                <w:tcPr>
                  <w:tcW w:w="503" w:type="pct"/>
                  <w:shd w:val="clear" w:color="auto" w:fill="auto"/>
                  <w:vAlign w:val="center"/>
                </w:tcPr>
                <w:p>
                  <w:pPr>
                    <w:pStyle w:val="53"/>
                    <w:spacing w:beforeLines="0" w:line="240" w:lineRule="auto"/>
                    <w:ind w:firstLine="0" w:firstLineChars="0"/>
                    <w:jc w:val="center"/>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单位</w:t>
                  </w:r>
                </w:p>
              </w:tc>
              <w:tc>
                <w:tcPr>
                  <w:tcW w:w="2351" w:type="pct"/>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标准名称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34" w:hRule="atLeast"/>
                <w:jc w:val="center"/>
              </w:trPr>
              <w:tc>
                <w:tcPr>
                  <w:tcW w:w="1227" w:type="pct"/>
                  <w:vAlign w:val="center"/>
                </w:tcPr>
                <w:p>
                  <w:pPr>
                    <w:pStyle w:val="53"/>
                    <w:spacing w:beforeLines="0" w:line="240" w:lineRule="auto"/>
                    <w:ind w:firstLine="0"/>
                    <w:jc w:val="center"/>
                    <w:rPr>
                      <w:rFonts w:hint="default" w:ascii="Times New Roman" w:hAnsi="Times New Roman" w:eastAsia="宋体" w:cs="Times New Roman"/>
                      <w:color w:val="000000" w:themeColor="text1"/>
                      <w:sz w:val="21"/>
                      <w:szCs w:val="21"/>
                      <w:lang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废气排放口</w:t>
                  </w:r>
                  <w:r>
                    <w:rPr>
                      <w:rFonts w:hint="default" w:ascii="Times New Roman" w:hAnsi="Times New Roman" w:cs="Times New Roman"/>
                      <w:color w:val="000000" w:themeColor="text1"/>
                      <w:sz w:val="21"/>
                      <w:szCs w:val="21"/>
                      <w:lang w:eastAsia="zh-CN"/>
                      <w14:textFill>
                        <w14:solidFill>
                          <w14:schemeClr w14:val="tx1"/>
                        </w14:solidFill>
                      </w14:textFill>
                    </w:rPr>
                    <w:t>（</w:t>
                  </w:r>
                  <w:r>
                    <w:rPr>
                      <w:rFonts w:hint="default" w:ascii="Times New Roman" w:hAnsi="Times New Roman" w:cs="Times New Roman"/>
                      <w:color w:val="000000" w:themeColor="text1"/>
                      <w:sz w:val="21"/>
                      <w:szCs w:val="21"/>
                      <w:lang w:val="en-US" w:eastAsia="zh-CN"/>
                      <w14:textFill>
                        <w14:solidFill>
                          <w14:schemeClr w14:val="tx1"/>
                        </w14:solidFill>
                      </w14:textFill>
                    </w:rPr>
                    <w:t>DA003</w:t>
                  </w:r>
                  <w:r>
                    <w:rPr>
                      <w:rFonts w:hint="default" w:ascii="Times New Roman" w:hAnsi="Times New Roman" w:cs="Times New Roman"/>
                      <w:color w:val="000000" w:themeColor="text1"/>
                      <w:sz w:val="21"/>
                      <w:szCs w:val="21"/>
                      <w:lang w:eastAsia="zh-CN"/>
                      <w14:textFill>
                        <w14:solidFill>
                          <w14:schemeClr w14:val="tx1"/>
                        </w14:solidFill>
                      </w14:textFill>
                    </w:rPr>
                    <w:t>）</w:t>
                  </w:r>
                </w:p>
              </w:tc>
              <w:tc>
                <w:tcPr>
                  <w:tcW w:w="500" w:type="pct"/>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油烟</w:t>
                  </w:r>
                </w:p>
              </w:tc>
              <w:tc>
                <w:tcPr>
                  <w:tcW w:w="418" w:type="pct"/>
                  <w:vAlign w:val="center"/>
                </w:tcPr>
                <w:p>
                  <w:pPr>
                    <w:pStyle w:val="53"/>
                    <w:spacing w:beforeLines="0" w:line="240" w:lineRule="auto"/>
                    <w:ind w:firstLine="0"/>
                    <w:jc w:val="center"/>
                    <w:rPr>
                      <w:rFonts w:hint="default" w:ascii="Times New Roman" w:hAnsi="Times New Roman" w:cs="Times New Roman"/>
                      <w:color w:val="000000" w:themeColor="text1"/>
                      <w:sz w:val="21"/>
                      <w:szCs w:val="21"/>
                      <w:lang w:val="en-US"/>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1.5</w:t>
                  </w:r>
                </w:p>
              </w:tc>
              <w:tc>
                <w:tcPr>
                  <w:tcW w:w="503" w:type="pct"/>
                  <w:tcBorders>
                    <w:top w:val="single" w:color="auto" w:sz="6" w:space="0"/>
                    <w:bottom w:val="single" w:color="auto" w:sz="4" w:space="0"/>
                  </w:tcBorders>
                  <w:shd w:val="clear" w:color="auto" w:fill="auto"/>
                  <w:vAlign w:val="center"/>
                </w:tcPr>
                <w:p>
                  <w:pPr>
                    <w:pStyle w:val="53"/>
                    <w:spacing w:beforeLines="0" w:line="240" w:lineRule="auto"/>
                    <w:ind w:firstLine="0" w:firstLineChars="0"/>
                    <w:jc w:val="center"/>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mg/m</w:t>
                  </w:r>
                  <w:r>
                    <w:rPr>
                      <w:rFonts w:hint="default" w:ascii="Times New Roman" w:hAnsi="Times New Roman" w:cs="Times New Roman"/>
                      <w:color w:val="000000" w:themeColor="text1"/>
                      <w:sz w:val="21"/>
                      <w:szCs w:val="21"/>
                      <w:vertAlign w:val="superscript"/>
                      <w14:textFill>
                        <w14:solidFill>
                          <w14:schemeClr w14:val="tx1"/>
                        </w14:solidFill>
                      </w14:textFill>
                    </w:rPr>
                    <w:t>3</w:t>
                  </w:r>
                </w:p>
              </w:tc>
              <w:tc>
                <w:tcPr>
                  <w:tcW w:w="2351" w:type="pct"/>
                  <w:tcBorders>
                    <w:top w:val="single" w:color="auto" w:sz="6" w:space="0"/>
                  </w:tcBorders>
                  <w:vAlign w:val="center"/>
                </w:tcPr>
                <w:p>
                  <w:pPr>
                    <w:pStyle w:val="53"/>
                    <w:spacing w:beforeLines="0" w:line="240" w:lineRule="auto"/>
                    <w:ind w:firstLine="0"/>
                    <w:jc w:val="center"/>
                    <w:rPr>
                      <w:rFonts w:hint="default" w:ascii="Times New Roman" w:hAnsi="Times New Roman" w:cs="Times New Roman" w:eastAsiaTheme="minorEastAsia"/>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sz w:val="21"/>
                      <w:szCs w:val="21"/>
                      <w:highlight w:val="none"/>
                      <w:lang w:val="en-US" w:eastAsia="zh-CN"/>
                    </w:rPr>
                    <w:t>《餐饮业大气污染物排放标准》(DB13/5808-2023)小型餐饮服务单位</w:t>
                  </w: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2、废水</w:t>
            </w:r>
          </w:p>
          <w:p>
            <w:pPr>
              <w:pStyle w:val="7"/>
              <w:keepNext w:val="0"/>
              <w:keepLines w:val="0"/>
              <w:pageBreakBefore w:val="0"/>
              <w:widowControl w:val="0"/>
              <w:kinsoku/>
              <w:wordWrap/>
              <w:overflowPunct/>
              <w:topLinePunct w:val="0"/>
              <w:autoSpaceDE/>
              <w:autoSpaceDN/>
              <w:bidi w:val="0"/>
              <w:spacing w:before="0" w:after="0" w:line="480" w:lineRule="exac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蒸汽发生器软水制备产生的浓水用于厂区泼洒抑尘。</w:t>
            </w:r>
          </w:p>
          <w:p>
            <w:pPr>
              <w:pStyle w:val="7"/>
              <w:keepNext w:val="0"/>
              <w:keepLines w:val="0"/>
              <w:pageBreakBefore w:val="0"/>
              <w:widowControl w:val="0"/>
              <w:kinsoku/>
              <w:wordWrap/>
              <w:overflowPunct/>
              <w:topLinePunct w:val="0"/>
              <w:autoSpaceDE/>
              <w:autoSpaceDN/>
              <w:bidi w:val="0"/>
              <w:spacing w:before="0" w:after="0" w:line="480" w:lineRule="exact"/>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食堂废水经隔油池+化粪池处理、员工生活污水经化粪池处理后，一起排入园区污水管网进入抚宁污水处理厂进一步处理，废水执行《污水综合排放标准》（GB8978-1996）中表4三级标准，并满足抚宁污水处理厂收水标准。</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0" w:firstLineChars="0"/>
              <w:jc w:val="center"/>
              <w:textAlignment w:val="auto"/>
              <w:outlineLvl w:val="9"/>
              <w:rPr>
                <w:rFonts w:hint="default" w:ascii="Times New Roman" w:hAnsi="Times New Roman" w:cs="Times New Roman"/>
                <w:b/>
                <w:color w:val="000000"/>
                <w:sz w:val="24"/>
                <w:szCs w:val="24"/>
                <w:highlight w:val="none"/>
                <w:lang w:val="zh-CN" w:eastAsia="zh-CN" w:bidi="ar"/>
              </w:rPr>
            </w:pPr>
            <w:r>
              <w:rPr>
                <w:rFonts w:hint="default" w:ascii="Times New Roman" w:hAnsi="Times New Roman" w:cs="Times New Roman"/>
                <w:b/>
                <w:color w:val="000000"/>
                <w:sz w:val="24"/>
                <w:szCs w:val="24"/>
                <w:highlight w:val="none"/>
                <w:lang w:val="zh-CN" w:eastAsia="zh-CN" w:bidi="ar"/>
              </w:rPr>
              <w:t>表</w:t>
            </w:r>
            <w:r>
              <w:rPr>
                <w:rFonts w:hint="default" w:ascii="Times New Roman" w:hAnsi="Times New Roman" w:cs="Times New Roman"/>
                <w:b/>
                <w:color w:val="000000"/>
                <w:sz w:val="24"/>
                <w:szCs w:val="24"/>
                <w:highlight w:val="none"/>
                <w:lang w:val="en-US" w:eastAsia="zh-CN" w:bidi="ar"/>
              </w:rPr>
              <w:t>3-8</w:t>
            </w:r>
            <w:r>
              <w:rPr>
                <w:rFonts w:hint="default" w:ascii="Times New Roman" w:hAnsi="Times New Roman" w:cs="Times New Roman"/>
                <w:b/>
                <w:color w:val="000000"/>
                <w:sz w:val="24"/>
                <w:szCs w:val="24"/>
                <w:highlight w:val="none"/>
                <w:lang w:val="zh-CN" w:eastAsia="zh-CN" w:bidi="ar"/>
              </w:rPr>
              <w:t xml:space="preserve"> 污水排放标准限值 单位:mg/L</w:t>
            </w:r>
          </w:p>
          <w:tbl>
            <w:tblPr>
              <w:tblStyle w:val="32"/>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411"/>
              <w:gridCol w:w="1176"/>
              <w:gridCol w:w="887"/>
              <w:gridCol w:w="903"/>
              <w:gridCol w:w="1030"/>
              <w:gridCol w:w="9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52" w:type="pct"/>
                  <w:tcBorders>
                    <w:tl2br w:val="nil"/>
                    <w:tr2bl w:val="nil"/>
                  </w:tcBorders>
                  <w:noWrap w:val="0"/>
                  <w:vAlign w:val="center"/>
                </w:tcPr>
                <w:p>
                  <w:pPr>
                    <w:widowControl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项目</w:t>
                  </w:r>
                </w:p>
              </w:tc>
              <w:tc>
                <w:tcPr>
                  <w:tcW w:w="707"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pH</w:t>
                  </w:r>
                </w:p>
              </w:tc>
              <w:tc>
                <w:tcPr>
                  <w:tcW w:w="53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SS</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COD</w:t>
                  </w:r>
                </w:p>
              </w:tc>
              <w:tc>
                <w:tcPr>
                  <w:tcW w:w="619"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BOD</w:t>
                  </w:r>
                  <w:r>
                    <w:rPr>
                      <w:rFonts w:hint="default" w:ascii="Times New Roman" w:hAnsi="Times New Roman" w:cs="Times New Roman"/>
                      <w:color w:val="000000"/>
                      <w:sz w:val="21"/>
                      <w:szCs w:val="21"/>
                      <w:highlight w:val="none"/>
                      <w:vertAlign w:val="subscript"/>
                    </w:rPr>
                    <w:t>5</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氨氮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2052" w:type="pct"/>
                  <w:tcBorders>
                    <w:tl2br w:val="nil"/>
                    <w:tr2bl w:val="nil"/>
                  </w:tcBorders>
                  <w:noWrap w:val="0"/>
                  <w:vAlign w:val="center"/>
                </w:tcPr>
                <w:p>
                  <w:pPr>
                    <w:widowControl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《污水综合排放标准》</w:t>
                  </w:r>
                </w:p>
              </w:tc>
              <w:tc>
                <w:tcPr>
                  <w:tcW w:w="707"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6-9</w:t>
                  </w:r>
                </w:p>
              </w:tc>
              <w:tc>
                <w:tcPr>
                  <w:tcW w:w="53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400</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500</w:t>
                  </w:r>
                </w:p>
              </w:tc>
              <w:tc>
                <w:tcPr>
                  <w:tcW w:w="619"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300</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2052" w:type="pct"/>
                  <w:tcBorders>
                    <w:tl2br w:val="nil"/>
                    <w:tr2bl w:val="nil"/>
                  </w:tcBorders>
                  <w:noWrap w:val="0"/>
                  <w:vAlign w:val="center"/>
                </w:tcPr>
                <w:p>
                  <w:pPr>
                    <w:widowControl w:val="0"/>
                    <w:spacing w:line="240" w:lineRule="auto"/>
                    <w:ind w:firstLine="0"/>
                    <w:jc w:val="center"/>
                    <w:rPr>
                      <w:rFonts w:hint="default" w:ascii="Times New Roman" w:hAnsi="Times New Roman" w:cs="Times New Roman"/>
                      <w:color w:val="000000"/>
                      <w:sz w:val="21"/>
                      <w:szCs w:val="21"/>
                      <w:highlight w:val="none"/>
                      <w:lang w:val="en-US"/>
                    </w:rPr>
                  </w:pPr>
                  <w:r>
                    <w:rPr>
                      <w:rFonts w:hint="default" w:ascii="Times New Roman" w:hAnsi="Times New Roman" w:cs="Times New Roman"/>
                      <w:color w:val="000000"/>
                      <w:sz w:val="21"/>
                      <w:szCs w:val="21"/>
                      <w:highlight w:val="none"/>
                    </w:rPr>
                    <w:t>抚宁污水处理厂收水标准</w:t>
                  </w:r>
                </w:p>
              </w:tc>
              <w:tc>
                <w:tcPr>
                  <w:tcW w:w="707"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6-9</w:t>
                  </w:r>
                </w:p>
              </w:tc>
              <w:tc>
                <w:tcPr>
                  <w:tcW w:w="53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300</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500</w:t>
                  </w:r>
                </w:p>
              </w:tc>
              <w:tc>
                <w:tcPr>
                  <w:tcW w:w="619"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200</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jc w:val="center"/>
              </w:trPr>
              <w:tc>
                <w:tcPr>
                  <w:tcW w:w="2052" w:type="pct"/>
                  <w:tcBorders>
                    <w:tl2br w:val="nil"/>
                    <w:tr2bl w:val="nil"/>
                  </w:tcBorders>
                  <w:noWrap w:val="0"/>
                  <w:vAlign w:val="center"/>
                </w:tcPr>
                <w:p>
                  <w:pPr>
                    <w:widowControl w:val="0"/>
                    <w:spacing w:line="240" w:lineRule="auto"/>
                    <w:ind w:firstLine="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本项目执行标准</w:t>
                  </w:r>
                </w:p>
              </w:tc>
              <w:tc>
                <w:tcPr>
                  <w:tcW w:w="707"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6-9</w:t>
                  </w:r>
                </w:p>
              </w:tc>
              <w:tc>
                <w:tcPr>
                  <w:tcW w:w="53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300</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500</w:t>
                  </w:r>
                </w:p>
              </w:tc>
              <w:tc>
                <w:tcPr>
                  <w:tcW w:w="619"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200</w:t>
                  </w:r>
                </w:p>
              </w:tc>
              <w:tc>
                <w:tcPr>
                  <w:tcW w:w="543" w:type="pct"/>
                  <w:tcBorders>
                    <w:tl2br w:val="nil"/>
                    <w:tr2bl w:val="nil"/>
                  </w:tcBorders>
                  <w:noWrap w:val="0"/>
                  <w:vAlign w:val="center"/>
                </w:tcPr>
                <w:p>
                  <w:pPr>
                    <w:widowControl w:val="0"/>
                    <w:spacing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22</w:t>
                  </w: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3、噪声</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eastAsia="zh-CN"/>
              </w:rPr>
            </w:pPr>
            <w:r>
              <w:rPr>
                <w:rFonts w:hint="default" w:ascii="Times New Roman" w:hAnsi="Times New Roman" w:eastAsia="宋体" w:cs="Times New Roman"/>
                <w:color w:val="000000"/>
                <w:sz w:val="24"/>
                <w:szCs w:val="24"/>
                <w:highlight w:val="none"/>
                <w:lang w:eastAsia="zh-CN"/>
              </w:rPr>
              <w:t>项目厂界噪声经基础减振+厂房隔声</w:t>
            </w:r>
            <w:r>
              <w:rPr>
                <w:rFonts w:hint="default" w:ascii="Times New Roman" w:hAnsi="Times New Roman" w:eastAsia="宋体" w:cs="Times New Roman"/>
                <w:color w:val="000000"/>
                <w:sz w:val="24"/>
                <w:szCs w:val="24"/>
                <w:highlight w:val="none"/>
                <w:lang w:val="en-US" w:eastAsia="zh-CN"/>
              </w:rPr>
              <w:t>+距离衰减</w:t>
            </w:r>
            <w:r>
              <w:rPr>
                <w:rFonts w:hint="default" w:ascii="Times New Roman" w:hAnsi="Times New Roman" w:eastAsia="宋体" w:cs="Times New Roman"/>
                <w:color w:val="000000"/>
                <w:sz w:val="24"/>
                <w:szCs w:val="24"/>
                <w:highlight w:val="none"/>
                <w:lang w:eastAsia="zh-CN"/>
              </w:rPr>
              <w:t>后排放，执行《工业企业厂界环境噪声排放标准》（GB12348-2008）</w:t>
            </w:r>
            <w:r>
              <w:rPr>
                <w:rFonts w:hint="default" w:ascii="Times New Roman" w:hAnsi="Times New Roman" w:eastAsia="宋体" w:cs="Times New Roman"/>
                <w:color w:val="000000"/>
                <w:sz w:val="24"/>
                <w:szCs w:val="24"/>
                <w:highlight w:val="none"/>
                <w:lang w:val="en-US" w:eastAsia="zh-CN"/>
              </w:rPr>
              <w:t>3</w:t>
            </w:r>
            <w:r>
              <w:rPr>
                <w:rFonts w:hint="default" w:ascii="Times New Roman" w:hAnsi="Times New Roman" w:eastAsia="宋体" w:cs="Times New Roman"/>
                <w:color w:val="000000"/>
                <w:sz w:val="24"/>
                <w:szCs w:val="24"/>
                <w:highlight w:val="none"/>
                <w:lang w:eastAsia="zh-CN"/>
              </w:rPr>
              <w:t>类标准。</w:t>
            </w:r>
          </w:p>
          <w:p>
            <w:pPr>
              <w:keepNext w:val="0"/>
              <w:keepLines w:val="0"/>
              <w:pageBreakBefore w:val="0"/>
              <w:widowControl w:val="0"/>
              <w:kinsoku/>
              <w:wordWrap/>
              <w:overflowPunct/>
              <w:topLinePunct w:val="0"/>
              <w:autoSpaceDE/>
              <w:autoSpaceDN/>
              <w:bidi w:val="0"/>
              <w:adjustRightInd w:val="0"/>
              <w:snapToGrid w:val="0"/>
              <w:spacing w:line="480" w:lineRule="exact"/>
              <w:ind w:firstLine="198" w:firstLineChars="0"/>
              <w:jc w:val="center"/>
              <w:textAlignment w:val="auto"/>
              <w:rPr>
                <w:rFonts w:hint="default" w:ascii="Times New Roman" w:hAnsi="Times New Roman" w:cs="Times New Roman"/>
                <w:b/>
                <w:bCs/>
                <w:color w:val="000000"/>
                <w:sz w:val="24"/>
                <w:szCs w:val="24"/>
                <w:highlight w:val="none"/>
              </w:rPr>
            </w:pPr>
            <w:r>
              <w:rPr>
                <w:rFonts w:hint="default" w:ascii="Times New Roman" w:hAnsi="Times New Roman" w:cs="Times New Roman"/>
                <w:b/>
                <w:bCs/>
                <w:color w:val="000000"/>
                <w:sz w:val="24"/>
                <w:szCs w:val="24"/>
                <w:highlight w:val="none"/>
              </w:rPr>
              <w:t>表</w:t>
            </w:r>
            <w:r>
              <w:rPr>
                <w:rFonts w:hint="default" w:ascii="Times New Roman" w:hAnsi="Times New Roman" w:cs="Times New Roman"/>
                <w:b/>
                <w:bCs/>
                <w:color w:val="000000"/>
                <w:sz w:val="24"/>
                <w:szCs w:val="24"/>
                <w:highlight w:val="none"/>
                <w:lang w:val="en-US" w:eastAsia="zh-CN"/>
              </w:rPr>
              <w:t>3-9</w:t>
            </w:r>
            <w:r>
              <w:rPr>
                <w:rFonts w:hint="default" w:ascii="Times New Roman" w:hAnsi="Times New Roman" w:cs="Times New Roman"/>
                <w:b/>
                <w:bCs/>
                <w:color w:val="000000"/>
                <w:sz w:val="24"/>
                <w:szCs w:val="24"/>
                <w:highlight w:val="none"/>
              </w:rPr>
              <w:t xml:space="preserve"> 工业企业厂界环境噪声排放标准</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871"/>
              <w:gridCol w:w="1176"/>
              <w:gridCol w:w="1246"/>
              <w:gridCol w:w="1246"/>
              <w:gridCol w:w="3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3" w:hRule="atLeast"/>
                <w:jc w:val="center"/>
              </w:trPr>
              <w:tc>
                <w:tcPr>
                  <w:tcW w:w="1231" w:type="pct"/>
                  <w:gridSpan w:val="2"/>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项目</w:t>
                  </w:r>
                </w:p>
              </w:tc>
              <w:tc>
                <w:tcPr>
                  <w:tcW w:w="74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标准值</w:t>
                  </w:r>
                </w:p>
              </w:tc>
              <w:tc>
                <w:tcPr>
                  <w:tcW w:w="74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单位</w:t>
                  </w:r>
                </w:p>
              </w:tc>
              <w:tc>
                <w:tcPr>
                  <w:tcW w:w="226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标准来源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3" w:hRule="atLeast"/>
                <w:jc w:val="center"/>
              </w:trPr>
              <w:tc>
                <w:tcPr>
                  <w:tcW w:w="524" w:type="pct"/>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lang w:eastAsia="zh-CN"/>
                    </w:rPr>
                  </w:pPr>
                  <w:r>
                    <w:rPr>
                      <w:rFonts w:hint="default" w:ascii="Times New Roman" w:hAnsi="Times New Roman" w:cs="Times New Roman"/>
                      <w:color w:val="000000"/>
                      <w:highlight w:val="none"/>
                      <w:lang w:eastAsia="zh-CN"/>
                    </w:rPr>
                    <w:t>项目</w:t>
                  </w:r>
                </w:p>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lang w:eastAsia="zh-CN"/>
                    </w:rPr>
                    <w:t>厂界</w:t>
                  </w:r>
                </w:p>
              </w:tc>
              <w:tc>
                <w:tcPr>
                  <w:tcW w:w="706"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昼间</w:t>
                  </w:r>
                </w:p>
              </w:tc>
              <w:tc>
                <w:tcPr>
                  <w:tcW w:w="74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lang w:val="en-US"/>
                    </w:rPr>
                  </w:pPr>
                  <w:r>
                    <w:rPr>
                      <w:rFonts w:hint="default" w:ascii="Times New Roman" w:hAnsi="Times New Roman" w:cs="Times New Roman"/>
                      <w:color w:val="000000"/>
                      <w:highlight w:val="none"/>
                      <w:lang w:val="en-US" w:eastAsia="zh-CN"/>
                    </w:rPr>
                    <w:t>65</w:t>
                  </w:r>
                </w:p>
              </w:tc>
              <w:tc>
                <w:tcPr>
                  <w:tcW w:w="74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dB(A)</w:t>
                  </w:r>
                </w:p>
              </w:tc>
              <w:tc>
                <w:tcPr>
                  <w:tcW w:w="2269" w:type="pct"/>
                  <w:vMerge w:val="restar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《工业企业厂界环境噪声排放标准》（GB12348-2008）中</w:t>
                  </w:r>
                  <w:r>
                    <w:rPr>
                      <w:rFonts w:hint="default" w:ascii="Times New Roman" w:hAnsi="Times New Roman" w:cs="Times New Roman"/>
                      <w:color w:val="000000"/>
                      <w:highlight w:val="none"/>
                      <w:lang w:val="en-US" w:eastAsia="zh-CN"/>
                    </w:rPr>
                    <w:t>3</w:t>
                  </w:r>
                  <w:r>
                    <w:rPr>
                      <w:rFonts w:hint="default" w:ascii="Times New Roman" w:hAnsi="Times New Roman" w:cs="Times New Roman"/>
                      <w:color w:val="000000"/>
                      <w:highlight w:val="none"/>
                    </w:rPr>
                    <w:t>类标准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2" w:hRule="atLeast"/>
                <w:jc w:val="center"/>
              </w:trPr>
              <w:tc>
                <w:tcPr>
                  <w:tcW w:w="524" w:type="pct"/>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p>
              </w:tc>
              <w:tc>
                <w:tcPr>
                  <w:tcW w:w="706"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夜间</w:t>
                  </w:r>
                </w:p>
              </w:tc>
              <w:tc>
                <w:tcPr>
                  <w:tcW w:w="74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lang w:val="en-US" w:eastAsia="zh-CN"/>
                    </w:rPr>
                  </w:pPr>
                  <w:r>
                    <w:rPr>
                      <w:rFonts w:hint="default" w:ascii="Times New Roman" w:hAnsi="Times New Roman" w:cs="Times New Roman"/>
                      <w:color w:val="000000"/>
                      <w:highlight w:val="none"/>
                      <w:lang w:val="en-US" w:eastAsia="zh-CN"/>
                    </w:rPr>
                    <w:t>55</w:t>
                  </w:r>
                </w:p>
              </w:tc>
              <w:tc>
                <w:tcPr>
                  <w:tcW w:w="749" w:type="pct"/>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rPr>
                    <w:t>dB(A)</w:t>
                  </w:r>
                </w:p>
              </w:tc>
              <w:tc>
                <w:tcPr>
                  <w:tcW w:w="2269" w:type="pct"/>
                  <w:vMerge w:val="continue"/>
                  <w:tcBorders>
                    <w:tl2br w:val="nil"/>
                    <w:tr2bl w:val="nil"/>
                  </w:tcBorders>
                  <w:noWrap w:val="0"/>
                  <w:vAlign w:val="center"/>
                </w:tcPr>
                <w:p>
                  <w:pPr>
                    <w:adjustRightInd w:val="0"/>
                    <w:snapToGrid w:val="0"/>
                    <w:spacing w:line="240" w:lineRule="auto"/>
                    <w:ind w:firstLine="0" w:firstLineChars="0"/>
                    <w:jc w:val="center"/>
                    <w:rPr>
                      <w:rFonts w:hint="default" w:ascii="Times New Roman" w:hAnsi="Times New Roman" w:cs="Times New Roman"/>
                      <w:color w:val="000000"/>
                      <w:highlight w:val="none"/>
                    </w:rPr>
                  </w:pPr>
                </w:p>
              </w:tc>
            </w:tr>
          </w:tbl>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4、固体废物</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本项目固体废</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物主要为生产过程中的金属废料、废包装材料、除尘灰、</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废切削液</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、废</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润滑</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油、废液压油、废油桶、</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废活性炭、漆渣</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。项目产生的一般工业固体废物为金属废料、废包装材料</w:t>
            </w:r>
            <w:r>
              <w:rPr>
                <w:rFonts w:hint="default" w:ascii="Times New Roman" w:hAnsi="Times New Roman" w:eastAsia="宋体" w:cs="Times New Roman"/>
                <w:color w:val="000000"/>
                <w:sz w:val="24"/>
                <w:szCs w:val="24"/>
                <w:highlight w:val="none"/>
                <w:lang w:val="en-US" w:eastAsia="zh-CN"/>
              </w:rPr>
              <w:t>、除尘灰，收集后外售。项目产生的危险废物为</w:t>
            </w:r>
            <w:r>
              <w:rPr>
                <w:rFonts w:hint="default" w:ascii="Times New Roman" w:hAnsi="Times New Roman" w:cs="Times New Roman"/>
                <w:color w:val="000000"/>
                <w:sz w:val="24"/>
                <w:szCs w:val="24"/>
                <w:highlight w:val="none"/>
                <w:lang w:val="en-US" w:eastAsia="zh-CN"/>
              </w:rPr>
              <w:t>废切削液</w:t>
            </w:r>
            <w:r>
              <w:rPr>
                <w:rFonts w:hint="default" w:ascii="Times New Roman" w:hAnsi="Times New Roman" w:eastAsia="宋体" w:cs="Times New Roman"/>
                <w:color w:val="000000"/>
                <w:sz w:val="24"/>
                <w:szCs w:val="24"/>
                <w:highlight w:val="none"/>
                <w:lang w:val="en-US" w:eastAsia="zh-CN"/>
              </w:rPr>
              <w:t>、废</w:t>
            </w:r>
            <w:r>
              <w:rPr>
                <w:rFonts w:hint="default" w:ascii="Times New Roman" w:hAnsi="Times New Roman" w:cs="Times New Roman"/>
                <w:color w:val="000000"/>
                <w:sz w:val="24"/>
                <w:szCs w:val="24"/>
                <w:highlight w:val="none"/>
                <w:lang w:val="en-US" w:eastAsia="zh-CN"/>
              </w:rPr>
              <w:t>润滑</w:t>
            </w:r>
            <w:r>
              <w:rPr>
                <w:rFonts w:hint="default" w:ascii="Times New Roman" w:hAnsi="Times New Roman" w:eastAsia="宋体" w:cs="Times New Roman"/>
                <w:color w:val="000000"/>
                <w:sz w:val="24"/>
                <w:szCs w:val="24"/>
                <w:highlight w:val="none"/>
                <w:lang w:val="en-US" w:eastAsia="zh-CN"/>
              </w:rPr>
              <w:t>油、废液压油、废油桶</w:t>
            </w:r>
            <w:r>
              <w:rPr>
                <w:rFonts w:hint="default" w:ascii="Times New Roman" w:hAnsi="Times New Roman" w:cs="Times New Roman"/>
                <w:color w:val="000000"/>
                <w:sz w:val="24"/>
                <w:szCs w:val="24"/>
                <w:highlight w:val="none"/>
                <w:lang w:val="en-US" w:eastAsia="zh-CN"/>
              </w:rPr>
              <w:t>、废活性炭、漆渣</w:t>
            </w:r>
            <w:r>
              <w:rPr>
                <w:rFonts w:hint="default" w:ascii="Times New Roman" w:hAnsi="Times New Roman" w:eastAsia="宋体" w:cs="Times New Roman"/>
                <w:color w:val="000000"/>
                <w:sz w:val="24"/>
                <w:szCs w:val="24"/>
                <w:highlight w:val="none"/>
                <w:lang w:val="en-US" w:eastAsia="zh-CN"/>
              </w:rPr>
              <w:t>，新建一座</w:t>
            </w:r>
            <w:r>
              <w:rPr>
                <w:rFonts w:hint="default" w:ascii="Times New Roman" w:hAnsi="Times New Roman" w:cs="Times New Roman"/>
                <w:color w:val="000000"/>
                <w:sz w:val="24"/>
                <w:szCs w:val="24"/>
                <w:highlight w:val="none"/>
                <w:lang w:val="en-US" w:eastAsia="zh-CN"/>
              </w:rPr>
              <w:t>20</w:t>
            </w:r>
            <w:r>
              <w:rPr>
                <w:rFonts w:hint="default" w:ascii="Times New Roman" w:hAnsi="Times New Roman" w:eastAsia="宋体" w:cs="Times New Roman"/>
                <w:color w:val="000000"/>
                <w:sz w:val="24"/>
                <w:szCs w:val="24"/>
                <w:highlight w:val="none"/>
                <w:lang w:val="en-US" w:eastAsia="zh-CN"/>
              </w:rPr>
              <w:t>m</w:t>
            </w:r>
            <w:r>
              <w:rPr>
                <w:rFonts w:hint="default" w:ascii="Times New Roman" w:hAnsi="Times New Roman" w:eastAsia="宋体" w:cs="Times New Roman"/>
                <w:color w:val="000000"/>
                <w:sz w:val="24"/>
                <w:szCs w:val="24"/>
                <w:highlight w:val="none"/>
                <w:vertAlign w:val="superscript"/>
                <w:lang w:val="en-US" w:eastAsia="zh-CN"/>
              </w:rPr>
              <w:t>2</w:t>
            </w:r>
            <w:r>
              <w:rPr>
                <w:rFonts w:hint="default" w:ascii="Times New Roman" w:hAnsi="Times New Roman" w:eastAsia="宋体" w:cs="Times New Roman"/>
                <w:color w:val="000000"/>
                <w:sz w:val="24"/>
                <w:szCs w:val="24"/>
                <w:highlight w:val="none"/>
                <w:lang w:val="en-US" w:eastAsia="zh-CN"/>
              </w:rPr>
              <w:t>危险废物暂存间，暂存危险废物暂存间，定期交由有资质单位处理。</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一般固体废物贮存</w:t>
            </w:r>
            <w:r>
              <w:rPr>
                <w:rFonts w:hint="default" w:ascii="Times New Roman" w:hAnsi="Times New Roman" w:eastAsia="宋体" w:cs="Times New Roman"/>
                <w:b w:val="0"/>
                <w:bCs w:val="0"/>
                <w:color w:val="000000"/>
                <w:sz w:val="24"/>
                <w:szCs w:val="24"/>
                <w:highlight w:val="none"/>
                <w:lang w:val="en-US" w:eastAsia="zh-CN"/>
              </w:rPr>
              <w:t>过程应满足相应</w:t>
            </w:r>
            <w:r>
              <w:rPr>
                <w:rFonts w:hint="default" w:ascii="Times New Roman" w:hAnsi="Times New Roman" w:cs="Times New Roman"/>
                <w:b w:val="0"/>
                <w:bCs w:val="0"/>
                <w:color w:val="000000"/>
                <w:sz w:val="24"/>
                <w:szCs w:val="24"/>
                <w:highlight w:val="none"/>
                <w:lang w:val="en-US" w:eastAsia="zh-CN"/>
              </w:rPr>
              <w:t>防扬散、防流失、防渗漏</w:t>
            </w:r>
            <w:r>
              <w:rPr>
                <w:rFonts w:hint="default" w:ascii="Times New Roman" w:hAnsi="Times New Roman" w:eastAsia="宋体" w:cs="Times New Roman"/>
                <w:b w:val="0"/>
                <w:bCs w:val="0"/>
                <w:color w:val="000000"/>
                <w:sz w:val="24"/>
                <w:szCs w:val="24"/>
                <w:highlight w:val="none"/>
                <w:lang w:val="en-US" w:eastAsia="zh-CN"/>
              </w:rPr>
              <w:t>等环境保护要求</w:t>
            </w:r>
            <w:r>
              <w:rPr>
                <w:rFonts w:hint="default" w:ascii="Times New Roman" w:hAnsi="Times New Roman" w:eastAsia="宋体" w:cs="Times New Roman"/>
                <w:color w:val="000000"/>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cs="Times New Roman"/>
                <w:color w:val="000000"/>
                <w:kern w:val="0"/>
                <w:szCs w:val="21"/>
                <w:highlight w:val="none"/>
                <w:lang w:val="en-US"/>
              </w:rPr>
            </w:pPr>
            <w:r>
              <w:rPr>
                <w:rFonts w:hint="default" w:ascii="Times New Roman" w:hAnsi="Times New Roman" w:eastAsia="宋体" w:cs="Times New Roman"/>
                <w:color w:val="000000"/>
                <w:sz w:val="24"/>
                <w:szCs w:val="24"/>
                <w:highlight w:val="none"/>
                <w:lang w:val="en-US" w:eastAsia="zh-CN"/>
              </w:rPr>
              <w:t>危险废物执行《危险废物贮存污染控制标准》（GB 18597-2023）标准要求。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619" w:hRule="atLeast"/>
          <w:jc w:val="center"/>
        </w:trPr>
        <w:tc>
          <w:tcPr>
            <w:tcW w:w="446" w:type="dxa"/>
            <w:noWrap w:val="0"/>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22" w:name="_Toc6697"/>
            <w:r>
              <w:rPr>
                <w:rFonts w:hint="default" w:ascii="Times New Roman" w:hAnsi="Times New Roman" w:cs="Times New Roman"/>
                <w:color w:val="000000"/>
                <w:kern w:val="0"/>
                <w:sz w:val="24"/>
                <w:szCs w:val="24"/>
                <w:highlight w:val="none"/>
              </w:rPr>
              <w:t>总量</w:t>
            </w:r>
            <w:bookmarkEnd w:id="22"/>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 w:val="24"/>
                <w:szCs w:val="24"/>
                <w:highlight w:val="none"/>
              </w:rPr>
            </w:pPr>
            <w:bookmarkStart w:id="23" w:name="_Toc15742"/>
            <w:r>
              <w:rPr>
                <w:rFonts w:hint="default" w:ascii="Times New Roman" w:hAnsi="Times New Roman" w:cs="Times New Roman"/>
                <w:color w:val="000000"/>
                <w:kern w:val="0"/>
                <w:sz w:val="24"/>
                <w:szCs w:val="24"/>
                <w:highlight w:val="none"/>
              </w:rPr>
              <w:t>控制</w:t>
            </w:r>
            <w:bookmarkEnd w:id="23"/>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cs="Times New Roman"/>
                <w:color w:val="000000"/>
                <w:kern w:val="0"/>
                <w:szCs w:val="21"/>
                <w:highlight w:val="none"/>
              </w:rPr>
            </w:pPr>
            <w:bookmarkStart w:id="24" w:name="_Toc22834"/>
            <w:r>
              <w:rPr>
                <w:rFonts w:hint="default" w:ascii="Times New Roman" w:hAnsi="Times New Roman" w:cs="Times New Roman"/>
                <w:color w:val="000000"/>
                <w:kern w:val="0"/>
                <w:sz w:val="24"/>
                <w:szCs w:val="24"/>
                <w:highlight w:val="none"/>
              </w:rPr>
              <w:t>指标</w:t>
            </w:r>
            <w:bookmarkEnd w:id="24"/>
          </w:p>
        </w:tc>
        <w:tc>
          <w:tcPr>
            <w:tcW w:w="8542" w:type="dxa"/>
            <w:noWrap w:val="0"/>
            <w:vAlign w:val="center"/>
          </w:tcPr>
          <w:p>
            <w:pPr>
              <w:spacing w:line="360" w:lineRule="auto"/>
              <w:ind w:firstLine="480" w:firstLineChars="200"/>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spacing w:val="0"/>
                <w:w w:val="100"/>
                <w:position w:val="0"/>
                <w:sz w:val="24"/>
                <w:szCs w:val="24"/>
                <w:highlight w:val="none"/>
                <w:lang w:val="en-US" w:eastAsia="zh-CN"/>
              </w:rPr>
              <w:t>根据《关于落实大气污染防治行动计划严格环境影响评价准入的通知》(环办[2014]30号)中“三、严格把好建设项目环境影响评价审批准入关口，排放二氧</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化硫、氮氧化物、烟粉尘和挥发性有机污染物的项目，必须落实相关污染物总量减排方案，上一年度环境空气质量相关污染物年平均浓度不达标的城市，应进行倍量削减替代”。</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项目建成后建议总量控制指标为：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颗粒物：0.065</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VOCs：0.476</w:t>
            </w:r>
            <w:r>
              <w:rPr>
                <w:rFonts w:hint="default" w:ascii="Times New Roman" w:hAnsi="Times New Roman" w:cs="Times New Roman"/>
                <w:color w:val="000000" w:themeColor="text1"/>
                <w:sz w:val="24"/>
                <w:szCs w:val="24"/>
                <w:highlight w:val="none"/>
                <w14:textFill>
                  <w14:solidFill>
                    <w14:schemeClr w14:val="tx1"/>
                  </w14:solidFill>
                </w14:textFill>
              </w:rPr>
              <w:t>t/a、SO</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2</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t/a、NO</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X</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t/a、COD：</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0.117</w:t>
            </w:r>
            <w:r>
              <w:rPr>
                <w:rFonts w:hint="default" w:ascii="Times New Roman" w:hAnsi="Times New Roman" w:cs="Times New Roman"/>
                <w:color w:val="000000" w:themeColor="text1"/>
                <w:sz w:val="24"/>
                <w:szCs w:val="24"/>
                <w:highlight w:val="none"/>
                <w14:textFill>
                  <w14:solidFill>
                    <w14:schemeClr w14:val="tx1"/>
                  </w14:solidFill>
                </w14:textFill>
              </w:rPr>
              <w:t>t/a、NH</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3</w:t>
            </w:r>
            <w:r>
              <w:rPr>
                <w:rFonts w:hint="default" w:ascii="Times New Roman" w:hAnsi="Times New Roman" w:cs="Times New Roman"/>
                <w:color w:val="000000" w:themeColor="text1"/>
                <w:sz w:val="24"/>
                <w:szCs w:val="24"/>
                <w:highlight w:val="none"/>
                <w14:textFill>
                  <w14:solidFill>
                    <w14:schemeClr w14:val="tx1"/>
                  </w14:solidFill>
                </w14:textFill>
              </w:rPr>
              <w:t>-N：</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0.012</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bCs/>
                <w:color w:val="000000" w:themeColor="text1"/>
                <w:sz w:val="24"/>
                <w14:textFill>
                  <w14:solidFill>
                    <w14:schemeClr w14:val="tx1"/>
                  </w14:solidFill>
                </w14:textFill>
              </w:rPr>
              <w:t>。</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1、废水</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本项目废水排放量为</w:t>
            </w:r>
            <w:r>
              <w:rPr>
                <w:rFonts w:hint="default" w:ascii="Times New Roman" w:hAnsi="Times New Roman" w:cs="Times New Roman"/>
                <w:bCs/>
                <w:color w:val="000000" w:themeColor="text1"/>
                <w:sz w:val="24"/>
                <w:lang w:val="en-US" w:eastAsia="zh-CN"/>
                <w14:textFill>
                  <w14:solidFill>
                    <w14:schemeClr w14:val="tx1"/>
                  </w14:solidFill>
                </w14:textFill>
              </w:rPr>
              <w:t>2340</w:t>
            </w:r>
            <w:r>
              <w:rPr>
                <w:rFonts w:hint="default" w:ascii="Times New Roman" w:hAnsi="Times New Roman" w:cs="Times New Roman"/>
                <w:bCs/>
                <w:color w:val="000000" w:themeColor="text1"/>
                <w:sz w:val="24"/>
                <w14:textFill>
                  <w14:solidFill>
                    <w14:schemeClr w14:val="tx1"/>
                  </w14:solidFill>
                </w14:textFill>
              </w:rPr>
              <w:t>m</w:t>
            </w:r>
            <w:r>
              <w:rPr>
                <w:rFonts w:hint="default" w:ascii="Times New Roman" w:hAnsi="Times New Roman" w:cs="Times New Roman"/>
                <w:bCs/>
                <w:color w:val="000000" w:themeColor="text1"/>
                <w:sz w:val="24"/>
                <w:vertAlign w:val="superscript"/>
                <w:lang w:val="en-US" w:eastAsia="zh-CN"/>
                <w14:textFill>
                  <w14:solidFill>
                    <w14:schemeClr w14:val="tx1"/>
                  </w14:solidFill>
                </w14:textFill>
              </w:rPr>
              <w:t>3</w:t>
            </w:r>
            <w:r>
              <w:rPr>
                <w:rFonts w:hint="default" w:ascii="Times New Roman" w:hAnsi="Times New Roman" w:cs="Times New Roman"/>
                <w:bCs/>
                <w:color w:val="000000" w:themeColor="text1"/>
                <w:sz w:val="24"/>
                <w14:textFill>
                  <w14:solidFill>
                    <w14:schemeClr w14:val="tx1"/>
                  </w14:solidFill>
                </w14:textFill>
              </w:rPr>
              <w:t>/a。污水经</w:t>
            </w:r>
            <w:r>
              <w:rPr>
                <w:rFonts w:hint="default" w:ascii="Times New Roman" w:hAnsi="Times New Roman" w:cs="Times New Roman"/>
                <w:bCs/>
                <w:color w:val="000000" w:themeColor="text1"/>
                <w:sz w:val="24"/>
                <w:lang w:val="en-US" w:eastAsia="zh-CN"/>
                <w14:textFill>
                  <w14:solidFill>
                    <w14:schemeClr w14:val="tx1"/>
                  </w14:solidFill>
                </w14:textFill>
              </w:rPr>
              <w:t>化粪池</w:t>
            </w:r>
            <w:r>
              <w:rPr>
                <w:rFonts w:hint="default" w:ascii="Times New Roman" w:hAnsi="Times New Roman" w:cs="Times New Roman"/>
                <w:bCs/>
                <w:color w:val="000000" w:themeColor="text1"/>
                <w:sz w:val="24"/>
                <w14:textFill>
                  <w14:solidFill>
                    <w14:schemeClr w14:val="tx1"/>
                  </w14:solidFill>
                </w14:textFill>
              </w:rPr>
              <w:t>处理后经</w:t>
            </w:r>
            <w:r>
              <w:rPr>
                <w:rFonts w:hint="default" w:ascii="Times New Roman" w:hAnsi="Times New Roman" w:cs="Times New Roman"/>
                <w:bCs/>
                <w:color w:val="000000" w:themeColor="text1"/>
                <w:sz w:val="24"/>
                <w:lang w:val="en-US" w:eastAsia="zh-CN"/>
                <w14:textFill>
                  <w14:solidFill>
                    <w14:schemeClr w14:val="tx1"/>
                  </w14:solidFill>
                </w14:textFill>
              </w:rPr>
              <w:t>园区</w:t>
            </w:r>
            <w:r>
              <w:rPr>
                <w:rFonts w:hint="default" w:ascii="Times New Roman" w:hAnsi="Times New Roman" w:cs="Times New Roman"/>
                <w:bCs/>
                <w:color w:val="000000" w:themeColor="text1"/>
                <w:sz w:val="24"/>
                <w14:textFill>
                  <w14:solidFill>
                    <w14:schemeClr w14:val="tx1"/>
                  </w14:solidFill>
                </w14:textFill>
              </w:rPr>
              <w:t>污水管网排入</w:t>
            </w:r>
            <w:r>
              <w:rPr>
                <w:rFonts w:hint="default" w:ascii="Times New Roman" w:hAnsi="Times New Roman" w:cs="Times New Roman"/>
                <w:bCs/>
                <w:color w:val="000000" w:themeColor="text1"/>
                <w:sz w:val="24"/>
                <w:lang w:val="en-US" w:eastAsia="zh-CN"/>
                <w14:textFill>
                  <w14:solidFill>
                    <w14:schemeClr w14:val="tx1"/>
                  </w14:solidFill>
                </w14:textFill>
              </w:rPr>
              <w:t>抚宁</w:t>
            </w:r>
            <w:r>
              <w:rPr>
                <w:rFonts w:hint="default" w:ascii="Times New Roman" w:hAnsi="Times New Roman" w:cs="Times New Roman"/>
                <w:bCs/>
                <w:color w:val="000000" w:themeColor="text1"/>
                <w:sz w:val="24"/>
                <w14:textFill>
                  <w14:solidFill>
                    <w14:schemeClr w14:val="tx1"/>
                  </w14:solidFill>
                </w14:textFill>
              </w:rPr>
              <w:t>污水处理厂处理，因此采用</w:t>
            </w:r>
            <w:r>
              <w:rPr>
                <w:rFonts w:hint="default" w:ascii="Times New Roman" w:hAnsi="Times New Roman" w:cs="Times New Roman"/>
                <w:bCs/>
                <w:color w:val="000000" w:themeColor="text1"/>
                <w:sz w:val="24"/>
                <w:lang w:val="en-US" w:eastAsia="zh-CN"/>
                <w14:textFill>
                  <w14:solidFill>
                    <w14:schemeClr w14:val="tx1"/>
                  </w14:solidFill>
                </w14:textFill>
              </w:rPr>
              <w:t>抚宁</w:t>
            </w:r>
            <w:r>
              <w:rPr>
                <w:rFonts w:hint="default" w:ascii="Times New Roman" w:hAnsi="Times New Roman" w:cs="Times New Roman"/>
                <w:bCs/>
                <w:color w:val="000000" w:themeColor="text1"/>
                <w:sz w:val="24"/>
                <w14:textFill>
                  <w14:solidFill>
                    <w14:schemeClr w14:val="tx1"/>
                  </w14:solidFill>
                </w14:textFill>
              </w:rPr>
              <w:t>污水处理厂出水标准作为排放标准核算COD、氨氮排放量。</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污水处理厂出水满足</w:t>
            </w:r>
            <w:r>
              <w:rPr>
                <w:rFonts w:hint="default" w:ascii="Times New Roman" w:hAnsi="Times New Roman" w:cs="Times New Roman"/>
                <w:bCs/>
                <w:color w:val="000000" w:themeColor="text1"/>
                <w:sz w:val="24"/>
                <w:lang w:eastAsia="zh-CN"/>
                <w14:textFill>
                  <w14:solidFill>
                    <w14:schemeClr w14:val="tx1"/>
                  </w14:solidFill>
                </w14:textFill>
              </w:rPr>
              <w:t>《</w:t>
            </w:r>
            <w:r>
              <w:rPr>
                <w:rFonts w:hint="default" w:ascii="Times New Roman" w:hAnsi="Times New Roman" w:cs="Times New Roman"/>
                <w:bCs/>
                <w:color w:val="000000" w:themeColor="text1"/>
                <w:sz w:val="24"/>
                <w14:textFill>
                  <w14:solidFill>
                    <w14:schemeClr w14:val="tx1"/>
                  </w14:solidFill>
                </w14:textFill>
              </w:rPr>
              <w:t>城镇污水处理厂污染物排放标准</w:t>
            </w:r>
            <w:r>
              <w:rPr>
                <w:rFonts w:hint="default" w:ascii="Times New Roman" w:hAnsi="Times New Roman" w:cs="Times New Roman"/>
                <w:bCs/>
                <w:color w:val="000000" w:themeColor="text1"/>
                <w:sz w:val="24"/>
                <w:lang w:eastAsia="zh-CN"/>
                <w14:textFill>
                  <w14:solidFill>
                    <w14:schemeClr w14:val="tx1"/>
                  </w14:solidFill>
                </w14:textFill>
              </w:rPr>
              <w:t>》</w:t>
            </w:r>
            <w:r>
              <w:rPr>
                <w:rFonts w:hint="default" w:ascii="Times New Roman" w:hAnsi="Times New Roman" w:cs="Times New Roman"/>
                <w:bCs/>
                <w:color w:val="000000" w:themeColor="text1"/>
                <w:sz w:val="24"/>
                <w14:textFill>
                  <w14:solidFill>
                    <w14:schemeClr w14:val="tx1"/>
                  </w14:solidFill>
                </w14:textFill>
              </w:rPr>
              <w:t>(GB 18918-2002)中一级A标准后排放，出水水质COD≤50mg/L、氨氮≤5mg/L，则采用</w:t>
            </w:r>
            <w:r>
              <w:rPr>
                <w:rFonts w:hint="default" w:ascii="Times New Roman" w:hAnsi="Times New Roman" w:cs="Times New Roman"/>
                <w:bCs/>
                <w:color w:val="000000" w:themeColor="text1"/>
                <w:sz w:val="24"/>
                <w:lang w:val="en-US" w:eastAsia="zh-CN"/>
                <w14:textFill>
                  <w14:solidFill>
                    <w14:schemeClr w14:val="tx1"/>
                  </w14:solidFill>
                </w14:textFill>
              </w:rPr>
              <w:t>抚宁</w:t>
            </w:r>
            <w:r>
              <w:rPr>
                <w:rFonts w:hint="default" w:ascii="Times New Roman" w:hAnsi="Times New Roman" w:cs="Times New Roman"/>
                <w:bCs/>
                <w:color w:val="000000" w:themeColor="text1"/>
                <w:sz w:val="24"/>
                <w14:textFill>
                  <w14:solidFill>
                    <w14:schemeClr w14:val="tx1"/>
                  </w14:solidFill>
                </w14:textFill>
              </w:rPr>
              <w:t>污水处理厂出水标准核算COD、氨氮排放量为：</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COD：</w:t>
            </w:r>
            <w:r>
              <w:rPr>
                <w:rFonts w:hint="default" w:ascii="Times New Roman" w:hAnsi="Times New Roman" w:cs="Times New Roman"/>
                <w:bCs/>
                <w:color w:val="000000" w:themeColor="text1"/>
                <w:sz w:val="24"/>
                <w:lang w:val="en-US" w:eastAsia="zh-CN"/>
                <w14:textFill>
                  <w14:solidFill>
                    <w14:schemeClr w14:val="tx1"/>
                  </w14:solidFill>
                </w14:textFill>
              </w:rPr>
              <w:t>2340</w:t>
            </w:r>
            <w:r>
              <w:rPr>
                <w:rFonts w:hint="default" w:ascii="Times New Roman" w:hAnsi="Times New Roman" w:cs="Times New Roman"/>
                <w:bCs/>
                <w:color w:val="000000" w:themeColor="text1"/>
                <w:sz w:val="24"/>
                <w14:textFill>
                  <w14:solidFill>
                    <w14:schemeClr w14:val="tx1"/>
                  </w14:solidFill>
                </w14:textFill>
              </w:rPr>
              <w:t>m</w:t>
            </w:r>
            <w:r>
              <w:rPr>
                <w:rFonts w:hint="default" w:ascii="Times New Roman" w:hAnsi="Times New Roman" w:cs="Times New Roman"/>
                <w:bCs/>
                <w:color w:val="000000" w:themeColor="text1"/>
                <w:sz w:val="24"/>
                <w:vertAlign w:val="superscript"/>
                <w:lang w:val="en-US" w:eastAsia="zh-CN"/>
                <w14:textFill>
                  <w14:solidFill>
                    <w14:schemeClr w14:val="tx1"/>
                  </w14:solidFill>
                </w14:textFill>
              </w:rPr>
              <w:t>3</w:t>
            </w:r>
            <w:r>
              <w:rPr>
                <w:rFonts w:hint="default" w:ascii="Times New Roman" w:hAnsi="Times New Roman" w:cs="Times New Roman"/>
                <w:bCs/>
                <w:color w:val="000000" w:themeColor="text1"/>
                <w:sz w:val="24"/>
                <w14:textFill>
                  <w14:solidFill>
                    <w14:schemeClr w14:val="tx1"/>
                  </w14:solidFill>
                </w14:textFill>
              </w:rPr>
              <w:t>/a×50mg/L×10</w:t>
            </w:r>
            <w:r>
              <w:rPr>
                <w:rFonts w:hint="default" w:ascii="Times New Roman" w:hAnsi="Times New Roman" w:cs="Times New Roman"/>
                <w:bCs/>
                <w:color w:val="000000" w:themeColor="text1"/>
                <w:sz w:val="24"/>
                <w:vertAlign w:val="superscript"/>
                <w14:textFill>
                  <w14:solidFill>
                    <w14:schemeClr w14:val="tx1"/>
                  </w14:solidFill>
                </w14:textFill>
              </w:rPr>
              <w:t>-6</w:t>
            </w:r>
            <w:r>
              <w:rPr>
                <w:rFonts w:hint="default" w:ascii="Times New Roman" w:hAnsi="Times New Roman" w:cs="Times New Roman"/>
                <w:bCs/>
                <w:color w:val="000000" w:themeColor="text1"/>
                <w:sz w:val="24"/>
                <w14:textFill>
                  <w14:solidFill>
                    <w14:schemeClr w14:val="tx1"/>
                  </w14:solidFill>
                </w14:textFill>
              </w:rPr>
              <w:t>＝0.</w:t>
            </w:r>
            <w:r>
              <w:rPr>
                <w:rFonts w:hint="default" w:ascii="Times New Roman" w:hAnsi="Times New Roman" w:cs="Times New Roman"/>
                <w:bCs/>
                <w:color w:val="000000" w:themeColor="text1"/>
                <w:sz w:val="24"/>
                <w:lang w:val="en-US" w:eastAsia="zh-CN"/>
                <w14:textFill>
                  <w14:solidFill>
                    <w14:schemeClr w14:val="tx1"/>
                  </w14:solidFill>
                </w14:textFill>
              </w:rPr>
              <w:t>117</w:t>
            </w:r>
            <w:r>
              <w:rPr>
                <w:rFonts w:hint="default" w:ascii="Times New Roman" w:hAnsi="Times New Roman" w:cs="Times New Roman"/>
                <w:bCs/>
                <w:color w:val="000000" w:themeColor="text1"/>
                <w:sz w:val="24"/>
                <w14:textFill>
                  <w14:solidFill>
                    <w14:schemeClr w14:val="tx1"/>
                  </w14:solidFill>
                </w14:textFill>
              </w:rPr>
              <w:t>t/a；</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氨氮：</w:t>
            </w:r>
            <w:r>
              <w:rPr>
                <w:rFonts w:hint="default" w:ascii="Times New Roman" w:hAnsi="Times New Roman" w:cs="Times New Roman"/>
                <w:bCs/>
                <w:color w:val="000000" w:themeColor="text1"/>
                <w:sz w:val="24"/>
                <w:lang w:val="en-US" w:eastAsia="zh-CN"/>
                <w14:textFill>
                  <w14:solidFill>
                    <w14:schemeClr w14:val="tx1"/>
                  </w14:solidFill>
                </w14:textFill>
              </w:rPr>
              <w:t>2340</w:t>
            </w:r>
            <w:r>
              <w:rPr>
                <w:rFonts w:hint="default" w:ascii="Times New Roman" w:hAnsi="Times New Roman" w:cs="Times New Roman"/>
                <w:bCs/>
                <w:color w:val="000000" w:themeColor="text1"/>
                <w:sz w:val="24"/>
                <w14:textFill>
                  <w14:solidFill>
                    <w14:schemeClr w14:val="tx1"/>
                  </w14:solidFill>
                </w14:textFill>
              </w:rPr>
              <w:t>m</w:t>
            </w:r>
            <w:r>
              <w:rPr>
                <w:rFonts w:hint="default" w:ascii="Times New Roman" w:hAnsi="Times New Roman" w:cs="Times New Roman"/>
                <w:bCs/>
                <w:color w:val="000000" w:themeColor="text1"/>
                <w:sz w:val="24"/>
                <w:vertAlign w:val="superscript"/>
                <w:lang w:val="en-US" w:eastAsia="zh-CN"/>
                <w14:textFill>
                  <w14:solidFill>
                    <w14:schemeClr w14:val="tx1"/>
                  </w14:solidFill>
                </w14:textFill>
              </w:rPr>
              <w:t>3</w:t>
            </w:r>
            <w:r>
              <w:rPr>
                <w:rFonts w:hint="default" w:ascii="Times New Roman" w:hAnsi="Times New Roman" w:cs="Times New Roman"/>
                <w:bCs/>
                <w:color w:val="000000" w:themeColor="text1"/>
                <w:sz w:val="24"/>
                <w14:textFill>
                  <w14:solidFill>
                    <w14:schemeClr w14:val="tx1"/>
                  </w14:solidFill>
                </w14:textFill>
              </w:rPr>
              <w:t>/a×5mg/L×10</w:t>
            </w:r>
            <w:r>
              <w:rPr>
                <w:rFonts w:hint="default" w:ascii="Times New Roman" w:hAnsi="Times New Roman" w:cs="Times New Roman"/>
                <w:bCs/>
                <w:color w:val="000000" w:themeColor="text1"/>
                <w:sz w:val="24"/>
                <w:vertAlign w:val="superscript"/>
                <w14:textFill>
                  <w14:solidFill>
                    <w14:schemeClr w14:val="tx1"/>
                  </w14:solidFill>
                </w14:textFill>
              </w:rPr>
              <w:t>-6</w:t>
            </w:r>
            <w:r>
              <w:rPr>
                <w:rFonts w:hint="default" w:ascii="Times New Roman" w:hAnsi="Times New Roman" w:cs="Times New Roman"/>
                <w:bCs/>
                <w:color w:val="000000" w:themeColor="text1"/>
                <w:sz w:val="24"/>
                <w14:textFill>
                  <w14:solidFill>
                    <w14:schemeClr w14:val="tx1"/>
                  </w14:solidFill>
                </w14:textFill>
              </w:rPr>
              <w:t>＝0.0</w:t>
            </w:r>
            <w:r>
              <w:rPr>
                <w:rFonts w:hint="default" w:ascii="Times New Roman" w:hAnsi="Times New Roman" w:cs="Times New Roman"/>
                <w:bCs/>
                <w:color w:val="000000" w:themeColor="text1"/>
                <w:sz w:val="24"/>
                <w:lang w:val="en-US" w:eastAsia="zh-CN"/>
                <w14:textFill>
                  <w14:solidFill>
                    <w14:schemeClr w14:val="tx1"/>
                  </w14:solidFill>
                </w14:textFill>
              </w:rPr>
              <w:t>12</w:t>
            </w:r>
            <w:r>
              <w:rPr>
                <w:rFonts w:hint="default" w:ascii="Times New Roman" w:hAnsi="Times New Roman" w:cs="Times New Roman"/>
                <w:bCs/>
                <w:color w:val="000000" w:themeColor="text1"/>
                <w:sz w:val="24"/>
                <w14:textFill>
                  <w14:solidFill>
                    <w14:schemeClr w14:val="tx1"/>
                  </w14:solidFill>
                </w14:textFill>
              </w:rPr>
              <w:t>t/a。</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按照</w:t>
            </w:r>
            <w:r>
              <w:rPr>
                <w:rFonts w:hint="default" w:ascii="Times New Roman" w:hAnsi="Times New Roman" w:cs="Times New Roman"/>
                <w:bCs/>
                <w:color w:val="000000" w:themeColor="text1"/>
                <w:sz w:val="24"/>
                <w:lang w:val="en-US" w:eastAsia="zh-CN"/>
                <w14:textFill>
                  <w14:solidFill>
                    <w14:schemeClr w14:val="tx1"/>
                  </w14:solidFill>
                </w14:textFill>
              </w:rPr>
              <w:t>抚宁</w:t>
            </w:r>
            <w:r>
              <w:rPr>
                <w:rFonts w:hint="default" w:ascii="Times New Roman" w:hAnsi="Times New Roman" w:cs="Times New Roman"/>
                <w:bCs/>
                <w:color w:val="000000" w:themeColor="text1"/>
                <w:sz w:val="24"/>
                <w14:textFill>
                  <w14:solidFill>
                    <w14:schemeClr w14:val="tx1"/>
                  </w14:solidFill>
                </w14:textFill>
              </w:rPr>
              <w:t>污水处理厂出水标准计算的污染物总量控制指标为COD：0.</w:t>
            </w:r>
            <w:r>
              <w:rPr>
                <w:rFonts w:hint="default" w:ascii="Times New Roman" w:hAnsi="Times New Roman" w:cs="Times New Roman"/>
                <w:bCs/>
                <w:color w:val="000000" w:themeColor="text1"/>
                <w:sz w:val="24"/>
                <w:lang w:val="en-US" w:eastAsia="zh-CN"/>
                <w14:textFill>
                  <w14:solidFill>
                    <w14:schemeClr w14:val="tx1"/>
                  </w14:solidFill>
                </w14:textFill>
              </w:rPr>
              <w:t>117</w:t>
            </w:r>
            <w:r>
              <w:rPr>
                <w:rFonts w:hint="default" w:ascii="Times New Roman" w:hAnsi="Times New Roman" w:cs="Times New Roman"/>
                <w:bCs/>
                <w:color w:val="000000" w:themeColor="text1"/>
                <w:sz w:val="24"/>
                <w14:textFill>
                  <w14:solidFill>
                    <w14:schemeClr w14:val="tx1"/>
                  </w14:solidFill>
                </w14:textFill>
              </w:rPr>
              <w:t>t/a、氨氮：0.0</w:t>
            </w:r>
            <w:r>
              <w:rPr>
                <w:rFonts w:hint="default" w:ascii="Times New Roman" w:hAnsi="Times New Roman" w:cs="Times New Roman"/>
                <w:bCs/>
                <w:color w:val="000000" w:themeColor="text1"/>
                <w:sz w:val="24"/>
                <w:lang w:val="en-US" w:eastAsia="zh-CN"/>
                <w14:textFill>
                  <w14:solidFill>
                    <w14:schemeClr w14:val="tx1"/>
                  </w14:solidFill>
                </w14:textFill>
              </w:rPr>
              <w:t>12</w:t>
            </w:r>
            <w:r>
              <w:rPr>
                <w:rFonts w:hint="default" w:ascii="Times New Roman" w:hAnsi="Times New Roman" w:cs="Times New Roman"/>
                <w:bCs/>
                <w:color w:val="000000" w:themeColor="text1"/>
                <w:sz w:val="24"/>
                <w14:textFill>
                  <w14:solidFill>
                    <w14:schemeClr w14:val="tx1"/>
                  </w14:solidFill>
                </w14:textFill>
              </w:rPr>
              <w:t>t/a。</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14:textFill>
                  <w14:solidFill>
                    <w14:schemeClr w14:val="tx1"/>
                  </w14:solidFill>
                </w14:textFill>
              </w:rPr>
              <w:t>2、废气</w:t>
            </w:r>
          </w:p>
          <w:p>
            <w:pPr>
              <w:spacing w:line="360" w:lineRule="auto"/>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cs="Times New Roman"/>
                <w:bCs/>
                <w:color w:val="000000" w:themeColor="text1"/>
                <w:sz w:val="24"/>
                <w:lang w:eastAsia="zh-CN"/>
                <w14:textFill>
                  <w14:solidFill>
                    <w14:schemeClr w14:val="tx1"/>
                  </w14:solidFill>
                </w14:textFill>
              </w:rPr>
              <w:t>（</w:t>
            </w:r>
            <w:r>
              <w:rPr>
                <w:rFonts w:hint="default" w:ascii="Times New Roman" w:hAnsi="Times New Roman" w:cs="Times New Roman"/>
                <w:bCs/>
                <w:color w:val="000000" w:themeColor="text1"/>
                <w:sz w:val="24"/>
                <w:lang w:val="en-US" w:eastAsia="zh-CN"/>
                <w14:textFill>
                  <w14:solidFill>
                    <w14:schemeClr w14:val="tx1"/>
                  </w14:solidFill>
                </w14:textFill>
              </w:rPr>
              <w:t>1</w:t>
            </w:r>
            <w:r>
              <w:rPr>
                <w:rFonts w:hint="default" w:ascii="Times New Roman" w:hAnsi="Times New Roman" w:cs="Times New Roman"/>
                <w:bCs/>
                <w:color w:val="000000" w:themeColor="text1"/>
                <w:sz w:val="24"/>
                <w:lang w:eastAsia="zh-CN"/>
                <w14:textFill>
                  <w14:solidFill>
                    <w14:schemeClr w14:val="tx1"/>
                  </w14:solidFill>
                </w14:textFill>
              </w:rPr>
              <w:t>）</w:t>
            </w:r>
            <w:r>
              <w:rPr>
                <w:rFonts w:hint="default" w:ascii="Times New Roman" w:hAnsi="Times New Roman" w:cs="Times New Roman"/>
                <w:bCs/>
                <w:color w:val="000000" w:themeColor="text1"/>
                <w:sz w:val="24"/>
                <w:lang w:val="en-US" w:eastAsia="zh-CN"/>
                <w14:textFill>
                  <w14:solidFill>
                    <w14:schemeClr w14:val="tx1"/>
                  </w14:solidFill>
                </w14:textFill>
              </w:rPr>
              <w:t>有组织废气</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lang w:val="en-US" w:eastAsia="zh-CN"/>
                <w14:textFill>
                  <w14:solidFill>
                    <w14:schemeClr w14:val="tx1"/>
                  </w14:solidFill>
                </w14:textFill>
              </w:rPr>
              <w:t>项目有组织颗粒物排放量为：抛丸过程产生的有组织颗粒物（DA001）+喷漆房产生的有组织颗粒物</w:t>
            </w:r>
            <w:r>
              <w:rPr>
                <w:rFonts w:hint="default" w:ascii="Times New Roman" w:hAnsi="Times New Roman" w:cs="Times New Roman"/>
                <w:bCs/>
                <w:color w:val="000000" w:themeColor="text1"/>
                <w:sz w:val="24"/>
                <w:szCs w:val="24"/>
                <w:lang w:val="en-US" w:eastAsia="zh-CN"/>
                <w14:textFill>
                  <w14:solidFill>
                    <w14:schemeClr w14:val="tx1"/>
                  </w14:solidFill>
                </w14:textFill>
              </w:rPr>
              <w:t>（DA002）=0.007</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+0.027</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=0.034t/a</w:t>
            </w:r>
            <w:r>
              <w:rPr>
                <w:rFonts w:hint="default" w:ascii="Times New Roman" w:hAnsi="Times New Roman" w:cs="Times New Roman"/>
                <w:bCs/>
                <w:color w:val="000000" w:themeColor="text1"/>
                <w:sz w:val="24"/>
                <w:szCs w:val="24"/>
                <w14:textFill>
                  <w14:solidFill>
                    <w14:schemeClr w14:val="tx1"/>
                  </w14:solidFill>
                </w14:textFill>
              </w:rPr>
              <w:t>。</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lang w:val="en-US" w:eastAsia="zh-CN"/>
                <w14:textFill>
                  <w14:solidFill>
                    <w14:schemeClr w14:val="tx1"/>
                  </w14:solidFill>
                </w14:textFill>
              </w:rPr>
              <w:t>项目有组织VOCs排放量为：喷漆房产生的有组织VOCs</w:t>
            </w:r>
            <w:r>
              <w:rPr>
                <w:rFonts w:hint="default" w:ascii="Times New Roman" w:hAnsi="Times New Roman" w:cs="Times New Roman"/>
                <w:bCs/>
                <w:color w:val="000000" w:themeColor="text1"/>
                <w:sz w:val="24"/>
                <w:szCs w:val="24"/>
                <w:lang w:val="en-US" w:eastAsia="zh-CN"/>
                <w14:textFill>
                  <w14:solidFill>
                    <w14:schemeClr w14:val="tx1"/>
                  </w14:solidFill>
                </w14:textFill>
              </w:rPr>
              <w:t>（DA002）=</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0.446t/a</w:t>
            </w:r>
          </w:p>
          <w:p>
            <w:pPr>
              <w:spacing w:line="360" w:lineRule="auto"/>
              <w:ind w:firstLine="480" w:firstLineChars="200"/>
              <w:rPr>
                <w:rFonts w:hint="default" w:ascii="Times New Roman" w:hAnsi="Times New Roman" w:eastAsia="宋体" w:cs="Times New Roman"/>
                <w:bCs/>
                <w:color w:val="000000" w:themeColor="text1"/>
                <w:sz w:val="24"/>
                <w:lang w:val="en-US" w:eastAsia="zh-CN"/>
                <w14:textFill>
                  <w14:solidFill>
                    <w14:schemeClr w14:val="tx1"/>
                  </w14:solidFill>
                </w14:textFill>
              </w:rPr>
            </w:pPr>
            <w:r>
              <w:rPr>
                <w:rFonts w:hint="default" w:ascii="Times New Roman" w:hAnsi="Times New Roman" w:cs="Times New Roman"/>
                <w:bCs/>
                <w:color w:val="000000" w:themeColor="text1"/>
                <w:sz w:val="24"/>
                <w:lang w:eastAsia="zh-CN"/>
                <w14:textFill>
                  <w14:solidFill>
                    <w14:schemeClr w14:val="tx1"/>
                  </w14:solidFill>
                </w14:textFill>
              </w:rPr>
              <w:t>（</w:t>
            </w:r>
            <w:r>
              <w:rPr>
                <w:rFonts w:hint="default" w:ascii="Times New Roman" w:hAnsi="Times New Roman" w:cs="Times New Roman"/>
                <w:bCs/>
                <w:color w:val="000000" w:themeColor="text1"/>
                <w:sz w:val="24"/>
                <w:lang w:val="en-US" w:eastAsia="zh-CN"/>
                <w14:textFill>
                  <w14:solidFill>
                    <w14:schemeClr w14:val="tx1"/>
                  </w14:solidFill>
                </w14:textFill>
              </w:rPr>
              <w:t>2</w:t>
            </w:r>
            <w:r>
              <w:rPr>
                <w:rFonts w:hint="default" w:ascii="Times New Roman" w:hAnsi="Times New Roman" w:cs="Times New Roman"/>
                <w:bCs/>
                <w:color w:val="000000" w:themeColor="text1"/>
                <w:sz w:val="24"/>
                <w:lang w:eastAsia="zh-CN"/>
                <w14:textFill>
                  <w14:solidFill>
                    <w14:schemeClr w14:val="tx1"/>
                  </w14:solidFill>
                </w14:textFill>
              </w:rPr>
              <w:t>）</w:t>
            </w:r>
            <w:r>
              <w:rPr>
                <w:rFonts w:hint="default" w:ascii="Times New Roman" w:hAnsi="Times New Roman" w:cs="Times New Roman"/>
                <w:bCs/>
                <w:color w:val="000000" w:themeColor="text1"/>
                <w:sz w:val="24"/>
                <w:lang w:val="en-US" w:eastAsia="zh-CN"/>
                <w14:textFill>
                  <w14:solidFill>
                    <w14:schemeClr w14:val="tx1"/>
                  </w14:solidFill>
                </w14:textFill>
              </w:rPr>
              <w:t>无组织废气</w:t>
            </w:r>
          </w:p>
          <w:p>
            <w:pPr>
              <w:spacing w:line="360" w:lineRule="auto"/>
              <w:ind w:firstLine="480" w:firstLineChars="200"/>
              <w:rPr>
                <w:rFonts w:hint="default" w:ascii="Times New Roman" w:hAnsi="Times New Roman" w:cs="Times New Roman"/>
                <w:bCs/>
                <w:color w:val="000000" w:themeColor="text1"/>
                <w:sz w:val="24"/>
                <w14:textFill>
                  <w14:solidFill>
                    <w14:schemeClr w14:val="tx1"/>
                  </w14:solidFill>
                </w14:textFill>
              </w:rPr>
            </w:pPr>
            <w:r>
              <w:rPr>
                <w:rFonts w:hint="default" w:ascii="Times New Roman" w:hAnsi="Times New Roman" w:cs="Times New Roman"/>
                <w:bCs/>
                <w:color w:val="000000" w:themeColor="text1"/>
                <w:sz w:val="24"/>
                <w:lang w:val="en-US" w:eastAsia="zh-CN"/>
                <w14:textFill>
                  <w14:solidFill>
                    <w14:schemeClr w14:val="tx1"/>
                  </w14:solidFill>
                </w14:textFill>
              </w:rPr>
              <w:t>项目无组织颗粒物排放量为：抛丸过程产生的无组织颗粒物（DA001）+喷漆房产生的无组织颗粒物</w:t>
            </w:r>
            <w:r>
              <w:rPr>
                <w:rFonts w:hint="default" w:ascii="Times New Roman" w:hAnsi="Times New Roman" w:cs="Times New Roman"/>
                <w:bCs/>
                <w:color w:val="000000" w:themeColor="text1"/>
                <w:sz w:val="24"/>
                <w:szCs w:val="24"/>
                <w:lang w:val="en-US" w:eastAsia="zh-CN"/>
                <w14:textFill>
                  <w14:solidFill>
                    <w14:schemeClr w14:val="tx1"/>
                  </w14:solidFill>
                </w14:textFill>
              </w:rPr>
              <w:t>（DA002）+下料过程产生的无组织颗粒物+焊接过程产生的无组织颗粒物=0.007</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+0.002</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+0.010</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+0.012</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=0.031t/a</w:t>
            </w:r>
            <w:r>
              <w:rPr>
                <w:rFonts w:hint="default" w:ascii="Times New Roman" w:hAnsi="Times New Roman" w:cs="Times New Roman"/>
                <w:bCs/>
                <w:color w:val="000000" w:themeColor="text1"/>
                <w:sz w:val="24"/>
                <w:szCs w:val="24"/>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jc w:val="both"/>
              <w:textAlignment w:val="auto"/>
              <w:outlineLvl w:val="9"/>
              <w:rPr>
                <w:rFonts w:hint="default" w:ascii="Times New Roman" w:hAnsi="Times New Roman" w:cs="Times New Roman"/>
                <w:color w:val="000000" w:themeColor="text1"/>
                <w:sz w:val="24"/>
                <w:szCs w:val="24"/>
                <w:highlight w:val="none"/>
                <w14:textFill>
                  <w14:solidFill>
                    <w14:schemeClr w14:val="tx1"/>
                  </w14:solidFill>
                </w14:textFill>
              </w:rPr>
            </w:pPr>
            <w:r>
              <w:rPr>
                <w:rFonts w:hint="default" w:ascii="Times New Roman" w:hAnsi="Times New Roman" w:cs="Times New Roman"/>
                <w:bCs/>
                <w:color w:val="000000" w:themeColor="text1"/>
                <w:sz w:val="24"/>
                <w:lang w:val="en-US" w:eastAsia="zh-CN"/>
                <w14:textFill>
                  <w14:solidFill>
                    <w14:schemeClr w14:val="tx1"/>
                  </w14:solidFill>
                </w14:textFill>
              </w:rPr>
              <w:t>项目无组织VOCs排放量为：喷漆房产生的无组织VOCs</w:t>
            </w:r>
            <w:r>
              <w:rPr>
                <w:rFonts w:hint="default" w:ascii="Times New Roman" w:hAnsi="Times New Roman" w:cs="Times New Roman"/>
                <w:bCs/>
                <w:color w:val="000000" w:themeColor="text1"/>
                <w:sz w:val="24"/>
                <w:szCs w:val="24"/>
                <w:lang w:val="en-US" w:eastAsia="zh-CN"/>
                <w14:textFill>
                  <w14:solidFill>
                    <w14:schemeClr w14:val="tx1"/>
                  </w14:solidFill>
                </w14:textFill>
              </w:rPr>
              <w:t>（DA002）=</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0.03t/a</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jc w:val="both"/>
              <w:textAlignment w:val="auto"/>
              <w:outlineLvl w:val="9"/>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综上，全厂</w:t>
            </w:r>
            <w:r>
              <w:rPr>
                <w:rFonts w:hint="default" w:ascii="Times New Roman" w:hAnsi="Times New Roman" w:eastAsia="宋体" w:cs="Times New Roman"/>
                <w:color w:val="000000" w:themeColor="text1"/>
                <w:spacing w:val="0"/>
                <w:w w:val="100"/>
                <w:position w:val="0"/>
                <w:sz w:val="24"/>
                <w:highlight w:val="none"/>
                <w:lang w:val="en-US" w:eastAsia="zh-CN"/>
                <w14:textFill>
                  <w14:solidFill>
                    <w14:schemeClr w14:val="tx1"/>
                  </w14:solidFill>
                </w14:textFill>
              </w:rPr>
              <w:t>颗粒物</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排放量为：有组织颗粒物排放量+无组织颗粒物排放量=</w:t>
            </w:r>
            <w:r>
              <w:rPr>
                <w:rFonts w:hint="default" w:ascii="Times New Roman" w:hAnsi="Times New Roman" w:cs="Times New Roman"/>
                <w:color w:val="000000" w:themeColor="text1"/>
                <w:spacing w:val="0"/>
                <w:w w:val="100"/>
                <w:position w:val="0"/>
                <w:sz w:val="24"/>
                <w:highlight w:val="none"/>
                <w:lang w:val="en-US" w:eastAsia="zh-CN"/>
                <w14:textFill>
                  <w14:solidFill>
                    <w14:schemeClr w14:val="tx1"/>
                  </w14:solidFill>
                </w14:textFill>
              </w:rPr>
              <w:t>0.034t/a</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w:t>
            </w:r>
            <w:r>
              <w:rPr>
                <w:rFonts w:hint="default" w:ascii="Times New Roman" w:hAnsi="Times New Roman" w:cs="Times New Roman"/>
                <w:color w:val="000000" w:themeColor="text1"/>
                <w:spacing w:val="0"/>
                <w:w w:val="100"/>
                <w:position w:val="0"/>
                <w:sz w:val="24"/>
                <w:highlight w:val="none"/>
                <w:lang w:val="en-US" w:eastAsia="zh-CN"/>
                <w14:textFill>
                  <w14:solidFill>
                    <w14:schemeClr w14:val="tx1"/>
                  </w14:solidFill>
                </w14:textFill>
              </w:rPr>
              <w:t>0.031</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t/a=0.065t/a；全厂</w:t>
            </w:r>
            <w:r>
              <w:rPr>
                <w:rFonts w:hint="default" w:ascii="Times New Roman" w:hAnsi="Times New Roman" w:eastAsia="宋体" w:cs="Times New Roman"/>
                <w:color w:val="000000" w:themeColor="text1"/>
                <w:spacing w:val="0"/>
                <w:w w:val="100"/>
                <w:position w:val="0"/>
                <w:sz w:val="24"/>
                <w:highlight w:val="none"/>
                <w:lang w:val="en-US" w:eastAsia="zh-CN"/>
                <w14:textFill>
                  <w14:solidFill>
                    <w14:schemeClr w14:val="tx1"/>
                  </w14:solidFill>
                </w14:textFill>
              </w:rPr>
              <w:t>VOCs</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排放量为：有组织</w:t>
            </w:r>
            <w:r>
              <w:rPr>
                <w:rFonts w:hint="default" w:ascii="Times New Roman" w:hAnsi="Times New Roman" w:eastAsia="宋体" w:cs="Times New Roman"/>
                <w:color w:val="000000" w:themeColor="text1"/>
                <w:spacing w:val="0"/>
                <w:w w:val="100"/>
                <w:position w:val="0"/>
                <w:sz w:val="24"/>
                <w:highlight w:val="none"/>
                <w:lang w:val="en-US" w:eastAsia="zh-CN"/>
                <w14:textFill>
                  <w14:solidFill>
                    <w14:schemeClr w14:val="tx1"/>
                  </w14:solidFill>
                </w14:textFill>
              </w:rPr>
              <w:t>VOCs</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排放量+无组织</w:t>
            </w:r>
            <w:r>
              <w:rPr>
                <w:rFonts w:hint="default" w:ascii="Times New Roman" w:hAnsi="Times New Roman" w:eastAsia="宋体" w:cs="Times New Roman"/>
                <w:color w:val="000000" w:themeColor="text1"/>
                <w:spacing w:val="0"/>
                <w:w w:val="100"/>
                <w:position w:val="0"/>
                <w:sz w:val="24"/>
                <w:highlight w:val="none"/>
                <w:lang w:val="en-US" w:eastAsia="zh-CN"/>
                <w14:textFill>
                  <w14:solidFill>
                    <w14:schemeClr w14:val="tx1"/>
                  </w14:solidFill>
                </w14:textFill>
              </w:rPr>
              <w:t>VOCs</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排放量=</w:t>
            </w:r>
            <w:r>
              <w:rPr>
                <w:rFonts w:hint="default" w:ascii="Times New Roman" w:hAnsi="Times New Roman" w:cs="Times New Roman"/>
                <w:color w:val="000000" w:themeColor="text1"/>
                <w:spacing w:val="0"/>
                <w:w w:val="100"/>
                <w:position w:val="0"/>
                <w:sz w:val="24"/>
                <w:highlight w:val="none"/>
                <w:lang w:val="en-US" w:eastAsia="zh-CN"/>
                <w14:textFill>
                  <w14:solidFill>
                    <w14:schemeClr w14:val="tx1"/>
                  </w14:solidFill>
                </w14:textFill>
              </w:rPr>
              <w:t>0.446t/a</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w:t>
            </w:r>
            <w:r>
              <w:rPr>
                <w:rFonts w:hint="default" w:ascii="Times New Roman" w:hAnsi="Times New Roman" w:cs="Times New Roman"/>
                <w:color w:val="000000" w:themeColor="text1"/>
                <w:spacing w:val="0"/>
                <w:w w:val="100"/>
                <w:position w:val="0"/>
                <w:sz w:val="24"/>
                <w:highlight w:val="none"/>
                <w:lang w:val="en-US" w:eastAsia="zh-CN"/>
                <w14:textFill>
                  <w14:solidFill>
                    <w14:schemeClr w14:val="tx1"/>
                  </w14:solidFill>
                </w14:textFill>
              </w:rPr>
              <w:t>0.03</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t/a=0.</w:t>
            </w:r>
            <w:r>
              <w:rPr>
                <w:rFonts w:hint="default" w:ascii="Times New Roman" w:hAnsi="Times New Roman" w:cs="Times New Roman"/>
                <w:b w:val="0"/>
                <w:bCs w:val="0"/>
                <w:color w:val="000000" w:themeColor="text1"/>
                <w:spacing w:val="0"/>
                <w:w w:val="100"/>
                <w:position w:val="0"/>
                <w:sz w:val="24"/>
                <w:szCs w:val="24"/>
                <w:highlight w:val="none"/>
                <w:lang w:val="en-US" w:eastAsia="zh-CN"/>
                <w14:textFill>
                  <w14:solidFill>
                    <w14:schemeClr w14:val="tx1"/>
                  </w14:solidFill>
                </w14:textFill>
              </w:rPr>
              <w:t>476</w:t>
            </w:r>
            <w:r>
              <w:rPr>
                <w:rFonts w:hint="default" w:ascii="Times New Roman" w:hAnsi="Times New Roman" w:eastAsia="宋体" w:cs="Times New Roman"/>
                <w:b w:val="0"/>
                <w:bCs w:val="0"/>
                <w:color w:val="000000" w:themeColor="text1"/>
                <w:spacing w:val="0"/>
                <w:w w:val="100"/>
                <w:position w:val="0"/>
                <w:sz w:val="24"/>
                <w:szCs w:val="24"/>
                <w:highlight w:val="none"/>
                <w:lang w:val="en-US" w:eastAsia="zh-CN"/>
                <w14:textFill>
                  <w14:solidFill>
                    <w14:schemeClr w14:val="tx1"/>
                  </w14:solidFill>
                </w14:textFill>
              </w:rPr>
              <w:t>t/a。</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jc w:val="both"/>
              <w:textAlignment w:val="auto"/>
              <w:outlineLvl w:val="9"/>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color w:val="000000" w:themeColor="text1"/>
                <w:sz w:val="24"/>
                <w:szCs w:val="24"/>
                <w:highlight w:val="none"/>
                <w14:textFill>
                  <w14:solidFill>
                    <w14:schemeClr w14:val="tx1"/>
                  </w14:solidFill>
                </w14:textFill>
              </w:rPr>
              <w:t>因此，本评价建议本项目废气污染物总量控制指标：</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颗粒物：0.065</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VOCs：0.476</w:t>
            </w:r>
            <w:r>
              <w:rPr>
                <w:rFonts w:hint="default" w:ascii="Times New Roman" w:hAnsi="Times New Roman" w:cs="Times New Roman"/>
                <w:color w:val="000000" w:themeColor="text1"/>
                <w:sz w:val="24"/>
                <w:szCs w:val="24"/>
                <w:highlight w:val="none"/>
                <w14:textFill>
                  <w14:solidFill>
                    <w14:schemeClr w14:val="tx1"/>
                  </w14:solidFill>
                </w14:textFill>
              </w:rPr>
              <w:t>t/a、SO</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2</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t/a、NO</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X</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t/a，废水污染物总量控制指标COD：</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0.117</w:t>
            </w:r>
            <w:r>
              <w:rPr>
                <w:rFonts w:hint="default" w:ascii="Times New Roman" w:hAnsi="Times New Roman" w:cs="Times New Roman"/>
                <w:color w:val="000000" w:themeColor="text1"/>
                <w:sz w:val="24"/>
                <w:szCs w:val="24"/>
                <w:highlight w:val="none"/>
                <w14:textFill>
                  <w14:solidFill>
                    <w14:schemeClr w14:val="tx1"/>
                  </w14:solidFill>
                </w14:textFill>
              </w:rPr>
              <w:t>t/a、NH</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3</w:t>
            </w:r>
            <w:r>
              <w:rPr>
                <w:rFonts w:hint="default" w:ascii="Times New Roman" w:hAnsi="Times New Roman" w:cs="Times New Roman"/>
                <w:color w:val="000000" w:themeColor="text1"/>
                <w:sz w:val="24"/>
                <w:szCs w:val="24"/>
                <w:highlight w:val="none"/>
                <w14:textFill>
                  <w14:solidFill>
                    <w14:schemeClr w14:val="tx1"/>
                  </w14:solidFill>
                </w14:textFill>
              </w:rPr>
              <w:t>-N：</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0.012</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480" w:lineRule="exact"/>
              <w:ind w:left="0" w:leftChars="0" w:right="0" w:rightChars="0" w:firstLine="480" w:firstLineChars="200"/>
              <w:jc w:val="both"/>
              <w:textAlignment w:val="auto"/>
              <w:outlineLvl w:val="9"/>
              <w:rPr>
                <w:rFonts w:hint="default" w:ascii="Times New Roman" w:hAnsi="Times New Roman" w:cs="Times New Roman"/>
                <w:color w:val="000000"/>
                <w:sz w:val="24"/>
                <w:szCs w:val="24"/>
                <w:highlight w:val="none"/>
                <w:lang w:val="en-US" w:eastAsia="zh-CN"/>
              </w:rPr>
            </w:pPr>
            <w:r>
              <w:rPr>
                <w:rFonts w:hint="default" w:ascii="Times New Roman" w:hAnsi="Times New Roman" w:eastAsia="宋体" w:cs="Times New Roman"/>
                <w:b w:val="0"/>
                <w:bCs w:val="0"/>
                <w:color w:val="000000"/>
                <w:spacing w:val="0"/>
                <w:w w:val="100"/>
                <w:position w:val="0"/>
                <w:sz w:val="24"/>
                <w:szCs w:val="24"/>
                <w:highlight w:val="none"/>
                <w:lang w:val="en-US" w:eastAsia="zh-CN"/>
              </w:rPr>
              <w:t>根据</w:t>
            </w:r>
            <w:r>
              <w:rPr>
                <w:rFonts w:hint="default" w:ascii="Times New Roman" w:hAnsi="Times New Roman" w:cs="Times New Roman"/>
                <w:bCs/>
                <w:color w:val="000000"/>
                <w:spacing w:val="0"/>
                <w:w w:val="100"/>
                <w:position w:val="0"/>
                <w:sz w:val="24"/>
              </w:rPr>
              <w:t>《2024年1-10月份各县区空气质量综合指数排名及各项污染物指标变化情况》</w:t>
            </w:r>
            <w:r>
              <w:rPr>
                <w:rFonts w:hint="default" w:ascii="Times New Roman" w:hAnsi="Times New Roman" w:eastAsia="宋体" w:cs="Times New Roman"/>
                <w:b w:val="0"/>
                <w:bCs w:val="0"/>
                <w:color w:val="000000"/>
                <w:spacing w:val="0"/>
                <w:w w:val="100"/>
                <w:position w:val="0"/>
                <w:sz w:val="24"/>
                <w:szCs w:val="24"/>
                <w:highlight w:val="none"/>
                <w:lang w:val="en-US" w:eastAsia="zh-CN"/>
              </w:rPr>
              <w:t>，秦皇岛市抚宁区为不达标区。所以，本项目颗粒物和VOCs总量需要2倍削减。故本项目调剂总量为：颗粒物：0.13t、VOCs：0.</w:t>
            </w:r>
            <w:r>
              <w:rPr>
                <w:rFonts w:hint="default" w:ascii="Times New Roman" w:hAnsi="Times New Roman" w:cs="Times New Roman"/>
                <w:b w:val="0"/>
                <w:bCs w:val="0"/>
                <w:color w:val="000000"/>
                <w:spacing w:val="0"/>
                <w:w w:val="100"/>
                <w:position w:val="0"/>
                <w:sz w:val="24"/>
                <w:szCs w:val="24"/>
                <w:highlight w:val="none"/>
                <w:lang w:val="en-US" w:eastAsia="zh-CN"/>
              </w:rPr>
              <w:t>952</w:t>
            </w:r>
            <w:r>
              <w:rPr>
                <w:rFonts w:hint="default" w:ascii="Times New Roman" w:hAnsi="Times New Roman" w:eastAsia="宋体" w:cs="Times New Roman"/>
                <w:b w:val="0"/>
                <w:bCs w:val="0"/>
                <w:color w:val="000000"/>
                <w:spacing w:val="0"/>
                <w:w w:val="100"/>
                <w:position w:val="0"/>
                <w:sz w:val="24"/>
                <w:szCs w:val="24"/>
                <w:highlight w:val="none"/>
                <w:lang w:val="en-US" w:eastAsia="zh-CN"/>
              </w:rPr>
              <w:t>t。</w:t>
            </w:r>
          </w:p>
        </w:tc>
      </w:tr>
    </w:tbl>
    <w:p>
      <w:pPr>
        <w:pStyle w:val="28"/>
        <w:jc w:val="center"/>
        <w:outlineLvl w:val="0"/>
        <w:rPr>
          <w:rFonts w:hint="default" w:ascii="Times New Roman" w:hAnsi="Times New Roman" w:eastAsia="黑体" w:cs="Times New Roman"/>
          <w:snapToGrid w:val="0"/>
          <w:color w:val="000000"/>
          <w:sz w:val="30"/>
          <w:szCs w:val="30"/>
          <w:highlight w:val="none"/>
        </w:rPr>
      </w:pPr>
      <w:r>
        <w:rPr>
          <w:rFonts w:hint="default" w:ascii="Times New Roman" w:hAnsi="Times New Roman" w:eastAsia="黑体" w:cs="Times New Roman"/>
          <w:snapToGrid w:val="0"/>
          <w:color w:val="000000"/>
          <w:sz w:val="36"/>
          <w:szCs w:val="36"/>
          <w:highlight w:val="none"/>
        </w:rPr>
        <w:br w:type="page"/>
      </w:r>
      <w:bookmarkStart w:id="25" w:name="_Toc17644"/>
      <w:r>
        <w:rPr>
          <w:rFonts w:hint="default" w:ascii="Times New Roman" w:hAnsi="Times New Roman" w:eastAsia="黑体" w:cs="Times New Roman"/>
          <w:snapToGrid w:val="0"/>
          <w:color w:val="000000"/>
          <w:sz w:val="30"/>
          <w:szCs w:val="30"/>
          <w:highlight w:val="none"/>
        </w:rPr>
        <w:t>四、主要环境影响和保护措施</w:t>
      </w:r>
      <w:bookmarkEnd w:id="25"/>
    </w:p>
    <w:tbl>
      <w:tblPr>
        <w:tblStyle w:val="32"/>
        <w:tblW w:w="898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456"/>
        <w:gridCol w:w="852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749" w:hRule="atLeast"/>
          <w:jc w:val="center"/>
        </w:trPr>
        <w:tc>
          <w:tcPr>
            <w:tcW w:w="456" w:type="dxa"/>
            <w:noWrap w:val="0"/>
            <w:tcMar>
              <w:left w:w="28" w:type="dxa"/>
              <w:right w:w="28" w:type="dxa"/>
            </w:tcMar>
            <w:vAlign w:val="center"/>
          </w:tcPr>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eastAsia="宋体" w:cs="Times New Roman"/>
                <w:color w:val="000000"/>
                <w:kern w:val="2"/>
                <w:sz w:val="24"/>
                <w:szCs w:val="24"/>
                <w:highlight w:val="none"/>
              </w:rPr>
            </w:pPr>
            <w:bookmarkStart w:id="26" w:name="_Toc5485"/>
            <w:r>
              <w:rPr>
                <w:rFonts w:hint="default" w:ascii="Times New Roman" w:hAnsi="Times New Roman" w:eastAsia="宋体" w:cs="Times New Roman"/>
                <w:color w:val="000000"/>
                <w:kern w:val="2"/>
                <w:sz w:val="24"/>
                <w:szCs w:val="24"/>
                <w:highlight w:val="none"/>
              </w:rPr>
              <w:t>施工</w:t>
            </w:r>
            <w:bookmarkEnd w:id="26"/>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eastAsia="宋体" w:cs="Times New Roman"/>
                <w:color w:val="000000"/>
                <w:kern w:val="2"/>
                <w:sz w:val="24"/>
                <w:szCs w:val="24"/>
                <w:highlight w:val="none"/>
              </w:rPr>
            </w:pPr>
            <w:bookmarkStart w:id="27" w:name="_Toc14419"/>
            <w:r>
              <w:rPr>
                <w:rFonts w:hint="default" w:ascii="Times New Roman" w:hAnsi="Times New Roman" w:eastAsia="宋体" w:cs="Times New Roman"/>
                <w:color w:val="000000"/>
                <w:kern w:val="2"/>
                <w:sz w:val="24"/>
                <w:szCs w:val="24"/>
                <w:highlight w:val="none"/>
              </w:rPr>
              <w:t>期环</w:t>
            </w:r>
            <w:bookmarkEnd w:id="27"/>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eastAsia="宋体" w:cs="Times New Roman"/>
                <w:color w:val="000000"/>
                <w:kern w:val="2"/>
                <w:sz w:val="24"/>
                <w:szCs w:val="24"/>
                <w:highlight w:val="none"/>
              </w:rPr>
            </w:pPr>
            <w:bookmarkStart w:id="28" w:name="_Toc25622"/>
            <w:r>
              <w:rPr>
                <w:rFonts w:hint="default" w:ascii="Times New Roman" w:hAnsi="Times New Roman" w:eastAsia="宋体" w:cs="Times New Roman"/>
                <w:color w:val="000000"/>
                <w:kern w:val="2"/>
                <w:sz w:val="24"/>
                <w:szCs w:val="24"/>
                <w:highlight w:val="none"/>
              </w:rPr>
              <w:t>境保</w:t>
            </w:r>
            <w:bookmarkEnd w:id="28"/>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eastAsia="宋体" w:cs="Times New Roman"/>
                <w:color w:val="000000"/>
                <w:kern w:val="2"/>
                <w:sz w:val="24"/>
                <w:szCs w:val="24"/>
                <w:highlight w:val="none"/>
              </w:rPr>
            </w:pPr>
            <w:bookmarkStart w:id="29" w:name="_Toc28251"/>
            <w:r>
              <w:rPr>
                <w:rFonts w:hint="default" w:ascii="Times New Roman" w:hAnsi="Times New Roman" w:eastAsia="宋体" w:cs="Times New Roman"/>
                <w:color w:val="000000"/>
                <w:kern w:val="2"/>
                <w:sz w:val="24"/>
                <w:szCs w:val="24"/>
                <w:highlight w:val="none"/>
              </w:rPr>
              <w:t>护措</w:t>
            </w:r>
            <w:bookmarkEnd w:id="29"/>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jc w:val="center"/>
              <w:textAlignment w:val="auto"/>
              <w:outlineLvl w:val="1"/>
              <w:rPr>
                <w:rFonts w:hint="default" w:ascii="Times New Roman" w:hAnsi="Times New Roman" w:eastAsia="宋体" w:cs="Times New Roman"/>
                <w:bCs/>
                <w:color w:val="000000"/>
                <w:kern w:val="2"/>
                <w:sz w:val="21"/>
                <w:szCs w:val="21"/>
                <w:highlight w:val="none"/>
              </w:rPr>
            </w:pPr>
            <w:bookmarkStart w:id="30" w:name="_Toc1554"/>
            <w:r>
              <w:rPr>
                <w:rFonts w:hint="default" w:ascii="Times New Roman" w:hAnsi="Times New Roman" w:eastAsia="宋体" w:cs="Times New Roman"/>
                <w:color w:val="000000"/>
                <w:kern w:val="2"/>
                <w:sz w:val="24"/>
                <w:szCs w:val="24"/>
                <w:highlight w:val="none"/>
              </w:rPr>
              <w:t>施</w:t>
            </w:r>
            <w:bookmarkEnd w:id="30"/>
          </w:p>
        </w:tc>
        <w:tc>
          <w:tcPr>
            <w:tcW w:w="8525" w:type="dxa"/>
            <w:noWrap w:val="0"/>
            <w:vAlign w:val="center"/>
          </w:tcPr>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eastAsia="宋体" w:cs="Times New Roman"/>
                <w:color w:val="000000"/>
                <w:sz w:val="24"/>
                <w:szCs w:val="24"/>
                <w:highlight w:val="none"/>
                <w:lang w:val="en-US" w:eastAsia="zh-CN"/>
              </w:rPr>
              <w:t>本项目施工期主要为厂房及配套设施建设、设备安装等。产生的污染物主要为施工扬尘、施工车辆尾气、噪声、建筑垃圾等，会</w:t>
            </w:r>
            <w:r>
              <w:rPr>
                <w:rFonts w:hint="default" w:ascii="Times New Roman" w:hAnsi="Times New Roman" w:eastAsia="宋体" w:cs="Times New Roman"/>
                <w:color w:val="000000"/>
                <w:sz w:val="24"/>
                <w:szCs w:val="24"/>
                <w:highlight w:val="none"/>
                <w:lang w:eastAsia="zh-CN"/>
              </w:rPr>
              <w:t>对周围环境产生一定影响，但这种影响是暂时的，待施工结束后，影响将会逐步消除。</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1、大气环境</w:t>
            </w:r>
            <w:r>
              <w:rPr>
                <w:rFonts w:hint="default" w:ascii="Times New Roman" w:hAnsi="Times New Roman" w:cs="Times New Roman"/>
                <w:color w:val="000000"/>
                <w:sz w:val="24"/>
                <w:highlight w:val="none"/>
                <w:lang w:eastAsia="zh-CN"/>
              </w:rPr>
              <w:t>：</w:t>
            </w:r>
            <w:r>
              <w:rPr>
                <w:rFonts w:hint="default" w:ascii="Times New Roman" w:hAnsi="Times New Roman" w:cs="Times New Roman"/>
                <w:color w:val="000000"/>
                <w:sz w:val="24"/>
                <w:highlight w:val="none"/>
              </w:rPr>
              <w:t>在整个施工期，产生扬尘的作业主要有土地开挖、回填、建材运输露天堆放、装卸等过程。</w:t>
            </w:r>
          </w:p>
          <w:p>
            <w:pPr>
              <w:adjustRightInd w:val="0"/>
              <w:snapToGrid w:val="0"/>
              <w:spacing w:line="360" w:lineRule="auto"/>
              <w:ind w:firstLine="480" w:firstLineChars="200"/>
              <w:rPr>
                <w:rFonts w:hint="default" w:ascii="Times New Roman" w:hAnsi="Times New Roman" w:eastAsia="宋体" w:cs="Times New Roman"/>
                <w:color w:val="000000"/>
                <w:sz w:val="24"/>
                <w:highlight w:val="none"/>
                <w:lang w:eastAsia="zh-CN"/>
              </w:rPr>
            </w:pPr>
            <w:r>
              <w:rPr>
                <w:rFonts w:hint="default" w:ascii="Times New Roman" w:hAnsi="Times New Roman" w:cs="Times New Roman"/>
                <w:color w:val="000000"/>
                <w:sz w:val="24"/>
                <w:highlight w:val="none"/>
              </w:rPr>
              <w:t>根据《河北省2023年建筑施工扬尘污染防治工作方案(冀建质安函[2023]105号)》，《河北省扬尘污染防治办法》(河北省人民政府令[2020]第1号)，《秦皇岛市人民政府关于印发秦皇岛市2020年度大气污染防治行动实施方案》、《秦皇岛市2021年扬尘污染综合治理工作方案》，以及《中共河北省委、河北省人民政府关于强力推进大气污染综合治理的意见》(冀发(2017)7号)的通知，为控制项目施工对附近环境空气的影响，建设单位应采取如下措施以降尘、防尘</w:t>
            </w:r>
            <w:r>
              <w:rPr>
                <w:rFonts w:hint="default" w:ascii="Times New Roman" w:hAnsi="Times New Roman" w:cs="Times New Roman"/>
                <w:color w:val="000000"/>
                <w:sz w:val="24"/>
                <w:highlight w:val="none"/>
                <w:lang w:eastAsia="zh-CN"/>
              </w:rPr>
              <w:t>：</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(1)施工单位必须在施工现场出入口明显位置设置扬尘防治公示牌，内容包括建设、施工、监理及监管等单位名称、扬尘防治负责人的名称、联系电话、举报电话等。</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(2)施工现场必须连续设置硬质围挡，围挡应坚固、美观，严禁围挡不严或敞开式施工。城区主干道两侧围挡高度不低于2.5米，一般路段不低于1.8m。</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(3)施工现场出入口和场内施工道路、材料加工堆放区、办公区、生活区必须采用混凝土硬化或用硬质砌块铺设，硬化后的地面应清扫整洁无浮土、积土，严禁使用其他软质材料铺设。</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(4)施工现场出入口必须配备车辆冲洗设施，设置排水、泥浆沉淀池等设施，建立冲洗制度并设专人管理，严禁车辆带泥上路。</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w:t>
            </w:r>
            <w:r>
              <w:rPr>
                <w:rFonts w:hint="default" w:ascii="Times New Roman" w:hAnsi="Times New Roman" w:cs="Times New Roman"/>
                <w:color w:val="000000"/>
                <w:sz w:val="24"/>
                <w:highlight w:val="none"/>
                <w:lang w:val="en-US" w:eastAsia="zh-CN"/>
              </w:rPr>
              <w:t>5</w:t>
            </w:r>
            <w:r>
              <w:rPr>
                <w:rFonts w:hint="default" w:ascii="Times New Roman" w:hAnsi="Times New Roman" w:cs="Times New Roman"/>
                <w:color w:val="000000"/>
                <w:sz w:val="24"/>
                <w:highlight w:val="none"/>
              </w:rPr>
              <w:t>)施工现场集中堆放的土方和裸露场地必须采取覆盖、固化或绿化等防尘措施严禁裸露。</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w:t>
            </w:r>
            <w:r>
              <w:rPr>
                <w:rFonts w:hint="default" w:ascii="Times New Roman" w:hAnsi="Times New Roman" w:cs="Times New Roman"/>
                <w:color w:val="000000"/>
                <w:sz w:val="24"/>
                <w:highlight w:val="none"/>
                <w:lang w:val="en-US" w:eastAsia="zh-CN"/>
              </w:rPr>
              <w:t>6</w:t>
            </w:r>
            <w:r>
              <w:rPr>
                <w:rFonts w:hint="default" w:ascii="Times New Roman" w:hAnsi="Times New Roman" w:cs="Times New Roman"/>
                <w:color w:val="000000"/>
                <w:sz w:val="24"/>
                <w:highlight w:val="none"/>
              </w:rPr>
              <w:t>)施工现场易飞扬的细颗粒建筑材料必须密闭存放或严密覆盖，严禁露天放置</w:t>
            </w:r>
            <w:r>
              <w:rPr>
                <w:rFonts w:hint="default" w:ascii="Times New Roman" w:hAnsi="Times New Roman" w:cs="Times New Roman"/>
                <w:color w:val="000000"/>
                <w:sz w:val="24"/>
                <w:highlight w:val="none"/>
                <w:lang w:eastAsia="zh-CN"/>
              </w:rPr>
              <w:t>；</w:t>
            </w:r>
            <w:r>
              <w:rPr>
                <w:rFonts w:hint="default" w:ascii="Times New Roman" w:hAnsi="Times New Roman" w:cs="Times New Roman"/>
                <w:color w:val="000000"/>
                <w:sz w:val="24"/>
                <w:highlight w:val="none"/>
              </w:rPr>
              <w:t>搬运时应有降尘措施，余料及时回收。</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w:t>
            </w:r>
            <w:r>
              <w:rPr>
                <w:rFonts w:hint="default" w:ascii="Times New Roman" w:hAnsi="Times New Roman" w:cs="Times New Roman"/>
                <w:color w:val="000000"/>
                <w:sz w:val="24"/>
                <w:highlight w:val="none"/>
                <w:lang w:val="en-US" w:eastAsia="zh-CN"/>
              </w:rPr>
              <w:t>7</w:t>
            </w:r>
            <w:r>
              <w:rPr>
                <w:rFonts w:hint="default" w:ascii="Times New Roman" w:hAnsi="Times New Roman" w:cs="Times New Roman"/>
                <w:color w:val="000000"/>
                <w:sz w:val="24"/>
                <w:highlight w:val="none"/>
              </w:rPr>
              <w:t>)具备条件的地区施工现场必须使用商品混凝土、预拌砂浆，严禁现场搅拌不具备条件的地区，现场搅拌砂浆必须搭设封闭式搅拌机棚。</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lang w:val="en-US" w:eastAsia="zh-CN"/>
              </w:rPr>
              <w:t>(8)</w:t>
            </w:r>
            <w:r>
              <w:rPr>
                <w:rFonts w:hint="default" w:ascii="Times New Roman" w:hAnsi="Times New Roman" w:cs="Times New Roman"/>
                <w:color w:val="000000"/>
                <w:sz w:val="24"/>
                <w:highlight w:val="none"/>
              </w:rPr>
              <w:t>施工现场运送土方、渣土的车辆必须封闭或遮盖严密，严禁使用未办理相关手续的渣土等运输车辆，严禁沿路遗撒和随意倾倒。</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w:t>
            </w:r>
            <w:r>
              <w:rPr>
                <w:rFonts w:hint="default" w:ascii="Times New Roman" w:hAnsi="Times New Roman" w:cs="Times New Roman"/>
                <w:color w:val="000000"/>
                <w:sz w:val="24"/>
                <w:highlight w:val="none"/>
                <w:lang w:val="en-US" w:eastAsia="zh-CN"/>
              </w:rPr>
              <w:t>9</w:t>
            </w:r>
            <w:r>
              <w:rPr>
                <w:rFonts w:hint="default" w:ascii="Times New Roman" w:hAnsi="Times New Roman" w:cs="Times New Roman"/>
                <w:color w:val="000000"/>
                <w:sz w:val="24"/>
                <w:highlight w:val="none"/>
              </w:rPr>
              <w:t>)建筑物内应保持干净整洁，清扫垃圾时要洒水抑尘，施工层建筑垃圾必须采用封闭式管道或装袋用垂直升降机械清运，严禁凌空抛和焚烧垃圾。</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0</w:t>
            </w:r>
            <w:r>
              <w:rPr>
                <w:rFonts w:hint="default" w:ascii="Times New Roman" w:hAnsi="Times New Roman" w:cs="Times New Roman"/>
                <w:color w:val="000000"/>
                <w:sz w:val="24"/>
                <w:highlight w:val="none"/>
              </w:rPr>
              <w:t>)施工现场的建筑垃圾必须设置垃圾存放点，集中堆放并严密覆盖，及时清运。生活垃圾应用封闭式容器存放，严禁随意丢弃</w:t>
            </w:r>
            <w:r>
              <w:rPr>
                <w:rFonts w:hint="default" w:ascii="Times New Roman" w:hAnsi="Times New Roman" w:cs="Times New Roman"/>
                <w:color w:val="000000"/>
                <w:sz w:val="24"/>
                <w:highlight w:val="none"/>
                <w:lang w:eastAsia="zh-CN"/>
              </w:rPr>
              <w:t>，</w:t>
            </w:r>
            <w:r>
              <w:rPr>
                <w:rFonts w:hint="default" w:ascii="Times New Roman" w:hAnsi="Times New Roman" w:cs="Times New Roman"/>
                <w:color w:val="000000"/>
                <w:sz w:val="24"/>
                <w:highlight w:val="none"/>
                <w:lang w:val="en-US" w:eastAsia="zh-CN"/>
              </w:rPr>
              <w:t>由环卫部门统一清运</w:t>
            </w:r>
            <w:r>
              <w:rPr>
                <w:rFonts w:hint="default" w:ascii="Times New Roman" w:hAnsi="Times New Roman" w:cs="Times New Roman"/>
                <w:color w:val="000000"/>
                <w:sz w:val="24"/>
                <w:highlight w:val="none"/>
              </w:rPr>
              <w:t>。</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1</w:t>
            </w:r>
            <w:r>
              <w:rPr>
                <w:rFonts w:hint="default" w:ascii="Times New Roman" w:hAnsi="Times New Roman" w:cs="Times New Roman"/>
                <w:color w:val="000000"/>
                <w:sz w:val="24"/>
                <w:highlight w:val="none"/>
              </w:rPr>
              <w:t>)施工现场必须建立</w:t>
            </w:r>
            <w:r>
              <w:rPr>
                <w:rFonts w:hint="default" w:ascii="Times New Roman" w:hAnsi="Times New Roman" w:cs="Times New Roman"/>
                <w:color w:val="000000"/>
                <w:sz w:val="24"/>
                <w:highlight w:val="none"/>
                <w:lang w:val="en-US" w:eastAsia="zh-CN"/>
              </w:rPr>
              <w:t>洒水</w:t>
            </w:r>
            <w:r>
              <w:rPr>
                <w:rFonts w:hint="default" w:ascii="Times New Roman" w:hAnsi="Times New Roman" w:cs="Times New Roman"/>
                <w:color w:val="000000"/>
                <w:sz w:val="24"/>
                <w:highlight w:val="none"/>
              </w:rPr>
              <w:t>清扫抑尘制度，配备洒水设备。非冰冻期每天</w:t>
            </w:r>
            <w:r>
              <w:rPr>
                <w:rFonts w:hint="default" w:ascii="Times New Roman" w:hAnsi="Times New Roman" w:cs="Times New Roman"/>
                <w:color w:val="000000"/>
                <w:sz w:val="24"/>
                <w:highlight w:val="none"/>
                <w:lang w:val="en-US" w:eastAsia="zh-CN"/>
              </w:rPr>
              <w:t>洒水</w:t>
            </w:r>
            <w:r>
              <w:rPr>
                <w:rFonts w:hint="default" w:ascii="Times New Roman" w:hAnsi="Times New Roman" w:cs="Times New Roman"/>
                <w:color w:val="000000"/>
                <w:sz w:val="24"/>
                <w:highlight w:val="none"/>
              </w:rPr>
              <w:t>不少于2次，并有专人负责。重污染天气时相应增加</w:t>
            </w:r>
            <w:r>
              <w:rPr>
                <w:rFonts w:hint="default" w:ascii="Times New Roman" w:hAnsi="Times New Roman" w:cs="Times New Roman"/>
                <w:color w:val="000000"/>
                <w:sz w:val="24"/>
                <w:highlight w:val="none"/>
                <w:lang w:val="en-US" w:eastAsia="zh-CN"/>
              </w:rPr>
              <w:t>洒水</w:t>
            </w:r>
            <w:r>
              <w:rPr>
                <w:rFonts w:hint="default" w:ascii="Times New Roman" w:hAnsi="Times New Roman" w:cs="Times New Roman"/>
                <w:color w:val="000000"/>
                <w:sz w:val="24"/>
                <w:highlight w:val="none"/>
              </w:rPr>
              <w:t>频次。</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2</w:t>
            </w:r>
            <w:r>
              <w:rPr>
                <w:rFonts w:hint="default" w:ascii="Times New Roman" w:hAnsi="Times New Roman" w:cs="Times New Roman"/>
                <w:color w:val="000000"/>
                <w:sz w:val="24"/>
                <w:highlight w:val="none"/>
              </w:rPr>
              <w:t>)建筑工程主体外侧脚手架及临边防护栏杆必须使用符合标准的密目式安全网封闭施工，并保持整洁、牢固、无破损。</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3</w:t>
            </w:r>
            <w:r>
              <w:rPr>
                <w:rFonts w:hint="default" w:ascii="Times New Roman" w:hAnsi="Times New Roman" w:cs="Times New Roman"/>
                <w:color w:val="000000"/>
                <w:sz w:val="24"/>
                <w:highlight w:val="none"/>
              </w:rPr>
              <w:t>)遇有4级以上大风或重污染天气预警时，必须采取扬尘防治应急措施，严禁土方开挖、土方回填、房屋拆除、材料切割、金属焊接、喷涂或其他有可能产生扬尘的作业。</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4</w:t>
            </w:r>
            <w:r>
              <w:rPr>
                <w:rFonts w:hint="default" w:ascii="Times New Roman" w:hAnsi="Times New Roman" w:cs="Times New Roman"/>
                <w:color w:val="000000"/>
                <w:sz w:val="24"/>
                <w:highlight w:val="none"/>
              </w:rPr>
              <w:t>)建设单位必须做好工程外管网及绿化施工阶段扬尘防治工作。</w:t>
            </w:r>
          </w:p>
          <w:p>
            <w:pPr>
              <w:adjustRightInd w:val="0"/>
              <w:snapToGrid w:val="0"/>
              <w:spacing w:line="360" w:lineRule="auto"/>
              <w:ind w:firstLine="480" w:firstLineChars="200"/>
              <w:rPr>
                <w:rFonts w:hint="default" w:ascii="Times New Roman" w:hAnsi="Times New Roman" w:eastAsia="宋体" w:cs="Times New Roman"/>
                <w:color w:val="000000"/>
                <w:sz w:val="24"/>
                <w:highlight w:val="none"/>
                <w:lang w:eastAsia="zh-CN"/>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5</w:t>
            </w:r>
            <w:r>
              <w:rPr>
                <w:rFonts w:hint="default" w:ascii="Times New Roman" w:hAnsi="Times New Roman" w:cs="Times New Roman"/>
                <w:color w:val="000000"/>
                <w:sz w:val="24"/>
                <w:highlight w:val="none"/>
              </w:rPr>
              <w:t>)施工现场在道路、围墙、脚手架等部位安装喷雾或喷淋等降尘装置</w:t>
            </w:r>
            <w:r>
              <w:rPr>
                <w:rFonts w:hint="default" w:ascii="Times New Roman" w:hAnsi="Times New Roman" w:cs="Times New Roman"/>
                <w:color w:val="000000"/>
                <w:sz w:val="24"/>
                <w:highlight w:val="none"/>
                <w:lang w:eastAsia="zh-CN"/>
              </w:rPr>
              <w:t>。</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(1</w:t>
            </w:r>
            <w:r>
              <w:rPr>
                <w:rFonts w:hint="default" w:ascii="Times New Roman" w:hAnsi="Times New Roman" w:cs="Times New Roman"/>
                <w:color w:val="000000"/>
                <w:sz w:val="24"/>
                <w:highlight w:val="none"/>
                <w:lang w:val="en-US" w:eastAsia="zh-CN"/>
              </w:rPr>
              <w:t>6</w:t>
            </w:r>
            <w:r>
              <w:rPr>
                <w:rFonts w:hint="default" w:ascii="Times New Roman" w:hAnsi="Times New Roman" w:cs="Times New Roman"/>
                <w:color w:val="000000"/>
                <w:sz w:val="24"/>
                <w:highlight w:val="none"/>
              </w:rPr>
              <w:t>)非道路移动机械进出施工现场进行信息登记，严禁未取得信息编码的非道路移动机械进入施工现场。</w:t>
            </w:r>
          </w:p>
          <w:p>
            <w:pPr>
              <w:adjustRightInd w:val="0"/>
              <w:snapToGrid w:val="0"/>
              <w:spacing w:line="360" w:lineRule="auto"/>
              <w:ind w:firstLine="480" w:firstLineChars="200"/>
              <w:rPr>
                <w:rFonts w:hint="default" w:ascii="Times New Roman" w:hAnsi="Times New Roman" w:cs="Times New Roman"/>
                <w:color w:val="000000"/>
                <w:sz w:val="24"/>
                <w:highlight w:val="none"/>
                <w:lang w:val="en-US" w:eastAsia="zh-CN"/>
              </w:rPr>
            </w:pPr>
            <w:r>
              <w:rPr>
                <w:rFonts w:hint="default" w:ascii="Times New Roman" w:hAnsi="Times New Roman" w:cs="Times New Roman"/>
                <w:color w:val="000000"/>
                <w:sz w:val="24"/>
                <w:highlight w:val="none"/>
                <w:lang w:val="en-US" w:eastAsia="zh-CN"/>
              </w:rPr>
              <w:t>(17)施工工地周边100%围挡；物料堆放100%覆盖；出入车辆100%冲洗；施工现场地面100%硬化；土方开挖100%湿法作业；密闭运输视频远程监控(厂区出口)和空气质量监测设备(PM扬尘监测设备设置在厂区门口)全覆盖；厂区入口设置洗车平台。</w:t>
            </w:r>
          </w:p>
          <w:p>
            <w:pPr>
              <w:adjustRightInd w:val="0"/>
              <w:snapToGrid w:val="0"/>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总之，采取以上措施后，可有效控制施工扬尘，施工场地扬尘排放浓度满足《施工场地扬尘排放标准》（DB13/2934-2019），对周围环境的影响较小。</w:t>
            </w:r>
          </w:p>
          <w:p>
            <w:pPr>
              <w:adjustRightInd w:val="0"/>
              <w:snapToGrid w:val="0"/>
              <w:spacing w:line="360" w:lineRule="auto"/>
              <w:ind w:firstLine="480" w:firstLineChars="200"/>
              <w:rPr>
                <w:rFonts w:hint="default" w:ascii="Times New Roman" w:hAnsi="Times New Roman" w:eastAsia="宋体" w:cs="Times New Roman"/>
                <w:color w:val="000000"/>
                <w:sz w:val="24"/>
                <w:highlight w:val="none"/>
                <w:lang w:val="en-US" w:eastAsia="zh-CN"/>
              </w:rPr>
            </w:pPr>
            <w:r>
              <w:rPr>
                <w:rFonts w:hint="default" w:ascii="Times New Roman" w:hAnsi="Times New Roman" w:eastAsia="宋体" w:cs="Times New Roman"/>
                <w:color w:val="000000"/>
                <w:sz w:val="24"/>
                <w:highlight w:val="none"/>
                <w:lang w:val="en-US" w:eastAsia="zh-CN"/>
              </w:rPr>
              <w:t>2、</w:t>
            </w:r>
            <w:r>
              <w:rPr>
                <w:rFonts w:hint="default" w:ascii="Times New Roman" w:hAnsi="Times New Roman" w:eastAsia="宋体" w:cs="Times New Roman"/>
                <w:color w:val="000000"/>
                <w:sz w:val="24"/>
                <w:highlight w:val="none"/>
              </w:rPr>
              <w:t>水环境：</w:t>
            </w:r>
            <w:r>
              <w:rPr>
                <w:rFonts w:hint="default" w:ascii="Times New Roman" w:hAnsi="Times New Roman" w:eastAsia="宋体" w:cs="Times New Roman"/>
                <w:color w:val="000000"/>
                <w:sz w:val="24"/>
                <w:highlight w:val="none"/>
                <w:lang w:val="en-US" w:eastAsia="zh-CN"/>
              </w:rPr>
              <w:t>施工过程中废水主要产生于工程养护及车辆轮胎的冲洗，废水中主要污染物为SS，经收集沉淀后回用于工程养护、喷洒施工场地和道路抑尘等，不外排，对环境影响较小。</w:t>
            </w:r>
          </w:p>
          <w:p>
            <w:pPr>
              <w:adjustRightInd w:val="0"/>
              <w:snapToGrid w:val="0"/>
              <w:spacing w:line="360" w:lineRule="auto"/>
              <w:ind w:firstLine="480" w:firstLineChars="200"/>
              <w:rPr>
                <w:rFonts w:hint="default" w:ascii="Times New Roman" w:hAnsi="Times New Roman" w:eastAsia="宋体" w:cs="Times New Roman"/>
                <w:color w:val="000000"/>
                <w:sz w:val="24"/>
                <w:highlight w:val="none"/>
              </w:rPr>
            </w:pPr>
            <w:r>
              <w:rPr>
                <w:rFonts w:hint="default" w:ascii="Times New Roman" w:hAnsi="Times New Roman" w:eastAsia="宋体" w:cs="Times New Roman"/>
                <w:color w:val="000000"/>
                <w:sz w:val="24"/>
                <w:highlight w:val="none"/>
              </w:rPr>
              <w:t>施工现场不设食堂。施工人员均为附近农民，盥洗废水就地泼洒抑尘。项目施工人员生活污水对环境的影响较小。</w:t>
            </w:r>
          </w:p>
          <w:p>
            <w:pPr>
              <w:adjustRightInd w:val="0"/>
              <w:snapToGrid w:val="0"/>
              <w:spacing w:line="360" w:lineRule="auto"/>
              <w:ind w:firstLine="480" w:firstLineChars="200"/>
              <w:rPr>
                <w:rFonts w:hint="default" w:ascii="Times New Roman" w:hAnsi="Times New Roman" w:cs="Times New Roman"/>
                <w:color w:val="000000"/>
                <w:kern w:val="0"/>
                <w:sz w:val="24"/>
                <w:highlight w:val="none"/>
              </w:rPr>
            </w:pPr>
            <w:r>
              <w:rPr>
                <w:rFonts w:hint="default" w:ascii="Times New Roman" w:hAnsi="Times New Roman" w:cs="Times New Roman"/>
                <w:color w:val="000000"/>
                <w:kern w:val="0"/>
                <w:sz w:val="24"/>
                <w:highlight w:val="none"/>
              </w:rPr>
              <w:t>综上所述，本工程施工过程中采取相应的防治措施后对附近水环境影响较小。</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80" w:firstLineChars="200"/>
              <w:textAlignment w:val="auto"/>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lang w:val="en-US" w:eastAsia="zh-CN"/>
              </w:rPr>
              <w:t>3、</w:t>
            </w:r>
            <w:r>
              <w:rPr>
                <w:rFonts w:hint="default" w:ascii="Times New Roman" w:hAnsi="Times New Roman" w:cs="Times New Roman"/>
                <w:color w:val="000000"/>
                <w:sz w:val="24"/>
                <w:highlight w:val="none"/>
              </w:rPr>
              <w:t>声环境：</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3.1施工噪声源分析</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施工期机械噪声主要为吊车、运输车辆等机械噪声。施工机械选用低噪设备，其噪声源强见下表。</w:t>
            </w:r>
          </w:p>
          <w:p>
            <w:pPr>
              <w:pStyle w:val="62"/>
              <w:spacing w:line="240" w:lineRule="auto"/>
              <w:ind w:left="420" w:leftChars="200"/>
              <w:jc w:val="center"/>
              <w:rPr>
                <w:rFonts w:hint="default" w:ascii="Times New Roman" w:hAnsi="Times New Roman" w:eastAsia="仿宋" w:cs="Times New Roman"/>
                <w:b/>
                <w:bCs/>
                <w:color w:val="000000"/>
                <w:szCs w:val="21"/>
                <w:highlight w:val="none"/>
              </w:rPr>
            </w:pPr>
            <w:r>
              <w:rPr>
                <w:rFonts w:hint="default" w:ascii="Times New Roman" w:hAnsi="Times New Roman" w:eastAsia="宋体" w:cs="Times New Roman"/>
                <w:b/>
                <w:bCs/>
                <w:color w:val="000000"/>
                <w:kern w:val="2"/>
                <w:sz w:val="24"/>
                <w:szCs w:val="24"/>
                <w:highlight w:val="none"/>
                <w:lang w:val="en-US" w:eastAsia="zh-CN" w:bidi="ar-SA"/>
              </w:rPr>
              <w:t>表4-1   施工期主要施工机械噪声表  单位：dB（A）</w:t>
            </w:r>
          </w:p>
          <w:tbl>
            <w:tblPr>
              <w:tblStyle w:val="32"/>
              <w:tblW w:w="83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21"/>
              <w:gridCol w:w="2084"/>
              <w:gridCol w:w="2429"/>
              <w:gridCol w:w="2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221"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序号</w:t>
                  </w:r>
                </w:p>
              </w:tc>
              <w:tc>
                <w:tcPr>
                  <w:tcW w:w="208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机械类型</w:t>
                  </w:r>
                </w:p>
              </w:tc>
              <w:tc>
                <w:tcPr>
                  <w:tcW w:w="2429"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声源特点</w:t>
                  </w:r>
                </w:p>
              </w:tc>
              <w:tc>
                <w:tcPr>
                  <w:tcW w:w="266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距离设备5m处噪声值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221" w:type="dxa"/>
                  <w:noWrap w:val="0"/>
                  <w:vAlign w:val="center"/>
                </w:tcPr>
                <w:p>
                  <w:pPr>
                    <w:pStyle w:val="76"/>
                    <w:bidi w:val="0"/>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1</w:t>
                  </w:r>
                </w:p>
              </w:tc>
              <w:tc>
                <w:tcPr>
                  <w:tcW w:w="208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挖掘机</w:t>
                  </w:r>
                </w:p>
              </w:tc>
              <w:tc>
                <w:tcPr>
                  <w:tcW w:w="2429"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流动不稳态源</w:t>
                  </w:r>
                </w:p>
              </w:tc>
              <w:tc>
                <w:tcPr>
                  <w:tcW w:w="266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221" w:type="dxa"/>
                  <w:noWrap w:val="0"/>
                  <w:vAlign w:val="center"/>
                </w:tcPr>
                <w:p>
                  <w:pPr>
                    <w:pStyle w:val="76"/>
                    <w:bidi w:val="0"/>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2</w:t>
                  </w:r>
                </w:p>
              </w:tc>
              <w:tc>
                <w:tcPr>
                  <w:tcW w:w="208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推土机</w:t>
                  </w:r>
                </w:p>
              </w:tc>
              <w:tc>
                <w:tcPr>
                  <w:tcW w:w="2429"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流动不稳态源</w:t>
                  </w:r>
                </w:p>
              </w:tc>
              <w:tc>
                <w:tcPr>
                  <w:tcW w:w="266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221"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w:t>
                  </w:r>
                </w:p>
              </w:tc>
              <w:tc>
                <w:tcPr>
                  <w:tcW w:w="208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钻机</w:t>
                  </w:r>
                </w:p>
              </w:tc>
              <w:tc>
                <w:tcPr>
                  <w:tcW w:w="2429"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流动不稳态源</w:t>
                  </w:r>
                </w:p>
              </w:tc>
              <w:tc>
                <w:tcPr>
                  <w:tcW w:w="266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221"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w:t>
                  </w:r>
                </w:p>
              </w:tc>
              <w:tc>
                <w:tcPr>
                  <w:tcW w:w="208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移动式吊车</w:t>
                  </w:r>
                </w:p>
              </w:tc>
              <w:tc>
                <w:tcPr>
                  <w:tcW w:w="2429"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流动不稳态源</w:t>
                  </w:r>
                </w:p>
              </w:tc>
              <w:tc>
                <w:tcPr>
                  <w:tcW w:w="266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1221"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w:t>
                  </w:r>
                </w:p>
              </w:tc>
              <w:tc>
                <w:tcPr>
                  <w:tcW w:w="208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运输车辆</w:t>
                  </w:r>
                </w:p>
              </w:tc>
              <w:tc>
                <w:tcPr>
                  <w:tcW w:w="2429"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流动不稳态源</w:t>
                  </w:r>
                </w:p>
              </w:tc>
              <w:tc>
                <w:tcPr>
                  <w:tcW w:w="2664" w:type="dxa"/>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88</w:t>
                  </w:r>
                </w:p>
              </w:tc>
            </w:tr>
          </w:tbl>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bookmarkStart w:id="31" w:name="_Toc20535"/>
            <w:bookmarkStart w:id="32" w:name="_Toc343584556"/>
            <w:bookmarkStart w:id="33" w:name="_Toc2962"/>
            <w:bookmarkStart w:id="34" w:name="_Toc380845011"/>
            <w:r>
              <w:rPr>
                <w:rFonts w:hint="default" w:ascii="Times New Roman" w:hAnsi="Times New Roman" w:eastAsia="宋体" w:cs="Times New Roman"/>
                <w:color w:val="000000"/>
                <w:kern w:val="2"/>
                <w:sz w:val="24"/>
                <w:szCs w:val="24"/>
                <w:highlight w:val="none"/>
                <w:lang w:val="en-US" w:eastAsia="zh-CN" w:bidi="ar-SA"/>
              </w:rPr>
              <w:t>3.2施工噪声预测</w:t>
            </w:r>
          </w:p>
          <w:bookmarkEnd w:id="31"/>
          <w:bookmarkEnd w:id="32"/>
          <w:bookmarkEnd w:id="33"/>
          <w:bookmarkEnd w:id="34"/>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本次评价采用点源衰减模式，预测计算声源至受声点的几何发散衰减，计算中不考虑声屏障、空气吸收等衰减。预测公式如下：</w:t>
            </w:r>
          </w:p>
          <w:p>
            <w:pPr>
              <w:numPr>
                <w:ilvl w:val="0"/>
                <w:numId w:val="0"/>
              </w:numPr>
              <w:adjustRightInd w:val="0"/>
              <w:snapToGrid w:val="0"/>
              <w:spacing w:line="360" w:lineRule="auto"/>
              <w:ind w:left="0" w:leftChars="0" w:firstLine="0" w:firstLineChars="0"/>
              <w:jc w:val="center"/>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Lr=Lro-20lg(r/ro)</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式中：Lr——距声源r处的A声压级，dB(A)；</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 xml:space="preserve">      Lro——距声源ro处的A声压级，dB(A)；</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 xml:space="preserve">      r ——预测点与声源的距离，m；</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 xml:space="preserve">      ro——监测设备噪声时的距离，m。</w:t>
            </w:r>
          </w:p>
          <w:p>
            <w:pPr>
              <w:numPr>
                <w:ilvl w:val="0"/>
                <w:numId w:val="0"/>
              </w:numPr>
              <w:adjustRightInd w:val="0"/>
              <w:snapToGrid w:val="0"/>
              <w:spacing w:line="360" w:lineRule="auto"/>
              <w:ind w:firstLine="480" w:firstLineChars="200"/>
              <w:rPr>
                <w:rFonts w:hint="default" w:ascii="Times New Roman" w:hAnsi="Times New Roman" w:eastAsia="宋体" w:cs="Times New Roman"/>
                <w:color w:val="000000"/>
                <w:kern w:val="2"/>
                <w:sz w:val="24"/>
                <w:szCs w:val="24"/>
                <w:highlight w:val="none"/>
                <w:lang w:val="en-US" w:eastAsia="zh-CN" w:bidi="ar-SA"/>
              </w:rPr>
            </w:pPr>
            <w:r>
              <w:rPr>
                <w:rFonts w:hint="default" w:ascii="Times New Roman" w:hAnsi="Times New Roman" w:eastAsia="宋体" w:cs="Times New Roman"/>
                <w:color w:val="000000"/>
                <w:kern w:val="2"/>
                <w:sz w:val="24"/>
                <w:szCs w:val="24"/>
                <w:highlight w:val="none"/>
                <w:lang w:val="en-US" w:eastAsia="zh-CN" w:bidi="ar-SA"/>
              </w:rPr>
              <w:t>利用上述公式，预测计算主要施工机械在不同距离处的衰减值，预测计算结果见下表。</w:t>
            </w:r>
          </w:p>
          <w:p>
            <w:pPr>
              <w:pStyle w:val="62"/>
              <w:spacing w:line="240" w:lineRule="auto"/>
              <w:ind w:left="420" w:leftChars="200"/>
              <w:jc w:val="center"/>
              <w:rPr>
                <w:rFonts w:hint="default" w:ascii="Times New Roman" w:hAnsi="Times New Roman" w:eastAsia="宋体" w:cs="Times New Roman"/>
                <w:b/>
                <w:bCs/>
                <w:color w:val="000000"/>
                <w:kern w:val="2"/>
                <w:sz w:val="24"/>
                <w:szCs w:val="24"/>
                <w:highlight w:val="none"/>
                <w:lang w:val="en-US" w:eastAsia="zh-CN" w:bidi="ar-SA"/>
              </w:rPr>
            </w:pPr>
            <w:r>
              <w:rPr>
                <w:rFonts w:hint="default" w:ascii="Times New Roman" w:hAnsi="Times New Roman" w:eastAsia="宋体" w:cs="Times New Roman"/>
                <w:b/>
                <w:bCs/>
                <w:color w:val="000000"/>
                <w:kern w:val="2"/>
                <w:sz w:val="24"/>
                <w:szCs w:val="24"/>
                <w:highlight w:val="none"/>
                <w:lang w:val="en-US" w:eastAsia="zh-CN" w:bidi="ar-SA"/>
              </w:rPr>
              <w:t>表</w:t>
            </w:r>
            <w:r>
              <w:rPr>
                <w:rFonts w:hint="default" w:ascii="Times New Roman" w:hAnsi="Times New Roman" w:cs="Times New Roman"/>
                <w:b/>
                <w:bCs/>
                <w:color w:val="000000"/>
                <w:kern w:val="2"/>
                <w:sz w:val="24"/>
                <w:szCs w:val="24"/>
                <w:highlight w:val="none"/>
                <w:lang w:val="en-US" w:eastAsia="zh-CN" w:bidi="ar-SA"/>
              </w:rPr>
              <w:t>4-2</w:t>
            </w:r>
            <w:r>
              <w:rPr>
                <w:rFonts w:hint="default" w:ascii="Times New Roman" w:hAnsi="Times New Roman" w:eastAsia="宋体" w:cs="Times New Roman"/>
                <w:b/>
                <w:bCs/>
                <w:color w:val="000000"/>
                <w:kern w:val="2"/>
                <w:sz w:val="24"/>
                <w:szCs w:val="24"/>
                <w:highlight w:val="none"/>
                <w:lang w:val="en-US" w:eastAsia="zh-CN" w:bidi="ar-SA"/>
              </w:rPr>
              <w:t xml:space="preserve">  主要施工机械在不同距离处的噪声贡献值 单位：dB（A）</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46"/>
              <w:gridCol w:w="1289"/>
              <w:gridCol w:w="528"/>
              <w:gridCol w:w="783"/>
              <w:gridCol w:w="651"/>
              <w:gridCol w:w="651"/>
              <w:gridCol w:w="651"/>
              <w:gridCol w:w="651"/>
              <w:gridCol w:w="651"/>
              <w:gridCol w:w="653"/>
              <w:gridCol w:w="654"/>
              <w:gridCol w:w="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vMerge w:val="restar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序号</w:t>
                  </w:r>
                </w:p>
              </w:tc>
              <w:tc>
                <w:tcPr>
                  <w:tcW w:w="777" w:type="pct"/>
                  <w:vMerge w:val="restar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机械类型</w:t>
                  </w:r>
                </w:p>
              </w:tc>
              <w:tc>
                <w:tcPr>
                  <w:tcW w:w="3952" w:type="pct"/>
                  <w:gridSpan w:val="10"/>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噪声预测值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vMerge w:val="continue"/>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p>
              </w:tc>
              <w:tc>
                <w:tcPr>
                  <w:tcW w:w="777" w:type="pct"/>
                  <w:vMerge w:val="continue"/>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p>
              </w:tc>
              <w:tc>
                <w:tcPr>
                  <w:tcW w:w="31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5m</w:t>
                  </w:r>
                </w:p>
              </w:tc>
              <w:tc>
                <w:tcPr>
                  <w:tcW w:w="472"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20m</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40m</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50m</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60m</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100m</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150m</w:t>
                  </w:r>
                </w:p>
              </w:tc>
              <w:tc>
                <w:tcPr>
                  <w:tcW w:w="394"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200m</w:t>
                  </w:r>
                </w:p>
              </w:tc>
              <w:tc>
                <w:tcPr>
                  <w:tcW w:w="394"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300m</w:t>
                  </w:r>
                </w:p>
              </w:tc>
              <w:tc>
                <w:tcPr>
                  <w:tcW w:w="40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400m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1</w:t>
                  </w:r>
                </w:p>
              </w:tc>
              <w:tc>
                <w:tcPr>
                  <w:tcW w:w="777" w:type="pct"/>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挖掘机</w:t>
                  </w:r>
                </w:p>
              </w:tc>
              <w:tc>
                <w:tcPr>
                  <w:tcW w:w="31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80</w:t>
                  </w:r>
                </w:p>
              </w:tc>
              <w:tc>
                <w:tcPr>
                  <w:tcW w:w="472"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68</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62</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58</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56</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54</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48</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44</w:t>
                  </w:r>
                </w:p>
              </w:tc>
              <w:tc>
                <w:tcPr>
                  <w:tcW w:w="40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2</w:t>
                  </w:r>
                </w:p>
              </w:tc>
              <w:tc>
                <w:tcPr>
                  <w:tcW w:w="777" w:type="pct"/>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推土机</w:t>
                  </w:r>
                </w:p>
              </w:tc>
              <w:tc>
                <w:tcPr>
                  <w:tcW w:w="31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85</w:t>
                  </w:r>
                </w:p>
              </w:tc>
              <w:tc>
                <w:tcPr>
                  <w:tcW w:w="472"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73</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67</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63</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61</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59</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55</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53</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49</w:t>
                  </w:r>
                </w:p>
              </w:tc>
              <w:tc>
                <w:tcPr>
                  <w:tcW w:w="40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w:t>
                  </w:r>
                </w:p>
              </w:tc>
              <w:tc>
                <w:tcPr>
                  <w:tcW w:w="777" w:type="pct"/>
                  <w:noWrap w:val="0"/>
                  <w:vAlign w:val="center"/>
                </w:tcPr>
                <w:p>
                  <w:pPr>
                    <w:pStyle w:val="76"/>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钻机</w:t>
                  </w:r>
                </w:p>
              </w:tc>
              <w:tc>
                <w:tcPr>
                  <w:tcW w:w="31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92</w:t>
                  </w:r>
                </w:p>
              </w:tc>
              <w:tc>
                <w:tcPr>
                  <w:tcW w:w="472"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80</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74</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70</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68</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66</w:t>
                  </w:r>
                </w:p>
              </w:tc>
              <w:tc>
                <w:tcPr>
                  <w:tcW w:w="393"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62</w:t>
                  </w:r>
                </w:p>
              </w:tc>
              <w:tc>
                <w:tcPr>
                  <w:tcW w:w="394"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60</w:t>
                  </w:r>
                </w:p>
              </w:tc>
              <w:tc>
                <w:tcPr>
                  <w:tcW w:w="394" w:type="pct"/>
                  <w:noWrap w:val="0"/>
                  <w:vAlign w:val="center"/>
                </w:tcPr>
                <w:p>
                  <w:pPr>
                    <w:pStyle w:val="76"/>
                    <w:bidi w:val="0"/>
                    <w:spacing w:line="240" w:lineRule="auto"/>
                    <w:jc w:val="center"/>
                    <w:rPr>
                      <w:rFonts w:hint="default" w:ascii="Times New Roman" w:hAnsi="Times New Roman" w:eastAsia="宋体" w:cs="Times New Roman"/>
                      <w:color w:val="000000"/>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56</w:t>
                  </w:r>
                </w:p>
              </w:tc>
              <w:tc>
                <w:tcPr>
                  <w:tcW w:w="40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4</w:t>
                  </w:r>
                </w:p>
              </w:tc>
              <w:tc>
                <w:tcPr>
                  <w:tcW w:w="777"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移动式吊车</w:t>
                  </w:r>
                </w:p>
              </w:tc>
              <w:tc>
                <w:tcPr>
                  <w:tcW w:w="31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90</w:t>
                  </w:r>
                </w:p>
              </w:tc>
              <w:tc>
                <w:tcPr>
                  <w:tcW w:w="472"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83</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77</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71</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70</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68</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63</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60</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57</w:t>
                  </w:r>
                </w:p>
              </w:tc>
              <w:tc>
                <w:tcPr>
                  <w:tcW w:w="40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69"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w:t>
                  </w:r>
                </w:p>
              </w:tc>
              <w:tc>
                <w:tcPr>
                  <w:tcW w:w="777"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运输车辆</w:t>
                  </w:r>
                </w:p>
              </w:tc>
              <w:tc>
                <w:tcPr>
                  <w:tcW w:w="31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88</w:t>
                  </w:r>
                </w:p>
              </w:tc>
              <w:tc>
                <w:tcPr>
                  <w:tcW w:w="472"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81</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69</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68</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66</w:t>
                  </w:r>
                </w:p>
              </w:tc>
              <w:tc>
                <w:tcPr>
                  <w:tcW w:w="393"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61</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58</w:t>
                  </w:r>
                </w:p>
              </w:tc>
              <w:tc>
                <w:tcPr>
                  <w:tcW w:w="394"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55</w:t>
                  </w:r>
                </w:p>
              </w:tc>
              <w:tc>
                <w:tcPr>
                  <w:tcW w:w="408" w:type="pct"/>
                  <w:noWrap w:val="0"/>
                  <w:vAlign w:val="center"/>
                </w:tcPr>
                <w:p>
                  <w:pPr>
                    <w:pStyle w:val="76"/>
                    <w:bidi w:val="0"/>
                    <w:spacing w:line="240" w:lineRule="auto"/>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52</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为尽可能地减缓施工噪声对周边声环境的影响，本评价在此提出如下缓解措施：</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①合理安排施工机械布局，经围墙隔声、距离衰减后，其噪声到达施工场界处可衰减至达标范围，从而降低其对周边环境的影响。</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②施工单位加强施工期的管理，施工单位选用低噪声、低振动的施工机械设备，购买商品混凝土，不使用混凝土搅拌机。</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③制订施工计划时，避免大量高噪声设备同时施工，高噪声施工时间尽量安排在昼间。严禁在中午12：00-14：00和夜间22：00一次日6：00期间施工。</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④施工单位应设专人对设备进行定期保养和维护，并负责对现场工作人员进行培训，以便使每个员工严格按操作规范使用各类机械。</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kern w:val="0"/>
                <w:sz w:val="24"/>
                <w:highlight w:val="none"/>
              </w:rPr>
            </w:pPr>
            <w:r>
              <w:rPr>
                <w:rFonts w:hint="default" w:ascii="Times New Roman" w:hAnsi="Times New Roman" w:cs="Times New Roman"/>
                <w:color w:val="000000"/>
                <w:sz w:val="24"/>
                <w:highlight w:val="none"/>
              </w:rPr>
              <w:t>经类比分析，通过采取以上措施，施工噪声可满足《建筑施工场界环境噪声排放标准》(GB12523-2011)要求，避免其对周围声环境产生影响，同时，施工期的影响是暂时的，随着施工期的结束而消失。</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kern w:val="0"/>
                <w:sz w:val="24"/>
                <w:highlight w:val="none"/>
              </w:rPr>
            </w:pPr>
            <w:r>
              <w:rPr>
                <w:rFonts w:hint="default" w:ascii="Times New Roman" w:hAnsi="Times New Roman" w:cs="Times New Roman"/>
                <w:color w:val="000000"/>
                <w:kern w:val="0"/>
                <w:sz w:val="24"/>
                <w:highlight w:val="none"/>
              </w:rPr>
              <w:t>4、固体废物</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kern w:val="0"/>
                <w:sz w:val="24"/>
                <w:highlight w:val="none"/>
              </w:rPr>
            </w:pPr>
            <w:r>
              <w:rPr>
                <w:rFonts w:hint="default" w:ascii="Times New Roman" w:hAnsi="Times New Roman" w:cs="Times New Roman"/>
                <w:color w:val="000000"/>
                <w:kern w:val="0"/>
                <w:sz w:val="24"/>
                <w:highlight w:val="none"/>
              </w:rPr>
              <w:t>固废主要源于施工过程中产生的</w:t>
            </w:r>
            <w:r>
              <w:rPr>
                <w:rFonts w:hint="default" w:ascii="Times New Roman" w:hAnsi="Times New Roman" w:cs="Times New Roman"/>
                <w:color w:val="000000"/>
                <w:kern w:val="0"/>
                <w:sz w:val="24"/>
                <w:highlight w:val="none"/>
                <w:lang w:val="en-US" w:eastAsia="zh-CN"/>
              </w:rPr>
              <w:t>建筑垃圾</w:t>
            </w:r>
            <w:r>
              <w:rPr>
                <w:rFonts w:hint="default" w:ascii="Times New Roman" w:hAnsi="Times New Roman" w:cs="Times New Roman"/>
                <w:color w:val="000000"/>
                <w:kern w:val="0"/>
                <w:sz w:val="24"/>
                <w:highlight w:val="none"/>
              </w:rPr>
              <w:t>、清理现场杂物及施工人员生活垃圾等。本次评价提出措施如下：</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kern w:val="0"/>
                <w:sz w:val="24"/>
                <w:highlight w:val="none"/>
              </w:rPr>
            </w:pPr>
            <w:r>
              <w:rPr>
                <w:rFonts w:hint="default" w:ascii="Times New Roman" w:hAnsi="Times New Roman" w:cs="Times New Roman"/>
                <w:color w:val="000000"/>
                <w:kern w:val="0"/>
                <w:sz w:val="24"/>
                <w:highlight w:val="none"/>
              </w:rPr>
              <w:t>①对钢筋、钢板、彩钢瓦、木材等下角料可分类回收利用。对于其他不能回收利用的要集中收集，定时清运。</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kern w:val="0"/>
                <w:sz w:val="24"/>
                <w:highlight w:val="none"/>
              </w:rPr>
            </w:pPr>
            <w:r>
              <w:rPr>
                <w:rFonts w:hint="default" w:ascii="Times New Roman" w:hAnsi="Times New Roman" w:cs="Times New Roman"/>
                <w:color w:val="000000"/>
                <w:kern w:val="0"/>
                <w:sz w:val="24"/>
                <w:highlight w:val="none"/>
              </w:rPr>
              <w:t>②对含砖、石、砂的杂土集中堆放，定时清运到城市建设监管部门指定地点。</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kern w:val="0"/>
                <w:sz w:val="24"/>
                <w:highlight w:val="none"/>
              </w:rPr>
            </w:pPr>
            <w:r>
              <w:rPr>
                <w:rFonts w:hint="default" w:ascii="Times New Roman" w:hAnsi="Times New Roman" w:cs="Times New Roman"/>
                <w:color w:val="000000"/>
                <w:kern w:val="0"/>
                <w:sz w:val="24"/>
                <w:highlight w:val="none"/>
              </w:rPr>
              <w:t>③清场废物处置：应及时清运。表层土可集中堆存，用作绿化用土，不适于土地利用的表土可供附近填筑低凹地，或作其他用途。废土全部作为弃方做统一规划处置，将多余弃土及时清运。</w:t>
            </w:r>
          </w:p>
          <w:p>
            <w:pPr>
              <w:pStyle w:val="30"/>
              <w:keepNext w:val="0"/>
              <w:keepLines w:val="0"/>
              <w:pageBreakBefore w:val="0"/>
              <w:widowControl/>
              <w:numPr>
                <w:ilvl w:val="0"/>
                <w:numId w:val="0"/>
              </w:numPr>
              <w:kinsoku/>
              <w:wordWrap/>
              <w:overflowPunct/>
              <w:topLinePunct w:val="0"/>
              <w:autoSpaceDE/>
              <w:autoSpaceDN/>
              <w:bidi w:val="0"/>
              <w:adjustRightInd/>
              <w:snapToGrid w:val="0"/>
              <w:spacing w:before="0" w:beforeLines="0" w:after="0" w:afterLines="0" w:line="480" w:lineRule="exact"/>
              <w:ind w:right="0" w:rightChars="0" w:firstLine="480" w:firstLineChars="20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kern w:val="0"/>
                <w:sz w:val="24"/>
                <w:highlight w:val="none"/>
              </w:rPr>
              <w:t>综上所述，施工期产生的固体废物都得到有效处置，不会对周围环境产生不良影响</w:t>
            </w:r>
            <w:r>
              <w:rPr>
                <w:rFonts w:hint="default" w:ascii="Times New Roman" w:hAnsi="Times New Roman" w:cs="Times New Roman"/>
                <w:color w:val="000000"/>
                <w:kern w:val="0"/>
                <w:sz w:val="24"/>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660" w:hRule="atLeast"/>
          <w:jc w:val="center"/>
        </w:trPr>
        <w:tc>
          <w:tcPr>
            <w:tcW w:w="456" w:type="dxa"/>
            <w:noWrap w:val="0"/>
            <w:tcMar>
              <w:left w:w="28" w:type="dxa"/>
              <w:right w:w="28" w:type="dxa"/>
            </w:tcMar>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eastAsia="宋体" w:cs="Times New Roman"/>
                <w:bCs/>
                <w:color w:val="000000"/>
                <w:sz w:val="24"/>
                <w:szCs w:val="24"/>
                <w:highlight w:val="none"/>
              </w:rPr>
            </w:pPr>
            <w:bookmarkStart w:id="35" w:name="_Toc15818"/>
            <w:r>
              <w:rPr>
                <w:rFonts w:hint="default" w:ascii="Times New Roman" w:hAnsi="Times New Roman" w:eastAsia="宋体" w:cs="Times New Roman"/>
                <w:bCs/>
                <w:color w:val="000000"/>
                <w:sz w:val="24"/>
                <w:szCs w:val="24"/>
                <w:highlight w:val="none"/>
              </w:rPr>
              <w:t>运营</w:t>
            </w:r>
            <w:bookmarkEnd w:id="35"/>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eastAsia="宋体" w:cs="Times New Roman"/>
                <w:bCs/>
                <w:color w:val="000000"/>
                <w:sz w:val="24"/>
                <w:szCs w:val="24"/>
                <w:highlight w:val="none"/>
              </w:rPr>
            </w:pPr>
            <w:bookmarkStart w:id="36" w:name="_Toc29367"/>
            <w:r>
              <w:rPr>
                <w:rFonts w:hint="default" w:ascii="Times New Roman" w:hAnsi="Times New Roman" w:eastAsia="宋体" w:cs="Times New Roman"/>
                <w:bCs/>
                <w:color w:val="000000"/>
                <w:sz w:val="24"/>
                <w:szCs w:val="24"/>
                <w:highlight w:val="none"/>
              </w:rPr>
              <w:t>期环</w:t>
            </w:r>
            <w:bookmarkEnd w:id="36"/>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eastAsia="宋体" w:cs="Times New Roman"/>
                <w:bCs/>
                <w:color w:val="000000"/>
                <w:sz w:val="24"/>
                <w:szCs w:val="24"/>
                <w:highlight w:val="none"/>
              </w:rPr>
            </w:pPr>
            <w:bookmarkStart w:id="37" w:name="_Toc30115"/>
            <w:r>
              <w:rPr>
                <w:rFonts w:hint="default" w:ascii="Times New Roman" w:hAnsi="Times New Roman" w:eastAsia="宋体" w:cs="Times New Roman"/>
                <w:bCs/>
                <w:color w:val="000000"/>
                <w:sz w:val="24"/>
                <w:szCs w:val="24"/>
                <w:highlight w:val="none"/>
              </w:rPr>
              <w:t>境影</w:t>
            </w:r>
            <w:bookmarkEnd w:id="37"/>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eastAsia="宋体" w:cs="Times New Roman"/>
                <w:bCs/>
                <w:color w:val="000000"/>
                <w:sz w:val="24"/>
                <w:szCs w:val="24"/>
                <w:highlight w:val="none"/>
              </w:rPr>
            </w:pPr>
            <w:bookmarkStart w:id="38" w:name="_Toc9719"/>
            <w:r>
              <w:rPr>
                <w:rFonts w:hint="default" w:ascii="Times New Roman" w:hAnsi="Times New Roman" w:eastAsia="宋体" w:cs="Times New Roman"/>
                <w:bCs/>
                <w:color w:val="000000"/>
                <w:sz w:val="24"/>
                <w:szCs w:val="24"/>
                <w:highlight w:val="none"/>
              </w:rPr>
              <w:t>响和</w:t>
            </w:r>
            <w:bookmarkEnd w:id="38"/>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eastAsia="宋体" w:cs="Times New Roman"/>
                <w:bCs/>
                <w:color w:val="000000"/>
                <w:sz w:val="24"/>
                <w:szCs w:val="24"/>
                <w:highlight w:val="none"/>
              </w:rPr>
            </w:pPr>
            <w:bookmarkStart w:id="39" w:name="_Toc20252"/>
            <w:r>
              <w:rPr>
                <w:rFonts w:hint="default" w:ascii="Times New Roman" w:hAnsi="Times New Roman" w:eastAsia="宋体" w:cs="Times New Roman"/>
                <w:bCs/>
                <w:color w:val="000000"/>
                <w:sz w:val="24"/>
                <w:szCs w:val="24"/>
                <w:highlight w:val="none"/>
              </w:rPr>
              <w:t>保护</w:t>
            </w:r>
            <w:bookmarkEnd w:id="39"/>
          </w:p>
          <w:p>
            <w:pPr>
              <w:keepNext w:val="0"/>
              <w:keepLines w:val="0"/>
              <w:pageBreakBefore w:val="0"/>
              <w:widowControl w:val="0"/>
              <w:kinsoku/>
              <w:wordWrap/>
              <w:overflowPunct/>
              <w:topLinePunct w:val="0"/>
              <w:autoSpaceDE/>
              <w:autoSpaceDN/>
              <w:bidi w:val="0"/>
              <w:adjustRightInd w:val="0"/>
              <w:snapToGrid w:val="0"/>
              <w:jc w:val="center"/>
              <w:textAlignment w:val="auto"/>
              <w:outlineLvl w:val="1"/>
              <w:rPr>
                <w:rFonts w:hint="default" w:ascii="Times New Roman" w:hAnsi="Times New Roman" w:eastAsia="宋体" w:cs="Times New Roman"/>
                <w:bCs/>
                <w:color w:val="000000"/>
                <w:sz w:val="21"/>
                <w:szCs w:val="21"/>
                <w:highlight w:val="none"/>
              </w:rPr>
            </w:pPr>
            <w:bookmarkStart w:id="40" w:name="_Toc13565"/>
            <w:r>
              <w:rPr>
                <w:rFonts w:hint="default" w:ascii="Times New Roman" w:hAnsi="Times New Roman" w:eastAsia="宋体" w:cs="Times New Roman"/>
                <w:bCs/>
                <w:color w:val="000000"/>
                <w:sz w:val="24"/>
                <w:szCs w:val="24"/>
                <w:highlight w:val="none"/>
              </w:rPr>
              <w:t>措施</w:t>
            </w:r>
            <w:bookmarkEnd w:id="40"/>
          </w:p>
        </w:tc>
        <w:tc>
          <w:tcPr>
            <w:tcW w:w="8525" w:type="dxa"/>
            <w:noWrap w:val="0"/>
            <w:vAlign w:val="center"/>
          </w:tcPr>
          <w:p>
            <w:pPr>
              <w:keepNext/>
              <w:keepLines/>
              <w:pageBreakBefore w:val="0"/>
              <w:widowControl w:val="0"/>
              <w:numPr>
                <w:ilvl w:val="0"/>
                <w:numId w:val="0"/>
              </w:numPr>
              <w:kinsoku/>
              <w:wordWrap/>
              <w:overflowPunct/>
              <w:topLinePunct w:val="0"/>
              <w:autoSpaceDE/>
              <w:autoSpaceDN/>
              <w:bidi w:val="0"/>
              <w:adjustRightInd/>
              <w:snapToGrid/>
              <w:spacing w:before="0" w:after="0" w:line="480" w:lineRule="exact"/>
              <w:textAlignment w:val="auto"/>
              <w:outlineLvl w:val="9"/>
              <w:rPr>
                <w:rFonts w:hint="default" w:ascii="Times New Roman" w:hAnsi="Times New Roman" w:eastAsia="宋体" w:cs="Times New Roman"/>
                <w:b w:val="0"/>
                <w:bCs/>
                <w:color w:val="000000"/>
                <w:sz w:val="24"/>
                <w:szCs w:val="24"/>
                <w:highlight w:val="none"/>
                <w:lang w:eastAsia="zh-CN"/>
              </w:rPr>
            </w:pPr>
            <w:bookmarkStart w:id="41" w:name="_Toc28763"/>
            <w:r>
              <w:rPr>
                <w:rFonts w:hint="default" w:ascii="Times New Roman" w:hAnsi="Times New Roman" w:eastAsia="宋体" w:cs="Times New Roman"/>
                <w:b w:val="0"/>
                <w:bCs/>
                <w:color w:val="000000"/>
                <w:sz w:val="24"/>
                <w:szCs w:val="24"/>
                <w:highlight w:val="none"/>
                <w:lang w:val="en-US" w:eastAsia="zh-CN"/>
              </w:rPr>
              <w:t>一、</w:t>
            </w:r>
            <w:r>
              <w:rPr>
                <w:rFonts w:hint="default" w:ascii="Times New Roman" w:hAnsi="Times New Roman" w:eastAsia="宋体" w:cs="Times New Roman"/>
                <w:b w:val="0"/>
                <w:bCs/>
                <w:color w:val="000000"/>
                <w:sz w:val="24"/>
                <w:szCs w:val="24"/>
                <w:highlight w:val="none"/>
                <w:lang w:eastAsia="zh-CN"/>
              </w:rPr>
              <w:t>大气环境影响分析</w:t>
            </w:r>
            <w:bookmarkEnd w:id="41"/>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1、废气产排情况</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1）有组织废气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highlight w:val="none"/>
                <w:lang w:val="en-US" w:eastAsia="zh-CN"/>
              </w:rPr>
              <w:t>)抛丸废气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项目抛丸</w:t>
            </w:r>
            <w:r>
              <w:rPr>
                <w:rFonts w:hint="default" w:ascii="Times New Roman" w:hAnsi="Times New Roman" w:cs="Times New Roman"/>
                <w:b w:val="0"/>
                <w:bCs w:val="0"/>
                <w:color w:val="000000"/>
                <w:sz w:val="24"/>
                <w:szCs w:val="24"/>
                <w:highlight w:val="none"/>
                <w:lang w:val="en-US" w:eastAsia="zh-CN"/>
              </w:rPr>
              <w:t>机</w:t>
            </w:r>
            <w:r>
              <w:rPr>
                <w:rFonts w:hint="default" w:ascii="Times New Roman" w:hAnsi="Times New Roman" w:eastAsia="宋体" w:cs="Times New Roman"/>
                <w:b w:val="0"/>
                <w:bCs w:val="0"/>
                <w:color w:val="000000"/>
                <w:sz w:val="24"/>
                <w:szCs w:val="24"/>
                <w:highlight w:val="none"/>
                <w:lang w:val="en-US" w:eastAsia="zh-CN"/>
              </w:rPr>
              <w:t>产生的颗粒物采用三级除尘</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沉降除尘+旋风+高效滤</w:t>
            </w:r>
            <w:r>
              <w:rPr>
                <w:rFonts w:hint="default" w:ascii="Times New Roman" w:hAnsi="Times New Roman" w:cs="Times New Roman"/>
                <w:b w:val="0"/>
                <w:bCs w:val="0"/>
                <w:color w:val="000000"/>
                <w:sz w:val="24"/>
                <w:szCs w:val="24"/>
                <w:highlight w:val="none"/>
                <w:lang w:val="en-US" w:eastAsia="zh-CN"/>
              </w:rPr>
              <w:t>筒</w:t>
            </w:r>
            <w:r>
              <w:rPr>
                <w:rFonts w:hint="default" w:ascii="Times New Roman" w:hAnsi="Times New Roman" w:eastAsia="宋体" w:cs="Times New Roman"/>
                <w:b w:val="0"/>
                <w:bCs w:val="0"/>
                <w:color w:val="000000"/>
                <w:sz w:val="24"/>
                <w:szCs w:val="24"/>
                <w:highlight w:val="none"/>
                <w:lang w:val="en-US" w:eastAsia="zh-CN"/>
              </w:rPr>
              <w:t>除尘器除尘</w:t>
            </w:r>
            <w:r>
              <w:rPr>
                <w:rFonts w:hint="default" w:ascii="Times New Roman" w:hAnsi="Times New Roman" w:cs="Times New Roman"/>
                <w:b w:val="0"/>
                <w:bCs w:val="0"/>
                <w:color w:val="000000"/>
                <w:sz w:val="24"/>
                <w:szCs w:val="24"/>
                <w:highlight w:val="none"/>
                <w:lang w:val="en-US" w:eastAsia="zh-CN"/>
              </w:rPr>
              <w:t>处理后经排气筒（DA001）排放</w:t>
            </w:r>
            <w:r>
              <w:rPr>
                <w:rFonts w:hint="default" w:ascii="Times New Roman" w:hAnsi="Times New Roman" w:eastAsia="宋体" w:cs="Times New Roman"/>
                <w:b w:val="0"/>
                <w:bCs w:val="0"/>
                <w:color w:val="000000"/>
                <w:sz w:val="24"/>
                <w:szCs w:val="24"/>
                <w:highlight w:val="none"/>
                <w:lang w:val="en-US" w:eastAsia="zh-CN"/>
              </w:rPr>
              <w:t>。根据《排放源统计调查产排污核算方法和系数手册》中机械行业系数手册，钢材自动抛丸过程中颗粒物产生系数取2.19kg/t-原料，项目自动抛丸钢材用量约</w:t>
            </w:r>
            <w:r>
              <w:rPr>
                <w:rFonts w:hint="default" w:ascii="Times New Roman" w:hAnsi="Times New Roman" w:cs="Times New Roman"/>
                <w:b w:val="0"/>
                <w:bCs w:val="0"/>
                <w:color w:val="000000"/>
                <w:sz w:val="24"/>
                <w:szCs w:val="24"/>
                <w:highlight w:val="none"/>
                <w:lang w:val="en-US" w:eastAsia="zh-CN"/>
              </w:rPr>
              <w:t>300</w:t>
            </w:r>
            <w:r>
              <w:rPr>
                <w:rFonts w:hint="default" w:ascii="Times New Roman" w:hAnsi="Times New Roman" w:eastAsia="宋体" w:cs="Times New Roman"/>
                <w:b w:val="0"/>
                <w:bCs w:val="0"/>
                <w:color w:val="000000"/>
                <w:sz w:val="24"/>
                <w:szCs w:val="24"/>
                <w:highlight w:val="none"/>
                <w:lang w:val="en-US" w:eastAsia="zh-CN"/>
              </w:rPr>
              <w:t>吨，则自动抛丸过程中颗粒物产生量为</w:t>
            </w:r>
            <w:r>
              <w:rPr>
                <w:rFonts w:hint="default" w:ascii="Times New Roman" w:hAnsi="Times New Roman" w:cs="Times New Roman"/>
                <w:b w:val="0"/>
                <w:bCs w:val="0"/>
                <w:color w:val="000000"/>
                <w:sz w:val="24"/>
                <w:szCs w:val="24"/>
                <w:highlight w:val="none"/>
                <w:lang w:val="en-US" w:eastAsia="zh-CN"/>
              </w:rPr>
              <w:t>0.657</w:t>
            </w:r>
            <w:r>
              <w:rPr>
                <w:rFonts w:hint="default" w:ascii="Times New Roman" w:hAnsi="Times New Roman" w:eastAsia="宋体" w:cs="Times New Roman"/>
                <w:b w:val="0"/>
                <w:bCs w:val="0"/>
                <w:color w:val="000000"/>
                <w:sz w:val="24"/>
                <w:szCs w:val="24"/>
                <w:highlight w:val="none"/>
                <w:lang w:val="en-US" w:eastAsia="zh-CN"/>
              </w:rPr>
              <w:t>t/a，项目抛丸区封闭，经过三级除尘器处理后，</w:t>
            </w:r>
            <w:r>
              <w:rPr>
                <w:rFonts w:hint="default" w:ascii="Times New Roman" w:hAnsi="Times New Roman" w:cs="Times New Roman"/>
                <w:b w:val="0"/>
                <w:bCs w:val="0"/>
                <w:color w:val="000000"/>
                <w:sz w:val="24"/>
                <w:szCs w:val="24"/>
                <w:highlight w:val="none"/>
                <w:lang w:val="en-US" w:eastAsia="zh-CN"/>
              </w:rPr>
              <w:t>收集效率取99%，</w:t>
            </w:r>
            <w:r>
              <w:rPr>
                <w:rFonts w:hint="default" w:ascii="Times New Roman" w:hAnsi="Times New Roman" w:eastAsia="宋体" w:cs="Times New Roman"/>
                <w:b w:val="0"/>
                <w:bCs w:val="0"/>
                <w:color w:val="000000"/>
                <w:sz w:val="24"/>
                <w:szCs w:val="24"/>
                <w:highlight w:val="none"/>
                <w:lang w:val="en-US" w:eastAsia="zh-CN"/>
              </w:rPr>
              <w:t>除尘系统除尘效率达99%以</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上，配套风机风量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约27000</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h，项目抛丸工序工作时间为每天5h，则项目抛丸工序颗粒物收集量为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0.65</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t/a</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产生速率为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0.434</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kg</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/h，</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产生浓度为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16.06</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排放量为0.</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007</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a，排放速率为0.</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005</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kg</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h，排放浓度为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0.17</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。无组织排放量为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0.007</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t/a，排放速率为0.</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005</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kg</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h。</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喷漆房</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本</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项目打磨完成的备件，部分需进行喷漆处理，项目根据产品要求，采用</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水性漆或</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油性漆进行喷漆</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项目使用的油漆</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需要稀释</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，油漆与稀释剂的比例为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:1。本项目调漆</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喷漆</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烤漆均在喷漆房内进行，</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喷漆房</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设置为微负压的形式，可全密闭。调漆完成后先喷漆，项目喷漆过程在喷漆房内进行，喷漆后的备件紧接着进行烤漆，烤漆温度为室温20-80℃(按需求设置调节，以电为能源)</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30~120min，使漆膜风干。项目调漆、喷漆和烤漆过程中均有废气产生，废气中污染物包括漆雾、二甲苯和非甲烷总烃。喷漆房产生的废气均进入1套“干式过滤+活性炭吸附+催化燃烧”设施，处理后经1根15m高有机废气排气筒(DA002)排放。</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本次评价采用物料衡算法对喷漆废气污染物产生情况进行核算。</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①挥发性污染物产生量核算</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根据前文“</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油性漆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及稀释剂组成成分”</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结合</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油性漆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及稀释剂的用量、组成成分和挥发份含量，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油性漆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的用量及其挥发量核算情况见下表(按最大可能挥发量进行计算)。</w:t>
            </w:r>
          </w:p>
          <w:p>
            <w:pPr>
              <w:pStyle w:val="62"/>
              <w:spacing w:line="240" w:lineRule="auto"/>
              <w:ind w:left="420" w:leftChars="200"/>
              <w:jc w:val="center"/>
              <w:rPr>
                <w:rFonts w:hint="default" w:ascii="Times New Roman" w:hAnsi="Times New Roman" w:eastAsia="宋体" w:cs="Times New Roman"/>
                <w:b/>
                <w:bCs/>
                <w:color w:val="000000"/>
                <w:kern w:val="2"/>
                <w:sz w:val="24"/>
                <w:szCs w:val="24"/>
                <w:highlight w:val="none"/>
                <w:lang w:val="en-US" w:eastAsia="zh-CN" w:bidi="ar-SA"/>
              </w:rPr>
            </w:pPr>
            <w:r>
              <w:rPr>
                <w:rFonts w:hint="default" w:ascii="Times New Roman" w:hAnsi="Times New Roman" w:eastAsia="宋体" w:cs="Times New Roman"/>
                <w:b/>
                <w:bCs/>
                <w:color w:val="000000"/>
                <w:kern w:val="2"/>
                <w:sz w:val="24"/>
                <w:szCs w:val="24"/>
                <w:highlight w:val="none"/>
                <w:lang w:val="en-US" w:eastAsia="zh-CN" w:bidi="ar-SA"/>
              </w:rPr>
              <w:t>表4-3  漆料用量及其挥发性污染物核算表</w:t>
            </w:r>
          </w:p>
          <w:tbl>
            <w:tblPr>
              <w:tblStyle w:val="3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7"/>
              <w:gridCol w:w="3557"/>
              <w:gridCol w:w="1435"/>
              <w:gridCol w:w="19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pct"/>
                  <w:vAlign w:val="center"/>
                </w:tcPr>
                <w:p>
                  <w:pPr>
                    <w:keepNext w:val="0"/>
                    <w:keepLines w:val="0"/>
                    <w:widowControl/>
                    <w:suppressLineNumbers w:val="0"/>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漆种类</w:t>
                  </w:r>
                </w:p>
              </w:tc>
              <w:tc>
                <w:tcPr>
                  <w:tcW w:w="2143" w:type="pct"/>
                  <w:vAlign w:val="center"/>
                </w:tcPr>
                <w:p>
                  <w:pPr>
                    <w:jc w:val="center"/>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组成成分</w:t>
                  </w:r>
                </w:p>
              </w:tc>
              <w:tc>
                <w:tcPr>
                  <w:tcW w:w="864" w:type="pct"/>
                  <w:vAlign w:val="center"/>
                </w:tcPr>
                <w:p>
                  <w:pPr>
                    <w:keepNext w:val="0"/>
                    <w:keepLines w:val="0"/>
                    <w:widowControl/>
                    <w:suppressLineNumbers w:val="0"/>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使用量（t/a）</w:t>
                  </w:r>
                </w:p>
              </w:tc>
              <w:tc>
                <w:tcPr>
                  <w:tcW w:w="1167" w:type="pct"/>
                  <w:vAlign w:val="center"/>
                </w:tcPr>
                <w:p>
                  <w:pPr>
                    <w:keepNext w:val="0"/>
                    <w:keepLines w:val="0"/>
                    <w:widowControl/>
                    <w:suppressLineNumbers w:val="0"/>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挥发量（t/a）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油性漆</w:t>
                  </w:r>
                </w:p>
              </w:tc>
              <w:tc>
                <w:tcPr>
                  <w:tcW w:w="2143"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成分为：环氧树脂15-30%；二甲苯5-15%；丁醇5-10%；锌粉20-70%；滑石粉2-10%；</w:t>
                  </w:r>
                </w:p>
              </w:tc>
              <w:tc>
                <w:tcPr>
                  <w:tcW w:w="864"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4</w:t>
                  </w:r>
                </w:p>
              </w:tc>
              <w:tc>
                <w:tcPr>
                  <w:tcW w:w="1167"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非甲烷总烃:1(其中包含二甲苯0.6)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3"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油漆稀释剂</w:t>
                  </w:r>
                </w:p>
              </w:tc>
              <w:tc>
                <w:tcPr>
                  <w:tcW w:w="2143"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成分为：甲基异丁基酮0-5%；正丁醇0-20%；醋酸丁酯0-30%；二甲苯30-50%；丙二醇甲醚醋酸酯0-20%</w:t>
                  </w:r>
                </w:p>
              </w:tc>
              <w:tc>
                <w:tcPr>
                  <w:tcW w:w="864"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2</w:t>
                  </w:r>
                </w:p>
              </w:tc>
              <w:tc>
                <w:tcPr>
                  <w:tcW w:w="1167"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非甲烷总烃:2(其中包含二甲苯1)</w:t>
                  </w:r>
                </w:p>
              </w:tc>
            </w:tr>
          </w:tbl>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通过以上分析计算，项目调漆、喷漆、烤漆有机废气污染物产生情况见下表。</w:t>
            </w:r>
          </w:p>
          <w:p>
            <w:pPr>
              <w:pStyle w:val="62"/>
              <w:spacing w:line="240" w:lineRule="auto"/>
              <w:ind w:left="420" w:leftChars="200"/>
              <w:jc w:val="center"/>
              <w:rPr>
                <w:rFonts w:hint="default" w:ascii="Times New Roman" w:hAnsi="Times New Roman" w:eastAsia="宋体" w:cs="Times New Roman"/>
                <w:b/>
                <w:bCs/>
                <w:color w:val="000000"/>
                <w:kern w:val="2"/>
                <w:sz w:val="24"/>
                <w:szCs w:val="24"/>
                <w:highlight w:val="none"/>
                <w:lang w:val="en-US" w:eastAsia="zh-CN" w:bidi="ar-SA"/>
              </w:rPr>
            </w:pPr>
            <w:r>
              <w:rPr>
                <w:rFonts w:hint="default" w:ascii="Times New Roman" w:hAnsi="Times New Roman" w:eastAsia="宋体" w:cs="Times New Roman"/>
                <w:b/>
                <w:bCs/>
                <w:color w:val="000000"/>
                <w:kern w:val="2"/>
                <w:sz w:val="24"/>
                <w:szCs w:val="24"/>
                <w:highlight w:val="none"/>
                <w:lang w:val="en-US" w:eastAsia="zh-CN" w:bidi="ar-SA"/>
              </w:rPr>
              <w:t>表4-4  漆料用量及其挥发性污染物核算表</w:t>
            </w:r>
          </w:p>
          <w:tbl>
            <w:tblPr>
              <w:tblStyle w:val="33"/>
              <w:tblW w:w="833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7"/>
              <w:gridCol w:w="5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4" w:type="pct"/>
                  <w:vAlign w:val="center"/>
                </w:tcPr>
                <w:p>
                  <w:pPr>
                    <w:keepNext w:val="0"/>
                    <w:keepLines w:val="0"/>
                    <w:widowControl/>
                    <w:suppressLineNumbers w:val="0"/>
                    <w:jc w:val="center"/>
                    <w:rPr>
                      <w:rFonts w:hint="default" w:ascii="Times New Roman" w:hAnsi="Times New Roman"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废气污染物</w:t>
                  </w:r>
                </w:p>
              </w:tc>
              <w:tc>
                <w:tcPr>
                  <w:tcW w:w="3555" w:type="pct"/>
                  <w:vAlign w:val="center"/>
                </w:tcPr>
                <w:p>
                  <w:pPr>
                    <w:jc w:val="center"/>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产生量（t/a）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44"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非甲烷总烃</w:t>
                  </w:r>
                </w:p>
              </w:tc>
              <w:tc>
                <w:tcPr>
                  <w:tcW w:w="3555"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44"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二甲苯</w:t>
                  </w:r>
                </w:p>
              </w:tc>
              <w:tc>
                <w:tcPr>
                  <w:tcW w:w="3555" w:type="pct"/>
                  <w:vAlign w:val="center"/>
                </w:tcPr>
                <w:p>
                  <w:pPr>
                    <w:jc w:val="center"/>
                    <w:rPr>
                      <w:rFonts w:hint="default" w:ascii="Times New Roman" w:hAnsi="Times New Roman" w:cs="Times New Roman"/>
                      <w:sz w:val="21"/>
                      <w:szCs w:val="21"/>
                      <w:vertAlign w:val="baseline"/>
                      <w:lang w:val="en-US" w:eastAsia="zh-CN"/>
                    </w:rPr>
                  </w:pPr>
                  <w:r>
                    <w:rPr>
                      <w:rFonts w:hint="default" w:ascii="Times New Roman" w:hAnsi="Times New Roman" w:cs="Times New Roman"/>
                      <w:sz w:val="21"/>
                      <w:szCs w:val="21"/>
                      <w:vertAlign w:val="baseline"/>
                      <w:lang w:val="en-US" w:eastAsia="zh-CN"/>
                    </w:rPr>
                    <w:t>1.6</w:t>
                  </w:r>
                </w:p>
              </w:tc>
            </w:tr>
          </w:tbl>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从上表分析可知，项目调漆、喷漆及烤漆废气中有机染物产生量为:非甲烷总烃3t/a、二甲苯1.6t/a。</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②)颗粒物产生量核算</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sz w:val="24"/>
                <w:szCs w:val="24"/>
                <w:highlight w:val="none"/>
                <w:lang w:val="en-US" w:eastAsia="zh-CN"/>
              </w:rPr>
              <w:t>根据前文“油性漆及稀释剂组成成份”，结合油性漆的用量和固体分含量，油性漆的固体份含量为75%，即3t/a。喷漆过程中油漆固份的70%（即2.1t/a）附着在工件上进入产品，30%（即0.9t/a）形成漆雾，在微负压喷漆房内喷漆过程中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雾经沉降及过滤，过滤吸附80%计成为漆渣，则废气中颗粒物产生量约0.18t/a。</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②调漆、喷漆及烤漆废气污染物排放核算</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调漆、喷漆及烤漆工序每天工作5小时，每年工作300天，年工作1500h。喷漆房设计为微负压，调漆、喷漆、烤漆过程全密闭，但在实际生产过程中，仍不可避免出现喷漆过程中及开闭门过程中气体外泄，造成喷漆废气无组织排放，废气收集效率以99%进行核算。喷漆房产生废气均进入1套“干式过滤+活性炭吸附+催化燃烧”设施对废气进行处理，处理后经1根15m高有机废气排气筒（DA002）排放，配套风机风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9000</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h，处理效率以</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85</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%计</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项目调漆、喷漆及烤漆废气各污染物产生及排放情况见下表。</w:t>
            </w:r>
          </w:p>
          <w:p>
            <w:pPr>
              <w:pStyle w:val="62"/>
              <w:spacing w:line="240" w:lineRule="auto"/>
              <w:ind w:left="420" w:leftChars="200"/>
              <w:jc w:val="center"/>
              <w:rPr>
                <w:rFonts w:hint="default" w:ascii="Times New Roman" w:hAnsi="Times New Roman" w:eastAsia="宋体" w:cs="Times New Roman"/>
                <w:b/>
                <w:bCs/>
                <w:color w:val="000000"/>
                <w:kern w:val="2"/>
                <w:sz w:val="24"/>
                <w:szCs w:val="24"/>
                <w:highlight w:val="none"/>
                <w:lang w:val="en-US" w:eastAsia="zh-CN" w:bidi="ar-SA"/>
              </w:rPr>
            </w:pPr>
            <w:r>
              <w:rPr>
                <w:rFonts w:hint="default" w:ascii="Times New Roman" w:hAnsi="Times New Roman" w:eastAsia="宋体" w:cs="Times New Roman"/>
                <w:b/>
                <w:bCs/>
                <w:color w:val="000000"/>
                <w:kern w:val="2"/>
                <w:sz w:val="24"/>
                <w:szCs w:val="24"/>
                <w:highlight w:val="none"/>
                <w:lang w:val="en-US" w:eastAsia="zh-CN" w:bidi="ar-SA"/>
              </w:rPr>
              <w:t>表 31 调漆、喷漆及烤漆废气污染物产生排放情况表</w:t>
            </w:r>
          </w:p>
          <w:tbl>
            <w:tblPr>
              <w:tblStyle w:val="33"/>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
              <w:gridCol w:w="1165"/>
              <w:gridCol w:w="735"/>
              <w:gridCol w:w="840"/>
              <w:gridCol w:w="976"/>
              <w:gridCol w:w="916"/>
              <w:gridCol w:w="820"/>
              <w:gridCol w:w="966"/>
              <w:gridCol w:w="9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549"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污染源</w:t>
                  </w: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污染物</w:t>
                  </w:r>
                </w:p>
              </w:tc>
              <w:tc>
                <w:tcPr>
                  <w:tcW w:w="443"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产生量(t/a)</w:t>
                  </w:r>
                </w:p>
              </w:tc>
              <w:tc>
                <w:tcPr>
                  <w:tcW w:w="506" w:type="pct"/>
                  <w:vAlign w:val="center"/>
                </w:tcPr>
                <w:p>
                  <w:pPr>
                    <w:keepNext w:val="0"/>
                    <w:keepLines w:val="0"/>
                    <w:widowControl/>
                    <w:suppressLineNumbers w:val="0"/>
                    <w:jc w:val="center"/>
                    <w:rPr>
                      <w:rFonts w:hint="default" w:ascii="Times New Roman" w:hAnsi="Times New Roman" w:eastAsia="宋体" w:cs="Times New Roman"/>
                      <w:color w:val="000000"/>
                      <w:kern w:val="0"/>
                      <w:sz w:val="21"/>
                      <w:szCs w:val="21"/>
                      <w:lang w:val="en-US" w:eastAsia="zh-CN" w:bidi="ar"/>
                    </w:rPr>
                  </w:pPr>
                  <w:r>
                    <w:rPr>
                      <w:rFonts w:hint="default" w:ascii="Times New Roman" w:hAnsi="Times New Roman" w:eastAsia="宋体" w:cs="Times New Roman"/>
                      <w:color w:val="000000"/>
                      <w:kern w:val="0"/>
                      <w:sz w:val="21"/>
                      <w:szCs w:val="21"/>
                      <w:lang w:val="en-US" w:eastAsia="zh-CN" w:bidi="ar"/>
                    </w:rPr>
                    <w:t>产生速率(kg/h)</w:t>
                  </w:r>
                </w:p>
              </w:tc>
              <w:tc>
                <w:tcPr>
                  <w:tcW w:w="588"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产生浓度(mg/m</w:t>
                  </w:r>
                  <w:r>
                    <w:rPr>
                      <w:rFonts w:hint="default" w:ascii="Times New Roman" w:hAnsi="Times New Roman" w:eastAsia="宋体" w:cs="Times New Roman"/>
                      <w:color w:val="000000"/>
                      <w:kern w:val="0"/>
                      <w:sz w:val="21"/>
                      <w:szCs w:val="21"/>
                      <w:vertAlign w:val="superscript"/>
                      <w:lang w:val="en-US" w:eastAsia="zh-CN" w:bidi="ar"/>
                    </w:rPr>
                    <w:t>3</w:t>
                  </w:r>
                  <w:r>
                    <w:rPr>
                      <w:rFonts w:hint="default" w:ascii="Times New Roman" w:hAnsi="Times New Roman" w:eastAsia="宋体" w:cs="Times New Roman"/>
                      <w:color w:val="000000"/>
                      <w:kern w:val="0"/>
                      <w:sz w:val="21"/>
                      <w:szCs w:val="21"/>
                      <w:lang w:val="en-US" w:eastAsia="zh-CN" w:bidi="ar"/>
                    </w:rPr>
                    <w:t>)</w:t>
                  </w:r>
                </w:p>
              </w:tc>
              <w:tc>
                <w:tcPr>
                  <w:tcW w:w="552"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处理效率（%）</w:t>
                  </w:r>
                </w:p>
              </w:tc>
              <w:tc>
                <w:tcPr>
                  <w:tcW w:w="494"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排放量（t/a）</w:t>
                  </w:r>
                </w:p>
              </w:tc>
              <w:tc>
                <w:tcPr>
                  <w:tcW w:w="582"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排放速率（kg/h）</w:t>
                  </w:r>
                </w:p>
              </w:tc>
              <w:tc>
                <w:tcPr>
                  <w:tcW w:w="579" w:type="pct"/>
                  <w:vAlign w:val="center"/>
                </w:tcPr>
                <w:p>
                  <w:pPr>
                    <w:keepNext w:val="0"/>
                    <w:keepLines w:val="0"/>
                    <w:widowControl/>
                    <w:suppressLineNumbers w:val="0"/>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color w:val="000000"/>
                      <w:kern w:val="0"/>
                      <w:sz w:val="21"/>
                      <w:szCs w:val="21"/>
                      <w:lang w:val="en-US" w:eastAsia="zh-CN" w:bidi="ar"/>
                    </w:rPr>
                    <w:t>排放浓度(mg/m</w:t>
                  </w:r>
                  <w:r>
                    <w:rPr>
                      <w:rFonts w:hint="default" w:ascii="Times New Roman" w:hAnsi="Times New Roman" w:eastAsia="宋体" w:cs="Times New Roman"/>
                      <w:color w:val="000000"/>
                      <w:kern w:val="0"/>
                      <w:sz w:val="21"/>
                      <w:szCs w:val="21"/>
                      <w:vertAlign w:val="superscript"/>
                      <w:lang w:val="en-US" w:eastAsia="zh-CN" w:bidi="ar"/>
                    </w:rPr>
                    <w:t>3</w:t>
                  </w:r>
                  <w:r>
                    <w:rPr>
                      <w:rFonts w:hint="default" w:ascii="Times New Roman" w:hAnsi="Times New Roman" w:eastAsia="宋体" w:cs="Times New Roman"/>
                      <w:color w:val="000000"/>
                      <w:kern w:val="0"/>
                      <w:sz w:val="21"/>
                      <w:szCs w:val="21"/>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 w:hRule="atLeast"/>
              </w:trPr>
              <w:tc>
                <w:tcPr>
                  <w:tcW w:w="549" w:type="pct"/>
                  <w:vMerge w:val="restar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喷漆房废气</w:t>
                  </w: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非甲烷总烃（包括二甲苯）</w:t>
                  </w:r>
                </w:p>
              </w:tc>
              <w:tc>
                <w:tcPr>
                  <w:tcW w:w="443"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2.97</w:t>
                  </w:r>
                </w:p>
              </w:tc>
              <w:tc>
                <w:tcPr>
                  <w:tcW w:w="506"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1.98</w:t>
                  </w:r>
                </w:p>
              </w:tc>
              <w:tc>
                <w:tcPr>
                  <w:tcW w:w="588"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220</w:t>
                  </w:r>
                </w:p>
              </w:tc>
              <w:tc>
                <w:tcPr>
                  <w:tcW w:w="552" w:type="pct"/>
                  <w:vMerge w:val="restar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85%</w:t>
                  </w:r>
                </w:p>
              </w:tc>
              <w:tc>
                <w:tcPr>
                  <w:tcW w:w="494"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0.446</w:t>
                  </w:r>
                </w:p>
              </w:tc>
              <w:tc>
                <w:tcPr>
                  <w:tcW w:w="58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0.297</w:t>
                  </w:r>
                </w:p>
              </w:tc>
              <w:tc>
                <w:tcPr>
                  <w:tcW w:w="579"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trPr>
              <w:tc>
                <w:tcPr>
                  <w:tcW w:w="549"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二甲苯</w:t>
                  </w:r>
                </w:p>
              </w:tc>
              <w:tc>
                <w:tcPr>
                  <w:tcW w:w="443"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1.584</w:t>
                  </w:r>
                </w:p>
              </w:tc>
              <w:tc>
                <w:tcPr>
                  <w:tcW w:w="506"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1.056</w:t>
                  </w:r>
                </w:p>
              </w:tc>
              <w:tc>
                <w:tcPr>
                  <w:tcW w:w="588"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117.33</w:t>
                  </w:r>
                </w:p>
              </w:tc>
              <w:tc>
                <w:tcPr>
                  <w:tcW w:w="552"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494"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0.238</w:t>
                  </w:r>
                </w:p>
              </w:tc>
              <w:tc>
                <w:tcPr>
                  <w:tcW w:w="58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0.158</w:t>
                  </w:r>
                </w:p>
              </w:tc>
              <w:tc>
                <w:tcPr>
                  <w:tcW w:w="579"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17.56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trPr>
              <w:tc>
                <w:tcPr>
                  <w:tcW w:w="549"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颗粒物</w:t>
                  </w:r>
                </w:p>
              </w:tc>
              <w:tc>
                <w:tcPr>
                  <w:tcW w:w="443"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0.178</w:t>
                  </w:r>
                </w:p>
              </w:tc>
              <w:tc>
                <w:tcPr>
                  <w:tcW w:w="506"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0.119</w:t>
                  </w:r>
                </w:p>
              </w:tc>
              <w:tc>
                <w:tcPr>
                  <w:tcW w:w="588"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13.2</w:t>
                  </w:r>
                </w:p>
              </w:tc>
              <w:tc>
                <w:tcPr>
                  <w:tcW w:w="552"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494"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0.027</w:t>
                  </w:r>
                </w:p>
              </w:tc>
              <w:tc>
                <w:tcPr>
                  <w:tcW w:w="58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0.018</w:t>
                  </w:r>
                </w:p>
              </w:tc>
              <w:tc>
                <w:tcPr>
                  <w:tcW w:w="579"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trPr>
              <w:tc>
                <w:tcPr>
                  <w:tcW w:w="549" w:type="pct"/>
                  <w:vMerge w:val="restar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无组织</w:t>
                  </w: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非甲烷总烃（包括二甲苯）</w:t>
                  </w:r>
                </w:p>
              </w:tc>
              <w:tc>
                <w:tcPr>
                  <w:tcW w:w="443"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0.03</w:t>
                  </w:r>
                </w:p>
              </w:tc>
              <w:tc>
                <w:tcPr>
                  <w:tcW w:w="506"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0.02</w:t>
                  </w:r>
                </w:p>
              </w:tc>
              <w:tc>
                <w:tcPr>
                  <w:tcW w:w="588"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c>
                <w:tcPr>
                  <w:tcW w:w="552" w:type="pct"/>
                  <w:vMerge w:val="restar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c>
                <w:tcPr>
                  <w:tcW w:w="494"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0.03</w:t>
                  </w:r>
                </w:p>
              </w:tc>
              <w:tc>
                <w:tcPr>
                  <w:tcW w:w="58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0.02</w:t>
                  </w:r>
                </w:p>
              </w:tc>
              <w:tc>
                <w:tcPr>
                  <w:tcW w:w="579"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trPr>
              <w:tc>
                <w:tcPr>
                  <w:tcW w:w="549"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二甲苯</w:t>
                  </w:r>
                </w:p>
              </w:tc>
              <w:tc>
                <w:tcPr>
                  <w:tcW w:w="443"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0.016</w:t>
                  </w:r>
                </w:p>
              </w:tc>
              <w:tc>
                <w:tcPr>
                  <w:tcW w:w="506"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0.011</w:t>
                  </w:r>
                </w:p>
              </w:tc>
              <w:tc>
                <w:tcPr>
                  <w:tcW w:w="588"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c>
                <w:tcPr>
                  <w:tcW w:w="552"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494"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0.016</w:t>
                  </w:r>
                </w:p>
              </w:tc>
              <w:tc>
                <w:tcPr>
                  <w:tcW w:w="58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0.011</w:t>
                  </w:r>
                </w:p>
              </w:tc>
              <w:tc>
                <w:tcPr>
                  <w:tcW w:w="579"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trPr>
              <w:tc>
                <w:tcPr>
                  <w:tcW w:w="549"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70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颗粒物</w:t>
                  </w:r>
                </w:p>
              </w:tc>
              <w:tc>
                <w:tcPr>
                  <w:tcW w:w="443"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0.002</w:t>
                  </w:r>
                </w:p>
              </w:tc>
              <w:tc>
                <w:tcPr>
                  <w:tcW w:w="506"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0.001</w:t>
                  </w:r>
                </w:p>
              </w:tc>
              <w:tc>
                <w:tcPr>
                  <w:tcW w:w="588"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c>
                <w:tcPr>
                  <w:tcW w:w="552" w:type="pct"/>
                  <w:vMerge w:val="continue"/>
                  <w:vAlign w:val="center"/>
                </w:tcPr>
                <w:p>
                  <w:pPr>
                    <w:pStyle w:val="2"/>
                    <w:jc w:val="center"/>
                    <w:rPr>
                      <w:rFonts w:hint="default" w:ascii="Times New Roman" w:hAnsi="Times New Roman" w:eastAsia="宋体" w:cs="Times New Roman"/>
                      <w:sz w:val="21"/>
                      <w:szCs w:val="21"/>
                      <w:vertAlign w:val="baseline"/>
                      <w:lang w:val="en-US" w:eastAsia="zh-CN"/>
                    </w:rPr>
                  </w:pPr>
                </w:p>
              </w:tc>
              <w:tc>
                <w:tcPr>
                  <w:tcW w:w="494"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0.002</w:t>
                  </w:r>
                </w:p>
              </w:tc>
              <w:tc>
                <w:tcPr>
                  <w:tcW w:w="582"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0.001</w:t>
                  </w:r>
                </w:p>
              </w:tc>
              <w:tc>
                <w:tcPr>
                  <w:tcW w:w="579" w:type="pct"/>
                  <w:vAlign w:val="center"/>
                </w:tcPr>
                <w:p>
                  <w:pPr>
                    <w:pStyle w:val="2"/>
                    <w:jc w:val="center"/>
                    <w:rPr>
                      <w:rFonts w:hint="default" w:ascii="Times New Roman" w:hAnsi="Times New Roman" w:eastAsia="宋体" w:cs="Times New Roman"/>
                      <w:sz w:val="21"/>
                      <w:szCs w:val="21"/>
                      <w:vertAlign w:val="baseline"/>
                      <w:lang w:val="en-US" w:eastAsia="zh-CN"/>
                    </w:rPr>
                  </w:pPr>
                  <w:r>
                    <w:rPr>
                      <w:rFonts w:hint="default" w:ascii="Times New Roman" w:hAnsi="Times New Roman" w:eastAsia="宋体" w:cs="Times New Roman"/>
                      <w:sz w:val="21"/>
                      <w:szCs w:val="21"/>
                      <w:vertAlign w:val="baseline"/>
                      <w:lang w:val="en-US" w:eastAsia="zh-CN"/>
                    </w:rPr>
                    <w:t>/</w:t>
                  </w:r>
                </w:p>
              </w:tc>
            </w:tr>
          </w:tbl>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食堂油烟</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本项目</w:t>
            </w:r>
            <w:r>
              <w:rPr>
                <w:rFonts w:hint="default" w:ascii="Times New Roman" w:hAnsi="Times New Roman" w:cs="Times New Roman"/>
                <w:b w:val="0"/>
                <w:bCs w:val="0"/>
                <w:color w:val="000000"/>
                <w:sz w:val="24"/>
                <w:szCs w:val="24"/>
                <w:highlight w:val="none"/>
                <w:lang w:val="en-US" w:eastAsia="zh-CN"/>
              </w:rPr>
              <w:t>食堂</w:t>
            </w:r>
            <w:r>
              <w:rPr>
                <w:rFonts w:hint="default" w:ascii="Times New Roman" w:hAnsi="Times New Roman" w:eastAsia="宋体" w:cs="Times New Roman"/>
                <w:b w:val="0"/>
                <w:bCs w:val="0"/>
                <w:color w:val="000000"/>
                <w:sz w:val="24"/>
                <w:szCs w:val="24"/>
                <w:highlight w:val="none"/>
                <w:lang w:val="en-US" w:eastAsia="zh-CN"/>
              </w:rPr>
              <w:t>有</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lang w:val="en-US" w:eastAsia="zh-CN"/>
              </w:rPr>
              <w:t>个灶头，</w:t>
            </w:r>
            <w:r>
              <w:rPr>
                <w:rFonts w:hint="default" w:ascii="Times New Roman" w:hAnsi="Times New Roman" w:cs="Times New Roman"/>
                <w:b w:val="0"/>
                <w:bCs w:val="0"/>
                <w:color w:val="000000"/>
                <w:sz w:val="24"/>
                <w:szCs w:val="24"/>
                <w:highlight w:val="none"/>
                <w:lang w:val="en-US" w:eastAsia="zh-CN"/>
              </w:rPr>
              <w:t>劳动定员60人，</w:t>
            </w:r>
            <w:r>
              <w:rPr>
                <w:rFonts w:hint="default" w:ascii="Times New Roman" w:hAnsi="Times New Roman" w:eastAsia="宋体" w:cs="Times New Roman"/>
                <w:b w:val="0"/>
                <w:bCs w:val="0"/>
                <w:color w:val="000000"/>
                <w:sz w:val="24"/>
                <w:szCs w:val="24"/>
                <w:highlight w:val="none"/>
                <w:lang w:val="en-US" w:eastAsia="zh-CN"/>
              </w:rPr>
              <w:t>根据《</w:t>
            </w:r>
            <w:r>
              <w:rPr>
                <w:rFonts w:hint="default" w:ascii="Times New Roman" w:hAnsi="Times New Roman" w:eastAsia="宋体" w:cs="Times New Roman"/>
                <w:sz w:val="24"/>
                <w:szCs w:val="24"/>
              </w:rPr>
              <w:t>餐饮业大气污染物排放标准</w:t>
            </w: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DB13/5808</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2023</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，属于属于</w:t>
            </w:r>
            <w:r>
              <w:rPr>
                <w:rFonts w:hint="default" w:ascii="Times New Roman" w:hAnsi="Times New Roman" w:cs="Times New Roman"/>
                <w:b w:val="0"/>
                <w:bCs w:val="0"/>
                <w:color w:val="000000"/>
                <w:sz w:val="24"/>
                <w:szCs w:val="24"/>
                <w:highlight w:val="none"/>
                <w:lang w:val="en-US" w:eastAsia="zh-CN"/>
              </w:rPr>
              <w:t>小</w:t>
            </w:r>
            <w:r>
              <w:rPr>
                <w:rFonts w:hint="default" w:ascii="Times New Roman" w:hAnsi="Times New Roman" w:eastAsia="宋体" w:cs="Times New Roman"/>
                <w:b w:val="0"/>
                <w:bCs w:val="0"/>
                <w:color w:val="000000"/>
                <w:sz w:val="24"/>
                <w:szCs w:val="24"/>
                <w:highlight w:val="none"/>
                <w:lang w:val="en-US" w:eastAsia="zh-CN"/>
              </w:rPr>
              <w:t>型饮食业单位，其食用油用量平均按0.03kg/人</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天计，就餐人数按</w:t>
            </w:r>
            <w:r>
              <w:rPr>
                <w:rFonts w:hint="default" w:ascii="Times New Roman" w:hAnsi="Times New Roman" w:cs="Times New Roman"/>
                <w:b w:val="0"/>
                <w:bCs w:val="0"/>
                <w:color w:val="000000"/>
                <w:sz w:val="24"/>
                <w:szCs w:val="24"/>
                <w:highlight w:val="none"/>
                <w:lang w:val="en-US" w:eastAsia="zh-CN"/>
              </w:rPr>
              <w:t>6</w:t>
            </w:r>
            <w:r>
              <w:rPr>
                <w:rFonts w:hint="default" w:ascii="Times New Roman" w:hAnsi="Times New Roman" w:eastAsia="宋体" w:cs="Times New Roman"/>
                <w:b w:val="0"/>
                <w:bCs w:val="0"/>
                <w:color w:val="000000"/>
                <w:sz w:val="24"/>
                <w:szCs w:val="24"/>
                <w:highlight w:val="none"/>
                <w:lang w:val="en-US" w:eastAsia="zh-CN"/>
              </w:rPr>
              <w:t>0人计，则日耗油量为</w:t>
            </w:r>
            <w:r>
              <w:rPr>
                <w:rFonts w:hint="default" w:ascii="Times New Roman" w:hAnsi="Times New Roman" w:cs="Times New Roman"/>
                <w:b w:val="0"/>
                <w:bCs w:val="0"/>
                <w:color w:val="000000"/>
                <w:sz w:val="24"/>
                <w:szCs w:val="24"/>
                <w:highlight w:val="none"/>
                <w:lang w:val="en-US" w:eastAsia="zh-CN"/>
              </w:rPr>
              <w:t>1.8</w:t>
            </w:r>
            <w:r>
              <w:rPr>
                <w:rFonts w:hint="default" w:ascii="Times New Roman" w:hAnsi="Times New Roman" w:eastAsia="宋体" w:cs="Times New Roman"/>
                <w:b w:val="0"/>
                <w:bCs w:val="0"/>
                <w:color w:val="000000"/>
                <w:sz w:val="24"/>
                <w:szCs w:val="24"/>
                <w:highlight w:val="none"/>
                <w:lang w:val="en-US" w:eastAsia="zh-CN"/>
              </w:rPr>
              <w:t>kg/d，年耗油量为</w:t>
            </w:r>
            <w:r>
              <w:rPr>
                <w:rFonts w:hint="default" w:ascii="Times New Roman" w:hAnsi="Times New Roman" w:cs="Times New Roman"/>
                <w:b w:val="0"/>
                <w:bCs w:val="0"/>
                <w:color w:val="000000"/>
                <w:sz w:val="24"/>
                <w:szCs w:val="24"/>
                <w:highlight w:val="none"/>
                <w:lang w:val="en-US" w:eastAsia="zh-CN"/>
              </w:rPr>
              <w:t>0.54</w:t>
            </w:r>
            <w:r>
              <w:rPr>
                <w:rFonts w:hint="default" w:ascii="Times New Roman" w:hAnsi="Times New Roman" w:eastAsia="宋体" w:cs="Times New Roman"/>
                <w:b w:val="0"/>
                <w:bCs w:val="0"/>
                <w:color w:val="000000"/>
                <w:sz w:val="24"/>
                <w:szCs w:val="24"/>
                <w:highlight w:val="none"/>
                <w:lang w:val="en-US" w:eastAsia="zh-CN"/>
              </w:rPr>
              <w:t>t/a。</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据类比调查，不同的烧炸工况，油烟气中烟气浓度及挥发量均有所不同，油的平均挥发量为总耗油量的2.83%，经核算，本项目油烟产生量为0.</w:t>
            </w:r>
            <w:r>
              <w:rPr>
                <w:rFonts w:hint="default" w:ascii="Times New Roman" w:hAnsi="Times New Roman" w:cs="Times New Roman"/>
                <w:b w:val="0"/>
                <w:bCs w:val="0"/>
                <w:color w:val="000000"/>
                <w:sz w:val="24"/>
                <w:szCs w:val="24"/>
                <w:highlight w:val="none"/>
                <w:lang w:val="en-US" w:eastAsia="zh-CN"/>
              </w:rPr>
              <w:t>05</w:t>
            </w:r>
            <w:r>
              <w:rPr>
                <w:rFonts w:hint="default" w:ascii="Times New Roman" w:hAnsi="Times New Roman" w:eastAsia="宋体" w:cs="Times New Roman"/>
                <w:b w:val="0"/>
                <w:bCs w:val="0"/>
                <w:color w:val="000000"/>
                <w:sz w:val="24"/>
                <w:szCs w:val="24"/>
                <w:highlight w:val="none"/>
                <w:lang w:val="en-US" w:eastAsia="zh-CN"/>
              </w:rPr>
              <w:t>kg/d，年产生油烟量为0.</w:t>
            </w:r>
            <w:r>
              <w:rPr>
                <w:rFonts w:hint="default" w:ascii="Times New Roman" w:hAnsi="Times New Roman" w:cs="Times New Roman"/>
                <w:b w:val="0"/>
                <w:bCs w:val="0"/>
                <w:color w:val="000000"/>
                <w:sz w:val="24"/>
                <w:szCs w:val="24"/>
                <w:highlight w:val="none"/>
                <w:lang w:val="en-US" w:eastAsia="zh-CN"/>
              </w:rPr>
              <w:t>015</w:t>
            </w:r>
            <w:r>
              <w:rPr>
                <w:rFonts w:hint="default" w:ascii="Times New Roman" w:hAnsi="Times New Roman" w:eastAsia="宋体" w:cs="Times New Roman"/>
                <w:b w:val="0"/>
                <w:bCs w:val="0"/>
                <w:color w:val="000000"/>
                <w:sz w:val="24"/>
                <w:szCs w:val="24"/>
                <w:highlight w:val="none"/>
                <w:lang w:val="en-US" w:eastAsia="zh-CN"/>
              </w:rPr>
              <w:t>t/a。烹饪时间按7h/d计算，采用油烟净化</w:t>
            </w:r>
            <w:r>
              <w:rPr>
                <w:rFonts w:hint="default" w:ascii="Times New Roman" w:hAnsi="Times New Roman" w:cs="Times New Roman"/>
                <w:b w:val="0"/>
                <w:bCs w:val="0"/>
                <w:color w:val="000000"/>
                <w:sz w:val="24"/>
                <w:szCs w:val="24"/>
                <w:highlight w:val="none"/>
                <w:lang w:val="en-US" w:eastAsia="zh-CN"/>
              </w:rPr>
              <w:t>器</w:t>
            </w:r>
            <w:r>
              <w:rPr>
                <w:rFonts w:hint="default" w:ascii="Times New Roman" w:hAnsi="Times New Roman" w:eastAsia="宋体" w:cs="Times New Roman"/>
                <w:b w:val="0"/>
                <w:bCs w:val="0"/>
                <w:color w:val="000000"/>
                <w:sz w:val="24"/>
                <w:szCs w:val="24"/>
                <w:highlight w:val="none"/>
                <w:lang w:val="en-US" w:eastAsia="zh-CN"/>
              </w:rPr>
              <w:t>（按风量</w:t>
            </w:r>
            <w:r>
              <w:rPr>
                <w:rFonts w:hint="default" w:ascii="Times New Roman" w:hAnsi="Times New Roman"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highlight w:val="none"/>
                <w:lang w:val="en-US" w:eastAsia="zh-CN"/>
              </w:rPr>
              <w:t>000m</w:t>
            </w:r>
            <w:r>
              <w:rPr>
                <w:rFonts w:hint="default" w:ascii="Times New Roman" w:hAnsi="Times New Roman" w:eastAsia="宋体" w:cs="Times New Roman"/>
                <w:b w:val="0"/>
                <w:bCs w:val="0"/>
                <w:color w:val="000000"/>
                <w:sz w:val="24"/>
                <w:szCs w:val="24"/>
                <w:highlight w:val="none"/>
                <w:vertAlign w:val="superscript"/>
                <w:lang w:val="en-US" w:eastAsia="zh-CN"/>
              </w:rPr>
              <w:t>3</w:t>
            </w:r>
            <w:r>
              <w:rPr>
                <w:rFonts w:hint="default" w:ascii="Times New Roman" w:hAnsi="Times New Roman" w:eastAsia="宋体" w:cs="Times New Roman"/>
                <w:b w:val="0"/>
                <w:bCs w:val="0"/>
                <w:color w:val="000000"/>
                <w:sz w:val="24"/>
                <w:szCs w:val="24"/>
                <w:highlight w:val="none"/>
                <w:lang w:val="en-US" w:eastAsia="zh-CN"/>
              </w:rPr>
              <w:t>/h计）对油烟进行净化处理，净化效率达90%，净化后油烟排放浓度为0.</w:t>
            </w:r>
            <w:r>
              <w:rPr>
                <w:rFonts w:hint="default" w:ascii="Times New Roman" w:hAnsi="Times New Roman" w:cs="Times New Roman"/>
                <w:b w:val="0"/>
                <w:bCs w:val="0"/>
                <w:color w:val="000000"/>
                <w:sz w:val="24"/>
                <w:szCs w:val="24"/>
                <w:highlight w:val="none"/>
                <w:lang w:val="en-US" w:eastAsia="zh-CN"/>
              </w:rPr>
              <w:t>71</w:t>
            </w:r>
            <w:r>
              <w:rPr>
                <w:rFonts w:hint="default" w:ascii="Times New Roman" w:hAnsi="Times New Roman" w:eastAsia="宋体" w:cs="Times New Roman"/>
                <w:b w:val="0"/>
                <w:bCs w:val="0"/>
                <w:color w:val="000000"/>
                <w:sz w:val="24"/>
                <w:szCs w:val="24"/>
                <w:highlight w:val="none"/>
                <w:lang w:val="en-US" w:eastAsia="zh-CN"/>
              </w:rPr>
              <w:t>mg/m</w:t>
            </w:r>
            <w:r>
              <w:rPr>
                <w:rFonts w:hint="default" w:ascii="Times New Roman" w:hAnsi="Times New Roman" w:eastAsia="宋体" w:cs="Times New Roman"/>
                <w:b w:val="0"/>
                <w:bCs w:val="0"/>
                <w:color w:val="000000"/>
                <w:sz w:val="24"/>
                <w:szCs w:val="24"/>
                <w:highlight w:val="none"/>
                <w:vertAlign w:val="superscript"/>
                <w:lang w:val="en-US" w:eastAsia="zh-CN"/>
              </w:rPr>
              <w:t>3</w:t>
            </w:r>
            <w:r>
              <w:rPr>
                <w:rFonts w:hint="default" w:ascii="Times New Roman" w:hAnsi="Times New Roman" w:eastAsia="宋体" w:cs="Times New Roman"/>
                <w:b w:val="0"/>
                <w:bCs w:val="0"/>
                <w:color w:val="000000"/>
                <w:sz w:val="24"/>
                <w:szCs w:val="24"/>
                <w:highlight w:val="none"/>
                <w:lang w:val="en-US" w:eastAsia="zh-CN"/>
              </w:rPr>
              <w:t>，排放量为0.0</w:t>
            </w:r>
            <w:r>
              <w:rPr>
                <w:rFonts w:hint="default" w:ascii="Times New Roman" w:hAnsi="Times New Roman" w:cs="Times New Roman"/>
                <w:b w:val="0"/>
                <w:bCs w:val="0"/>
                <w:color w:val="000000"/>
                <w:sz w:val="24"/>
                <w:szCs w:val="24"/>
                <w:highlight w:val="none"/>
                <w:lang w:val="en-US" w:eastAsia="zh-CN"/>
              </w:rPr>
              <w:t>0</w:t>
            </w:r>
            <w:r>
              <w:rPr>
                <w:rFonts w:hint="default" w:ascii="Times New Roman" w:hAnsi="Times New Roman" w:eastAsia="宋体" w:cs="Times New Roman"/>
                <w:b w:val="0"/>
                <w:bCs w:val="0"/>
                <w:color w:val="000000"/>
                <w:sz w:val="24"/>
                <w:szCs w:val="24"/>
                <w:highlight w:val="none"/>
                <w:lang w:val="en-US" w:eastAsia="zh-CN"/>
              </w:rPr>
              <w:t>1</w:t>
            </w:r>
            <w:r>
              <w:rPr>
                <w:rFonts w:hint="default" w:ascii="Times New Roman" w:hAnsi="Times New Roman" w:cs="Times New Roman"/>
                <w:b w:val="0"/>
                <w:bCs w:val="0"/>
                <w:color w:val="000000"/>
                <w:sz w:val="24"/>
                <w:szCs w:val="24"/>
                <w:highlight w:val="none"/>
                <w:lang w:val="en-US" w:eastAsia="zh-CN"/>
              </w:rPr>
              <w:t>5</w:t>
            </w:r>
            <w:r>
              <w:rPr>
                <w:rFonts w:hint="default" w:ascii="Times New Roman" w:hAnsi="Times New Roman" w:eastAsia="宋体" w:cs="Times New Roman"/>
                <w:b w:val="0"/>
                <w:bCs w:val="0"/>
                <w:color w:val="000000"/>
                <w:sz w:val="24"/>
                <w:szCs w:val="24"/>
                <w:highlight w:val="none"/>
                <w:lang w:val="en-US" w:eastAsia="zh-CN"/>
              </w:rPr>
              <w:t>t/a。</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2）无组织废气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下料</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项目在</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工序会产生一定量的颗粒物，</w:t>
            </w: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项目钢材</w:t>
            </w:r>
            <w:r>
              <w:rPr>
                <w:rFonts w:hint="default" w:ascii="Times New Roman" w:hAnsi="Times New Roman" w:cs="Times New Roman"/>
                <w:b w:val="0"/>
                <w:bCs w:val="0"/>
                <w:color w:val="000000"/>
                <w:sz w:val="24"/>
                <w:szCs w:val="24"/>
                <w:highlight w:val="none"/>
                <w:lang w:val="en-US" w:eastAsia="zh-CN"/>
              </w:rPr>
              <w:t>及铝材</w:t>
            </w:r>
            <w:r>
              <w:rPr>
                <w:rFonts w:hint="default" w:ascii="Times New Roman" w:hAnsi="Times New Roman" w:eastAsia="宋体" w:cs="Times New Roman"/>
                <w:b w:val="0"/>
                <w:bCs w:val="0"/>
                <w:color w:val="000000"/>
                <w:sz w:val="24"/>
                <w:szCs w:val="24"/>
                <w:highlight w:val="none"/>
                <w:lang w:val="en-US" w:eastAsia="zh-CN"/>
              </w:rPr>
              <w:t>年用量</w:t>
            </w:r>
            <w:r>
              <w:rPr>
                <w:rFonts w:hint="default" w:ascii="Times New Roman" w:hAnsi="Times New Roman" w:cs="Times New Roman"/>
                <w:b w:val="0"/>
                <w:bCs w:val="0"/>
                <w:color w:val="000000"/>
                <w:sz w:val="24"/>
                <w:szCs w:val="24"/>
                <w:highlight w:val="none"/>
                <w:lang w:val="en-US" w:eastAsia="zh-CN"/>
              </w:rPr>
              <w:t>1050</w:t>
            </w:r>
            <w:r>
              <w:rPr>
                <w:rFonts w:hint="default" w:ascii="Times New Roman" w:hAnsi="Times New Roman" w:eastAsia="宋体" w:cs="Times New Roman"/>
                <w:b w:val="0"/>
                <w:bCs w:val="0"/>
                <w:color w:val="000000"/>
                <w:sz w:val="24"/>
                <w:szCs w:val="24"/>
                <w:highlight w:val="none"/>
                <w:lang w:val="en-US" w:eastAsia="zh-CN"/>
              </w:rPr>
              <w:t>t，使用</w:t>
            </w:r>
            <w:r>
              <w:rPr>
                <w:rFonts w:hint="default" w:ascii="Times New Roman" w:hAnsi="Times New Roman" w:cs="Times New Roman"/>
                <w:b w:val="0"/>
                <w:bCs w:val="0"/>
                <w:color w:val="000000"/>
                <w:sz w:val="24"/>
                <w:szCs w:val="24"/>
                <w:highlight w:val="none"/>
                <w:lang w:val="en-US" w:eastAsia="zh-CN"/>
              </w:rPr>
              <w:t>数控切割机</w:t>
            </w:r>
            <w:r>
              <w:rPr>
                <w:rFonts w:hint="default" w:ascii="Times New Roman" w:hAnsi="Times New Roman" w:eastAsia="宋体" w:cs="Times New Roman"/>
                <w:b w:val="0"/>
                <w:bCs w:val="0"/>
                <w:color w:val="000000"/>
                <w:sz w:val="24"/>
                <w:szCs w:val="24"/>
                <w:highlight w:val="none"/>
                <w:lang w:val="en-US" w:eastAsia="zh-CN"/>
              </w:rPr>
              <w:t>进行</w:t>
            </w:r>
            <w:r>
              <w:rPr>
                <w:rFonts w:hint="default" w:ascii="Times New Roman" w:hAnsi="Times New Roman" w:cs="Times New Roman"/>
                <w:b w:val="0"/>
                <w:bCs w:val="0"/>
                <w:color w:val="000000"/>
                <w:sz w:val="24"/>
                <w:szCs w:val="24"/>
                <w:highlight w:val="none"/>
                <w:lang w:val="en-US" w:eastAsia="zh-CN"/>
              </w:rPr>
              <w:t>激光切割、等离子切割及火焰切割</w:t>
            </w: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其中火焰切割约200t，其余采用激光切割和等离子切割，</w:t>
            </w:r>
            <w:r>
              <w:rPr>
                <w:rFonts w:hint="default" w:ascii="Times New Roman" w:hAnsi="Times New Roman" w:eastAsia="宋体" w:cs="Times New Roman"/>
                <w:b w:val="0"/>
                <w:bCs w:val="0"/>
                <w:color w:val="000000"/>
                <w:sz w:val="24"/>
                <w:szCs w:val="24"/>
                <w:highlight w:val="none"/>
                <w:lang w:val="en-US" w:eastAsia="zh-CN"/>
              </w:rPr>
              <w:t>参照《排放源统计调查产排污核算方法和系数手册》中机械行业系数手册，结合本项目实际，本项目</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过程</w:t>
            </w:r>
            <w:r>
              <w:rPr>
                <w:rFonts w:hint="default" w:ascii="Times New Roman" w:hAnsi="Times New Roman" w:cs="Times New Roman"/>
                <w:b w:val="0"/>
                <w:bCs w:val="0"/>
                <w:color w:val="000000"/>
                <w:sz w:val="24"/>
                <w:szCs w:val="24"/>
                <w:highlight w:val="none"/>
                <w:lang w:val="en-US" w:eastAsia="zh-CN"/>
              </w:rPr>
              <w:t>激光切割和等离子切割产生系数</w:t>
            </w:r>
            <w:r>
              <w:rPr>
                <w:rFonts w:hint="default" w:ascii="Times New Roman" w:hAnsi="Times New Roman" w:eastAsia="宋体" w:cs="Times New Roman"/>
                <w:b w:val="0"/>
                <w:bCs w:val="0"/>
                <w:color w:val="000000"/>
                <w:sz w:val="24"/>
                <w:szCs w:val="24"/>
                <w:highlight w:val="none"/>
                <w:lang w:val="en-US" w:eastAsia="zh-CN"/>
              </w:rPr>
              <w:t>取</w:t>
            </w:r>
            <w:r>
              <w:rPr>
                <w:rFonts w:hint="default" w:ascii="Times New Roman" w:hAnsi="Times New Roman" w:cs="Times New Roman"/>
                <w:b w:val="0"/>
                <w:bCs w:val="0"/>
                <w:color w:val="000000"/>
                <w:sz w:val="24"/>
                <w:szCs w:val="24"/>
                <w:highlight w:val="none"/>
                <w:lang w:val="en-US" w:eastAsia="zh-CN"/>
              </w:rPr>
              <w:t>1.10</w:t>
            </w:r>
            <w:r>
              <w:rPr>
                <w:rFonts w:hint="default" w:ascii="Times New Roman" w:hAnsi="Times New Roman" w:eastAsia="宋体" w:cs="Times New Roman"/>
                <w:b w:val="0"/>
                <w:bCs w:val="0"/>
                <w:color w:val="000000"/>
                <w:sz w:val="24"/>
                <w:szCs w:val="24"/>
                <w:highlight w:val="none"/>
                <w:lang w:val="en-US" w:eastAsia="zh-CN"/>
              </w:rPr>
              <w:t>kg</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t-原料，</w:t>
            </w:r>
            <w:r>
              <w:rPr>
                <w:rFonts w:hint="default" w:ascii="Times New Roman" w:hAnsi="Times New Roman" w:cs="Times New Roman"/>
                <w:b w:val="0"/>
                <w:bCs w:val="0"/>
                <w:color w:val="000000"/>
                <w:sz w:val="24"/>
                <w:szCs w:val="24"/>
                <w:highlight w:val="none"/>
                <w:lang w:val="en-US" w:eastAsia="zh-CN"/>
              </w:rPr>
              <w:t>火焰切割颗粒物产生系数取1.5</w:t>
            </w:r>
            <w:r>
              <w:rPr>
                <w:rFonts w:hint="default" w:ascii="Times New Roman" w:hAnsi="Times New Roman" w:eastAsia="宋体" w:cs="Times New Roman"/>
                <w:b w:val="0"/>
                <w:bCs w:val="0"/>
                <w:color w:val="000000"/>
                <w:sz w:val="24"/>
                <w:szCs w:val="24"/>
                <w:highlight w:val="none"/>
                <w:lang w:val="en-US" w:eastAsia="zh-CN"/>
              </w:rPr>
              <w:t>kg</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t-原料，</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粉尘产生量为</w:t>
            </w:r>
            <w:r>
              <w:rPr>
                <w:rFonts w:hint="default" w:ascii="Times New Roman" w:hAnsi="Times New Roman" w:cs="Times New Roman"/>
                <w:b w:val="0"/>
                <w:bCs w:val="0"/>
                <w:color w:val="000000"/>
                <w:sz w:val="24"/>
                <w:szCs w:val="24"/>
                <w:highlight w:val="none"/>
                <w:lang w:val="en-US" w:eastAsia="zh-CN"/>
              </w:rPr>
              <w:t>1.235</w:t>
            </w:r>
            <w:r>
              <w:rPr>
                <w:rFonts w:hint="default" w:ascii="Times New Roman" w:hAnsi="Times New Roman" w:eastAsia="宋体" w:cs="Times New Roman"/>
                <w:b w:val="0"/>
                <w:bCs w:val="0"/>
                <w:color w:val="000000"/>
                <w:sz w:val="24"/>
                <w:szCs w:val="24"/>
                <w:highlight w:val="none"/>
                <w:lang w:val="en-US" w:eastAsia="zh-CN"/>
              </w:rPr>
              <w:t>t/a。项目</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产生的颗粒物由于质量较大，沉降较快，不易扩散，仅有少部分随着机械的运动而在空气中短暂停留，沉降部分以80%计，则项目沉降金属粉尘产生量为</w:t>
            </w:r>
            <w:r>
              <w:rPr>
                <w:rFonts w:hint="default" w:ascii="Times New Roman" w:hAnsi="Times New Roman" w:cs="Times New Roman"/>
                <w:b w:val="0"/>
                <w:bCs w:val="0"/>
                <w:color w:val="000000"/>
                <w:sz w:val="24"/>
                <w:szCs w:val="24"/>
                <w:highlight w:val="none"/>
                <w:lang w:val="en-US" w:eastAsia="zh-CN"/>
              </w:rPr>
              <w:t>0.988</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a，项目</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区封闭，采用移动式焊烟净化器处理后，及时清扫地面，沉降金属粉尘袋装收集后定期外售回收站，移动式焊烟净化器收集效率以80%计，处理效率以95%计，经移动式焊烟净化器处理后无组织排放的颗粒物为0.</w:t>
            </w:r>
            <w:r>
              <w:rPr>
                <w:rFonts w:hint="default" w:ascii="Times New Roman" w:hAnsi="Times New Roman" w:cs="Times New Roman"/>
                <w:b w:val="0"/>
                <w:bCs w:val="0"/>
                <w:color w:val="000000"/>
                <w:sz w:val="24"/>
                <w:szCs w:val="24"/>
                <w:highlight w:val="none"/>
                <w:lang w:val="en-US" w:eastAsia="zh-CN"/>
              </w:rPr>
              <w:t>010</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a，项目</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工序每天工作4小时则</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废气无组织排放速率为0.</w:t>
            </w:r>
            <w:r>
              <w:rPr>
                <w:rFonts w:hint="default" w:ascii="Times New Roman" w:hAnsi="Times New Roman" w:cs="Times New Roman"/>
                <w:b w:val="0"/>
                <w:bCs w:val="0"/>
                <w:color w:val="000000"/>
                <w:sz w:val="24"/>
                <w:szCs w:val="24"/>
                <w:highlight w:val="none"/>
                <w:lang w:val="en-US" w:eastAsia="zh-CN"/>
              </w:rPr>
              <w:t>008</w:t>
            </w:r>
            <w:r>
              <w:rPr>
                <w:rFonts w:hint="default" w:ascii="Times New Roman" w:hAnsi="Times New Roman" w:eastAsia="宋体" w:cs="Times New Roman"/>
                <w:b w:val="0"/>
                <w:bCs w:val="0"/>
                <w:color w:val="000000"/>
                <w:sz w:val="24"/>
                <w:szCs w:val="24"/>
                <w:highlight w:val="none"/>
                <w:lang w:val="en-US" w:eastAsia="zh-CN"/>
              </w:rPr>
              <w:t>kg</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h，排放量较小，对周围环境影响较小。</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lang w:val="en-US" w:eastAsia="zh-CN"/>
              </w:rPr>
              <w:t>)焊接</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项目在焊接过程会产生少量焊烟，主要污染物为颗粒物。项目焊丝用量为2</w:t>
            </w:r>
            <w:r>
              <w:rPr>
                <w:rFonts w:hint="default" w:ascii="Times New Roman" w:hAnsi="Times New Roman" w:cs="Times New Roman"/>
                <w:b w:val="0"/>
                <w:bCs w:val="0"/>
                <w:color w:val="000000"/>
                <w:sz w:val="24"/>
                <w:szCs w:val="24"/>
                <w:highlight w:val="none"/>
                <w:lang w:val="en-US" w:eastAsia="zh-CN"/>
              </w:rPr>
              <w:t>t/</w:t>
            </w:r>
            <w:r>
              <w:rPr>
                <w:rFonts w:hint="default" w:ascii="Times New Roman" w:hAnsi="Times New Roman" w:eastAsia="宋体" w:cs="Times New Roman"/>
                <w:b w:val="0"/>
                <w:bCs w:val="0"/>
                <w:color w:val="000000"/>
                <w:sz w:val="24"/>
                <w:szCs w:val="24"/>
                <w:highlight w:val="none"/>
                <w:lang w:val="en-US" w:eastAsia="zh-CN"/>
              </w:rPr>
              <w:t>a，使用二氧化碳保护焊，焊丝为药芯焊丝</w:t>
            </w:r>
            <w:r>
              <w:rPr>
                <w:rFonts w:hint="default" w:ascii="Times New Roman" w:hAnsi="Times New Roman" w:cs="Times New Roman"/>
                <w:b w:val="0"/>
                <w:bCs w:val="0"/>
                <w:color w:val="000000"/>
                <w:sz w:val="24"/>
                <w:szCs w:val="24"/>
                <w:highlight w:val="none"/>
                <w:lang w:val="en-US" w:eastAsia="zh-CN"/>
              </w:rPr>
              <w:t>和实芯焊丝各1t</w:t>
            </w:r>
            <w:r>
              <w:rPr>
                <w:rFonts w:hint="default" w:ascii="Times New Roman" w:hAnsi="Times New Roman" w:eastAsia="宋体" w:cs="Times New Roman"/>
                <w:b w:val="0"/>
                <w:bCs w:val="0"/>
                <w:color w:val="000000"/>
                <w:sz w:val="24"/>
                <w:szCs w:val="24"/>
                <w:highlight w:val="none"/>
                <w:lang w:val="en-US" w:eastAsia="zh-CN"/>
              </w:rPr>
              <w:t>，根据《排放源统计调查产排污核算方法和系数手册》中机械行业系数手册，</w:t>
            </w:r>
            <w:r>
              <w:rPr>
                <w:rFonts w:hint="default" w:ascii="Times New Roman" w:hAnsi="Times New Roman" w:cs="Times New Roman"/>
                <w:b w:val="0"/>
                <w:bCs w:val="0"/>
                <w:color w:val="000000"/>
                <w:sz w:val="24"/>
                <w:szCs w:val="24"/>
                <w:highlight w:val="none"/>
                <w:lang w:val="en-US" w:eastAsia="zh-CN"/>
              </w:rPr>
              <w:t>药芯焊丝</w:t>
            </w:r>
            <w:r>
              <w:rPr>
                <w:rFonts w:hint="default" w:ascii="Times New Roman" w:hAnsi="Times New Roman" w:eastAsia="宋体" w:cs="Times New Roman"/>
                <w:b w:val="0"/>
                <w:bCs w:val="0"/>
                <w:color w:val="000000"/>
                <w:sz w:val="24"/>
                <w:szCs w:val="24"/>
                <w:highlight w:val="none"/>
                <w:lang w:val="en-US" w:eastAsia="zh-CN"/>
              </w:rPr>
              <w:t>颗粒物产生量为20.5kg/t-原料，</w:t>
            </w:r>
            <w:r>
              <w:rPr>
                <w:rFonts w:hint="default" w:ascii="Times New Roman" w:hAnsi="Times New Roman" w:cs="Times New Roman"/>
                <w:b w:val="0"/>
                <w:bCs w:val="0"/>
                <w:color w:val="000000"/>
                <w:sz w:val="24"/>
                <w:szCs w:val="24"/>
                <w:highlight w:val="none"/>
                <w:lang w:val="en-US" w:eastAsia="zh-CN"/>
              </w:rPr>
              <w:t>实芯焊丝</w:t>
            </w:r>
            <w:r>
              <w:rPr>
                <w:rFonts w:hint="default" w:ascii="Times New Roman" w:hAnsi="Times New Roman" w:eastAsia="宋体" w:cs="Times New Roman"/>
                <w:b w:val="0"/>
                <w:bCs w:val="0"/>
                <w:color w:val="000000"/>
                <w:sz w:val="24"/>
                <w:szCs w:val="24"/>
                <w:highlight w:val="none"/>
                <w:lang w:val="en-US" w:eastAsia="zh-CN"/>
              </w:rPr>
              <w:t>颗粒物产生量为</w:t>
            </w:r>
            <w:r>
              <w:rPr>
                <w:rFonts w:hint="default" w:ascii="Times New Roman" w:hAnsi="Times New Roman" w:cs="Times New Roman"/>
                <w:b w:val="0"/>
                <w:bCs w:val="0"/>
                <w:color w:val="000000"/>
                <w:sz w:val="24"/>
                <w:szCs w:val="24"/>
                <w:highlight w:val="none"/>
                <w:lang w:val="en-US" w:eastAsia="zh-CN"/>
              </w:rPr>
              <w:t>9.19</w:t>
            </w:r>
            <w:r>
              <w:rPr>
                <w:rFonts w:hint="default" w:ascii="Times New Roman" w:hAnsi="Times New Roman" w:eastAsia="宋体" w:cs="Times New Roman"/>
                <w:b w:val="0"/>
                <w:bCs w:val="0"/>
                <w:color w:val="000000"/>
                <w:sz w:val="24"/>
                <w:szCs w:val="24"/>
                <w:highlight w:val="none"/>
                <w:lang w:val="en-US" w:eastAsia="zh-CN"/>
              </w:rPr>
              <w:t>kg/t-原料，则本项目焊接烟尘产生量为0.0</w:t>
            </w:r>
            <w:r>
              <w:rPr>
                <w:rFonts w:hint="default" w:ascii="Times New Roman" w:hAnsi="Times New Roman" w:cs="Times New Roman"/>
                <w:b w:val="0"/>
                <w:bCs w:val="0"/>
                <w:color w:val="000000"/>
                <w:sz w:val="24"/>
                <w:szCs w:val="24"/>
                <w:highlight w:val="none"/>
                <w:lang w:val="en-US" w:eastAsia="zh-CN"/>
              </w:rPr>
              <w:t>30</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属于间断性排放。焊接过程产生的少量颗粒物使用移动式焊烟净化器进行处理后无组织排放。移动式焊烟净化器捕集率可达80%，处理效率可达95%，经处理后的颗粒物无组织排放。项目焊接烟尘采用移动式焊烟净化器处理，废气治理后以无组织形式于厂房排放，本项目焊接废气无组织排放量为0.01</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a，项目焊接工序每天工作5小时，则焊接废气无组织排放速率为0.00</w:t>
            </w:r>
            <w:r>
              <w:rPr>
                <w:rFonts w:hint="default" w:ascii="Times New Roman" w:hAnsi="Times New Roman" w:cs="Times New Roman"/>
                <w:b w:val="0"/>
                <w:bCs w:val="0"/>
                <w:color w:val="000000"/>
                <w:sz w:val="24"/>
                <w:szCs w:val="24"/>
                <w:highlight w:val="none"/>
                <w:lang w:val="en-US" w:eastAsia="zh-CN"/>
              </w:rPr>
              <w:t>08</w:t>
            </w:r>
            <w:r>
              <w:rPr>
                <w:rFonts w:hint="default" w:ascii="Times New Roman" w:hAnsi="Times New Roman" w:eastAsia="宋体" w:cs="Times New Roman"/>
                <w:b w:val="0"/>
                <w:bCs w:val="0"/>
                <w:color w:val="000000"/>
                <w:sz w:val="24"/>
                <w:szCs w:val="24"/>
                <w:highlight w:val="none"/>
                <w:lang w:val="en-US" w:eastAsia="zh-CN"/>
              </w:rPr>
              <w:t>kg/h，排放量较小，对周围环境影响较小。</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Cs/>
                <w:color w:val="000000"/>
                <w:sz w:val="24"/>
                <w:szCs w:val="24"/>
                <w:highlight w:val="none"/>
                <w:lang w:val="en-US" w:eastAsia="zh-CN"/>
              </w:rPr>
              <w:t>本项目采取厂房密闭、定期清扫、洒水抑尘措施抑制无组织颗粒物排放</w:t>
            </w:r>
            <w:r>
              <w:rPr>
                <w:rFonts w:hint="default" w:ascii="Times New Roman" w:hAnsi="Times New Roman" w:cs="Times New Roman"/>
                <w:color w:val="000000"/>
                <w:sz w:val="24"/>
                <w:szCs w:val="24"/>
                <w:highlight w:val="none"/>
                <w:vertAlign w:val="baseline"/>
                <w:lang w:eastAsia="zh-CN"/>
              </w:rPr>
              <w:t>。</w:t>
            </w:r>
            <w:r>
              <w:rPr>
                <w:rFonts w:hint="default" w:ascii="Times New Roman" w:hAnsi="Times New Roman" w:eastAsia="宋体" w:cs="Times New Roman"/>
                <w:b w:val="0"/>
                <w:bCs w:val="0"/>
                <w:color w:val="000000"/>
                <w:sz w:val="24"/>
                <w:szCs w:val="24"/>
                <w:highlight w:val="none"/>
                <w:lang w:val="en-US" w:eastAsia="zh-CN"/>
              </w:rPr>
              <w:t>本项目采用《环境影响评价技术导则·大气环境》(HJ2.2-2018)所推荐采用的估算模式AERSCREEN，经预测本项目颗粒物排放满足《大气污染物综合排放标准》(GB16297-1996)表2中颗粒物无组织排放监控限值要求(1.0mg/m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eastAsia="宋体" w:cs="Times New Roman"/>
                <w:b w:val="0"/>
                <w:bCs w:val="0"/>
                <w:color w:val="000000"/>
                <w:sz w:val="24"/>
                <w:szCs w:val="24"/>
                <w:highlight w:val="none"/>
                <w:lang w:val="en-US" w:eastAsia="zh-CN"/>
              </w:rPr>
              <w:t>)，同时满足《秦皇岛市人民政府办公室关于执行钢铁等行业大气污染物排放特别要求的通知》([2021]-10)中无组织排放浓度特别管控要求，颗粒物0.3mg/m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非甲烷总烃排放</w:t>
            </w:r>
            <w:r>
              <w:rPr>
                <w:rFonts w:hint="default" w:ascii="Times New Roman" w:hAnsi="Times New Roman" w:cs="Times New Roman"/>
                <w:b w:val="0"/>
                <w:bCs w:val="0"/>
                <w:color w:val="000000"/>
                <w:sz w:val="24"/>
                <w:szCs w:val="24"/>
                <w:highlight w:val="none"/>
                <w:lang w:val="en-US" w:eastAsia="zh-CN"/>
              </w:rPr>
              <w:t>满足</w:t>
            </w:r>
            <w:r>
              <w:rPr>
                <w:rFonts w:hint="default" w:ascii="Times New Roman" w:hAnsi="Times New Roman" w:eastAsia="宋体" w:cs="Times New Roman"/>
                <w:b w:val="0"/>
                <w:bCs w:val="0"/>
                <w:color w:val="000000"/>
                <w:sz w:val="24"/>
                <w:szCs w:val="24"/>
                <w:highlight w:val="none"/>
                <w:lang w:val="en-US" w:eastAsia="zh-CN"/>
              </w:rPr>
              <w:t>《工业企业挥发性有机物排放控制标准》(DB 13/2322-2016)标准及《挥发性有机物无组织排放控制标准》(GB37822-2019)相关要求。</w:t>
            </w:r>
          </w:p>
          <w:p>
            <w:pPr>
              <w:pStyle w:val="8"/>
              <w:keepNext w:val="0"/>
              <w:keepLines w:val="0"/>
              <w:pageBreakBefore w:val="0"/>
              <w:kinsoku/>
              <w:wordWrap/>
              <w:overflowPunct/>
              <w:topLinePunct w:val="0"/>
              <w:autoSpaceDE/>
              <w:autoSpaceDN/>
              <w:bidi w:val="0"/>
              <w:adjustRightInd/>
              <w:spacing w:before="0" w:after="0" w:line="480" w:lineRule="exact"/>
              <w:ind w:right="0"/>
              <w:textAlignment w:val="auto"/>
              <w:rPr>
                <w:rFonts w:hint="default" w:ascii="Times New Roman" w:hAnsi="Times New Roman" w:cs="Times New Roman"/>
                <w:b w:val="0"/>
                <w:bCs w:val="0"/>
                <w:color w:val="0000FF"/>
                <w:sz w:val="24"/>
                <w:szCs w:val="24"/>
                <w:highlight w:val="none"/>
                <w:vertAlign w:val="baseline"/>
                <w:lang w:val="en-US" w:eastAsia="zh-CN"/>
              </w:rPr>
            </w:pPr>
            <w:r>
              <w:rPr>
                <w:rFonts w:hint="default" w:ascii="Times New Roman" w:hAnsi="Times New Roman" w:cs="Times New Roman"/>
                <w:color w:val="000000"/>
                <w:sz w:val="24"/>
                <w:szCs w:val="24"/>
                <w:highlight w:val="none"/>
                <w:lang w:val="en-US" w:eastAsia="zh-CN"/>
              </w:rPr>
              <w:t>本项目废气产排污情况见下表。</w:t>
            </w:r>
          </w:p>
          <w:p>
            <w:pPr>
              <w:pStyle w:val="16"/>
              <w:keepNext w:val="0"/>
              <w:keepLines w:val="0"/>
              <w:pageBreakBefore w:val="0"/>
              <w:widowControl w:val="0"/>
              <w:kinsoku/>
              <w:wordWrap/>
              <w:overflowPunct/>
              <w:topLinePunct w:val="0"/>
              <w:autoSpaceDE/>
              <w:autoSpaceDN/>
              <w:bidi w:val="0"/>
              <w:adjustRightInd/>
              <w:snapToGrid/>
              <w:spacing w:line="480" w:lineRule="exact"/>
              <w:ind w:right="0" w:firstLine="0" w:firstLineChars="0"/>
              <w:jc w:val="center"/>
              <w:textAlignment w:val="auto"/>
              <w:rPr>
                <w:rFonts w:hint="default" w:ascii="Times New Roman" w:hAnsi="Times New Roman" w:cs="Times New Roman"/>
                <w:b/>
                <w:bCs/>
                <w:color w:val="000000"/>
                <w:sz w:val="24"/>
                <w:szCs w:val="24"/>
                <w:highlight w:val="none"/>
                <w:vertAlign w:val="baseline"/>
                <w:lang w:val="en-US" w:eastAsia="zh-CN"/>
              </w:rPr>
            </w:pPr>
            <w:r>
              <w:rPr>
                <w:rFonts w:hint="default" w:ascii="Times New Roman" w:hAnsi="Times New Roman" w:cs="Times New Roman"/>
                <w:b/>
                <w:bCs/>
                <w:color w:val="000000"/>
                <w:sz w:val="24"/>
                <w:szCs w:val="24"/>
                <w:highlight w:val="none"/>
                <w:vertAlign w:val="baseline"/>
                <w:lang w:val="en-US" w:eastAsia="zh-CN"/>
              </w:rPr>
              <w:t>表4-1 项目废气产排污情况一览表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
              <w:gridCol w:w="960"/>
              <w:gridCol w:w="644"/>
              <w:gridCol w:w="801"/>
              <w:gridCol w:w="934"/>
              <w:gridCol w:w="1066"/>
              <w:gridCol w:w="825"/>
              <w:gridCol w:w="1015"/>
              <w:gridCol w:w="11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排放源</w:t>
                  </w: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污染物名称</w:t>
                  </w:r>
                </w:p>
              </w:tc>
              <w:tc>
                <w:tcPr>
                  <w:tcW w:w="3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产污环节</w:t>
                  </w:r>
                </w:p>
              </w:tc>
              <w:tc>
                <w:tcPr>
                  <w:tcW w:w="4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产生量</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t/a</w:t>
                  </w:r>
                  <w:r>
                    <w:rPr>
                      <w:rFonts w:hint="default" w:ascii="Times New Roman" w:hAnsi="Times New Roman" w:cs="Times New Roman"/>
                      <w:color w:val="000000"/>
                      <w:sz w:val="21"/>
                      <w:szCs w:val="21"/>
                      <w:highlight w:val="none"/>
                      <w:lang w:val="en-US" w:eastAsia="zh-CN"/>
                    </w:rPr>
                    <w:t>)</w:t>
                  </w:r>
                </w:p>
              </w:tc>
              <w:tc>
                <w:tcPr>
                  <w:tcW w:w="56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产生速率</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kg/h</w:t>
                  </w:r>
                  <w:r>
                    <w:rPr>
                      <w:rFonts w:hint="default" w:ascii="Times New Roman" w:hAnsi="Times New Roman" w:cs="Times New Roman"/>
                      <w:color w:val="000000"/>
                      <w:sz w:val="21"/>
                      <w:szCs w:val="21"/>
                      <w:highlight w:val="none"/>
                      <w:lang w:val="en-US" w:eastAsia="zh-CN"/>
                    </w:rPr>
                    <w:t>)</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产生浓度</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mg/m</w:t>
                  </w:r>
                  <w:r>
                    <w:rPr>
                      <w:rFonts w:hint="default" w:ascii="Times New Roman" w:hAnsi="Times New Roman" w:cs="Times New Roman"/>
                      <w:color w:val="000000"/>
                      <w:sz w:val="21"/>
                      <w:szCs w:val="21"/>
                      <w:highlight w:val="none"/>
                      <w:vertAlign w:val="superscript"/>
                    </w:rPr>
                    <w:t>3</w:t>
                  </w:r>
                  <w:r>
                    <w:rPr>
                      <w:rFonts w:hint="default" w:ascii="Times New Roman" w:hAnsi="Times New Roman" w:cs="Times New Roman"/>
                      <w:color w:val="000000"/>
                      <w:sz w:val="21"/>
                      <w:szCs w:val="21"/>
                      <w:highlight w:val="none"/>
                      <w:lang w:val="en-US" w:eastAsia="zh-CN"/>
                    </w:rPr>
                    <w:t>)</w:t>
                  </w:r>
                </w:p>
              </w:tc>
              <w:tc>
                <w:tcPr>
                  <w:tcW w:w="49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排放量</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t/a</w:t>
                  </w:r>
                  <w:r>
                    <w:rPr>
                      <w:rFonts w:hint="default" w:ascii="Times New Roman" w:hAnsi="Times New Roman" w:cs="Times New Roman"/>
                      <w:color w:val="000000"/>
                      <w:sz w:val="21"/>
                      <w:szCs w:val="21"/>
                      <w:highlight w:val="none"/>
                      <w:lang w:val="en-US" w:eastAsia="zh-CN"/>
                    </w:rPr>
                    <w:t>)</w:t>
                  </w:r>
                </w:p>
              </w:tc>
              <w:tc>
                <w:tcPr>
                  <w:tcW w:w="6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排放速率</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kg/h</w:t>
                  </w:r>
                  <w:r>
                    <w:rPr>
                      <w:rFonts w:hint="default" w:ascii="Times New Roman" w:hAnsi="Times New Roman" w:cs="Times New Roman"/>
                      <w:color w:val="000000"/>
                      <w:sz w:val="21"/>
                      <w:szCs w:val="21"/>
                      <w:highlight w:val="none"/>
                      <w:lang w:val="en-US" w:eastAsia="zh-CN"/>
                    </w:rPr>
                    <w:t>)</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排放浓度</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mg/m</w:t>
                  </w:r>
                  <w:r>
                    <w:rPr>
                      <w:rFonts w:hint="default" w:ascii="Times New Roman" w:hAnsi="Times New Roman" w:cs="Times New Roman"/>
                      <w:color w:val="000000"/>
                      <w:sz w:val="21"/>
                      <w:szCs w:val="21"/>
                      <w:highlight w:val="none"/>
                      <w:vertAlign w:val="superscript"/>
                    </w:rPr>
                    <w:t>3</w:t>
                  </w:r>
                  <w:r>
                    <w:rPr>
                      <w:rFonts w:hint="default" w:ascii="Times New Roman" w:hAnsi="Times New Roman" w:cs="Times New Roman"/>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DA001</w:t>
                  </w: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颗粒物</w:t>
                  </w:r>
                </w:p>
              </w:tc>
              <w:tc>
                <w:tcPr>
                  <w:tcW w:w="3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抛丸过程</w:t>
                  </w:r>
                </w:p>
              </w:tc>
              <w:tc>
                <w:tcPr>
                  <w:tcW w:w="4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0.65</w:t>
                  </w:r>
                </w:p>
              </w:tc>
              <w:tc>
                <w:tcPr>
                  <w:tcW w:w="56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0.434</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16.06</w:t>
                  </w:r>
                </w:p>
              </w:tc>
              <w:tc>
                <w:tcPr>
                  <w:tcW w:w="49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0.007</w:t>
                  </w:r>
                </w:p>
              </w:tc>
              <w:tc>
                <w:tcPr>
                  <w:tcW w:w="6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0"/>
                      <w:sz w:val="21"/>
                      <w:szCs w:val="21"/>
                      <w:highlight w:val="none"/>
                      <w:lang w:val="en-US" w:eastAsia="zh-CN"/>
                    </w:rPr>
                  </w:pPr>
                  <w:r>
                    <w:rPr>
                      <w:rFonts w:hint="default" w:ascii="Times New Roman" w:hAnsi="Times New Roman" w:cs="Times New Roman"/>
                      <w:color w:val="000000"/>
                      <w:kern w:val="0"/>
                      <w:sz w:val="21"/>
                      <w:szCs w:val="21"/>
                      <w:highlight w:val="none"/>
                      <w:lang w:val="en-US" w:eastAsia="zh-CN"/>
                    </w:rPr>
                    <w:t>0.005</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0"/>
                      <w:sz w:val="21"/>
                      <w:szCs w:val="21"/>
                      <w:highlight w:val="none"/>
                      <w:lang w:val="en-US" w:eastAsia="zh-CN"/>
                    </w:rPr>
                  </w:pPr>
                  <w:r>
                    <w:rPr>
                      <w:rFonts w:hint="default" w:ascii="Times New Roman" w:hAnsi="Times New Roman" w:cs="Times New Roman"/>
                      <w:color w:val="000000"/>
                      <w:kern w:val="0"/>
                      <w:sz w:val="21"/>
                      <w:szCs w:val="21"/>
                      <w:highlight w:val="none"/>
                      <w:lang w:val="en-US" w:eastAsia="zh-CN"/>
                    </w:rPr>
                    <w:t>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DA002</w:t>
                  </w: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rPr>
                  </w:pPr>
                  <w:r>
                    <w:rPr>
                      <w:rFonts w:hint="default" w:ascii="Times New Roman" w:hAnsi="Times New Roman" w:cs="Times New Roman"/>
                      <w:color w:val="000000"/>
                      <w:sz w:val="21"/>
                      <w:szCs w:val="21"/>
                      <w:highlight w:val="none"/>
                      <w:lang w:val="en-US" w:eastAsia="zh-CN"/>
                    </w:rPr>
                    <w:t>非甲烷总烃(包括二甲苯)</w:t>
                  </w:r>
                </w:p>
              </w:tc>
              <w:tc>
                <w:tcPr>
                  <w:tcW w:w="38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喷漆房</w:t>
                  </w:r>
                </w:p>
              </w:tc>
              <w:tc>
                <w:tcPr>
                  <w:tcW w:w="482"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2.97</w:t>
                  </w:r>
                </w:p>
              </w:tc>
              <w:tc>
                <w:tcPr>
                  <w:tcW w:w="562" w:type="pct"/>
                  <w:tcBorders>
                    <w:tl2br w:val="nil"/>
                    <w:tr2bl w:val="nil"/>
                  </w:tcBorders>
                  <w:noWrap w:val="0"/>
                  <w:vAlign w:val="center"/>
                </w:tcPr>
                <w:p>
                  <w:pPr>
                    <w:pStyle w:val="2"/>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1.98</w:t>
                  </w:r>
                </w:p>
              </w:tc>
              <w:tc>
                <w:tcPr>
                  <w:tcW w:w="642" w:type="pct"/>
                  <w:tcBorders>
                    <w:tl2br w:val="nil"/>
                    <w:tr2bl w:val="nil"/>
                  </w:tcBorders>
                  <w:noWrap w:val="0"/>
                  <w:vAlign w:val="center"/>
                </w:tcPr>
                <w:p>
                  <w:pPr>
                    <w:pStyle w:val="2"/>
                    <w:jc w:val="center"/>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220</w:t>
                  </w:r>
                </w:p>
              </w:tc>
              <w:tc>
                <w:tcPr>
                  <w:tcW w:w="497"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0.446</w:t>
                  </w:r>
                </w:p>
              </w:tc>
              <w:tc>
                <w:tcPr>
                  <w:tcW w:w="611" w:type="pct"/>
                  <w:tcBorders>
                    <w:tl2br w:val="nil"/>
                    <w:tr2bl w:val="nil"/>
                  </w:tcBorders>
                  <w:noWrap w:val="0"/>
                  <w:vAlign w:val="center"/>
                </w:tcPr>
                <w:p>
                  <w:pPr>
                    <w:pStyle w:val="2"/>
                    <w:jc w:val="center"/>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0.297</w:t>
                  </w:r>
                </w:p>
              </w:tc>
              <w:tc>
                <w:tcPr>
                  <w:tcW w:w="690" w:type="pct"/>
                  <w:tcBorders>
                    <w:tl2br w:val="nil"/>
                    <w:tr2bl w:val="nil"/>
                  </w:tcBorders>
                  <w:noWrap w:val="0"/>
                  <w:vAlign w:val="center"/>
                </w:tcPr>
                <w:p>
                  <w:pPr>
                    <w:pStyle w:val="2"/>
                    <w:jc w:val="center"/>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二甲苯</w:t>
                  </w:r>
                </w:p>
              </w:tc>
              <w:tc>
                <w:tcPr>
                  <w:tcW w:w="38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482"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1.584</w:t>
                  </w:r>
                </w:p>
              </w:tc>
              <w:tc>
                <w:tcPr>
                  <w:tcW w:w="562"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1.056</w:t>
                  </w:r>
                </w:p>
              </w:tc>
              <w:tc>
                <w:tcPr>
                  <w:tcW w:w="642" w:type="pct"/>
                  <w:tcBorders>
                    <w:tl2br w:val="nil"/>
                    <w:tr2bl w:val="nil"/>
                  </w:tcBorders>
                  <w:noWrap w:val="0"/>
                  <w:vAlign w:val="center"/>
                </w:tcPr>
                <w:p>
                  <w:pPr>
                    <w:pStyle w:val="2"/>
                    <w:jc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117.33</w:t>
                  </w:r>
                </w:p>
              </w:tc>
              <w:tc>
                <w:tcPr>
                  <w:tcW w:w="497"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0.238</w:t>
                  </w:r>
                </w:p>
              </w:tc>
              <w:tc>
                <w:tcPr>
                  <w:tcW w:w="611" w:type="pct"/>
                  <w:tcBorders>
                    <w:tl2br w:val="nil"/>
                    <w:tr2bl w:val="nil"/>
                  </w:tcBorders>
                  <w:noWrap w:val="0"/>
                  <w:vAlign w:val="center"/>
                </w:tcPr>
                <w:p>
                  <w:pPr>
                    <w:pStyle w:val="2"/>
                    <w:jc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0.158</w:t>
                  </w:r>
                </w:p>
              </w:tc>
              <w:tc>
                <w:tcPr>
                  <w:tcW w:w="690" w:type="pct"/>
                  <w:tcBorders>
                    <w:tl2br w:val="nil"/>
                    <w:tr2bl w:val="nil"/>
                  </w:tcBorders>
                  <w:noWrap w:val="0"/>
                  <w:vAlign w:val="center"/>
                </w:tcPr>
                <w:p>
                  <w:pPr>
                    <w:pStyle w:val="2"/>
                    <w:jc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17.56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颗粒物</w:t>
                  </w:r>
                </w:p>
              </w:tc>
              <w:tc>
                <w:tcPr>
                  <w:tcW w:w="38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482"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0.178</w:t>
                  </w:r>
                </w:p>
              </w:tc>
              <w:tc>
                <w:tcPr>
                  <w:tcW w:w="562"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0.119</w:t>
                  </w:r>
                </w:p>
              </w:tc>
              <w:tc>
                <w:tcPr>
                  <w:tcW w:w="642" w:type="pct"/>
                  <w:tcBorders>
                    <w:tl2br w:val="nil"/>
                    <w:tr2bl w:val="nil"/>
                  </w:tcBorders>
                  <w:noWrap w:val="0"/>
                  <w:vAlign w:val="center"/>
                </w:tcPr>
                <w:p>
                  <w:pPr>
                    <w:pStyle w:val="2"/>
                    <w:jc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13.2</w:t>
                  </w:r>
                </w:p>
              </w:tc>
              <w:tc>
                <w:tcPr>
                  <w:tcW w:w="497"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0.027</w:t>
                  </w:r>
                </w:p>
              </w:tc>
              <w:tc>
                <w:tcPr>
                  <w:tcW w:w="611" w:type="pct"/>
                  <w:tcBorders>
                    <w:tl2br w:val="nil"/>
                    <w:tr2bl w:val="nil"/>
                  </w:tcBorders>
                  <w:noWrap w:val="0"/>
                  <w:vAlign w:val="center"/>
                </w:tcPr>
                <w:p>
                  <w:pPr>
                    <w:pStyle w:val="2"/>
                    <w:jc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0.018</w:t>
                  </w:r>
                </w:p>
              </w:tc>
              <w:tc>
                <w:tcPr>
                  <w:tcW w:w="690" w:type="pct"/>
                  <w:tcBorders>
                    <w:tl2br w:val="nil"/>
                    <w:tr2bl w:val="nil"/>
                  </w:tcBorders>
                  <w:noWrap w:val="0"/>
                  <w:vAlign w:val="center"/>
                </w:tcPr>
                <w:p>
                  <w:pPr>
                    <w:pStyle w:val="2"/>
                    <w:jc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1.98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DA003</w:t>
                  </w: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油烟</w:t>
                  </w:r>
                </w:p>
              </w:tc>
              <w:tc>
                <w:tcPr>
                  <w:tcW w:w="3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食堂</w:t>
                  </w:r>
                </w:p>
              </w:tc>
              <w:tc>
                <w:tcPr>
                  <w:tcW w:w="4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0.015</w:t>
                  </w:r>
                </w:p>
              </w:tc>
              <w:tc>
                <w:tcPr>
                  <w:tcW w:w="56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0.007</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7.14</w:t>
                  </w:r>
                </w:p>
              </w:tc>
              <w:tc>
                <w:tcPr>
                  <w:tcW w:w="49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0.0015</w:t>
                  </w:r>
                </w:p>
              </w:tc>
              <w:tc>
                <w:tcPr>
                  <w:tcW w:w="6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0.0007</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0.71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无组织废气</w:t>
                  </w: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颗粒物</w:t>
                  </w:r>
                </w:p>
              </w:tc>
              <w:tc>
                <w:tcPr>
                  <w:tcW w:w="3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下料</w:t>
                  </w:r>
                </w:p>
              </w:tc>
              <w:tc>
                <w:tcPr>
                  <w:tcW w:w="482"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1.235</w:t>
                  </w:r>
                </w:p>
              </w:tc>
              <w:tc>
                <w:tcPr>
                  <w:tcW w:w="56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1.029</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c>
                <w:tcPr>
                  <w:tcW w:w="49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0.010</w:t>
                  </w:r>
                </w:p>
              </w:tc>
              <w:tc>
                <w:tcPr>
                  <w:tcW w:w="6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0.008</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颗粒物</w:t>
                  </w:r>
                </w:p>
              </w:tc>
              <w:tc>
                <w:tcPr>
                  <w:tcW w:w="38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焊接</w:t>
                  </w:r>
                </w:p>
              </w:tc>
              <w:tc>
                <w:tcPr>
                  <w:tcW w:w="482"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0.030</w:t>
                  </w:r>
                </w:p>
              </w:tc>
              <w:tc>
                <w:tcPr>
                  <w:tcW w:w="56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0.02</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c>
                <w:tcPr>
                  <w:tcW w:w="49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0.012</w:t>
                  </w:r>
                </w:p>
              </w:tc>
              <w:tc>
                <w:tcPr>
                  <w:tcW w:w="6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0.0008</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sz w:val="21"/>
                      <w:szCs w:val="21"/>
                      <w:highlight w:val="none"/>
                    </w:rPr>
                    <w:t>颗粒物</w:t>
                  </w:r>
                </w:p>
              </w:tc>
              <w:tc>
                <w:tcPr>
                  <w:tcW w:w="388" w:type="pct"/>
                  <w:tcBorders>
                    <w:tl2br w:val="nil"/>
                    <w:tr2bl w:val="nil"/>
                  </w:tcBorders>
                  <w:shd w:val="clear" w:color="auto" w:fill="auto"/>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抛丸过程</w:t>
                  </w:r>
                </w:p>
              </w:tc>
              <w:tc>
                <w:tcPr>
                  <w:tcW w:w="48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0.007</w:t>
                  </w:r>
                </w:p>
              </w:tc>
              <w:tc>
                <w:tcPr>
                  <w:tcW w:w="56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0.005</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c>
                <w:tcPr>
                  <w:tcW w:w="497"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0.007</w:t>
                  </w:r>
                </w:p>
              </w:tc>
              <w:tc>
                <w:tcPr>
                  <w:tcW w:w="61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0.005</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非甲烷总烃(包括二甲苯)</w:t>
                  </w:r>
                </w:p>
              </w:tc>
              <w:tc>
                <w:tcPr>
                  <w:tcW w:w="388"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喷漆房</w:t>
                  </w:r>
                </w:p>
              </w:tc>
              <w:tc>
                <w:tcPr>
                  <w:tcW w:w="482"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0.03</w:t>
                  </w:r>
                </w:p>
              </w:tc>
              <w:tc>
                <w:tcPr>
                  <w:tcW w:w="562" w:type="pct"/>
                  <w:tcBorders>
                    <w:tl2br w:val="nil"/>
                    <w:tr2bl w:val="nil"/>
                  </w:tcBorders>
                  <w:noWrap w:val="0"/>
                  <w:vAlign w:val="center"/>
                </w:tcPr>
                <w:p>
                  <w:pPr>
                    <w:pStyle w:val="2"/>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0.02</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c>
                <w:tcPr>
                  <w:tcW w:w="497"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0.03</w:t>
                  </w:r>
                </w:p>
              </w:tc>
              <w:tc>
                <w:tcPr>
                  <w:tcW w:w="611" w:type="pct"/>
                  <w:tcBorders>
                    <w:tl2br w:val="nil"/>
                    <w:tr2bl w:val="nil"/>
                  </w:tcBorders>
                  <w:noWrap w:val="0"/>
                  <w:vAlign w:val="center"/>
                </w:tcPr>
                <w:p>
                  <w:pPr>
                    <w:pStyle w:val="2"/>
                    <w:jc w:val="center"/>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0.02</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二甲苯</w:t>
                  </w:r>
                </w:p>
              </w:tc>
              <w:tc>
                <w:tcPr>
                  <w:tcW w:w="38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482"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0.016</w:t>
                  </w:r>
                </w:p>
              </w:tc>
              <w:tc>
                <w:tcPr>
                  <w:tcW w:w="562"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0.011</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c>
                <w:tcPr>
                  <w:tcW w:w="497"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0.016</w:t>
                  </w:r>
                </w:p>
              </w:tc>
              <w:tc>
                <w:tcPr>
                  <w:tcW w:w="611"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0.011</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45"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57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颗粒物</w:t>
                  </w:r>
                </w:p>
              </w:tc>
              <w:tc>
                <w:tcPr>
                  <w:tcW w:w="388" w:type="pct"/>
                  <w:vMerge w:val="continue"/>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color w:val="000000"/>
                      <w:sz w:val="21"/>
                      <w:szCs w:val="21"/>
                      <w:highlight w:val="none"/>
                      <w:lang w:val="en-US" w:eastAsia="zh-CN"/>
                    </w:rPr>
                  </w:pPr>
                </w:p>
              </w:tc>
              <w:tc>
                <w:tcPr>
                  <w:tcW w:w="482" w:type="pct"/>
                  <w:tcBorders>
                    <w:tl2br w:val="nil"/>
                    <w:tr2bl w:val="nil"/>
                  </w:tcBorders>
                  <w:noWrap w:val="0"/>
                  <w:vAlign w:val="center"/>
                </w:tcPr>
                <w:p>
                  <w:pPr>
                    <w:pStyle w:val="2"/>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eastAsia="宋体" w:cs="Times New Roman"/>
                      <w:sz w:val="21"/>
                      <w:szCs w:val="21"/>
                      <w:vertAlign w:val="baseline"/>
                      <w:lang w:val="en-US" w:eastAsia="zh-CN"/>
                    </w:rPr>
                    <w:t>0.002</w:t>
                  </w:r>
                </w:p>
              </w:tc>
              <w:tc>
                <w:tcPr>
                  <w:tcW w:w="562" w:type="pct"/>
                  <w:tcBorders>
                    <w:tl2br w:val="nil"/>
                    <w:tr2bl w:val="nil"/>
                  </w:tcBorders>
                  <w:noWrap w:val="0"/>
                  <w:vAlign w:val="center"/>
                </w:tcPr>
                <w:p>
                  <w:pPr>
                    <w:pStyle w:val="2"/>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0.001</w:t>
                  </w:r>
                </w:p>
              </w:tc>
              <w:tc>
                <w:tcPr>
                  <w:tcW w:w="642"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c>
                <w:tcPr>
                  <w:tcW w:w="497" w:type="pct"/>
                  <w:tcBorders>
                    <w:tl2br w:val="nil"/>
                    <w:tr2bl w:val="nil"/>
                  </w:tcBorders>
                  <w:noWrap w:val="0"/>
                  <w:vAlign w:val="center"/>
                </w:tcPr>
                <w:p>
                  <w:pPr>
                    <w:pStyle w:val="2"/>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0.002</w:t>
                  </w:r>
                </w:p>
              </w:tc>
              <w:tc>
                <w:tcPr>
                  <w:tcW w:w="611" w:type="pct"/>
                  <w:tcBorders>
                    <w:tl2br w:val="nil"/>
                    <w:tr2bl w:val="nil"/>
                  </w:tcBorders>
                  <w:noWrap w:val="0"/>
                  <w:vAlign w:val="center"/>
                </w:tcPr>
                <w:p>
                  <w:pPr>
                    <w:pStyle w:val="2"/>
                    <w:jc w:val="center"/>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z w:val="21"/>
                      <w:szCs w:val="21"/>
                      <w:vertAlign w:val="baseline"/>
                      <w:lang w:val="en-US" w:eastAsia="zh-CN"/>
                    </w:rPr>
                    <w:t>0.001</w:t>
                  </w:r>
                </w:p>
              </w:tc>
              <w:tc>
                <w:tcPr>
                  <w:tcW w:w="69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w:t>
                  </w:r>
                </w:p>
              </w:tc>
            </w:tr>
          </w:tbl>
          <w:p>
            <w:pPr>
              <w:pStyle w:val="16"/>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000000"/>
                <w:sz w:val="24"/>
                <w:szCs w:val="24"/>
                <w:highlight w:val="none"/>
                <w:vertAlign w:val="baseline"/>
                <w:lang w:val="en-US" w:eastAsia="zh-CN"/>
              </w:rPr>
            </w:pPr>
            <w:r>
              <w:rPr>
                <w:rFonts w:hint="default" w:ascii="Times New Roman" w:hAnsi="Times New Roman" w:cs="Times New Roman"/>
                <w:color w:val="000000"/>
                <w:sz w:val="24"/>
                <w:szCs w:val="24"/>
                <w:highlight w:val="none"/>
                <w:lang w:val="en-US" w:eastAsia="zh-CN"/>
              </w:rPr>
              <w:t>本</w:t>
            </w:r>
            <w:r>
              <w:rPr>
                <w:rFonts w:hint="default" w:ascii="Times New Roman" w:hAnsi="Times New Roman" w:eastAsia="宋体" w:cs="Times New Roman"/>
                <w:color w:val="000000"/>
                <w:sz w:val="24"/>
                <w:szCs w:val="24"/>
                <w:highlight w:val="none"/>
                <w:lang w:val="en-US" w:eastAsia="zh-CN"/>
              </w:rPr>
              <w:t>项目废气治理设施情况见下表。</w:t>
            </w:r>
          </w:p>
          <w:p>
            <w:pPr>
              <w:pStyle w:val="6"/>
              <w:pageBreakBefore w:val="0"/>
              <w:widowControl w:val="0"/>
              <w:kinsoku/>
              <w:wordWrap/>
              <w:overflowPunct/>
              <w:topLinePunct w:val="0"/>
              <w:autoSpaceDE/>
              <w:autoSpaceDN/>
              <w:bidi w:val="0"/>
              <w:adjustRightInd/>
              <w:snapToGrid/>
              <w:spacing w:before="0" w:after="0" w:line="480" w:lineRule="exact"/>
              <w:jc w:val="center"/>
              <w:textAlignment w:val="auto"/>
              <w:outlineLvl w:val="3"/>
              <w:rPr>
                <w:rFonts w:hint="default" w:ascii="Times New Roman" w:hAnsi="Times New Roman" w:eastAsia="宋体" w:cs="Times New Roman"/>
                <w:color w:val="000000"/>
                <w:sz w:val="24"/>
                <w:szCs w:val="24"/>
                <w:highlight w:val="none"/>
              </w:rPr>
            </w:pPr>
            <w:r>
              <w:rPr>
                <w:rFonts w:hint="default" w:ascii="Times New Roman" w:hAnsi="Times New Roman" w:eastAsia="宋体" w:cs="Times New Roman"/>
                <w:color w:val="000000"/>
                <w:sz w:val="24"/>
                <w:szCs w:val="24"/>
                <w:highlight w:val="none"/>
                <w:lang w:val="en-US" w:eastAsia="zh-CN"/>
              </w:rPr>
              <w:t>表4-2  废气治理设施情况一览表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0"/>
              <w:gridCol w:w="1282"/>
              <w:gridCol w:w="1284"/>
              <w:gridCol w:w="809"/>
              <w:gridCol w:w="867"/>
              <w:gridCol w:w="880"/>
              <w:gridCol w:w="979"/>
              <w:gridCol w:w="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vMerge w:val="restar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污染源</w:t>
                  </w:r>
                </w:p>
              </w:tc>
              <w:tc>
                <w:tcPr>
                  <w:tcW w:w="772" w:type="pct"/>
                  <w:vMerge w:val="restar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污染因子</w:t>
                  </w:r>
                </w:p>
              </w:tc>
              <w:tc>
                <w:tcPr>
                  <w:tcW w:w="2314" w:type="pct"/>
                  <w:gridSpan w:val="4"/>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治理措施</w:t>
                  </w:r>
                </w:p>
              </w:tc>
              <w:tc>
                <w:tcPr>
                  <w:tcW w:w="589" w:type="pct"/>
                  <w:vMerge w:val="restar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是否为可行技术</w:t>
                  </w:r>
                </w:p>
              </w:tc>
              <w:tc>
                <w:tcPr>
                  <w:tcW w:w="509" w:type="pct"/>
                  <w:vMerge w:val="restar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运行时间h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vMerge w:val="continue"/>
                  <w:tcBorders>
                    <w:tl2br w:val="nil"/>
                    <w:tr2bl w:val="nil"/>
                  </w:tcBorders>
                  <w:noWrap w:val="0"/>
                  <w:vAlign w:val="center"/>
                </w:tcPr>
                <w:p>
                  <w:pPr>
                    <w:jc w:val="center"/>
                    <w:rPr>
                      <w:rFonts w:hint="default" w:ascii="Times New Roman" w:hAnsi="Times New Roman" w:cs="Times New Roman"/>
                      <w:color w:val="000000"/>
                      <w:szCs w:val="21"/>
                      <w:highlight w:val="none"/>
                    </w:rPr>
                  </w:pPr>
                </w:p>
              </w:tc>
              <w:tc>
                <w:tcPr>
                  <w:tcW w:w="772" w:type="pct"/>
                  <w:vMerge w:val="continue"/>
                  <w:tcBorders>
                    <w:tl2br w:val="nil"/>
                    <w:tr2bl w:val="nil"/>
                  </w:tcBorders>
                  <w:noWrap w:val="0"/>
                  <w:vAlign w:val="center"/>
                </w:tcPr>
                <w:p>
                  <w:pPr>
                    <w:jc w:val="center"/>
                    <w:rPr>
                      <w:rFonts w:hint="default" w:ascii="Times New Roman" w:hAnsi="Times New Roman" w:cs="Times New Roman"/>
                      <w:color w:val="000000"/>
                      <w:szCs w:val="21"/>
                      <w:highlight w:val="none"/>
                    </w:rPr>
                  </w:pPr>
                </w:p>
              </w:tc>
              <w:tc>
                <w:tcPr>
                  <w:tcW w:w="773"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措施名称</w:t>
                  </w:r>
                </w:p>
              </w:tc>
              <w:tc>
                <w:tcPr>
                  <w:tcW w:w="487"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风量Nm</w:t>
                  </w:r>
                  <w:r>
                    <w:rPr>
                      <w:rFonts w:hint="default" w:ascii="Times New Roman" w:hAnsi="Times New Roman" w:cs="Times New Roman"/>
                      <w:color w:val="000000"/>
                      <w:szCs w:val="21"/>
                      <w:highlight w:val="none"/>
                      <w:vertAlign w:val="superscript"/>
                    </w:rPr>
                    <w:t>3</w:t>
                  </w:r>
                  <w:r>
                    <w:rPr>
                      <w:rFonts w:hint="default" w:ascii="Times New Roman" w:hAnsi="Times New Roman" w:cs="Times New Roman"/>
                      <w:color w:val="000000"/>
                      <w:szCs w:val="21"/>
                      <w:highlight w:val="none"/>
                    </w:rPr>
                    <w:t>/h</w:t>
                  </w:r>
                </w:p>
              </w:tc>
              <w:tc>
                <w:tcPr>
                  <w:tcW w:w="522"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收集效率%</w:t>
                  </w:r>
                </w:p>
              </w:tc>
              <w:tc>
                <w:tcPr>
                  <w:tcW w:w="530"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去除效率%</w:t>
                  </w:r>
                </w:p>
              </w:tc>
              <w:tc>
                <w:tcPr>
                  <w:tcW w:w="589" w:type="pct"/>
                  <w:vMerge w:val="continue"/>
                  <w:tcBorders>
                    <w:tl2br w:val="nil"/>
                    <w:tr2bl w:val="nil"/>
                  </w:tcBorders>
                  <w:noWrap w:val="0"/>
                  <w:vAlign w:val="center"/>
                </w:tcPr>
                <w:p>
                  <w:pPr>
                    <w:jc w:val="center"/>
                    <w:rPr>
                      <w:rFonts w:hint="default" w:ascii="Times New Roman" w:hAnsi="Times New Roman" w:cs="Times New Roman"/>
                      <w:color w:val="000000"/>
                      <w:szCs w:val="21"/>
                      <w:highlight w:val="none"/>
                    </w:rPr>
                  </w:pPr>
                </w:p>
              </w:tc>
              <w:tc>
                <w:tcPr>
                  <w:tcW w:w="509" w:type="pct"/>
                  <w:vMerge w:val="continue"/>
                  <w:tcBorders>
                    <w:tl2br w:val="nil"/>
                    <w:tr2bl w:val="nil"/>
                  </w:tcBorders>
                  <w:noWrap w:val="0"/>
                  <w:vAlign w:val="center"/>
                </w:tcPr>
                <w:p>
                  <w:pPr>
                    <w:jc w:val="center"/>
                    <w:rPr>
                      <w:rFonts w:hint="default" w:ascii="Times New Roman" w:hAnsi="Times New Roman" w:cs="Times New Roman"/>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rPr>
                  </w:pPr>
                  <w:r>
                    <w:rPr>
                      <w:rFonts w:hint="default" w:ascii="Times New Roman" w:hAnsi="Times New Roman" w:cs="Times New Roman"/>
                      <w:color w:val="000000"/>
                      <w:szCs w:val="21"/>
                      <w:highlight w:val="none"/>
                      <w:lang w:val="en-US" w:eastAsia="zh-CN"/>
                    </w:rPr>
                    <w:t>抛丸废气（DA001）</w:t>
                  </w:r>
                </w:p>
              </w:tc>
              <w:tc>
                <w:tcPr>
                  <w:tcW w:w="772"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颗粒物</w:t>
                  </w:r>
                </w:p>
              </w:tc>
              <w:tc>
                <w:tcPr>
                  <w:tcW w:w="773"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eastAsia="宋体" w:cs="Times New Roman"/>
                      <w:b w:val="0"/>
                      <w:bCs w:val="0"/>
                      <w:color w:val="000000"/>
                      <w:sz w:val="21"/>
                      <w:szCs w:val="21"/>
                      <w:highlight w:val="none"/>
                      <w:lang w:val="en-US" w:eastAsia="zh-CN"/>
                    </w:rPr>
                    <w:t>沉降除尘+旋风+高效滤</w:t>
                  </w:r>
                  <w:r>
                    <w:rPr>
                      <w:rFonts w:hint="default" w:ascii="Times New Roman" w:hAnsi="Times New Roman" w:cs="Times New Roman"/>
                      <w:b w:val="0"/>
                      <w:bCs w:val="0"/>
                      <w:color w:val="000000"/>
                      <w:sz w:val="21"/>
                      <w:szCs w:val="21"/>
                      <w:highlight w:val="none"/>
                      <w:lang w:val="en-US" w:eastAsia="zh-CN"/>
                    </w:rPr>
                    <w:t>筒</w:t>
                  </w:r>
                  <w:r>
                    <w:rPr>
                      <w:rFonts w:hint="default" w:ascii="Times New Roman" w:hAnsi="Times New Roman" w:eastAsia="宋体" w:cs="Times New Roman"/>
                      <w:b w:val="0"/>
                      <w:bCs w:val="0"/>
                      <w:color w:val="000000"/>
                      <w:sz w:val="21"/>
                      <w:szCs w:val="21"/>
                      <w:highlight w:val="none"/>
                      <w:lang w:val="en-US" w:eastAsia="zh-CN"/>
                    </w:rPr>
                    <w:t>除尘器除尘</w:t>
                  </w:r>
                </w:p>
              </w:tc>
              <w:tc>
                <w:tcPr>
                  <w:tcW w:w="487"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27000</w:t>
                  </w:r>
                </w:p>
              </w:tc>
              <w:tc>
                <w:tcPr>
                  <w:tcW w:w="522"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99</w:t>
                  </w:r>
                </w:p>
              </w:tc>
              <w:tc>
                <w:tcPr>
                  <w:tcW w:w="530"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99</w:t>
                  </w:r>
                </w:p>
              </w:tc>
              <w:tc>
                <w:tcPr>
                  <w:tcW w:w="589"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是</w:t>
                  </w:r>
                </w:p>
              </w:tc>
              <w:tc>
                <w:tcPr>
                  <w:tcW w:w="50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15</w:t>
                  </w:r>
                  <w:r>
                    <w:rPr>
                      <w:rFonts w:hint="default" w:ascii="Times New Roman" w:hAnsi="Times New Roman" w:eastAsia="宋体" w:cs="Times New Roman"/>
                      <w:color w:val="000000"/>
                      <w:szCs w:val="21"/>
                      <w:highlight w:val="none"/>
                      <w:lang w:val="en-US" w:eastAsia="zh-CN"/>
                    </w:rPr>
                    <w:t>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喷漆房废气（DA002）</w:t>
                  </w:r>
                </w:p>
              </w:tc>
              <w:tc>
                <w:tcPr>
                  <w:tcW w:w="772"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颗粒物、非甲烷总烃、二甲苯</w:t>
                  </w:r>
                </w:p>
              </w:tc>
              <w:tc>
                <w:tcPr>
                  <w:tcW w:w="77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干式过滤+活性炭吸附+催化燃烧</w:t>
                  </w:r>
                </w:p>
              </w:tc>
              <w:tc>
                <w:tcPr>
                  <w:tcW w:w="487"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9000</w:t>
                  </w:r>
                </w:p>
              </w:tc>
              <w:tc>
                <w:tcPr>
                  <w:tcW w:w="522"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99</w:t>
                  </w:r>
                </w:p>
              </w:tc>
              <w:tc>
                <w:tcPr>
                  <w:tcW w:w="530"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85</w:t>
                  </w:r>
                </w:p>
              </w:tc>
              <w:tc>
                <w:tcPr>
                  <w:tcW w:w="58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lang w:eastAsia="zh-CN"/>
                    </w:rPr>
                    <w:t>是</w:t>
                  </w:r>
                </w:p>
              </w:tc>
              <w:tc>
                <w:tcPr>
                  <w:tcW w:w="50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食堂油烟（DA003）</w:t>
                  </w:r>
                </w:p>
              </w:tc>
              <w:tc>
                <w:tcPr>
                  <w:tcW w:w="772"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油烟</w:t>
                  </w:r>
                </w:p>
              </w:tc>
              <w:tc>
                <w:tcPr>
                  <w:tcW w:w="77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油烟净化器</w:t>
                  </w:r>
                </w:p>
              </w:tc>
              <w:tc>
                <w:tcPr>
                  <w:tcW w:w="487"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1000</w:t>
                  </w:r>
                </w:p>
              </w:tc>
              <w:tc>
                <w:tcPr>
                  <w:tcW w:w="522"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530"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90</w:t>
                  </w:r>
                </w:p>
              </w:tc>
              <w:tc>
                <w:tcPr>
                  <w:tcW w:w="58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lang w:eastAsia="zh-CN"/>
                    </w:rPr>
                    <w:t>是</w:t>
                  </w:r>
                </w:p>
              </w:tc>
              <w:tc>
                <w:tcPr>
                  <w:tcW w:w="50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2100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下料废气</w:t>
                  </w:r>
                </w:p>
              </w:tc>
              <w:tc>
                <w:tcPr>
                  <w:tcW w:w="772"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颗粒物</w:t>
                  </w:r>
                </w:p>
              </w:tc>
              <w:tc>
                <w:tcPr>
                  <w:tcW w:w="77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移动式焊烟净化器</w:t>
                  </w:r>
                </w:p>
              </w:tc>
              <w:tc>
                <w:tcPr>
                  <w:tcW w:w="487"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522"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80</w:t>
                  </w:r>
                </w:p>
              </w:tc>
              <w:tc>
                <w:tcPr>
                  <w:tcW w:w="530"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95</w:t>
                  </w:r>
                </w:p>
              </w:tc>
              <w:tc>
                <w:tcPr>
                  <w:tcW w:w="58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lang w:eastAsia="zh-CN"/>
                    </w:rPr>
                    <w:t>是</w:t>
                  </w:r>
                </w:p>
              </w:tc>
              <w:tc>
                <w:tcPr>
                  <w:tcW w:w="50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焊接烟尘</w:t>
                  </w:r>
                </w:p>
              </w:tc>
              <w:tc>
                <w:tcPr>
                  <w:tcW w:w="772" w:type="pct"/>
                  <w:tcBorders>
                    <w:tl2br w:val="nil"/>
                    <w:tr2bl w:val="nil"/>
                  </w:tcBorders>
                  <w:noWrap w:val="0"/>
                  <w:vAlign w:val="center"/>
                </w:tcPr>
                <w:p>
                  <w:pPr>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颗粒物</w:t>
                  </w:r>
                </w:p>
              </w:tc>
              <w:tc>
                <w:tcPr>
                  <w:tcW w:w="773"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移动式焊烟净化器</w:t>
                  </w:r>
                </w:p>
              </w:tc>
              <w:tc>
                <w:tcPr>
                  <w:tcW w:w="487"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w:t>
                  </w:r>
                </w:p>
              </w:tc>
              <w:tc>
                <w:tcPr>
                  <w:tcW w:w="522"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80</w:t>
                  </w:r>
                </w:p>
              </w:tc>
              <w:tc>
                <w:tcPr>
                  <w:tcW w:w="530" w:type="pct"/>
                  <w:tcBorders>
                    <w:tl2br w:val="nil"/>
                    <w:tr2bl w:val="nil"/>
                  </w:tcBorders>
                  <w:noWrap w:val="0"/>
                  <w:vAlign w:val="center"/>
                </w:tcPr>
                <w:p>
                  <w:pPr>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95</w:t>
                  </w:r>
                </w:p>
              </w:tc>
              <w:tc>
                <w:tcPr>
                  <w:tcW w:w="58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lang w:eastAsia="zh-CN"/>
                    </w:rPr>
                    <w:t>是</w:t>
                  </w:r>
                </w:p>
              </w:tc>
              <w:tc>
                <w:tcPr>
                  <w:tcW w:w="509" w:type="pct"/>
                  <w:tcBorders>
                    <w:tl2br w:val="nil"/>
                    <w:tr2bl w:val="nil"/>
                  </w:tcBorders>
                  <w:noWrap w:val="0"/>
                  <w:vAlign w:val="center"/>
                </w:tcPr>
                <w:p>
                  <w:pPr>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1500</w:t>
                  </w:r>
                </w:p>
              </w:tc>
            </w:tr>
          </w:tbl>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60" w:lineRule="exact"/>
              <w:ind w:firstLine="480" w:firstLineChars="200"/>
              <w:textAlignment w:val="auto"/>
              <w:rPr>
                <w:rFonts w:hint="default" w:ascii="Times New Roman" w:hAnsi="Times New Roman" w:cs="Times New Roman"/>
                <w:b w:val="0"/>
                <w:bCs/>
                <w:color w:val="000000"/>
                <w:sz w:val="24"/>
                <w:szCs w:val="24"/>
                <w:highlight w:val="none"/>
                <w:lang w:val="en-US" w:eastAsia="zh-CN"/>
              </w:rPr>
            </w:pPr>
            <w:r>
              <w:rPr>
                <w:rFonts w:hint="default" w:ascii="Times New Roman" w:hAnsi="Times New Roman" w:cs="Times New Roman"/>
                <w:b w:val="0"/>
                <w:bCs/>
                <w:color w:val="000000"/>
                <w:sz w:val="24"/>
                <w:szCs w:val="24"/>
                <w:highlight w:val="none"/>
                <w:lang w:val="en-US" w:eastAsia="zh-CN"/>
              </w:rPr>
              <w:t>2、污染物排放达标判定分析</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1）有组织废气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highlight w:val="none"/>
                <w:lang w:val="en-US" w:eastAsia="zh-CN"/>
              </w:rPr>
              <w:t>)抛丸废气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本</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项目抛丸</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机</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产生的颗粒物采用三级除尘</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沉降除尘+旋风+高效滤</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筒</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除尘器除尘</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处理后经排气筒（DA001）排放</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。项目抛丸工序颗粒物</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有组织</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0.17</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《大气污染物综合排放标准（GB16297-1996）表2二级标准要求</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120mg/m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喷漆房</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本</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采用密闭式喷漆房</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由风机使喷漆房内形成微负压状态，将喷漆产生的漆雾等废气经干式过滤+活性炭吸附+催化燃烧处理后经排气筒（DA002）排放</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喷漆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非甲烷总烃（包括二甲苯）</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33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《工业企业挥发性有机物排放控制标准》（DB13/2322-2016）中表1表面涂装业</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排放限制要求60mg/m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；项目喷漆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颗粒物有组织</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1.98</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《大气污染物综合排放标准》（GB16297-1996）表2中颗粒物染料尘限值</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18</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食堂油烟</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sz w:val="24"/>
                <w:szCs w:val="24"/>
                <w:highlight w:val="none"/>
                <w:lang w:val="en-US" w:eastAsia="zh-CN"/>
              </w:rPr>
              <w:t>本项目</w:t>
            </w:r>
            <w:r>
              <w:rPr>
                <w:rFonts w:hint="default" w:ascii="Times New Roman" w:hAnsi="Times New Roman" w:cs="Times New Roman"/>
                <w:b w:val="0"/>
                <w:bCs w:val="0"/>
                <w:color w:val="000000"/>
                <w:sz w:val="24"/>
                <w:szCs w:val="24"/>
                <w:highlight w:val="none"/>
                <w:lang w:val="en-US" w:eastAsia="zh-CN"/>
              </w:rPr>
              <w:t>食堂</w:t>
            </w:r>
            <w:r>
              <w:rPr>
                <w:rFonts w:hint="default" w:ascii="Times New Roman" w:hAnsi="Times New Roman" w:eastAsia="宋体" w:cs="Times New Roman"/>
                <w:b w:val="0"/>
                <w:bCs w:val="0"/>
                <w:color w:val="000000"/>
                <w:sz w:val="24"/>
                <w:szCs w:val="24"/>
                <w:highlight w:val="none"/>
                <w:lang w:val="en-US" w:eastAsia="zh-CN"/>
              </w:rPr>
              <w:t>有</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lang w:val="en-US" w:eastAsia="zh-CN"/>
              </w:rPr>
              <w:t>个灶头，</w:t>
            </w:r>
            <w:r>
              <w:rPr>
                <w:rFonts w:hint="default" w:ascii="Times New Roman" w:hAnsi="Times New Roman" w:cs="Times New Roman"/>
                <w:b w:val="0"/>
                <w:bCs w:val="0"/>
                <w:color w:val="000000"/>
                <w:sz w:val="24"/>
                <w:szCs w:val="24"/>
                <w:highlight w:val="none"/>
                <w:lang w:val="en-US" w:eastAsia="zh-CN"/>
              </w:rPr>
              <w:t>劳动定员60人，</w:t>
            </w:r>
            <w:r>
              <w:rPr>
                <w:rFonts w:hint="default" w:ascii="Times New Roman" w:hAnsi="Times New Roman" w:eastAsia="宋体" w:cs="Times New Roman"/>
                <w:b w:val="0"/>
                <w:bCs w:val="0"/>
                <w:color w:val="000000"/>
                <w:sz w:val="24"/>
                <w:szCs w:val="24"/>
                <w:highlight w:val="none"/>
                <w:lang w:val="en-US" w:eastAsia="zh-CN"/>
              </w:rPr>
              <w:t>根据《</w:t>
            </w:r>
            <w:r>
              <w:rPr>
                <w:rFonts w:hint="default" w:ascii="Times New Roman" w:hAnsi="Times New Roman" w:eastAsia="宋体" w:cs="Times New Roman"/>
                <w:sz w:val="24"/>
                <w:szCs w:val="24"/>
              </w:rPr>
              <w:t>餐饮业大气污染物排放标准</w:t>
            </w: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DB13/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5808</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2023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，属于属于</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小</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型饮食业单位，采用油烟净化</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器</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（按风量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000m</w:t>
            </w:r>
            <w:r>
              <w:rPr>
                <w:rFonts w:hint="default" w:ascii="Times New Roman" w:hAnsi="Times New Roman" w:eastAsia="宋体"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/h计）对油烟进行净化处理，净化后</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经排气筒（DA003）排放，</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油烟排放浓度为0.</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71</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《餐饮业大气污染物排放标准》(DB13/5808-2023)小型餐饮服务单位</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油烟排放限制1.5</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vertAlign w:val="baseli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2）无组织废气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下料</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本</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项目在</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下料</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工序会产</w:t>
            </w:r>
            <w:r>
              <w:rPr>
                <w:rFonts w:hint="default" w:ascii="Times New Roman" w:hAnsi="Times New Roman" w:eastAsia="宋体" w:cs="Times New Roman"/>
                <w:b w:val="0"/>
                <w:bCs w:val="0"/>
                <w:color w:val="000000"/>
                <w:sz w:val="24"/>
                <w:szCs w:val="24"/>
                <w:highlight w:val="none"/>
                <w:lang w:val="en-US" w:eastAsia="zh-CN"/>
              </w:rPr>
              <w:t>生一定量的颗粒物，项目</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区封闭，采用移动式焊烟净化器处理后，及时清扫地面，沉降金属粉尘袋装收集后定期外售回收站，经移动式焊烟净化器处理后无组织排放的颗粒物为0.</w:t>
            </w:r>
            <w:r>
              <w:rPr>
                <w:rFonts w:hint="default" w:ascii="Times New Roman" w:hAnsi="Times New Roman" w:cs="Times New Roman"/>
                <w:b w:val="0"/>
                <w:bCs w:val="0"/>
                <w:color w:val="000000"/>
                <w:sz w:val="24"/>
                <w:szCs w:val="24"/>
                <w:highlight w:val="none"/>
                <w:lang w:val="en-US" w:eastAsia="zh-CN"/>
              </w:rPr>
              <w:t>010</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a，排放速率为0.</w:t>
            </w:r>
            <w:r>
              <w:rPr>
                <w:rFonts w:hint="default" w:ascii="Times New Roman" w:hAnsi="Times New Roman" w:cs="Times New Roman"/>
                <w:b w:val="0"/>
                <w:bCs w:val="0"/>
                <w:color w:val="000000"/>
                <w:sz w:val="24"/>
                <w:szCs w:val="24"/>
                <w:highlight w:val="none"/>
                <w:lang w:val="en-US" w:eastAsia="zh-CN"/>
              </w:rPr>
              <w:t>008</w:t>
            </w:r>
            <w:r>
              <w:rPr>
                <w:rFonts w:hint="default" w:ascii="Times New Roman" w:hAnsi="Times New Roman" w:eastAsia="宋体" w:cs="Times New Roman"/>
                <w:b w:val="0"/>
                <w:bCs w:val="0"/>
                <w:color w:val="000000"/>
                <w:sz w:val="24"/>
                <w:szCs w:val="24"/>
                <w:highlight w:val="none"/>
                <w:lang w:val="en-US" w:eastAsia="zh-CN"/>
              </w:rPr>
              <w:t>kg</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h，排放量较小，对周围环境影响较小。</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lang w:val="en-US" w:eastAsia="zh-CN"/>
              </w:rPr>
              <w:t>)焊接</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项目在焊接过程会产生少量焊烟，主要污染物为颗粒物。焊接过程产生的少量颗粒物使用移动式焊烟净化器进行处理后无组织排放。本项目焊接废气无组织排放量为0.01</w:t>
            </w:r>
            <w:r>
              <w:rPr>
                <w:rFonts w:hint="default" w:ascii="Times New Roman" w:hAnsi="Times New Roman"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a，排放速率为0.00</w:t>
            </w:r>
            <w:r>
              <w:rPr>
                <w:rFonts w:hint="default" w:ascii="Times New Roman" w:hAnsi="Times New Roman" w:cs="Times New Roman"/>
                <w:b w:val="0"/>
                <w:bCs w:val="0"/>
                <w:color w:val="000000"/>
                <w:sz w:val="24"/>
                <w:szCs w:val="24"/>
                <w:highlight w:val="none"/>
                <w:lang w:val="en-US" w:eastAsia="zh-CN"/>
              </w:rPr>
              <w:t>08</w:t>
            </w:r>
            <w:r>
              <w:rPr>
                <w:rFonts w:hint="default" w:ascii="Times New Roman" w:hAnsi="Times New Roman" w:eastAsia="宋体" w:cs="Times New Roman"/>
                <w:b w:val="0"/>
                <w:bCs w:val="0"/>
                <w:color w:val="000000"/>
                <w:sz w:val="24"/>
                <w:szCs w:val="24"/>
                <w:highlight w:val="none"/>
                <w:lang w:val="en-US" w:eastAsia="zh-CN"/>
              </w:rPr>
              <w:t>kg/h，排放量较小，对周围环境影响较小。</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60" w:lineRule="exact"/>
              <w:ind w:firstLine="480" w:firstLineChars="200"/>
              <w:textAlignment w:val="auto"/>
              <w:rPr>
                <w:rFonts w:hint="default" w:ascii="Times New Roman" w:hAnsi="Times New Roman" w:eastAsia="宋体" w:cs="Times New Roman"/>
                <w:color w:val="000000"/>
                <w:kern w:val="0"/>
                <w:sz w:val="24"/>
                <w:szCs w:val="24"/>
                <w:highlight w:val="none"/>
                <w:lang w:val="en-US" w:eastAsia="zh-CN"/>
              </w:rPr>
            </w:pPr>
            <w:r>
              <w:rPr>
                <w:rFonts w:hint="default" w:ascii="Times New Roman" w:hAnsi="Times New Roman" w:cs="Times New Roman"/>
                <w:bCs/>
                <w:color w:val="000000"/>
                <w:sz w:val="24"/>
                <w:szCs w:val="24"/>
                <w:highlight w:val="none"/>
                <w:lang w:val="en-US" w:eastAsia="zh-CN"/>
              </w:rPr>
              <w:t>本项目采取厂房密闭、定期清扫、洒水抑尘措施抑制无组织废气排放</w:t>
            </w:r>
            <w:r>
              <w:rPr>
                <w:rFonts w:hint="default" w:ascii="Times New Roman" w:hAnsi="Times New Roman" w:cs="Times New Roman"/>
                <w:color w:val="000000"/>
                <w:sz w:val="24"/>
                <w:szCs w:val="24"/>
                <w:highlight w:val="none"/>
                <w:vertAlign w:val="baseline"/>
                <w:lang w:eastAsia="zh-CN"/>
              </w:rPr>
              <w:t>。</w:t>
            </w:r>
            <w:r>
              <w:rPr>
                <w:rFonts w:hint="default" w:ascii="Times New Roman" w:hAnsi="Times New Roman" w:eastAsia="宋体" w:cs="Times New Roman"/>
                <w:b w:val="0"/>
                <w:bCs w:val="0"/>
                <w:color w:val="000000"/>
                <w:sz w:val="24"/>
                <w:szCs w:val="24"/>
                <w:highlight w:val="none"/>
                <w:lang w:val="en-US" w:eastAsia="zh-CN"/>
              </w:rPr>
              <w:t>本项目采用《环境影响评价技术导则·大气环境》(HJ2.2-2018)所推荐采用的估算模式AERSCREEN，经预测本项目</w:t>
            </w:r>
            <w:r>
              <w:rPr>
                <w:rFonts w:hint="default" w:ascii="Times New Roman" w:hAnsi="Times New Roman" w:cs="Times New Roman"/>
                <w:b w:val="0"/>
                <w:bCs w:val="0"/>
                <w:color w:val="000000"/>
                <w:sz w:val="24"/>
                <w:szCs w:val="24"/>
                <w:highlight w:val="none"/>
                <w:lang w:val="en-US" w:eastAsia="zh-CN"/>
              </w:rPr>
              <w:t>厂界</w:t>
            </w:r>
            <w:r>
              <w:rPr>
                <w:rFonts w:hint="default" w:ascii="Times New Roman" w:hAnsi="Times New Roman" w:eastAsia="宋体" w:cs="Times New Roman"/>
                <w:b w:val="0"/>
                <w:bCs w:val="0"/>
                <w:color w:val="000000"/>
                <w:sz w:val="24"/>
                <w:szCs w:val="24"/>
                <w:highlight w:val="none"/>
                <w:lang w:val="en-US" w:eastAsia="zh-CN"/>
              </w:rPr>
              <w:t>颗粒物排放满足《大气污染物综合排放标准》(GB16297-1996)表2中颗粒物无组织排放监控限值要求(1.0mg/m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eastAsia="宋体" w:cs="Times New Roman"/>
                <w:b w:val="0"/>
                <w:bCs w:val="0"/>
                <w:color w:val="000000"/>
                <w:sz w:val="24"/>
                <w:szCs w:val="24"/>
                <w:highlight w:val="none"/>
                <w:lang w:val="en-US" w:eastAsia="zh-CN"/>
              </w:rPr>
              <w:t>)，同时满足《秦皇岛市人民政府办公室关于执行钢铁等行业大气污染物排放特别要求的通知》([2021]-10)中无组织排放浓度特别管控要求，颗粒物0.3mg/m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非甲烷总烃排放</w:t>
            </w:r>
            <w:r>
              <w:rPr>
                <w:rFonts w:hint="default" w:ascii="Times New Roman" w:hAnsi="Times New Roman" w:cs="Times New Roman"/>
                <w:b w:val="0"/>
                <w:bCs w:val="0"/>
                <w:color w:val="000000"/>
                <w:sz w:val="24"/>
                <w:szCs w:val="24"/>
                <w:highlight w:val="none"/>
                <w:lang w:val="en-US" w:eastAsia="zh-CN"/>
              </w:rPr>
              <w:t>满足</w:t>
            </w:r>
            <w:r>
              <w:rPr>
                <w:rFonts w:hint="default" w:ascii="Times New Roman" w:hAnsi="Times New Roman" w:eastAsia="宋体" w:cs="Times New Roman"/>
                <w:b w:val="0"/>
                <w:bCs w:val="0"/>
                <w:color w:val="000000"/>
                <w:sz w:val="24"/>
                <w:szCs w:val="24"/>
                <w:highlight w:val="none"/>
                <w:lang w:val="en-US" w:eastAsia="zh-CN"/>
              </w:rPr>
              <w:t>《工业企业挥发性有机物排放控制标准》(DB 13/2322-2016)标准及《挥发性有机物无组织排放控制标准》(GB37822-2019)相关要求</w:t>
            </w:r>
            <w:r>
              <w:rPr>
                <w:rFonts w:hint="default" w:ascii="Times New Roman" w:hAnsi="Times New Roman" w:cs="Times New Roman"/>
                <w:color w:val="000000"/>
                <w:sz w:val="24"/>
                <w:szCs w:val="24"/>
                <w:highlight w:val="none"/>
                <w:lang w:eastAsia="zh-CN"/>
              </w:rPr>
              <w:t>。</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60" w:lineRule="exact"/>
              <w:ind w:firstLine="480" w:firstLineChars="200"/>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color w:val="000000"/>
                <w:kern w:val="2"/>
                <w:sz w:val="24"/>
                <w:szCs w:val="24"/>
                <w:highlight w:val="none"/>
                <w:vertAlign w:val="baseline"/>
                <w:lang w:val="en-US" w:eastAsia="zh-CN" w:bidi="ar-SA"/>
              </w:rPr>
              <w:t>本项目污染物排放达标情况分析情况见下表。</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60" w:lineRule="exact"/>
              <w:ind w:firstLine="482" w:firstLineChars="200"/>
              <w:jc w:val="center"/>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b/>
                <w:bCs/>
                <w:color w:val="000000"/>
                <w:sz w:val="24"/>
                <w:szCs w:val="24"/>
                <w:highlight w:val="none"/>
                <w:lang w:val="en-US" w:eastAsia="zh-CN"/>
              </w:rPr>
              <w:t>表4-3 本项目污染物排放达标情况分析情况一览表</w:t>
            </w:r>
          </w:p>
          <w:tbl>
            <w:tblPr>
              <w:tblStyle w:val="33"/>
              <w:tblW w:w="497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5"/>
              <w:gridCol w:w="963"/>
              <w:gridCol w:w="858"/>
              <w:gridCol w:w="711"/>
              <w:gridCol w:w="393"/>
              <w:gridCol w:w="274"/>
              <w:gridCol w:w="2181"/>
              <w:gridCol w:w="1287"/>
              <w:gridCol w:w="7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污染源名称</w:t>
                  </w: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污染物种类</w:t>
                  </w:r>
                </w:p>
              </w:tc>
              <w:tc>
                <w:tcPr>
                  <w:tcW w:w="519"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color w:val="000000"/>
                      <w:spacing w:val="-3"/>
                      <w:sz w:val="21"/>
                      <w:szCs w:val="21"/>
                      <w:highlight w:val="none"/>
                      <w:lang w:val="en-US" w:eastAsia="zh-CN"/>
                    </w:rPr>
                    <w:t>排放量</w:t>
                  </w:r>
                  <w:r>
                    <w:rPr>
                      <w:rFonts w:hint="default" w:ascii="Times New Roman" w:hAnsi="Times New Roman" w:eastAsia="宋体" w:cs="Times New Roman"/>
                      <w:color w:val="000000"/>
                      <w:sz w:val="21"/>
                      <w:szCs w:val="21"/>
                      <w:highlight w:val="none"/>
                      <w:lang w:val="en-US" w:eastAsia="zh-CN"/>
                    </w:rPr>
                    <w:t>t</w:t>
                  </w:r>
                  <w:r>
                    <w:rPr>
                      <w:rFonts w:hint="default" w:ascii="Times New Roman" w:hAnsi="Times New Roman" w:cs="Times New Roman"/>
                      <w:color w:val="000000"/>
                      <w:sz w:val="21"/>
                      <w:szCs w:val="21"/>
                      <w:highlight w:val="none"/>
                    </w:rPr>
                    <w:t>/a</w:t>
                  </w:r>
                </w:p>
              </w:tc>
              <w:tc>
                <w:tcPr>
                  <w:tcW w:w="430"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排放速率kg/h</w:t>
                  </w:r>
                </w:p>
              </w:tc>
              <w:tc>
                <w:tcPr>
                  <w:tcW w:w="404" w:type="pct"/>
                  <w:gridSpan w:val="2"/>
                  <w:tcBorders>
                    <w:tl2br w:val="nil"/>
                    <w:tr2bl w:val="nil"/>
                  </w:tcBorders>
                  <w:noWrap w:val="0"/>
                  <w:vAlign w:val="center"/>
                </w:tcPr>
                <w:p>
                  <w:pPr>
                    <w:pStyle w:val="17"/>
                    <w:keepNext w:val="0"/>
                    <w:keepLines w:val="0"/>
                    <w:pageBreakBefore w:val="0"/>
                    <w:widowControl w:val="0"/>
                    <w:kinsoku/>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排放浓度mg/m</w:t>
                  </w:r>
                  <w:r>
                    <w:rPr>
                      <w:rFonts w:hint="default" w:ascii="Times New Roman" w:hAnsi="Times New Roman" w:cs="Times New Roman"/>
                      <w:color w:val="000000"/>
                      <w:sz w:val="21"/>
                      <w:szCs w:val="21"/>
                      <w:highlight w:val="none"/>
                      <w:vertAlign w:val="superscript"/>
                      <w:lang w:val="en-US" w:eastAsia="zh-CN"/>
                    </w:rPr>
                    <w:t>3</w:t>
                  </w:r>
                </w:p>
              </w:tc>
              <w:tc>
                <w:tcPr>
                  <w:tcW w:w="1321"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执行标准</w:t>
                  </w:r>
                </w:p>
              </w:tc>
              <w:tc>
                <w:tcPr>
                  <w:tcW w:w="779"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标准限值mg/m</w:t>
                  </w:r>
                  <w:r>
                    <w:rPr>
                      <w:rFonts w:hint="default" w:ascii="Times New Roman" w:hAnsi="Times New Roman" w:cs="Times New Roman"/>
                      <w:color w:val="000000"/>
                      <w:sz w:val="21"/>
                      <w:szCs w:val="21"/>
                      <w:highlight w:val="none"/>
                      <w:vertAlign w:val="superscript"/>
                      <w:lang w:val="en-US" w:eastAsia="zh-CN"/>
                    </w:rPr>
                    <w:t>3</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DA001</w:t>
                  </w: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颗粒物</w:t>
                  </w:r>
                </w:p>
              </w:tc>
              <w:tc>
                <w:tcPr>
                  <w:tcW w:w="519"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0.007</w:t>
                  </w:r>
                </w:p>
              </w:tc>
              <w:tc>
                <w:tcPr>
                  <w:tcW w:w="430"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highlight w:val="none"/>
                      <w:lang w:val="en-US"/>
                    </w:rPr>
                  </w:pPr>
                  <w:r>
                    <w:rPr>
                      <w:rFonts w:hint="default" w:ascii="Times New Roman" w:hAnsi="Times New Roman" w:eastAsia="宋体" w:cs="Times New Roman"/>
                      <w:i w:val="0"/>
                      <w:iCs w:val="0"/>
                      <w:color w:val="000000"/>
                      <w:kern w:val="0"/>
                      <w:sz w:val="21"/>
                      <w:szCs w:val="21"/>
                      <w:u w:val="none"/>
                      <w:lang w:val="en-US" w:eastAsia="zh-CN" w:bidi="ar"/>
                    </w:rPr>
                    <w:t>0.005</w:t>
                  </w:r>
                </w:p>
              </w:tc>
              <w:tc>
                <w:tcPr>
                  <w:tcW w:w="404" w:type="pct"/>
                  <w:gridSpan w:val="2"/>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0.17</w:t>
                  </w:r>
                </w:p>
              </w:tc>
              <w:tc>
                <w:tcPr>
                  <w:tcW w:w="1321"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《大气污染物综合排放标准（GB16297-1996）表2</w:t>
                  </w:r>
                  <w:r>
                    <w:rPr>
                      <w:rFonts w:hint="default" w:ascii="Times New Roman" w:hAnsi="Times New Roman" w:eastAsia="宋体" w:cs="Times New Roman"/>
                      <w:b w:val="0"/>
                      <w:bCs/>
                      <w:color w:val="000000"/>
                      <w:spacing w:val="-3"/>
                      <w:sz w:val="21"/>
                      <w:szCs w:val="21"/>
                      <w:highlight w:val="none"/>
                    </w:rPr>
                    <w:t>二级</w:t>
                  </w:r>
                  <w:r>
                    <w:rPr>
                      <w:rFonts w:hint="default" w:ascii="Times New Roman" w:hAnsi="Times New Roman" w:cs="Times New Roman"/>
                      <w:color w:val="000000"/>
                      <w:sz w:val="21"/>
                      <w:szCs w:val="21"/>
                      <w:highlight w:val="none"/>
                    </w:rPr>
                    <w:t>标准要求</w:t>
                  </w:r>
                </w:p>
              </w:tc>
              <w:tc>
                <w:tcPr>
                  <w:tcW w:w="779"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120(速率3.5kg/h)</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vMerge w:val="restar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DA002</w:t>
                  </w: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非甲烷总烃</w:t>
                  </w:r>
                </w:p>
              </w:tc>
              <w:tc>
                <w:tcPr>
                  <w:tcW w:w="519"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0.446</w:t>
                  </w:r>
                </w:p>
              </w:tc>
              <w:tc>
                <w:tcPr>
                  <w:tcW w:w="430"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0.297</w:t>
                  </w:r>
                </w:p>
              </w:tc>
              <w:tc>
                <w:tcPr>
                  <w:tcW w:w="404" w:type="pct"/>
                  <w:gridSpan w:val="2"/>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i w:val="0"/>
                      <w:iCs w:val="0"/>
                      <w:color w:val="000000"/>
                      <w:kern w:val="0"/>
                      <w:sz w:val="21"/>
                      <w:szCs w:val="21"/>
                      <w:u w:val="none"/>
                      <w:lang w:val="en-US" w:eastAsia="zh-CN" w:bidi="ar"/>
                    </w:rPr>
                    <w:t>33</w:t>
                  </w:r>
                </w:p>
              </w:tc>
              <w:tc>
                <w:tcPr>
                  <w:tcW w:w="1321" w:type="pct"/>
                  <w:vMerge w:val="restar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《工业企业挥发性有机物排放控制标准》（DB13/2322-2016）</w:t>
                  </w:r>
                  <w:r>
                    <w:rPr>
                      <w:rFonts w:hint="default" w:ascii="Times New Roman" w:hAnsi="Times New Roman" w:cs="Times New Roman"/>
                      <w:color w:val="000000" w:themeColor="text1"/>
                      <w:sz w:val="21"/>
                      <w:szCs w:val="21"/>
                      <w:lang w:val="en-US" w:eastAsia="zh-CN"/>
                      <w14:textFill>
                        <w14:solidFill>
                          <w14:schemeClr w14:val="tx1"/>
                        </w14:solidFill>
                      </w14:textFill>
                    </w:rPr>
                    <w:t>中表1表面涂装业</w:t>
                  </w:r>
                </w:p>
              </w:tc>
              <w:tc>
                <w:tcPr>
                  <w:tcW w:w="779"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6</w:t>
                  </w:r>
                  <w:r>
                    <w:rPr>
                      <w:rFonts w:hint="default" w:ascii="Times New Roman" w:hAnsi="Times New Roman" w:cs="Times New Roman"/>
                      <w:color w:val="000000" w:themeColor="text1"/>
                      <w:sz w:val="21"/>
                      <w:szCs w:val="21"/>
                      <w14:textFill>
                        <w14:solidFill>
                          <w14:schemeClr w14:val="tx1"/>
                        </w14:solidFill>
                      </w14:textFill>
                    </w:rPr>
                    <w:t>0</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vMerge w:val="continue"/>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二甲苯</w:t>
                  </w:r>
                </w:p>
              </w:tc>
              <w:tc>
                <w:tcPr>
                  <w:tcW w:w="519"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0.238</w:t>
                  </w:r>
                </w:p>
              </w:tc>
              <w:tc>
                <w:tcPr>
                  <w:tcW w:w="430"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0.158</w:t>
                  </w:r>
                </w:p>
              </w:tc>
              <w:tc>
                <w:tcPr>
                  <w:tcW w:w="404" w:type="pct"/>
                  <w:gridSpan w:val="2"/>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kern w:val="0"/>
                      <w:sz w:val="21"/>
                      <w:szCs w:val="21"/>
                      <w:u w:val="none"/>
                      <w:lang w:val="en-US" w:eastAsia="zh-CN" w:bidi="ar"/>
                    </w:rPr>
                    <w:t>17.56</w:t>
                  </w:r>
                </w:p>
              </w:tc>
              <w:tc>
                <w:tcPr>
                  <w:tcW w:w="1321" w:type="pct"/>
                  <w:vMerge w:val="continue"/>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c>
                <w:tcPr>
                  <w:tcW w:w="779" w:type="pct"/>
                  <w:tcBorders>
                    <w:tl2br w:val="nil"/>
                    <w:tr2bl w:val="nil"/>
                  </w:tcBorders>
                  <w:noWrap w:val="0"/>
                  <w:vAlign w:val="center"/>
                </w:tcPr>
                <w:p>
                  <w:pPr>
                    <w:keepNext w:val="0"/>
                    <w:keepLines w:val="0"/>
                    <w:pageBreakBefore w:val="0"/>
                    <w:kinsoku/>
                    <w:overflowPunct/>
                    <w:topLinePunct w:val="0"/>
                    <w:autoSpaceDE/>
                    <w:autoSpaceDN/>
                    <w:bidi w:val="0"/>
                    <w:jc w:val="left"/>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甲苯与二甲苯合计:</w:t>
                  </w:r>
                  <w:r>
                    <w:rPr>
                      <w:rFonts w:hint="default" w:ascii="Times New Roman" w:hAnsi="Times New Roman" w:cs="Times New Roman"/>
                      <w:color w:val="000000" w:themeColor="text1"/>
                      <w:sz w:val="21"/>
                      <w:szCs w:val="21"/>
                      <w:lang w:val="en-US" w:eastAsia="zh-CN"/>
                      <w14:textFill>
                        <w14:solidFill>
                          <w14:schemeClr w14:val="tx1"/>
                        </w14:solidFill>
                      </w14:textFill>
                    </w:rPr>
                    <w:t>20</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vMerge w:val="continue"/>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颗粒物</w:t>
                  </w:r>
                </w:p>
              </w:tc>
              <w:tc>
                <w:tcPr>
                  <w:tcW w:w="519"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0.027</w:t>
                  </w:r>
                </w:p>
              </w:tc>
              <w:tc>
                <w:tcPr>
                  <w:tcW w:w="430"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0.018</w:t>
                  </w:r>
                </w:p>
              </w:tc>
              <w:tc>
                <w:tcPr>
                  <w:tcW w:w="404" w:type="pct"/>
                  <w:gridSpan w:val="2"/>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i w:val="0"/>
                      <w:iCs w:val="0"/>
                      <w:color w:val="000000"/>
                      <w:kern w:val="0"/>
                      <w:sz w:val="21"/>
                      <w:szCs w:val="21"/>
                      <w:u w:val="none"/>
                      <w:lang w:val="en-US" w:eastAsia="zh-CN" w:bidi="ar"/>
                    </w:rPr>
                    <w:t>1.98</w:t>
                  </w:r>
                </w:p>
              </w:tc>
              <w:tc>
                <w:tcPr>
                  <w:tcW w:w="1321"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《大气污染物综合排放标准》</w:t>
                  </w:r>
                  <w:r>
                    <w:rPr>
                      <w:rFonts w:hint="default" w:ascii="Times New Roman" w:hAnsi="Times New Roman" w:cs="Times New Roman"/>
                      <w:color w:val="000000" w:themeColor="text1"/>
                      <w:sz w:val="21"/>
                      <w:szCs w:val="21"/>
                      <w:lang w:val="en-US" w:eastAsia="zh-CN"/>
                      <w14:textFill>
                        <w14:solidFill>
                          <w14:schemeClr w14:val="tx1"/>
                        </w14:solidFill>
                      </w14:textFill>
                    </w:rPr>
                    <w:t>(</w:t>
                  </w:r>
                  <w:r>
                    <w:rPr>
                      <w:rFonts w:hint="default" w:ascii="Times New Roman" w:hAnsi="Times New Roman" w:cs="Times New Roman"/>
                      <w:color w:val="000000" w:themeColor="text1"/>
                      <w:sz w:val="21"/>
                      <w:szCs w:val="21"/>
                      <w14:textFill>
                        <w14:solidFill>
                          <w14:schemeClr w14:val="tx1"/>
                        </w14:solidFill>
                      </w14:textFill>
                    </w:rPr>
                    <w:t>GB16297-1996</w:t>
                  </w:r>
                  <w:r>
                    <w:rPr>
                      <w:rFonts w:hint="default" w:ascii="Times New Roman" w:hAnsi="Times New Roman" w:cs="Times New Roman"/>
                      <w:color w:val="000000" w:themeColor="text1"/>
                      <w:sz w:val="21"/>
                      <w:szCs w:val="21"/>
                      <w:lang w:val="en-US" w:eastAsia="zh-CN"/>
                      <w14:textFill>
                        <w14:solidFill>
                          <w14:schemeClr w14:val="tx1"/>
                        </w14:solidFill>
                      </w14:textFill>
                    </w:rPr>
                    <w:t>)</w:t>
                  </w:r>
                  <w:r>
                    <w:rPr>
                      <w:rFonts w:hint="default" w:ascii="Times New Roman" w:hAnsi="Times New Roman" w:cs="Times New Roman"/>
                      <w:color w:val="000000" w:themeColor="text1"/>
                      <w:sz w:val="21"/>
                      <w:szCs w:val="21"/>
                      <w14:textFill>
                        <w14:solidFill>
                          <w14:schemeClr w14:val="tx1"/>
                        </w14:solidFill>
                      </w14:textFill>
                    </w:rPr>
                    <w:t>表2中颗粒物染料尘限值</w:t>
                  </w:r>
                </w:p>
              </w:tc>
              <w:tc>
                <w:tcPr>
                  <w:tcW w:w="779" w:type="pct"/>
                  <w:tcBorders>
                    <w:tl2br w:val="nil"/>
                    <w:tr2bl w:val="nil"/>
                  </w:tcBorders>
                  <w:noWrap w:val="0"/>
                  <w:vAlign w:val="center"/>
                </w:tcPr>
                <w:p>
                  <w:pPr>
                    <w:keepNext w:val="0"/>
                    <w:keepLines w:val="0"/>
                    <w:pageBreakBefore w:val="0"/>
                    <w:widowControl/>
                    <w:kinsoku/>
                    <w:overflowPunct/>
                    <w:topLinePunct w:val="0"/>
                    <w:autoSpaceDE/>
                    <w:autoSpaceDN/>
                    <w:bidi w:val="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18</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DA003</w:t>
                  </w: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油烟</w:t>
                  </w:r>
                </w:p>
              </w:tc>
              <w:tc>
                <w:tcPr>
                  <w:tcW w:w="519"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0.0015</w:t>
                  </w:r>
                </w:p>
              </w:tc>
              <w:tc>
                <w:tcPr>
                  <w:tcW w:w="430"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eastAsia="宋体" w:cs="Times New Roman"/>
                      <w:i w:val="0"/>
                      <w:iCs w:val="0"/>
                      <w:color w:val="000000"/>
                      <w:kern w:val="0"/>
                      <w:sz w:val="21"/>
                      <w:szCs w:val="21"/>
                      <w:u w:val="none"/>
                      <w:lang w:val="en-US" w:eastAsia="zh-CN" w:bidi="ar"/>
                    </w:rPr>
                    <w:t>0.0007</w:t>
                  </w:r>
                </w:p>
              </w:tc>
              <w:tc>
                <w:tcPr>
                  <w:tcW w:w="404" w:type="pct"/>
                  <w:gridSpan w:val="2"/>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i w:val="0"/>
                      <w:iCs w:val="0"/>
                      <w:color w:val="000000"/>
                      <w:kern w:val="0"/>
                      <w:sz w:val="21"/>
                      <w:szCs w:val="21"/>
                      <w:u w:val="none"/>
                      <w:lang w:val="en-US" w:eastAsia="zh-CN" w:bidi="ar"/>
                    </w:rPr>
                    <w:t>0.71</w:t>
                  </w:r>
                </w:p>
              </w:tc>
              <w:tc>
                <w:tcPr>
                  <w:tcW w:w="1321" w:type="pct"/>
                  <w:tcBorders>
                    <w:tl2br w:val="nil"/>
                    <w:tr2bl w:val="nil"/>
                  </w:tcBorders>
                  <w:shd w:val="clear" w:color="auto" w:fill="auto"/>
                  <w:noWrap w:val="0"/>
                  <w:vAlign w:val="center"/>
                </w:tcPr>
                <w:p>
                  <w:pPr>
                    <w:pStyle w:val="53"/>
                    <w:keepNext w:val="0"/>
                    <w:keepLines w:val="0"/>
                    <w:pageBreakBefore w:val="0"/>
                    <w:kinsoku/>
                    <w:overflowPunct/>
                    <w:topLinePunct w:val="0"/>
                    <w:autoSpaceDE/>
                    <w:autoSpaceDN/>
                    <w:bidi w:val="0"/>
                    <w:spacing w:before="0" w:beforeLines="0" w:after="0" w:afterLines="0" w:line="240" w:lineRule="auto"/>
                    <w:ind w:firstLine="0" w:firstLineChars="0"/>
                    <w:jc w:val="center"/>
                    <w:textAlignment w:val="auto"/>
                    <w:rPr>
                      <w:rFonts w:hint="default" w:ascii="Times New Roman" w:hAnsi="Times New Roman" w:cs="Times New Roman" w:eastAsiaTheme="minorEastAsia"/>
                      <w:color w:val="000000" w:themeColor="text1"/>
                      <w:kern w:val="0"/>
                      <w:sz w:val="21"/>
                      <w:szCs w:val="21"/>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《餐饮业大气污染物排放标准》(DB13/5808-2023)小型餐饮服务单位</w:t>
                  </w:r>
                </w:p>
              </w:tc>
              <w:tc>
                <w:tcPr>
                  <w:tcW w:w="779" w:type="pct"/>
                  <w:tcBorders>
                    <w:tl2br w:val="nil"/>
                    <w:tr2bl w:val="nil"/>
                  </w:tcBorders>
                  <w:noWrap w:val="0"/>
                  <w:vAlign w:val="center"/>
                </w:tcPr>
                <w:p>
                  <w:pPr>
                    <w:keepNext w:val="0"/>
                    <w:keepLines w:val="0"/>
                    <w:pageBreakBefore w:val="0"/>
                    <w:widowControl/>
                    <w:kinsoku/>
                    <w:overflowPunct/>
                    <w:topLinePunct w:val="0"/>
                    <w:autoSpaceDE/>
                    <w:autoSpaceDN/>
                    <w:bidi w:val="0"/>
                    <w:jc w:val="center"/>
                    <w:textAlignment w:val="auto"/>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1.5</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vMerge w:val="restar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无组织废气</w:t>
                  </w: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sz w:val="21"/>
                      <w:szCs w:val="21"/>
                      <w:highlight w:val="none"/>
                      <w:lang w:val="en-US" w:eastAsia="zh-CN"/>
                    </w:rPr>
                    <w:t>颗粒物</w:t>
                  </w:r>
                </w:p>
              </w:tc>
              <w:tc>
                <w:tcPr>
                  <w:tcW w:w="51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pacing w:val="-3"/>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0.01</w:t>
                  </w:r>
                </w:p>
              </w:tc>
              <w:tc>
                <w:tcPr>
                  <w:tcW w:w="430"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0.008</w:t>
                  </w:r>
                </w:p>
              </w:tc>
              <w:tc>
                <w:tcPr>
                  <w:tcW w:w="404" w:type="pct"/>
                  <w:gridSpan w:val="2"/>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pacing w:val="-3"/>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w:t>
                  </w:r>
                </w:p>
              </w:tc>
              <w:tc>
                <w:tcPr>
                  <w:tcW w:w="1321" w:type="pct"/>
                  <w:tcBorders>
                    <w:tl2br w:val="nil"/>
                    <w:tr2bl w:val="nil"/>
                  </w:tcBorders>
                  <w:noWrap w:val="0"/>
                  <w:vAlign w:val="center"/>
                </w:tcPr>
                <w:p>
                  <w:pPr>
                    <w:keepNext w:val="0"/>
                    <w:keepLines w:val="0"/>
                    <w:pageBreakBefore w:val="0"/>
                    <w:kinsoku/>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snapToGrid/>
                      <w:color w:val="000000"/>
                      <w:kern w:val="2"/>
                      <w:sz w:val="21"/>
                      <w:szCs w:val="21"/>
                      <w:highlight w:val="none"/>
                      <w:lang w:eastAsia="zh-CN"/>
                    </w:rPr>
                  </w:pPr>
                  <w:r>
                    <w:rPr>
                      <w:rFonts w:hint="default" w:ascii="Times New Roman" w:hAnsi="Times New Roman" w:eastAsia="宋体" w:cs="Times New Roman"/>
                      <w:b w:val="0"/>
                      <w:bCs/>
                      <w:snapToGrid/>
                      <w:color w:val="000000"/>
                      <w:kern w:val="2"/>
                      <w:sz w:val="21"/>
                      <w:szCs w:val="21"/>
                      <w:highlight w:val="none"/>
                      <w:lang w:eastAsia="zh-CN"/>
                    </w:rPr>
                    <w:t>《大气污染物综合排放标准》（GB16297-1996）表2</w:t>
                  </w:r>
                  <w:r>
                    <w:rPr>
                      <w:rFonts w:hint="default" w:ascii="Times New Roman" w:hAnsi="Times New Roman" w:eastAsia="宋体" w:cs="Times New Roman"/>
                      <w:b w:val="0"/>
                      <w:bCs/>
                      <w:snapToGrid/>
                      <w:color w:val="000000"/>
                      <w:kern w:val="2"/>
                      <w:sz w:val="21"/>
                      <w:szCs w:val="21"/>
                      <w:highlight w:val="none"/>
                      <w:lang w:val="en-US" w:eastAsia="zh-CN"/>
                    </w:rPr>
                    <w:t>及《秦皇岛市人民政府办公室关于执行钢铁等行业大气污染物排放特别要求的通知》（[2021]-10）中无组织排放浓度特别管控要求</w:t>
                  </w:r>
                </w:p>
              </w:tc>
              <w:tc>
                <w:tcPr>
                  <w:tcW w:w="779"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0.3</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vMerge w:val="continue"/>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p>
              </w:tc>
              <w:tc>
                <w:tcPr>
                  <w:tcW w:w="583"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非甲烷总烃</w:t>
                  </w:r>
                </w:p>
              </w:tc>
              <w:tc>
                <w:tcPr>
                  <w:tcW w:w="51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spacing w:val="-3"/>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0.012</w:t>
                  </w:r>
                </w:p>
              </w:tc>
              <w:tc>
                <w:tcPr>
                  <w:tcW w:w="430"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0.0008</w:t>
                  </w:r>
                </w:p>
              </w:tc>
              <w:tc>
                <w:tcPr>
                  <w:tcW w:w="404" w:type="pct"/>
                  <w:gridSpan w:val="2"/>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w:t>
                  </w:r>
                </w:p>
              </w:tc>
              <w:tc>
                <w:tcPr>
                  <w:tcW w:w="1321" w:type="pct"/>
                  <w:vMerge w:val="restart"/>
                  <w:tcBorders>
                    <w:tl2br w:val="nil"/>
                    <w:tr2bl w:val="nil"/>
                  </w:tcBorders>
                  <w:noWrap w:val="0"/>
                  <w:vAlign w:val="center"/>
                </w:tcPr>
                <w:p>
                  <w:pPr>
                    <w:keepNext w:val="0"/>
                    <w:keepLines w:val="0"/>
                    <w:pageBreakBefore w:val="0"/>
                    <w:kinsoku/>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snapToGrid/>
                      <w:color w:val="000000"/>
                      <w:kern w:val="2"/>
                      <w:sz w:val="21"/>
                      <w:szCs w:val="21"/>
                      <w:highlight w:val="none"/>
                      <w:lang w:eastAsia="zh-CN"/>
                    </w:rPr>
                  </w:pPr>
                  <w:r>
                    <w:rPr>
                      <w:rFonts w:hint="default" w:ascii="Times New Roman" w:hAnsi="Times New Roman" w:cs="Times New Roman"/>
                      <w:color w:val="000000" w:themeColor="text1"/>
                      <w:sz w:val="21"/>
                      <w:szCs w:val="21"/>
                      <w14:textFill>
                        <w14:solidFill>
                          <w14:schemeClr w14:val="tx1"/>
                        </w14:solidFill>
                      </w14:textFill>
                    </w:rPr>
                    <w:t>《工业企业挥发性有机物排放控制标准》（DB13/2322-2016）</w:t>
                  </w:r>
                  <w:r>
                    <w:rPr>
                      <w:rFonts w:hint="default" w:ascii="Times New Roman" w:hAnsi="Times New Roman" w:cs="Times New Roman"/>
                      <w:color w:val="000000" w:themeColor="text1"/>
                      <w:sz w:val="21"/>
                      <w:szCs w:val="21"/>
                      <w:lang w:val="en-US" w:eastAsia="zh-CN"/>
                      <w14:textFill>
                        <w14:solidFill>
                          <w14:schemeClr w14:val="tx1"/>
                        </w14:solidFill>
                      </w14:textFill>
                    </w:rPr>
                    <w:t>中表2其他企业</w:t>
                  </w:r>
                </w:p>
              </w:tc>
              <w:tc>
                <w:tcPr>
                  <w:tcW w:w="779"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2.0</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524" w:type="pct"/>
                  <w:vMerge w:val="continue"/>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p>
              </w:tc>
              <w:tc>
                <w:tcPr>
                  <w:tcW w:w="583" w:type="pct"/>
                  <w:tcBorders>
                    <w:tl2br w:val="nil"/>
                    <w:tr2bl w:val="nil"/>
                  </w:tcBorders>
                  <w:noWrap w:val="0"/>
                  <w:vAlign w:val="center"/>
                </w:tcPr>
                <w:p>
                  <w:pPr>
                    <w:pStyle w:val="53"/>
                    <w:keepNext w:val="0"/>
                    <w:keepLines w:val="0"/>
                    <w:pageBreakBefore w:val="0"/>
                    <w:kinsoku/>
                    <w:overflowPunct/>
                    <w:topLinePunct w:val="0"/>
                    <w:autoSpaceDE/>
                    <w:autoSpaceDN/>
                    <w:bidi w:val="0"/>
                    <w:spacing w:before="0" w:beforeLines="0" w:after="0" w:afterLines="0" w:line="240" w:lineRule="auto"/>
                    <w:ind w:firstLine="0" w:firstLineChars="0"/>
                    <w:jc w:val="center"/>
                    <w:textAlignment w:val="auto"/>
                    <w:rPr>
                      <w:rFonts w:hint="default" w:ascii="Times New Roman" w:hAnsi="Times New Roman" w:eastAsia="宋体" w:cs="Times New Roman"/>
                      <w:color w:val="000000"/>
                      <w:kern w:val="0"/>
                      <w:sz w:val="21"/>
                      <w:szCs w:val="21"/>
                      <w:highlight w:val="none"/>
                      <w:lang w:val="en-US" w:eastAsia="zh-CN" w:bidi="ar-SA"/>
                    </w:rPr>
                  </w:pPr>
                  <w:r>
                    <w:rPr>
                      <w:rFonts w:hint="default" w:ascii="Times New Roman" w:hAnsi="Times New Roman" w:cs="Times New Roman"/>
                      <w:color w:val="000000"/>
                      <w:kern w:val="0"/>
                      <w:sz w:val="21"/>
                      <w:szCs w:val="21"/>
                      <w:highlight w:val="none"/>
                      <w:lang w:val="en-US" w:eastAsia="zh-CN" w:bidi="ar-SA"/>
                    </w:rPr>
                    <w:t>二甲苯</w:t>
                  </w:r>
                </w:p>
              </w:tc>
              <w:tc>
                <w:tcPr>
                  <w:tcW w:w="51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pacing w:val="-3"/>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0.007</w:t>
                  </w:r>
                </w:p>
              </w:tc>
              <w:tc>
                <w:tcPr>
                  <w:tcW w:w="430"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0.005</w:t>
                  </w:r>
                </w:p>
              </w:tc>
              <w:tc>
                <w:tcPr>
                  <w:tcW w:w="404" w:type="pct"/>
                  <w:gridSpan w:val="2"/>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w:t>
                  </w:r>
                </w:p>
              </w:tc>
              <w:tc>
                <w:tcPr>
                  <w:tcW w:w="1321"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snapToGrid/>
                    <w:spacing w:line="240" w:lineRule="auto"/>
                    <w:jc w:val="center"/>
                    <w:textAlignment w:val="auto"/>
                    <w:rPr>
                      <w:rFonts w:hint="default" w:ascii="Times New Roman" w:hAnsi="Times New Roman" w:eastAsia="宋体" w:cs="Times New Roman"/>
                      <w:b w:val="0"/>
                      <w:bCs/>
                      <w:snapToGrid/>
                      <w:color w:val="000000"/>
                      <w:kern w:val="2"/>
                      <w:sz w:val="21"/>
                      <w:szCs w:val="21"/>
                      <w:highlight w:val="none"/>
                      <w:lang w:eastAsia="zh-CN"/>
                    </w:rPr>
                  </w:pPr>
                </w:p>
              </w:tc>
              <w:tc>
                <w:tcPr>
                  <w:tcW w:w="779" w:type="pct"/>
                  <w:tcBorders>
                    <w:tl2br w:val="nil"/>
                    <w:tr2bl w:val="nil"/>
                  </w:tcBorders>
                  <w:shd w:val="clear" w:color="auto" w:fill="auto"/>
                  <w:noWrap w:val="0"/>
                  <w:vAlign w:val="center"/>
                </w:tcPr>
                <w:p>
                  <w:pPr>
                    <w:pStyle w:val="53"/>
                    <w:keepNext w:val="0"/>
                    <w:keepLines w:val="0"/>
                    <w:pageBreakBefore w:val="0"/>
                    <w:kinsoku/>
                    <w:overflowPunct/>
                    <w:topLinePunct w:val="0"/>
                    <w:autoSpaceDE/>
                    <w:autoSpaceDN/>
                    <w:bidi w:val="0"/>
                    <w:spacing w:before="0" w:beforeLines="0" w:after="0" w:afterLines="0" w:line="240" w:lineRule="auto"/>
                    <w:ind w:firstLine="0" w:firstLineChars="0"/>
                    <w:jc w:val="center"/>
                    <w:textAlignment w:val="auto"/>
                    <w:rPr>
                      <w:rFonts w:hint="default" w:ascii="Times New Roman" w:hAnsi="Times New Roman" w:eastAsia="宋体" w:cs="Times New Roman"/>
                      <w:color w:val="000000"/>
                      <w:spacing w:val="-3"/>
                      <w:kern w:val="0"/>
                      <w:sz w:val="21"/>
                      <w:szCs w:val="21"/>
                      <w:highlight w:val="none"/>
                      <w:lang w:val="en-US" w:eastAsia="zh-CN" w:bidi="ar-SA"/>
                    </w:rPr>
                  </w:pPr>
                  <w:r>
                    <w:rPr>
                      <w:rFonts w:hint="default" w:ascii="Times New Roman" w:hAnsi="Times New Roman" w:cs="Times New Roman"/>
                      <w:color w:val="000000" w:themeColor="text1"/>
                      <w:sz w:val="21"/>
                      <w:szCs w:val="21"/>
                      <w:lang w:val="en-US" w:eastAsia="zh-CN"/>
                      <w14:textFill>
                        <w14:solidFill>
                          <w14:schemeClr w14:val="tx1"/>
                        </w14:solidFill>
                      </w14:textFill>
                    </w:rPr>
                    <w:t>0.2</w:t>
                  </w:r>
                </w:p>
              </w:tc>
              <w:tc>
                <w:tcPr>
                  <w:tcW w:w="436" w:type="pct"/>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296" w:type="pct"/>
                  <w:gridSpan w:val="5"/>
                  <w:tcBorders>
                    <w:tl2br w:val="nil"/>
                    <w:tr2bl w:val="nil"/>
                  </w:tcBorders>
                  <w:noWrap w:val="0"/>
                  <w:vAlign w:val="center"/>
                </w:tcPr>
                <w:p>
                  <w:pPr>
                    <w:pStyle w:val="17"/>
                    <w:keepNext w:val="0"/>
                    <w:keepLines w:val="0"/>
                    <w:pageBreakBefore w:val="0"/>
                    <w:widowControl w:val="0"/>
                    <w:kinsoku/>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颗粒物排放量合计（t/a）</w:t>
                  </w:r>
                </w:p>
              </w:tc>
              <w:tc>
                <w:tcPr>
                  <w:tcW w:w="2703" w:type="pct"/>
                  <w:gridSpan w:val="4"/>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296" w:type="pct"/>
                  <w:gridSpan w:val="5"/>
                  <w:tcBorders>
                    <w:tl2br w:val="nil"/>
                    <w:tr2bl w:val="nil"/>
                  </w:tcBorders>
                  <w:noWrap w:val="0"/>
                  <w:vAlign w:val="center"/>
                </w:tcPr>
                <w:p>
                  <w:pPr>
                    <w:pStyle w:val="17"/>
                    <w:keepNext w:val="0"/>
                    <w:keepLines w:val="0"/>
                    <w:pageBreakBefore w:val="0"/>
                    <w:widowControl w:val="0"/>
                    <w:kinsoku/>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VOCs排放量合计（t/a）</w:t>
                  </w:r>
                </w:p>
              </w:tc>
              <w:tc>
                <w:tcPr>
                  <w:tcW w:w="2703" w:type="pct"/>
                  <w:gridSpan w:val="4"/>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0.476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296" w:type="pct"/>
                  <w:gridSpan w:val="5"/>
                  <w:tcBorders>
                    <w:tl2br w:val="nil"/>
                    <w:tr2bl w:val="nil"/>
                  </w:tcBorders>
                  <w:noWrap w:val="0"/>
                  <w:vAlign w:val="center"/>
                </w:tcPr>
                <w:p>
                  <w:pPr>
                    <w:pStyle w:val="17"/>
                    <w:keepNext w:val="0"/>
                    <w:keepLines w:val="0"/>
                    <w:pageBreakBefore w:val="0"/>
                    <w:widowControl w:val="0"/>
                    <w:kinsoku/>
                    <w:overflowPunct/>
                    <w:topLinePunct w:val="0"/>
                    <w:autoSpaceDE/>
                    <w:autoSpaceDN/>
                    <w:bidi w:val="0"/>
                    <w:adjustRightInd/>
                    <w:snapToGrid/>
                    <w:spacing w:line="240" w:lineRule="auto"/>
                    <w:ind w:left="0" w:lef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color w:val="000000"/>
                      <w:sz w:val="21"/>
                      <w:szCs w:val="21"/>
                      <w:highlight w:val="none"/>
                      <w:lang w:val="en-US" w:eastAsia="zh-CN"/>
                    </w:rPr>
                    <w:t>油烟排放量合计（t/a）</w:t>
                  </w:r>
                </w:p>
              </w:tc>
              <w:tc>
                <w:tcPr>
                  <w:tcW w:w="2703" w:type="pct"/>
                  <w:gridSpan w:val="4"/>
                  <w:tcBorders>
                    <w:tl2br w:val="nil"/>
                    <w:tr2bl w:val="nil"/>
                  </w:tcBorders>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0.002</w:t>
                  </w:r>
                </w:p>
              </w:tc>
            </w:tr>
          </w:tbl>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3、废气治理技术可行性论证</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(1)颗粒物治理措施可行性分析</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焊接、打磨过程会产生少量颗粒物，使用移动式旱烟净化器进行处理后无组织排放。移动式焊烟净化器吸气罩吸收的废气通过吸气臂进入过滤单元内部，首先撞击分流板，改变气流方向，使气流向上流动，避免直接冲击滤芯，也得到了循环，大颗粒的粉尘被过滤筒收集前先分离出来细小颗粒经过有PTFE薄膜的过滤筒过滤分离</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过滤后干净的空气通过消声排入外界，完成过滤的全过程。带有PTFE薄膜的过滤</w:t>
            </w:r>
            <w:r>
              <w:rPr>
                <w:rFonts w:hint="default" w:ascii="Times New Roman" w:hAnsi="Times New Roman" w:cs="Times New Roman"/>
                <w:b w:val="0"/>
                <w:bCs w:val="0"/>
                <w:color w:val="000000"/>
                <w:sz w:val="24"/>
                <w:szCs w:val="24"/>
                <w:highlight w:val="none"/>
                <w:lang w:val="en-US" w:eastAsia="zh-CN"/>
              </w:rPr>
              <w:t>筒</w:t>
            </w:r>
            <w:r>
              <w:rPr>
                <w:rFonts w:hint="default" w:ascii="Times New Roman" w:hAnsi="Times New Roman" w:eastAsia="宋体" w:cs="Times New Roman"/>
                <w:b w:val="0"/>
                <w:bCs w:val="0"/>
                <w:color w:val="000000"/>
                <w:sz w:val="24"/>
                <w:szCs w:val="24"/>
                <w:highlight w:val="none"/>
                <w:lang w:val="en-US" w:eastAsia="zh-CN"/>
              </w:rPr>
              <w:t>分离的烟尘颗粒，在脉冲反吹作用下，粉尘落入粉尘容器，进行收集。焊接烟尘捕捉器，滤筒材质采用高精度PTFE覆膜滤材，滤材可以确保滤筒的清灰效果及长久的使用寿命，采用高效滤筒式过滤方式，捕集率可达80%，处理效率可达95%，经处理后的颗粒物无组织排放。该工艺为成熟型技术，广泛应用于同类型企业焊接、打磨工序颗粒物的治理。</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项目抛丸</w:t>
            </w:r>
            <w:r>
              <w:rPr>
                <w:rFonts w:hint="default" w:ascii="Times New Roman" w:hAnsi="Times New Roman" w:cs="Times New Roman"/>
                <w:b w:val="0"/>
                <w:bCs w:val="0"/>
                <w:color w:val="000000"/>
                <w:sz w:val="24"/>
                <w:szCs w:val="24"/>
                <w:highlight w:val="none"/>
                <w:lang w:val="en-US" w:eastAsia="zh-CN"/>
              </w:rPr>
              <w:t>机</w:t>
            </w:r>
            <w:r>
              <w:rPr>
                <w:rFonts w:hint="default" w:ascii="Times New Roman" w:hAnsi="Times New Roman" w:eastAsia="宋体" w:cs="Times New Roman"/>
                <w:b w:val="0"/>
                <w:bCs w:val="0"/>
                <w:color w:val="000000"/>
                <w:sz w:val="24"/>
                <w:szCs w:val="24"/>
                <w:highlight w:val="none"/>
                <w:lang w:val="en-US" w:eastAsia="zh-CN"/>
              </w:rPr>
              <w:t>产生的颗粒物采用三级除尘</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沉降除尘+旋风+高效滤</w:t>
            </w:r>
            <w:r>
              <w:rPr>
                <w:rFonts w:hint="default" w:ascii="Times New Roman" w:hAnsi="Times New Roman" w:cs="Times New Roman"/>
                <w:b w:val="0"/>
                <w:bCs w:val="0"/>
                <w:color w:val="000000"/>
                <w:sz w:val="24"/>
                <w:szCs w:val="24"/>
                <w:highlight w:val="none"/>
                <w:lang w:val="en-US" w:eastAsia="zh-CN"/>
              </w:rPr>
              <w:t>筒</w:t>
            </w:r>
            <w:r>
              <w:rPr>
                <w:rFonts w:hint="default" w:ascii="Times New Roman" w:hAnsi="Times New Roman" w:eastAsia="宋体" w:cs="Times New Roman"/>
                <w:b w:val="0"/>
                <w:bCs w:val="0"/>
                <w:color w:val="000000"/>
                <w:sz w:val="24"/>
                <w:szCs w:val="24"/>
                <w:highlight w:val="none"/>
                <w:lang w:val="en-US" w:eastAsia="zh-CN"/>
              </w:rPr>
              <w:t>除尘器除尘，从抛丸室中抽风，由于没有送风，抛丸室内会形成一定的负压，粉尘不会外逸。沉降除尘抛丸机三级除尘的工作原理是当含尘气体进入一个大的沉降室后，由于沉降室的横断面积较吸尘管道大很多，所以抛丸机含尘气体流速就大大降低，流速可降低10~20倍。在含尘气体通过沉降室的这段时间内，较大的粉尘颗粒在沉降室内有足够的时间受重力作用而沉降下来，净化后的含尘气体从沉降室的另一端排出</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沉降室是利用重力作用使粉尘自然沉降的一种收尘装置</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滤</w:t>
            </w:r>
            <w:r>
              <w:rPr>
                <w:rFonts w:hint="default" w:ascii="Times New Roman" w:hAnsi="Times New Roman" w:cs="Times New Roman"/>
                <w:b w:val="0"/>
                <w:bCs w:val="0"/>
                <w:color w:val="000000"/>
                <w:sz w:val="24"/>
                <w:szCs w:val="24"/>
                <w:highlight w:val="none"/>
                <w:lang w:val="en-US" w:eastAsia="zh-CN"/>
              </w:rPr>
              <w:t>筒</w:t>
            </w:r>
            <w:r>
              <w:rPr>
                <w:rFonts w:hint="default" w:ascii="Times New Roman" w:hAnsi="Times New Roman" w:eastAsia="宋体" w:cs="Times New Roman"/>
                <w:b w:val="0"/>
                <w:bCs w:val="0"/>
                <w:color w:val="000000"/>
                <w:sz w:val="24"/>
                <w:szCs w:val="24"/>
                <w:highlight w:val="none"/>
                <w:lang w:val="en-US" w:eastAsia="zh-CN"/>
              </w:rPr>
              <w:t>除尘高效滤</w:t>
            </w:r>
            <w:r>
              <w:rPr>
                <w:rFonts w:hint="default" w:ascii="Times New Roman" w:hAnsi="Times New Roman" w:cs="Times New Roman"/>
                <w:b w:val="0"/>
                <w:bCs w:val="0"/>
                <w:color w:val="000000"/>
                <w:sz w:val="24"/>
                <w:szCs w:val="24"/>
                <w:highlight w:val="none"/>
                <w:lang w:val="en-US" w:eastAsia="zh-CN"/>
              </w:rPr>
              <w:t>筒</w:t>
            </w:r>
            <w:r>
              <w:rPr>
                <w:rFonts w:hint="default" w:ascii="Times New Roman" w:hAnsi="Times New Roman" w:eastAsia="宋体" w:cs="Times New Roman"/>
                <w:b w:val="0"/>
                <w:bCs w:val="0"/>
                <w:color w:val="000000"/>
                <w:sz w:val="24"/>
                <w:szCs w:val="24"/>
                <w:highlight w:val="none"/>
                <w:lang w:val="en-US" w:eastAsia="zh-CN"/>
              </w:rPr>
              <w:t>式除尘器系集合分室反吹和脉冲喷吹等诸类除尘器的优点</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采用高能清灰和分室结构离线清灰，具有清灰强度大、速度快、循环周期短等特点。工作过程中产生的废气，经过三级除尘器处理后，除尘系统除尘效率达99%以上，过滤元件滤筒采</w:t>
            </w:r>
            <w:r>
              <w:rPr>
                <w:rFonts w:hint="default" w:ascii="Times New Roman" w:hAnsi="Times New Roman" w:cs="Times New Roman"/>
                <w:b w:val="0"/>
                <w:bCs w:val="0"/>
                <w:color w:val="000000"/>
                <w:sz w:val="24"/>
                <w:szCs w:val="24"/>
                <w:highlight w:val="none"/>
                <w:lang w:val="en-US" w:eastAsia="zh-CN"/>
              </w:rPr>
              <w:t>用</w:t>
            </w:r>
            <w:r>
              <w:rPr>
                <w:rFonts w:hint="default" w:ascii="Times New Roman" w:hAnsi="Times New Roman" w:eastAsia="宋体" w:cs="Times New Roman"/>
                <w:b w:val="0"/>
                <w:bCs w:val="0"/>
                <w:color w:val="000000"/>
                <w:sz w:val="24"/>
                <w:szCs w:val="24"/>
                <w:highlight w:val="none"/>
                <w:lang w:val="en-US" w:eastAsia="zh-CN"/>
              </w:rPr>
              <w:t>折叠的形式布置滤料，过滤面积与其所占体积之比是传统滤袋的30-40倍，达到300m</w:t>
            </w:r>
            <w:r>
              <w:rPr>
                <w:rFonts w:hint="default" w:ascii="Times New Roman" w:hAnsi="Times New Roman" w:cs="Times New Roman"/>
                <w:b w:val="0"/>
                <w:bCs w:val="0"/>
                <w:color w:val="000000"/>
                <w:sz w:val="24"/>
                <w:szCs w:val="24"/>
                <w:highlight w:val="none"/>
                <w:vertAlign w:val="superscript"/>
                <w:lang w:val="en-US" w:eastAsia="zh-CN"/>
              </w:rPr>
              <w:t>2</w:t>
            </w:r>
            <w:r>
              <w:rPr>
                <w:rFonts w:hint="default" w:ascii="Times New Roman" w:hAnsi="Times New Roman" w:eastAsia="宋体" w:cs="Times New Roman"/>
                <w:b w:val="0"/>
                <w:bCs w:val="0"/>
                <w:color w:val="000000"/>
                <w:sz w:val="24"/>
                <w:szCs w:val="24"/>
                <w:highlight w:val="none"/>
                <w:lang w:val="en-US" w:eastAsia="zh-CN"/>
              </w:rPr>
              <w:t>/m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eastAsia="宋体" w:cs="Times New Roman"/>
                <w:b w:val="0"/>
                <w:bCs w:val="0"/>
                <w:color w:val="000000"/>
                <w:sz w:val="24"/>
                <w:szCs w:val="24"/>
                <w:highlight w:val="none"/>
                <w:lang w:val="en-US" w:eastAsia="zh-CN"/>
              </w:rPr>
              <w:t>。使用滤筒可以使除尘器结构更加紧凑，大大减少除尘器的占地面积和空间。项目抛丸产生的颗粒物经处理后均可达标排放。</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(2)有机废气治理措施可行性分析</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val="0"/>
                <w:bCs w:val="0"/>
                <w:color w:val="000000"/>
                <w:sz w:val="24"/>
                <w:szCs w:val="24"/>
                <w:highlight w:val="none"/>
                <w:lang w:val="en-US" w:eastAsia="zh-CN"/>
              </w:rPr>
              <w:t>本项目喷漆房废气</w:t>
            </w:r>
            <w:r>
              <w:rPr>
                <w:rFonts w:hint="default" w:ascii="Times New Roman" w:hAnsi="Times New Roman" w:cs="Times New Roman"/>
                <w:color w:val="auto"/>
                <w:sz w:val="24"/>
                <w:highlight w:val="none"/>
                <w:lang w:val="en-US" w:eastAsia="zh-CN"/>
              </w:rPr>
              <w:t>负压收集经过一套干式过滤+</w:t>
            </w:r>
            <w:r>
              <w:rPr>
                <w:rFonts w:hint="default" w:ascii="Times New Roman" w:hAnsi="Times New Roman" w:cs="Times New Roman"/>
                <w:b w:val="0"/>
                <w:bCs w:val="0"/>
                <w:color w:val="000000"/>
                <w:sz w:val="24"/>
                <w:szCs w:val="24"/>
                <w:highlight w:val="none"/>
                <w:lang w:val="en-US" w:eastAsia="zh-CN"/>
              </w:rPr>
              <w:t>活性炭吸附+催化燃烧</w:t>
            </w:r>
            <w:r>
              <w:rPr>
                <w:rFonts w:hint="default" w:ascii="Times New Roman" w:hAnsi="Times New Roman" w:eastAsia="宋体" w:cs="Times New Roman"/>
                <w:b w:val="0"/>
                <w:bCs w:val="0"/>
                <w:color w:val="000000"/>
                <w:sz w:val="24"/>
                <w:szCs w:val="24"/>
                <w:highlight w:val="none"/>
                <w:lang w:val="en-US" w:eastAsia="zh-CN"/>
              </w:rPr>
              <w:t>处理后经1根15m排气筒DA002排放，根据上述工程分析，项目非甲烷总烃可达标排放。项目</w:t>
            </w:r>
            <w:r>
              <w:rPr>
                <w:rFonts w:hint="default" w:ascii="Times New Roman" w:hAnsi="Times New Roman" w:cs="Times New Roman"/>
                <w:b w:val="0"/>
                <w:bCs w:val="0"/>
                <w:color w:val="000000"/>
                <w:sz w:val="24"/>
                <w:szCs w:val="24"/>
                <w:highlight w:val="none"/>
                <w:lang w:val="en-US" w:eastAsia="zh-CN"/>
              </w:rPr>
              <w:t>喷漆</w:t>
            </w:r>
            <w:r>
              <w:rPr>
                <w:rFonts w:hint="default" w:ascii="Times New Roman" w:hAnsi="Times New Roman" w:eastAsia="宋体" w:cs="Times New Roman"/>
                <w:b w:val="0"/>
                <w:bCs w:val="0"/>
                <w:color w:val="000000"/>
                <w:sz w:val="24"/>
                <w:szCs w:val="24"/>
                <w:highlight w:val="none"/>
                <w:lang w:val="en-US" w:eastAsia="zh-CN"/>
              </w:rPr>
              <w:t>选择符合相关产品质量标准的活性炭，并足额充填，及时更换。根据《河北省涉VOCs工业企业常用治理技术指南》，本项目采用颗粒活性炭作为吸附剂，其碘值不低于800mg/g，活性炭填充量与每小时处理废气量体积之比1:7000，每1万N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h废气处理颗粒活性炭吸附截面积4.6m</w:t>
            </w:r>
            <w:r>
              <w:rPr>
                <w:rFonts w:hint="default" w:ascii="Times New Roman" w:hAnsi="Times New Roman" w:cs="Times New Roman"/>
                <w:b w:val="0"/>
                <w:bCs w:val="0"/>
                <w:color w:val="000000"/>
                <w:sz w:val="24"/>
                <w:szCs w:val="24"/>
                <w:highlight w:val="none"/>
                <w:vertAlign w:val="superscript"/>
                <w:lang w:val="en-US" w:eastAsia="zh-CN"/>
              </w:rPr>
              <w:t>2</w:t>
            </w:r>
            <w:r>
              <w:rPr>
                <w:rFonts w:hint="default" w:ascii="Times New Roman" w:hAnsi="Times New Roman" w:eastAsia="宋体" w:cs="Times New Roman"/>
                <w:b w:val="0"/>
                <w:bCs w:val="0"/>
                <w:color w:val="000000"/>
                <w:sz w:val="24"/>
                <w:szCs w:val="24"/>
                <w:highlight w:val="none"/>
                <w:lang w:val="en-US" w:eastAsia="zh-CN"/>
              </w:rPr>
              <w:t>，当出口废气浓度&gt;排放限值的70%时，及时更换活性炭，并做好相应台账更换记录及危废入库记录</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。参照《排污许可证申请与核发技术规范 铁路、船舶、航空航天和其他运输设备制造业》(HJ1124-2020)附录</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A</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中表A.6表面处理(涂装)排污单位废气污染防治推荐可行技术并分析本项目采用的</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“干式过滤+活性炭吸附+催化燃烧”</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治理工艺为可行性技术，可以稳定达标排放，对区域环境空气质量影响小，废气治理措施可行</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综上，项目废气处理措施可行，本项目废气污染物经处理后达标排放，不会对周边大气环境造成不利影响。</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b w:val="0"/>
                <w:bCs/>
                <w:color w:val="000000"/>
                <w:sz w:val="24"/>
                <w:szCs w:val="24"/>
                <w:highlight w:val="none"/>
                <w:lang w:val="en-US" w:eastAsia="zh-CN"/>
              </w:rPr>
            </w:pPr>
            <w:r>
              <w:rPr>
                <w:rFonts w:hint="default" w:ascii="Times New Roman" w:hAnsi="Times New Roman" w:cs="Times New Roman"/>
                <w:b w:val="0"/>
                <w:bCs/>
                <w:color w:val="000000"/>
                <w:sz w:val="24"/>
                <w:szCs w:val="24"/>
                <w:highlight w:val="none"/>
                <w:lang w:val="en-US" w:eastAsia="zh-CN"/>
              </w:rPr>
              <w:t>4、非正常排放</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color w:val="000000"/>
                <w:kern w:val="2"/>
                <w:sz w:val="24"/>
                <w:szCs w:val="24"/>
                <w:highlight w:val="none"/>
                <w:vertAlign w:val="baseline"/>
                <w:lang w:val="en-US" w:eastAsia="zh-CN" w:bidi="ar-SA"/>
              </w:rPr>
              <w:t>针对企业生产过程中设备的运行及污染治理设施的运行情况，其可能存在的非正常工况主要为废气治理设备故障等情况。</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color w:val="000000"/>
                <w:kern w:val="2"/>
                <w:sz w:val="24"/>
                <w:szCs w:val="24"/>
                <w:highlight w:val="none"/>
                <w:vertAlign w:val="baseline"/>
                <w:lang w:val="en-US" w:eastAsia="zh-CN" w:bidi="ar-SA"/>
              </w:rPr>
              <w:t>设备故障引起的废气非正常排放的控制措施：①及时检修设备，严格按操作规程操作，对于机电设备皆采用一开一备；②定期巡视、检修，一旦设备出现故障，立刻启动备用设备，有效避免事故发生。</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color w:val="000000"/>
                <w:kern w:val="2"/>
                <w:sz w:val="24"/>
                <w:szCs w:val="24"/>
                <w:highlight w:val="none"/>
                <w:vertAlign w:val="baseline"/>
                <w:lang w:val="en-US" w:eastAsia="zh-CN" w:bidi="ar-SA"/>
              </w:rPr>
              <w:t>对于项目废气治理设备可能发生的故障，最常见的是：废气治理设施故障，非正常工况持续时间最长不超过0.5h。</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color w:val="000000"/>
                <w:kern w:val="2"/>
                <w:sz w:val="24"/>
                <w:szCs w:val="24"/>
                <w:highlight w:val="none"/>
                <w:vertAlign w:val="baseline"/>
                <w:lang w:val="en-US" w:eastAsia="zh-CN" w:bidi="ar-SA"/>
              </w:rPr>
              <w:t>本项目非正常排放量核算见下表。</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2" w:firstLineChars="200"/>
              <w:jc w:val="center"/>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b/>
                <w:bCs/>
                <w:color w:val="000000"/>
                <w:kern w:val="0"/>
                <w:sz w:val="24"/>
                <w:szCs w:val="24"/>
                <w:highlight w:val="none"/>
              </w:rPr>
              <w:t>表</w:t>
            </w:r>
            <w:r>
              <w:rPr>
                <w:rFonts w:hint="default" w:ascii="Times New Roman" w:hAnsi="Times New Roman" w:cs="Times New Roman"/>
                <w:b/>
                <w:bCs/>
                <w:color w:val="000000"/>
                <w:kern w:val="0"/>
                <w:sz w:val="24"/>
                <w:szCs w:val="24"/>
                <w:highlight w:val="none"/>
                <w:lang w:val="en-US" w:eastAsia="zh-CN"/>
              </w:rPr>
              <w:t>4-4</w:t>
            </w:r>
            <w:r>
              <w:rPr>
                <w:rFonts w:hint="default" w:ascii="Times New Roman" w:hAnsi="Times New Roman" w:cs="Times New Roman"/>
                <w:b/>
                <w:bCs/>
                <w:color w:val="000000"/>
                <w:kern w:val="0"/>
                <w:sz w:val="24"/>
                <w:szCs w:val="24"/>
                <w:highlight w:val="none"/>
              </w:rPr>
              <w:t xml:space="preserve"> 污染源非正常工况排放核算表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56"/>
              <w:gridCol w:w="945"/>
              <w:gridCol w:w="869"/>
              <w:gridCol w:w="1333"/>
              <w:gridCol w:w="1154"/>
              <w:gridCol w:w="1011"/>
              <w:gridCol w:w="1046"/>
              <w:gridCol w:w="11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755" w:hRule="atLeast"/>
                <w:jc w:val="center"/>
              </w:trPr>
              <w:tc>
                <w:tcPr>
                  <w:tcW w:w="456" w:type="pct"/>
                  <w:tcBorders>
                    <w:tl2br w:val="nil"/>
                    <w:tr2bl w:val="nil"/>
                  </w:tcBorders>
                  <w:noWrap w:val="0"/>
                  <w:vAlign w:val="center"/>
                </w:tcPr>
                <w:p>
                  <w:pPr>
                    <w:pStyle w:val="73"/>
                    <w:spacing w:line="360" w:lineRule="exact"/>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非正常排放源</w:t>
                  </w:r>
                </w:p>
              </w:tc>
              <w:tc>
                <w:tcPr>
                  <w:tcW w:w="569" w:type="pct"/>
                  <w:tcBorders>
                    <w:tl2br w:val="nil"/>
                    <w:tr2bl w:val="nil"/>
                  </w:tcBorders>
                  <w:noWrap w:val="0"/>
                  <w:vAlign w:val="center"/>
                </w:tcPr>
                <w:p>
                  <w:pPr>
                    <w:pStyle w:val="73"/>
                    <w:spacing w:line="360" w:lineRule="exact"/>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非正常原因</w:t>
                  </w:r>
                </w:p>
              </w:tc>
              <w:tc>
                <w:tcPr>
                  <w:tcW w:w="523" w:type="pct"/>
                  <w:tcBorders>
                    <w:tl2br w:val="nil"/>
                    <w:tr2bl w:val="nil"/>
                  </w:tcBorders>
                  <w:noWrap w:val="0"/>
                  <w:vAlign w:val="center"/>
                </w:tcPr>
                <w:p>
                  <w:pPr>
                    <w:pStyle w:val="73"/>
                    <w:spacing w:line="360" w:lineRule="exact"/>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污染物</w:t>
                  </w:r>
                </w:p>
              </w:tc>
              <w:tc>
                <w:tcPr>
                  <w:tcW w:w="803" w:type="pct"/>
                  <w:tcBorders>
                    <w:tl2br w:val="nil"/>
                    <w:tr2bl w:val="nil"/>
                  </w:tcBorders>
                  <w:noWrap w:val="0"/>
                  <w:vAlign w:val="center"/>
                </w:tcPr>
                <w:p>
                  <w:pPr>
                    <w:pStyle w:val="73"/>
                    <w:spacing w:line="360" w:lineRule="exact"/>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非正常排放速率(kg/h)</w:t>
                  </w:r>
                </w:p>
              </w:tc>
              <w:tc>
                <w:tcPr>
                  <w:tcW w:w="695" w:type="pct"/>
                  <w:tcBorders>
                    <w:tl2br w:val="nil"/>
                    <w:tr2bl w:val="nil"/>
                  </w:tcBorders>
                  <w:noWrap w:val="0"/>
                  <w:vAlign w:val="center"/>
                </w:tcPr>
                <w:p>
                  <w:pPr>
                    <w:pStyle w:val="73"/>
                    <w:spacing w:line="360" w:lineRule="exact"/>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单次持续时间</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h</w:t>
                  </w:r>
                  <w:r>
                    <w:rPr>
                      <w:rFonts w:hint="default" w:ascii="Times New Roman" w:hAnsi="Times New Roman" w:cs="Times New Roman"/>
                      <w:color w:val="000000"/>
                      <w:sz w:val="21"/>
                      <w:szCs w:val="21"/>
                      <w:highlight w:val="none"/>
                      <w:lang w:val="en-US" w:eastAsia="zh-CN"/>
                    </w:rPr>
                    <w:t>)</w:t>
                  </w:r>
                </w:p>
              </w:tc>
              <w:tc>
                <w:tcPr>
                  <w:tcW w:w="609" w:type="pct"/>
                  <w:tcBorders>
                    <w:tl2br w:val="nil"/>
                    <w:tr2bl w:val="nil"/>
                  </w:tcBorders>
                  <w:noWrap w:val="0"/>
                  <w:vAlign w:val="center"/>
                </w:tcPr>
                <w:p>
                  <w:pPr>
                    <w:pStyle w:val="73"/>
                    <w:spacing w:line="360" w:lineRule="exact"/>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eastAsia="zh-CN"/>
                    </w:rPr>
                    <w:t>排放量</w:t>
                  </w:r>
                  <w:r>
                    <w:rPr>
                      <w:rFonts w:hint="default" w:ascii="Times New Roman" w:hAnsi="Times New Roman" w:cs="Times New Roman"/>
                      <w:color w:val="000000"/>
                      <w:sz w:val="21"/>
                      <w:szCs w:val="21"/>
                      <w:highlight w:val="none"/>
                      <w:lang w:val="en-US" w:eastAsia="zh-CN"/>
                    </w:rPr>
                    <w:t>(kg)</w:t>
                  </w:r>
                </w:p>
              </w:tc>
              <w:tc>
                <w:tcPr>
                  <w:tcW w:w="630" w:type="pct"/>
                  <w:tcBorders>
                    <w:tl2br w:val="nil"/>
                    <w:tr2bl w:val="nil"/>
                  </w:tcBorders>
                  <w:noWrap w:val="0"/>
                  <w:vAlign w:val="center"/>
                </w:tcPr>
                <w:p>
                  <w:pPr>
                    <w:pStyle w:val="73"/>
                    <w:spacing w:line="360" w:lineRule="exact"/>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rPr>
                    <w:t>年发生频次</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次/</w:t>
                  </w:r>
                  <w:r>
                    <w:rPr>
                      <w:rFonts w:hint="default" w:ascii="Times New Roman" w:hAnsi="Times New Roman" w:cs="Times New Roman"/>
                      <w:color w:val="000000"/>
                      <w:sz w:val="21"/>
                      <w:szCs w:val="21"/>
                      <w:highlight w:val="none"/>
                      <w:lang w:eastAsia="zh-CN"/>
                    </w:rPr>
                    <w:t>年</w:t>
                  </w:r>
                  <w:r>
                    <w:rPr>
                      <w:rFonts w:hint="default" w:ascii="Times New Roman" w:hAnsi="Times New Roman" w:cs="Times New Roman"/>
                      <w:color w:val="000000"/>
                      <w:sz w:val="21"/>
                      <w:szCs w:val="21"/>
                      <w:highlight w:val="none"/>
                      <w:lang w:val="en-US" w:eastAsia="zh-CN"/>
                    </w:rPr>
                    <w:t>)</w:t>
                  </w:r>
                </w:p>
              </w:tc>
              <w:tc>
                <w:tcPr>
                  <w:tcW w:w="710" w:type="pct"/>
                  <w:tcBorders>
                    <w:tl2br w:val="nil"/>
                    <w:tr2bl w:val="nil"/>
                  </w:tcBorders>
                  <w:noWrap w:val="0"/>
                  <w:vAlign w:val="center"/>
                </w:tcPr>
                <w:p>
                  <w:pPr>
                    <w:pStyle w:val="73"/>
                    <w:spacing w:line="360" w:lineRule="exact"/>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应对措施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25" w:hRule="atLeast"/>
                <w:jc w:val="center"/>
              </w:trPr>
              <w:tc>
                <w:tcPr>
                  <w:tcW w:w="456" w:type="pct"/>
                  <w:vMerge w:val="restar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有组织排放</w:t>
                  </w:r>
                </w:p>
              </w:tc>
              <w:tc>
                <w:tcPr>
                  <w:tcW w:w="569" w:type="pc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kern w:val="2"/>
                      <w:sz w:val="21"/>
                      <w:szCs w:val="21"/>
                      <w:highlight w:val="none"/>
                      <w:vertAlign w:val="baseline"/>
                      <w:lang w:val="en-US" w:eastAsia="zh-CN" w:bidi="ar-SA"/>
                    </w:rPr>
                    <w:t>抛丸除尘系统故障</w:t>
                  </w:r>
                </w:p>
              </w:tc>
              <w:tc>
                <w:tcPr>
                  <w:tcW w:w="523" w:type="pc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颗粒物</w:t>
                  </w:r>
                </w:p>
              </w:tc>
              <w:tc>
                <w:tcPr>
                  <w:tcW w:w="803"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pacing w:val="-3"/>
                      <w:sz w:val="21"/>
                      <w:szCs w:val="21"/>
                      <w:highlight w:val="none"/>
                      <w:lang w:val="en-US" w:eastAsia="zh-CN"/>
                    </w:rPr>
                  </w:pPr>
                  <w:r>
                    <w:rPr>
                      <w:rFonts w:hint="default" w:ascii="Times New Roman" w:hAnsi="Times New Roman" w:cs="Times New Roman"/>
                      <w:i w:val="0"/>
                      <w:iCs w:val="0"/>
                      <w:color w:val="000000"/>
                      <w:kern w:val="0"/>
                      <w:sz w:val="21"/>
                      <w:szCs w:val="21"/>
                      <w:u w:val="none"/>
                      <w:lang w:val="en-US" w:eastAsia="zh-CN" w:bidi="ar"/>
                    </w:rPr>
                    <w:t>0.657</w:t>
                  </w:r>
                </w:p>
              </w:tc>
              <w:tc>
                <w:tcPr>
                  <w:tcW w:w="695"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w:t>
                  </w:r>
                </w:p>
              </w:tc>
              <w:tc>
                <w:tcPr>
                  <w:tcW w:w="60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w:t>
                  </w:r>
                  <w:r>
                    <w:rPr>
                      <w:rFonts w:hint="default" w:ascii="Times New Roman" w:hAnsi="Times New Roman" w:cs="Times New Roman"/>
                      <w:i w:val="0"/>
                      <w:iCs w:val="0"/>
                      <w:color w:val="000000"/>
                      <w:kern w:val="0"/>
                      <w:sz w:val="21"/>
                      <w:szCs w:val="21"/>
                      <w:u w:val="none"/>
                      <w:lang w:val="en-US" w:eastAsia="zh-CN" w:bidi="ar"/>
                    </w:rPr>
                    <w:t>329</w:t>
                  </w:r>
                </w:p>
              </w:tc>
              <w:tc>
                <w:tcPr>
                  <w:tcW w:w="630" w:type="pct"/>
                  <w:tcBorders>
                    <w:tl2br w:val="nil"/>
                    <w:tr2bl w:val="nil"/>
                  </w:tcBorders>
                  <w:noWrap w:val="0"/>
                  <w:vAlign w:val="center"/>
                </w:tcPr>
                <w:p>
                  <w:pPr>
                    <w:spacing w:line="360" w:lineRule="exact"/>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710" w:type="pct"/>
                  <w:vMerge w:val="restar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highlight w:val="none"/>
                    </w:rPr>
                    <w:t>立即停产，对故障设施进行检修或更换，待故障设施恢复正常后恢复生产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25" w:hRule="atLeast"/>
                <w:jc w:val="center"/>
              </w:trPr>
              <w:tc>
                <w:tcPr>
                  <w:tcW w:w="456" w:type="pct"/>
                  <w:vMerge w:val="continue"/>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p>
              </w:tc>
              <w:tc>
                <w:tcPr>
                  <w:tcW w:w="569" w:type="pct"/>
                  <w:vMerge w:val="restar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vertAlign w:val="baseline"/>
                      <w:lang w:val="en-US" w:eastAsia="zh-CN" w:bidi="ar-SA"/>
                    </w:rPr>
                  </w:pPr>
                  <w:r>
                    <w:rPr>
                      <w:rFonts w:hint="default" w:ascii="Times New Roman" w:hAnsi="Times New Roman" w:cs="Times New Roman"/>
                      <w:color w:val="000000"/>
                      <w:kern w:val="2"/>
                      <w:sz w:val="21"/>
                      <w:szCs w:val="21"/>
                      <w:highlight w:val="none"/>
                      <w:vertAlign w:val="baseline"/>
                      <w:lang w:val="en-US" w:eastAsia="zh-CN" w:bidi="ar-SA"/>
                    </w:rPr>
                    <w:t>喷漆房废气治理设施故障</w:t>
                  </w:r>
                </w:p>
              </w:tc>
              <w:tc>
                <w:tcPr>
                  <w:tcW w:w="523" w:type="pc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颗粒物</w:t>
                  </w:r>
                </w:p>
              </w:tc>
              <w:tc>
                <w:tcPr>
                  <w:tcW w:w="803"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w:t>
                  </w:r>
                  <w:r>
                    <w:rPr>
                      <w:rFonts w:hint="default" w:ascii="Times New Roman" w:hAnsi="Times New Roman" w:cs="Times New Roman"/>
                      <w:i w:val="0"/>
                      <w:iCs w:val="0"/>
                      <w:color w:val="000000"/>
                      <w:kern w:val="0"/>
                      <w:sz w:val="21"/>
                      <w:szCs w:val="21"/>
                      <w:u w:val="none"/>
                      <w:lang w:val="en-US" w:eastAsia="zh-CN" w:bidi="ar"/>
                    </w:rPr>
                    <w:t>18</w:t>
                  </w:r>
                </w:p>
              </w:tc>
              <w:tc>
                <w:tcPr>
                  <w:tcW w:w="695"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w:t>
                  </w:r>
                </w:p>
              </w:tc>
              <w:tc>
                <w:tcPr>
                  <w:tcW w:w="60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0.0</w:t>
                  </w:r>
                  <w:r>
                    <w:rPr>
                      <w:rFonts w:hint="default" w:ascii="Times New Roman" w:hAnsi="Times New Roman" w:cs="Times New Roman"/>
                      <w:i w:val="0"/>
                      <w:iCs w:val="0"/>
                      <w:color w:val="000000"/>
                      <w:kern w:val="0"/>
                      <w:sz w:val="21"/>
                      <w:szCs w:val="21"/>
                      <w:u w:val="none"/>
                      <w:lang w:val="en-US" w:eastAsia="zh-CN" w:bidi="ar"/>
                    </w:rPr>
                    <w:t>9</w:t>
                  </w:r>
                </w:p>
              </w:tc>
              <w:tc>
                <w:tcPr>
                  <w:tcW w:w="630"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710" w:type="pct"/>
                  <w:vMerge w:val="continue"/>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25" w:hRule="atLeast"/>
                <w:jc w:val="center"/>
              </w:trPr>
              <w:tc>
                <w:tcPr>
                  <w:tcW w:w="456" w:type="pct"/>
                  <w:vMerge w:val="continue"/>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p>
              </w:tc>
              <w:tc>
                <w:tcPr>
                  <w:tcW w:w="569" w:type="pct"/>
                  <w:vMerge w:val="continue"/>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vertAlign w:val="baseline"/>
                      <w:lang w:val="en-US" w:eastAsia="zh-CN" w:bidi="ar-SA"/>
                    </w:rPr>
                  </w:pPr>
                </w:p>
              </w:tc>
              <w:tc>
                <w:tcPr>
                  <w:tcW w:w="523" w:type="pc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挥发性有机物</w:t>
                  </w:r>
                </w:p>
              </w:tc>
              <w:tc>
                <w:tcPr>
                  <w:tcW w:w="803"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i w:val="0"/>
                      <w:iCs w:val="0"/>
                      <w:color w:val="000000"/>
                      <w:kern w:val="0"/>
                      <w:sz w:val="21"/>
                      <w:szCs w:val="21"/>
                      <w:u w:val="none"/>
                      <w:lang w:val="en-US" w:eastAsia="zh-CN" w:bidi="ar"/>
                    </w:rPr>
                    <w:t>3</w:t>
                  </w:r>
                </w:p>
              </w:tc>
              <w:tc>
                <w:tcPr>
                  <w:tcW w:w="695"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w:t>
                  </w:r>
                </w:p>
              </w:tc>
              <w:tc>
                <w:tcPr>
                  <w:tcW w:w="60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cs="Times New Roman"/>
                      <w:i w:val="0"/>
                      <w:iCs w:val="0"/>
                      <w:color w:val="000000"/>
                      <w:kern w:val="0"/>
                      <w:sz w:val="21"/>
                      <w:szCs w:val="21"/>
                      <w:u w:val="none"/>
                      <w:lang w:val="en-US" w:eastAsia="zh-CN" w:bidi="ar"/>
                    </w:rPr>
                    <w:t>1.5</w:t>
                  </w:r>
                </w:p>
              </w:tc>
              <w:tc>
                <w:tcPr>
                  <w:tcW w:w="630"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710" w:type="pct"/>
                  <w:vMerge w:val="continue"/>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625" w:hRule="atLeast"/>
                <w:jc w:val="center"/>
              </w:trPr>
              <w:tc>
                <w:tcPr>
                  <w:tcW w:w="456" w:type="pct"/>
                  <w:vMerge w:val="continue"/>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p>
              </w:tc>
              <w:tc>
                <w:tcPr>
                  <w:tcW w:w="569" w:type="pc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vertAlign w:val="baseline"/>
                      <w:lang w:val="en-US" w:eastAsia="zh-CN" w:bidi="ar-SA"/>
                    </w:rPr>
                  </w:pPr>
                  <w:r>
                    <w:rPr>
                      <w:rFonts w:hint="default" w:ascii="Times New Roman" w:hAnsi="Times New Roman" w:cs="Times New Roman"/>
                      <w:color w:val="000000"/>
                      <w:kern w:val="2"/>
                      <w:sz w:val="21"/>
                      <w:szCs w:val="21"/>
                      <w:highlight w:val="none"/>
                      <w:vertAlign w:val="baseline"/>
                      <w:lang w:val="en-US" w:eastAsia="zh-CN" w:bidi="ar-SA"/>
                    </w:rPr>
                    <w:t>油烟净化器故障</w:t>
                  </w:r>
                </w:p>
              </w:tc>
              <w:tc>
                <w:tcPr>
                  <w:tcW w:w="523" w:type="pct"/>
                  <w:tcBorders>
                    <w:tl2br w:val="nil"/>
                    <w:tr2bl w:val="nil"/>
                  </w:tcBorders>
                  <w:noWrap w:val="0"/>
                  <w:vAlign w:val="center"/>
                </w:tcPr>
                <w:p>
                  <w:pPr>
                    <w:adjustRightInd/>
                    <w:snapToGrid/>
                    <w:spacing w:line="320" w:lineRule="exact"/>
                    <w:jc w:val="center"/>
                    <w:rPr>
                      <w:rFonts w:hint="default" w:ascii="Times New Roman" w:hAnsi="Times New Roman" w:cs="Times New Roman"/>
                      <w:color w:val="000000"/>
                      <w:kern w:val="2"/>
                      <w:sz w:val="21"/>
                      <w:szCs w:val="21"/>
                      <w:highlight w:val="none"/>
                      <w:lang w:val="en-US" w:eastAsia="zh-CN" w:bidi="ar-SA"/>
                    </w:rPr>
                  </w:pPr>
                  <w:r>
                    <w:rPr>
                      <w:rFonts w:hint="default" w:ascii="Times New Roman" w:hAnsi="Times New Roman" w:cs="Times New Roman"/>
                      <w:color w:val="000000"/>
                      <w:kern w:val="2"/>
                      <w:sz w:val="21"/>
                      <w:szCs w:val="21"/>
                      <w:highlight w:val="none"/>
                      <w:lang w:val="en-US" w:eastAsia="zh-CN" w:bidi="ar-SA"/>
                    </w:rPr>
                    <w:t>油烟</w:t>
                  </w:r>
                </w:p>
              </w:tc>
              <w:tc>
                <w:tcPr>
                  <w:tcW w:w="803"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i w:val="0"/>
                      <w:iCs w:val="0"/>
                      <w:color w:val="000000"/>
                      <w:kern w:val="0"/>
                      <w:sz w:val="21"/>
                      <w:szCs w:val="21"/>
                      <w:u w:val="none"/>
                      <w:lang w:val="en-US" w:eastAsia="zh-CN" w:bidi="ar"/>
                    </w:rPr>
                    <w:t>0.007</w:t>
                  </w:r>
                </w:p>
              </w:tc>
              <w:tc>
                <w:tcPr>
                  <w:tcW w:w="695"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0.5</w:t>
                  </w:r>
                </w:p>
              </w:tc>
              <w:tc>
                <w:tcPr>
                  <w:tcW w:w="609"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1"/>
                      <w:szCs w:val="21"/>
                      <w:u w:val="none"/>
                      <w:lang w:val="en-US" w:eastAsia="zh-CN" w:bidi="ar"/>
                    </w:rPr>
                  </w:pPr>
                  <w:r>
                    <w:rPr>
                      <w:rFonts w:hint="default" w:ascii="Times New Roman" w:hAnsi="Times New Roman" w:eastAsia="宋体" w:cs="Times New Roman"/>
                      <w:i w:val="0"/>
                      <w:iCs w:val="0"/>
                      <w:color w:val="000000"/>
                      <w:kern w:val="0"/>
                      <w:sz w:val="21"/>
                      <w:szCs w:val="21"/>
                      <w:u w:val="none"/>
                      <w:lang w:val="en-US" w:eastAsia="zh-CN" w:bidi="ar"/>
                    </w:rPr>
                    <w:t>0.0035</w:t>
                  </w:r>
                </w:p>
              </w:tc>
              <w:tc>
                <w:tcPr>
                  <w:tcW w:w="630" w:type="pct"/>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710" w:type="pct"/>
                  <w:vMerge w:val="continue"/>
                  <w:tcBorders>
                    <w:tl2br w:val="nil"/>
                    <w:tr2bl w:val="nil"/>
                  </w:tcBorders>
                  <w:noWrap w:val="0"/>
                  <w:vAlign w:val="center"/>
                </w:tcPr>
                <w:p>
                  <w:pPr>
                    <w:spacing w:line="360" w:lineRule="exact"/>
                    <w:jc w:val="center"/>
                    <w:rPr>
                      <w:rFonts w:hint="default" w:ascii="Times New Roman" w:hAnsi="Times New Roman" w:cs="Times New Roman"/>
                      <w:color w:val="000000"/>
                      <w:sz w:val="21"/>
                      <w:szCs w:val="21"/>
                      <w:highlight w:val="none"/>
                    </w:rPr>
                  </w:pPr>
                </w:p>
              </w:tc>
            </w:tr>
          </w:tbl>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b w:val="0"/>
                <w:bCs/>
                <w:color w:val="000000"/>
                <w:sz w:val="24"/>
                <w:szCs w:val="24"/>
                <w:highlight w:val="none"/>
                <w:lang w:val="en-US" w:eastAsia="zh-CN"/>
              </w:rPr>
            </w:pPr>
            <w:r>
              <w:rPr>
                <w:rFonts w:hint="default" w:ascii="Times New Roman" w:hAnsi="Times New Roman" w:cs="Times New Roman"/>
                <w:b w:val="0"/>
                <w:bCs/>
                <w:color w:val="000000"/>
                <w:sz w:val="24"/>
                <w:szCs w:val="24"/>
                <w:highlight w:val="none"/>
                <w:lang w:val="en-US" w:eastAsia="zh-CN"/>
              </w:rPr>
              <w:t>由上表可知，项目非正常工况下废气排放量不大，不会对周围大气环境产生影响。</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b w:val="0"/>
                <w:bCs/>
                <w:color w:val="000000"/>
                <w:sz w:val="24"/>
                <w:szCs w:val="24"/>
                <w:highlight w:val="none"/>
                <w:lang w:val="en-US" w:eastAsia="zh-CN"/>
              </w:rPr>
            </w:pPr>
            <w:r>
              <w:rPr>
                <w:rFonts w:hint="default" w:ascii="Times New Roman" w:hAnsi="Times New Roman" w:cs="Times New Roman"/>
                <w:b w:val="0"/>
                <w:bCs/>
                <w:color w:val="000000"/>
                <w:sz w:val="24"/>
                <w:szCs w:val="24"/>
                <w:highlight w:val="none"/>
                <w:lang w:val="en-US" w:eastAsia="zh-CN"/>
              </w:rPr>
              <w:t>5、大气监测计划</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480" w:firstLineChars="200"/>
              <w:textAlignment w:val="auto"/>
              <w:rPr>
                <w:rFonts w:hint="default" w:ascii="Times New Roman" w:hAnsi="Times New Roman" w:cs="Times New Roman"/>
                <w:color w:val="000000"/>
                <w:kern w:val="2"/>
                <w:sz w:val="24"/>
                <w:szCs w:val="24"/>
                <w:highlight w:val="none"/>
                <w:vertAlign w:val="baseline"/>
                <w:lang w:val="en-US" w:eastAsia="zh-CN" w:bidi="ar-SA"/>
              </w:rPr>
            </w:pPr>
            <w:r>
              <w:rPr>
                <w:rFonts w:hint="default" w:ascii="Times New Roman" w:hAnsi="Times New Roman" w:cs="Times New Roman"/>
                <w:color w:val="000000"/>
                <w:kern w:val="2"/>
                <w:sz w:val="24"/>
                <w:szCs w:val="24"/>
                <w:highlight w:val="none"/>
                <w:vertAlign w:val="baseline"/>
                <w:lang w:val="en-US" w:eastAsia="zh-CN" w:bidi="ar-SA"/>
              </w:rPr>
              <w:t>参</w:t>
            </w:r>
            <w:r>
              <w:rPr>
                <w:rFonts w:hint="default" w:ascii="Times New Roman" w:hAnsi="Times New Roman" w:cs="Times New Roman"/>
                <w:color w:val="000000" w:themeColor="text1"/>
                <w:kern w:val="2"/>
                <w:sz w:val="24"/>
                <w:szCs w:val="24"/>
                <w:highlight w:val="none"/>
                <w:vertAlign w:val="baseline"/>
                <w:lang w:val="en-US" w:eastAsia="zh-CN" w:bidi="ar-SA"/>
                <w14:textFill>
                  <w14:solidFill>
                    <w14:schemeClr w14:val="tx1"/>
                  </w14:solidFill>
                </w14:textFill>
              </w:rPr>
              <w:t>照《排污单位自行监测技术指南 涂装》（HJ1086-2020）及</w:t>
            </w:r>
            <w:r>
              <w:rPr>
                <w:rFonts w:hint="default" w:ascii="Times New Roman" w:hAnsi="Times New Roman" w:eastAsia="宋体" w:cs="Times New Roman"/>
                <w:color w:val="000000" w:themeColor="text1"/>
                <w:kern w:val="2"/>
                <w:sz w:val="24"/>
                <w:szCs w:val="24"/>
                <w:highlight w:val="none"/>
                <w:vertAlign w:val="baseline"/>
                <w:lang w:val="en-US" w:eastAsia="zh-CN" w:bidi="ar-SA"/>
                <w14:textFill>
                  <w14:solidFill>
                    <w14:schemeClr w14:val="tx1"/>
                  </w14:solidFill>
                </w14:textFill>
              </w:rPr>
              <w:t>《排污许可证申请与核发技术规范 铁路、船舶、航空航天和其他运输设备制造业》（HJ1124-2020）表A.8表面处理(涂装)排污单位废气污染源监测点位、监测指标及最低监测频次一览表，</w:t>
            </w:r>
            <w:r>
              <w:rPr>
                <w:rFonts w:hint="default" w:ascii="Times New Roman" w:hAnsi="Times New Roman" w:cs="Times New Roman"/>
                <w:color w:val="000000" w:themeColor="text1"/>
                <w:kern w:val="2"/>
                <w:sz w:val="24"/>
                <w:szCs w:val="24"/>
                <w:highlight w:val="none"/>
                <w:vertAlign w:val="baseline"/>
                <w:lang w:val="en-US" w:eastAsia="zh-CN" w:bidi="ar-SA"/>
                <w14:textFill>
                  <w14:solidFill>
                    <w14:schemeClr w14:val="tx1"/>
                  </w14:solidFill>
                </w14:textFill>
              </w:rPr>
              <w:t>并</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结合本项目特点及污染物排放特征制定监测方案。废气具体监测要求见下表：</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0" w:firstLineChars="0"/>
              <w:jc w:val="center"/>
              <w:textAlignment w:val="auto"/>
              <w:rPr>
                <w:rFonts w:hint="default" w:ascii="Times New Roman" w:hAnsi="Times New Roman" w:cs="Times New Roman"/>
                <w:b/>
                <w:bCs/>
                <w:color w:val="000000"/>
                <w:kern w:val="0"/>
                <w:sz w:val="24"/>
                <w:szCs w:val="24"/>
                <w:highlight w:val="none"/>
              </w:rPr>
            </w:pPr>
            <w:r>
              <w:rPr>
                <w:rFonts w:hint="default" w:ascii="Times New Roman" w:hAnsi="Times New Roman" w:cs="Times New Roman"/>
                <w:b/>
                <w:bCs/>
                <w:color w:val="000000"/>
                <w:kern w:val="0"/>
                <w:sz w:val="24"/>
                <w:szCs w:val="24"/>
                <w:highlight w:val="none"/>
              </w:rPr>
              <w:t>表</w:t>
            </w:r>
            <w:r>
              <w:rPr>
                <w:rFonts w:hint="default" w:ascii="Times New Roman" w:hAnsi="Times New Roman" w:cs="Times New Roman"/>
                <w:b/>
                <w:bCs/>
                <w:color w:val="000000"/>
                <w:kern w:val="0"/>
                <w:sz w:val="24"/>
                <w:szCs w:val="24"/>
                <w:highlight w:val="none"/>
                <w:lang w:val="en-US" w:eastAsia="zh-CN"/>
              </w:rPr>
              <w:t>4-5</w:t>
            </w:r>
            <w:r>
              <w:rPr>
                <w:rFonts w:hint="default" w:ascii="Times New Roman" w:hAnsi="Times New Roman" w:cs="Times New Roman"/>
                <w:b/>
                <w:bCs/>
                <w:color w:val="000000"/>
                <w:kern w:val="0"/>
                <w:sz w:val="24"/>
                <w:szCs w:val="24"/>
                <w:highlight w:val="none"/>
              </w:rPr>
              <w:t xml:space="preserve"> </w:t>
            </w:r>
            <w:r>
              <w:rPr>
                <w:rFonts w:hint="default" w:ascii="Times New Roman" w:hAnsi="Times New Roman" w:cs="Times New Roman"/>
                <w:b/>
                <w:bCs/>
                <w:color w:val="000000"/>
                <w:kern w:val="0"/>
                <w:sz w:val="24"/>
                <w:szCs w:val="24"/>
                <w:highlight w:val="none"/>
                <w:lang w:val="en-US" w:eastAsia="zh-CN"/>
              </w:rPr>
              <w:t>废气</w:t>
            </w:r>
            <w:r>
              <w:rPr>
                <w:rFonts w:hint="default" w:ascii="Times New Roman" w:hAnsi="Times New Roman" w:eastAsia="宋体" w:cs="Times New Roman"/>
                <w:b/>
                <w:bCs/>
                <w:color w:val="000000"/>
                <w:sz w:val="24"/>
                <w:szCs w:val="24"/>
                <w:highlight w:val="none"/>
              </w:rPr>
              <w:t>监测计划一览表</w:t>
            </w:r>
            <w:r>
              <w:rPr>
                <w:rFonts w:hint="default" w:ascii="Times New Roman" w:hAnsi="Times New Roman" w:cs="Times New Roman"/>
                <w:b/>
                <w:bCs/>
                <w:color w:val="000000"/>
                <w:kern w:val="0"/>
                <w:sz w:val="24"/>
                <w:szCs w:val="24"/>
                <w:highlight w:val="none"/>
              </w:rPr>
              <w:t>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4" w:type="dxa"/>
                <w:bottom w:w="0" w:type="dxa"/>
                <w:right w:w="34" w:type="dxa"/>
              </w:tblCellMar>
            </w:tblPr>
            <w:tblGrid>
              <w:gridCol w:w="977"/>
              <w:gridCol w:w="932"/>
              <w:gridCol w:w="1305"/>
              <w:gridCol w:w="905"/>
              <w:gridCol w:w="41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0" w:hRule="atLeast"/>
                <w:jc w:val="center"/>
              </w:trPr>
              <w:tc>
                <w:tcPr>
                  <w:tcW w:w="589"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rPr>
                  </w:pPr>
                  <w:r>
                    <w:rPr>
                      <w:rFonts w:hint="default" w:ascii="Times New Roman" w:hAnsi="Times New Roman" w:eastAsia="宋体" w:cs="Times New Roman"/>
                      <w:snapToGrid w:val="0"/>
                      <w:color w:val="000000"/>
                      <w:spacing w:val="-4"/>
                      <w:kern w:val="0"/>
                      <w:sz w:val="21"/>
                      <w:szCs w:val="21"/>
                      <w:highlight w:val="none"/>
                    </w:rPr>
                    <w:t>监测类别</w:t>
                  </w:r>
                </w:p>
              </w:tc>
              <w:tc>
                <w:tcPr>
                  <w:tcW w:w="562"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rPr>
                  </w:pPr>
                  <w:r>
                    <w:rPr>
                      <w:rFonts w:hint="default" w:ascii="Times New Roman" w:hAnsi="Times New Roman" w:eastAsia="宋体" w:cs="Times New Roman"/>
                      <w:snapToGrid w:val="0"/>
                      <w:color w:val="000000"/>
                      <w:spacing w:val="-4"/>
                      <w:kern w:val="0"/>
                      <w:sz w:val="21"/>
                      <w:szCs w:val="21"/>
                      <w:highlight w:val="none"/>
                    </w:rPr>
                    <w:t>监测位置</w:t>
                  </w:r>
                </w:p>
              </w:tc>
              <w:tc>
                <w:tcPr>
                  <w:tcW w:w="786"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rPr>
                  </w:pPr>
                  <w:r>
                    <w:rPr>
                      <w:rFonts w:hint="default" w:ascii="Times New Roman" w:hAnsi="Times New Roman" w:eastAsia="宋体" w:cs="Times New Roman"/>
                      <w:snapToGrid w:val="0"/>
                      <w:color w:val="000000"/>
                      <w:spacing w:val="-4"/>
                      <w:kern w:val="0"/>
                      <w:sz w:val="21"/>
                      <w:szCs w:val="21"/>
                      <w:highlight w:val="none"/>
                    </w:rPr>
                    <w:t>监测因子</w:t>
                  </w:r>
                </w:p>
              </w:tc>
              <w:tc>
                <w:tcPr>
                  <w:tcW w:w="545"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rPr>
                  </w:pPr>
                  <w:r>
                    <w:rPr>
                      <w:rFonts w:hint="default" w:ascii="Times New Roman" w:hAnsi="Times New Roman" w:eastAsia="宋体" w:cs="Times New Roman"/>
                      <w:snapToGrid w:val="0"/>
                      <w:color w:val="000000"/>
                      <w:spacing w:val="-4"/>
                      <w:kern w:val="0"/>
                      <w:sz w:val="21"/>
                      <w:szCs w:val="21"/>
                      <w:highlight w:val="none"/>
                    </w:rPr>
                    <w:t>监测频率</w:t>
                  </w:r>
                </w:p>
              </w:tc>
              <w:tc>
                <w:tcPr>
                  <w:tcW w:w="2516"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rPr>
                  </w:pPr>
                  <w:r>
                    <w:rPr>
                      <w:rFonts w:hint="default" w:ascii="Times New Roman" w:hAnsi="Times New Roman" w:eastAsia="宋体" w:cs="Times New Roman"/>
                      <w:snapToGrid w:val="0"/>
                      <w:color w:val="000000"/>
                      <w:kern w:val="0"/>
                      <w:sz w:val="21"/>
                      <w:szCs w:val="21"/>
                      <w:highlight w:val="none"/>
                    </w:rPr>
                    <w:t>执行排放标准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412" w:hRule="atLeast"/>
                <w:jc w:val="center"/>
              </w:trPr>
              <w:tc>
                <w:tcPr>
                  <w:tcW w:w="589" w:type="pct"/>
                  <w:vMerge w:val="restar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snapToGrid w:val="0"/>
                      <w:color w:val="000000"/>
                      <w:spacing w:val="-4"/>
                      <w:kern w:val="0"/>
                      <w:sz w:val="21"/>
                      <w:szCs w:val="21"/>
                      <w:highlight w:val="none"/>
                      <w:lang w:eastAsia="zh-CN"/>
                    </w:rPr>
                  </w:pPr>
                  <w:r>
                    <w:rPr>
                      <w:rFonts w:hint="default" w:ascii="Times New Roman" w:hAnsi="Times New Roman" w:eastAsia="宋体" w:cs="Times New Roman"/>
                      <w:snapToGrid w:val="0"/>
                      <w:color w:val="000000"/>
                      <w:spacing w:val="-4"/>
                      <w:kern w:val="0"/>
                      <w:sz w:val="21"/>
                      <w:szCs w:val="21"/>
                      <w:highlight w:val="none"/>
                      <w:lang w:eastAsia="zh-CN"/>
                    </w:rPr>
                    <w:t>废气</w:t>
                  </w:r>
                </w:p>
              </w:tc>
              <w:tc>
                <w:tcPr>
                  <w:tcW w:w="562" w:type="pc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snapToGrid w:val="0"/>
                      <w:color w:val="000000"/>
                      <w:spacing w:val="-4"/>
                      <w:kern w:val="0"/>
                      <w:sz w:val="21"/>
                      <w:szCs w:val="21"/>
                      <w:highlight w:val="none"/>
                      <w:lang w:val="en-US" w:eastAsia="zh-CN"/>
                    </w:rPr>
                  </w:pPr>
                  <w:r>
                    <w:rPr>
                      <w:rFonts w:hint="default" w:ascii="Times New Roman" w:hAnsi="Times New Roman" w:eastAsia="宋体" w:cs="Times New Roman"/>
                      <w:snapToGrid w:val="0"/>
                      <w:color w:val="000000"/>
                      <w:spacing w:val="-4"/>
                      <w:kern w:val="0"/>
                      <w:sz w:val="21"/>
                      <w:szCs w:val="21"/>
                      <w:highlight w:val="none"/>
                      <w:lang w:val="en-US" w:eastAsia="zh-CN"/>
                    </w:rPr>
                    <w:t>DA001</w:t>
                  </w:r>
                </w:p>
              </w:tc>
              <w:tc>
                <w:tcPr>
                  <w:tcW w:w="786" w:type="pc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snapToGrid w:val="0"/>
                      <w:color w:val="000000"/>
                      <w:kern w:val="0"/>
                      <w:sz w:val="21"/>
                      <w:szCs w:val="21"/>
                      <w:highlight w:val="none"/>
                      <w:lang w:val="en-US" w:eastAsia="zh-CN" w:bidi="ar-SA"/>
                    </w:rPr>
                  </w:pPr>
                  <w:r>
                    <w:rPr>
                      <w:rFonts w:hint="default" w:ascii="Times New Roman" w:hAnsi="Times New Roman" w:eastAsia="宋体" w:cs="Times New Roman"/>
                      <w:snapToGrid w:val="0"/>
                      <w:color w:val="000000"/>
                      <w:kern w:val="0"/>
                      <w:sz w:val="21"/>
                      <w:szCs w:val="21"/>
                      <w:highlight w:val="none"/>
                      <w:lang w:val="en-US" w:eastAsia="zh-CN" w:bidi="ar-SA"/>
                    </w:rPr>
                    <w:t>颗粒物</w:t>
                  </w:r>
                </w:p>
              </w:tc>
              <w:tc>
                <w:tcPr>
                  <w:tcW w:w="545" w:type="pc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snapToGrid w:val="0"/>
                      <w:color w:val="000000"/>
                      <w:kern w:val="0"/>
                      <w:sz w:val="21"/>
                      <w:szCs w:val="21"/>
                      <w:highlight w:val="none"/>
                      <w:lang w:val="en-US" w:eastAsia="zh-CN" w:bidi="ar-SA"/>
                    </w:rPr>
                  </w:pPr>
                  <w:r>
                    <w:rPr>
                      <w:rFonts w:hint="default" w:ascii="Times New Roman" w:hAnsi="Times New Roman" w:eastAsia="宋体" w:cs="Times New Roman"/>
                      <w:snapToGrid w:val="0"/>
                      <w:color w:val="000000"/>
                      <w:kern w:val="0"/>
                      <w:sz w:val="21"/>
                      <w:szCs w:val="21"/>
                      <w:highlight w:val="none"/>
                    </w:rPr>
                    <w:t>1次/年</w:t>
                  </w:r>
                </w:p>
              </w:tc>
              <w:tc>
                <w:tcPr>
                  <w:tcW w:w="2516" w:type="pct"/>
                  <w:tcBorders>
                    <w:tl2br w:val="nil"/>
                    <w:tr2bl w:val="nil"/>
                  </w:tcBorders>
                  <w:noWrap w:val="0"/>
                  <w:vAlign w:val="center"/>
                </w:tcPr>
                <w:p>
                  <w:pPr>
                    <w:adjustRightInd w:val="0"/>
                    <w:snapToGrid w:val="0"/>
                    <w:spacing w:line="240" w:lineRule="auto"/>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《大气污染物综合排放标准》（GB16297-1996）表2</w:t>
                  </w:r>
                  <w:r>
                    <w:rPr>
                      <w:rFonts w:hint="default" w:ascii="Times New Roman" w:hAnsi="Times New Roman" w:eastAsia="宋体" w:cs="Times New Roman"/>
                      <w:b w:val="0"/>
                      <w:bCs/>
                      <w:color w:val="000000"/>
                      <w:spacing w:val="-3"/>
                      <w:sz w:val="21"/>
                      <w:szCs w:val="21"/>
                      <w:highlight w:val="none"/>
                    </w:rPr>
                    <w:t>二级</w:t>
                  </w:r>
                  <w:r>
                    <w:rPr>
                      <w:rFonts w:hint="default" w:ascii="Times New Roman" w:hAnsi="Times New Roman" w:cs="Times New Roman"/>
                      <w:color w:val="000000"/>
                      <w:sz w:val="21"/>
                      <w:szCs w:val="21"/>
                      <w:highlight w:val="none"/>
                    </w:rPr>
                    <w:t>标准要求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12" w:hRule="atLeast"/>
                <w:jc w:val="center"/>
              </w:trPr>
              <w:tc>
                <w:tcPr>
                  <w:tcW w:w="589"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sz w:val="21"/>
                      <w:szCs w:val="21"/>
                      <w:highlight w:val="none"/>
                    </w:rPr>
                  </w:pPr>
                </w:p>
              </w:tc>
              <w:tc>
                <w:tcPr>
                  <w:tcW w:w="562" w:type="pct"/>
                  <w:vMerge w:val="restar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val="en-US" w:eastAsia="zh-CN"/>
                    </w:rPr>
                  </w:pPr>
                  <w:r>
                    <w:rPr>
                      <w:rFonts w:hint="default" w:ascii="Times New Roman" w:hAnsi="Times New Roman" w:cs="Times New Roman"/>
                      <w:snapToGrid w:val="0"/>
                      <w:color w:val="000000"/>
                      <w:spacing w:val="-4"/>
                      <w:kern w:val="0"/>
                      <w:sz w:val="21"/>
                      <w:szCs w:val="21"/>
                      <w:highlight w:val="none"/>
                      <w:lang w:val="en-US" w:eastAsia="zh-CN"/>
                    </w:rPr>
                    <w:t>DA002</w:t>
                  </w:r>
                </w:p>
              </w:tc>
              <w:tc>
                <w:tcPr>
                  <w:tcW w:w="786"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val="en-US" w:eastAsia="zh-CN"/>
                    </w:rPr>
                  </w:pPr>
                  <w:r>
                    <w:rPr>
                      <w:rFonts w:hint="default" w:ascii="Times New Roman" w:hAnsi="Times New Roman" w:cs="Times New Roman"/>
                      <w:snapToGrid w:val="0"/>
                      <w:color w:val="000000"/>
                      <w:spacing w:val="-4"/>
                      <w:kern w:val="0"/>
                      <w:sz w:val="21"/>
                      <w:szCs w:val="21"/>
                      <w:highlight w:val="none"/>
                      <w:lang w:val="en-US" w:eastAsia="zh-CN"/>
                    </w:rPr>
                    <w:t>颗粒物</w:t>
                  </w:r>
                </w:p>
              </w:tc>
              <w:tc>
                <w:tcPr>
                  <w:tcW w:w="545"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r>
                    <w:rPr>
                      <w:rFonts w:hint="default" w:ascii="Times New Roman" w:hAnsi="Times New Roman" w:eastAsia="宋体" w:cs="Times New Roman"/>
                      <w:snapToGrid w:val="0"/>
                      <w:color w:val="000000"/>
                      <w:kern w:val="0"/>
                      <w:sz w:val="21"/>
                      <w:szCs w:val="21"/>
                      <w:highlight w:val="none"/>
                    </w:rPr>
                    <w:t>1次/年</w:t>
                  </w:r>
                </w:p>
              </w:tc>
              <w:tc>
                <w:tcPr>
                  <w:tcW w:w="2516"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r>
                    <w:rPr>
                      <w:rFonts w:hint="default" w:ascii="Times New Roman" w:hAnsi="Times New Roman" w:eastAsia="宋体" w:cs="Times New Roman"/>
                      <w:snapToGrid w:val="0"/>
                      <w:color w:val="000000"/>
                      <w:spacing w:val="-4"/>
                      <w:kern w:val="0"/>
                      <w:sz w:val="21"/>
                      <w:szCs w:val="21"/>
                      <w:highlight w:val="none"/>
                      <w:lang w:eastAsia="zh-CN"/>
                    </w:rPr>
                    <w:t>《大气污染物综合排放标准》（GB16297-1996）表2中颗粒物染料尘限值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12" w:hRule="atLeast"/>
                <w:jc w:val="center"/>
              </w:trPr>
              <w:tc>
                <w:tcPr>
                  <w:tcW w:w="589"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cs="Times New Roman"/>
                      <w:color w:val="000000"/>
                      <w:sz w:val="21"/>
                      <w:szCs w:val="21"/>
                      <w:highlight w:val="none"/>
                    </w:rPr>
                  </w:pPr>
                </w:p>
              </w:tc>
              <w:tc>
                <w:tcPr>
                  <w:tcW w:w="562"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p>
              </w:tc>
              <w:tc>
                <w:tcPr>
                  <w:tcW w:w="786"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val="en-US" w:eastAsia="zh-CN"/>
                    </w:rPr>
                  </w:pPr>
                  <w:r>
                    <w:rPr>
                      <w:rFonts w:hint="default" w:ascii="Times New Roman" w:hAnsi="Times New Roman" w:eastAsia="宋体" w:cs="Times New Roman"/>
                      <w:sz w:val="21"/>
                      <w:szCs w:val="21"/>
                      <w:lang w:val="en-US" w:eastAsia="zh-CN"/>
                    </w:rPr>
                    <w:t>非甲烷总烃、</w:t>
                  </w:r>
                  <w:r>
                    <w:rPr>
                      <w:rFonts w:hint="default" w:ascii="Times New Roman" w:hAnsi="Times New Roman" w:eastAsia="宋体" w:cs="Times New Roman"/>
                      <w:sz w:val="21"/>
                      <w:szCs w:val="21"/>
                    </w:rPr>
                    <w:t>苯、甲苯、二甲苯</w:t>
                  </w:r>
                </w:p>
              </w:tc>
              <w:tc>
                <w:tcPr>
                  <w:tcW w:w="545"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r>
                    <w:rPr>
                      <w:rFonts w:hint="default" w:ascii="Times New Roman" w:hAnsi="Times New Roman" w:eastAsia="宋体" w:cs="Times New Roman"/>
                      <w:snapToGrid w:val="0"/>
                      <w:color w:val="000000"/>
                      <w:kern w:val="0"/>
                      <w:sz w:val="21"/>
                      <w:szCs w:val="21"/>
                      <w:highlight w:val="none"/>
                    </w:rPr>
                    <w:t>1次/年</w:t>
                  </w:r>
                </w:p>
              </w:tc>
              <w:tc>
                <w:tcPr>
                  <w:tcW w:w="2516"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r>
                    <w:rPr>
                      <w:rFonts w:hint="default" w:ascii="Times New Roman" w:hAnsi="Times New Roman" w:eastAsia="宋体" w:cs="Times New Roman"/>
                      <w:snapToGrid w:val="0"/>
                      <w:color w:val="000000"/>
                      <w:spacing w:val="-4"/>
                      <w:kern w:val="0"/>
                      <w:sz w:val="21"/>
                      <w:szCs w:val="21"/>
                      <w:highlight w:val="none"/>
                      <w:lang w:eastAsia="zh-CN"/>
                    </w:rPr>
                    <w:t>《工业企业挥发性有机物排放控制标准》（DB13/2322-2016）中表1表面涂装业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12" w:hRule="atLeast"/>
                <w:jc w:val="center"/>
              </w:trPr>
              <w:tc>
                <w:tcPr>
                  <w:tcW w:w="589" w:type="pct"/>
                  <w:vMerge w:val="restar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val="en-US" w:eastAsia="zh-CN" w:bidi="ar-SA"/>
                    </w:rPr>
                  </w:pPr>
                  <w:r>
                    <w:rPr>
                      <w:rFonts w:hint="default" w:ascii="Times New Roman" w:hAnsi="Times New Roman" w:eastAsia="宋体" w:cs="Times New Roman"/>
                      <w:snapToGrid w:val="0"/>
                      <w:color w:val="000000"/>
                      <w:spacing w:val="-4"/>
                      <w:kern w:val="0"/>
                      <w:sz w:val="21"/>
                      <w:szCs w:val="21"/>
                      <w:highlight w:val="none"/>
                      <w:lang w:eastAsia="zh-CN"/>
                    </w:rPr>
                    <w:t>废气</w:t>
                  </w:r>
                </w:p>
              </w:tc>
              <w:tc>
                <w:tcPr>
                  <w:tcW w:w="562" w:type="pct"/>
                  <w:vMerge w:val="restar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val="en-US" w:eastAsia="zh-CN" w:bidi="ar-SA"/>
                    </w:rPr>
                  </w:pPr>
                  <w:r>
                    <w:rPr>
                      <w:rFonts w:hint="default" w:ascii="Times New Roman" w:hAnsi="Times New Roman" w:eastAsia="宋体" w:cs="Times New Roman"/>
                      <w:snapToGrid w:val="0"/>
                      <w:color w:val="000000"/>
                      <w:spacing w:val="-4"/>
                      <w:kern w:val="0"/>
                      <w:sz w:val="21"/>
                      <w:szCs w:val="21"/>
                      <w:highlight w:val="none"/>
                      <w:lang w:eastAsia="zh-CN"/>
                    </w:rPr>
                    <w:t>厂界</w:t>
                  </w:r>
                </w:p>
              </w:tc>
              <w:tc>
                <w:tcPr>
                  <w:tcW w:w="786" w:type="pct"/>
                  <w:tcBorders>
                    <w:tl2br w:val="nil"/>
                    <w:tr2bl w:val="nil"/>
                  </w:tcBorders>
                  <w:noWrap w:val="0"/>
                  <w:vAlign w:val="center"/>
                </w:tcPr>
                <w:p>
                  <w:pPr>
                    <w:keepNext w:val="0"/>
                    <w:keepLines w:val="0"/>
                    <w:pageBreakBefore w:val="0"/>
                    <w:widowControl w:val="0"/>
                    <w:tabs>
                      <w:tab w:val="center" w:pos="4505"/>
                    </w:tabs>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kern w:val="0"/>
                      <w:sz w:val="21"/>
                      <w:szCs w:val="21"/>
                      <w:highlight w:val="none"/>
                      <w:lang w:val="en-US" w:eastAsia="zh-CN" w:bidi="ar-SA"/>
                    </w:rPr>
                  </w:pPr>
                  <w:r>
                    <w:rPr>
                      <w:rFonts w:hint="default" w:ascii="Times New Roman" w:hAnsi="Times New Roman" w:eastAsia="宋体" w:cs="Times New Roman"/>
                      <w:snapToGrid w:val="0"/>
                      <w:color w:val="000000"/>
                      <w:kern w:val="0"/>
                      <w:sz w:val="21"/>
                      <w:szCs w:val="21"/>
                      <w:highlight w:val="none"/>
                      <w:lang w:val="en-US" w:eastAsia="zh-CN" w:bidi="ar-SA"/>
                    </w:rPr>
                    <w:t>颗粒物</w:t>
                  </w:r>
                </w:p>
              </w:tc>
              <w:tc>
                <w:tcPr>
                  <w:tcW w:w="545"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kern w:val="0"/>
                      <w:sz w:val="21"/>
                      <w:szCs w:val="21"/>
                      <w:highlight w:val="none"/>
                      <w:lang w:val="en-US" w:eastAsia="zh-CN" w:bidi="ar-SA"/>
                    </w:rPr>
                  </w:pPr>
                  <w:r>
                    <w:rPr>
                      <w:rFonts w:hint="default" w:ascii="Times New Roman" w:hAnsi="Times New Roman" w:eastAsia="宋体" w:cs="Times New Roman"/>
                      <w:snapToGrid w:val="0"/>
                      <w:color w:val="000000"/>
                      <w:kern w:val="0"/>
                      <w:sz w:val="21"/>
                      <w:szCs w:val="21"/>
                      <w:highlight w:val="none"/>
                    </w:rPr>
                    <w:t>1次/年</w:t>
                  </w:r>
                </w:p>
              </w:tc>
              <w:tc>
                <w:tcPr>
                  <w:tcW w:w="2516" w:type="pc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snapToGrid w:val="0"/>
                      <w:color w:val="000000"/>
                      <w:kern w:val="0"/>
                      <w:sz w:val="21"/>
                      <w:szCs w:val="21"/>
                      <w:highlight w:val="none"/>
                      <w:lang w:val="en-US" w:eastAsia="zh-CN" w:bidi="ar-SA"/>
                    </w:rPr>
                  </w:pPr>
                  <w:r>
                    <w:rPr>
                      <w:rFonts w:hint="default" w:ascii="Times New Roman" w:hAnsi="Times New Roman" w:eastAsia="宋体" w:cs="Times New Roman"/>
                      <w:color w:val="000000"/>
                      <w:sz w:val="21"/>
                      <w:szCs w:val="21"/>
                      <w:highlight w:val="none"/>
                    </w:rPr>
                    <w:t>《大气污染物综合排放标准（GB16297-1996）表2颗粒物无组织排放监控浓度限值</w:t>
                  </w:r>
                  <w:r>
                    <w:rPr>
                      <w:rFonts w:hint="default" w:ascii="Times New Roman" w:hAnsi="Times New Roman" w:eastAsia="宋体" w:cs="Times New Roman"/>
                      <w:color w:val="000000"/>
                      <w:sz w:val="21"/>
                      <w:szCs w:val="21"/>
                      <w:highlight w:val="none"/>
                      <w:lang w:val="en-US" w:eastAsia="zh-CN"/>
                    </w:rPr>
                    <w:t>及《秦皇岛市人民政府办公室关于执行钢铁等行业大气污染物排放特别要求的通知》（[2021]-10）中无组织排放浓度特别管控要求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12" w:hRule="atLeast"/>
                <w:jc w:val="center"/>
              </w:trPr>
              <w:tc>
                <w:tcPr>
                  <w:tcW w:w="589"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bookmarkStart w:id="42" w:name="_Toc1134"/>
                </w:p>
              </w:tc>
              <w:tc>
                <w:tcPr>
                  <w:tcW w:w="562"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p>
              </w:tc>
              <w:tc>
                <w:tcPr>
                  <w:tcW w:w="786" w:type="pct"/>
                  <w:tcBorders>
                    <w:tl2br w:val="nil"/>
                    <w:tr2bl w:val="nil"/>
                  </w:tcBorders>
                  <w:noWrap w:val="0"/>
                  <w:vAlign w:val="center"/>
                </w:tcPr>
                <w:p>
                  <w:pPr>
                    <w:keepNext w:val="0"/>
                    <w:keepLines w:val="0"/>
                    <w:pageBreakBefore w:val="0"/>
                    <w:widowControl w:val="0"/>
                    <w:tabs>
                      <w:tab w:val="center" w:pos="4505"/>
                    </w:tabs>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kern w:val="0"/>
                      <w:sz w:val="21"/>
                      <w:szCs w:val="21"/>
                      <w:highlight w:val="none"/>
                      <w:lang w:val="en-US" w:eastAsia="zh-CN" w:bidi="ar-SA"/>
                    </w:rPr>
                  </w:pPr>
                  <w:r>
                    <w:rPr>
                      <w:rFonts w:hint="default" w:ascii="Times New Roman" w:hAnsi="Times New Roman" w:eastAsia="宋体" w:cs="Times New Roman"/>
                      <w:sz w:val="21"/>
                      <w:szCs w:val="21"/>
                      <w:lang w:val="en-US" w:eastAsia="zh-CN"/>
                    </w:rPr>
                    <w:t>非甲烷总烃、</w:t>
                  </w:r>
                  <w:r>
                    <w:rPr>
                      <w:rFonts w:hint="default" w:ascii="Times New Roman" w:hAnsi="Times New Roman" w:eastAsia="宋体" w:cs="Times New Roman"/>
                      <w:sz w:val="21"/>
                      <w:szCs w:val="21"/>
                    </w:rPr>
                    <w:t>苯、甲苯、二甲苯</w:t>
                  </w:r>
                </w:p>
              </w:tc>
              <w:tc>
                <w:tcPr>
                  <w:tcW w:w="545"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kern w:val="0"/>
                      <w:sz w:val="21"/>
                      <w:szCs w:val="21"/>
                      <w:highlight w:val="none"/>
                    </w:rPr>
                  </w:pPr>
                  <w:r>
                    <w:rPr>
                      <w:rFonts w:hint="default" w:ascii="Times New Roman" w:hAnsi="Times New Roman" w:eastAsia="宋体" w:cs="Times New Roman"/>
                      <w:snapToGrid w:val="0"/>
                      <w:color w:val="000000"/>
                      <w:kern w:val="0"/>
                      <w:sz w:val="21"/>
                      <w:szCs w:val="21"/>
                      <w:highlight w:val="none"/>
                    </w:rPr>
                    <w:t>1次/年</w:t>
                  </w:r>
                </w:p>
              </w:tc>
              <w:tc>
                <w:tcPr>
                  <w:tcW w:w="2516" w:type="pc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snapToGrid w:val="0"/>
                      <w:color w:val="000000"/>
                      <w:spacing w:val="-4"/>
                      <w:kern w:val="0"/>
                      <w:sz w:val="21"/>
                      <w:szCs w:val="21"/>
                      <w:highlight w:val="none"/>
                      <w:lang w:eastAsia="zh-CN"/>
                    </w:rPr>
                    <w:t>《工业企业挥发性有机物排放控制标准》（DB13/2322-2016）中表2其他企业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4" w:type="dxa"/>
                  <w:bottom w:w="0" w:type="dxa"/>
                  <w:right w:w="34" w:type="dxa"/>
                </w:tblCellMar>
              </w:tblPrEx>
              <w:trPr>
                <w:trHeight w:val="312" w:hRule="atLeast"/>
                <w:jc w:val="center"/>
              </w:trPr>
              <w:tc>
                <w:tcPr>
                  <w:tcW w:w="589" w:type="pct"/>
                  <w:vMerge w:val="continue"/>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eastAsia="zh-CN"/>
                    </w:rPr>
                  </w:pPr>
                </w:p>
              </w:tc>
              <w:tc>
                <w:tcPr>
                  <w:tcW w:w="562"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spacing w:val="-4"/>
                      <w:kern w:val="0"/>
                      <w:sz w:val="21"/>
                      <w:szCs w:val="21"/>
                      <w:highlight w:val="none"/>
                      <w:lang w:val="en-US" w:eastAsia="zh-CN"/>
                    </w:rPr>
                  </w:pPr>
                  <w:r>
                    <w:rPr>
                      <w:rFonts w:hint="default" w:ascii="Times New Roman" w:hAnsi="Times New Roman" w:cs="Times New Roman"/>
                      <w:snapToGrid w:val="0"/>
                      <w:color w:val="000000"/>
                      <w:spacing w:val="-4"/>
                      <w:kern w:val="0"/>
                      <w:sz w:val="21"/>
                      <w:szCs w:val="21"/>
                      <w:highlight w:val="none"/>
                      <w:lang w:val="en-US" w:eastAsia="zh-CN"/>
                    </w:rPr>
                    <w:t>厂房外</w:t>
                  </w:r>
                </w:p>
              </w:tc>
              <w:tc>
                <w:tcPr>
                  <w:tcW w:w="786" w:type="pct"/>
                  <w:tcBorders>
                    <w:tl2br w:val="nil"/>
                    <w:tr2bl w:val="nil"/>
                  </w:tcBorders>
                  <w:noWrap w:val="0"/>
                  <w:vAlign w:val="center"/>
                </w:tcPr>
                <w:p>
                  <w:pPr>
                    <w:keepNext w:val="0"/>
                    <w:keepLines w:val="0"/>
                    <w:pageBreakBefore w:val="0"/>
                    <w:widowControl w:val="0"/>
                    <w:tabs>
                      <w:tab w:val="center" w:pos="4505"/>
                    </w:tabs>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z w:val="21"/>
                      <w:szCs w:val="21"/>
                      <w:lang w:val="en-US" w:eastAsia="zh-CN"/>
                    </w:rPr>
                  </w:pPr>
                  <w:r>
                    <w:rPr>
                      <w:rFonts w:hint="default" w:ascii="Times New Roman" w:hAnsi="Times New Roman" w:eastAsia="宋体" w:cs="Times New Roman"/>
                      <w:sz w:val="21"/>
                      <w:szCs w:val="21"/>
                      <w:lang w:val="en-US" w:eastAsia="zh-CN"/>
                    </w:rPr>
                    <w:t>非甲烷总烃</w:t>
                  </w:r>
                </w:p>
              </w:tc>
              <w:tc>
                <w:tcPr>
                  <w:tcW w:w="545" w:type="pct"/>
                  <w:tcBorders>
                    <w:tl2br w:val="nil"/>
                    <w:tr2bl w:val="nil"/>
                  </w:tcBorders>
                  <w:noWrap w:val="0"/>
                  <w:vAlign w:val="center"/>
                </w:tcPr>
                <w:p>
                  <w:pPr>
                    <w:keepNext w:val="0"/>
                    <w:keepLines w:val="0"/>
                    <w:pageBreakBefore w:val="0"/>
                    <w:kinsoku/>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snapToGrid w:val="0"/>
                      <w:color w:val="000000"/>
                      <w:kern w:val="0"/>
                      <w:sz w:val="21"/>
                      <w:szCs w:val="21"/>
                      <w:highlight w:val="none"/>
                    </w:rPr>
                  </w:pPr>
                  <w:r>
                    <w:rPr>
                      <w:rFonts w:hint="default" w:ascii="Times New Roman" w:hAnsi="Times New Roman" w:eastAsia="宋体" w:cs="Times New Roman"/>
                      <w:snapToGrid w:val="0"/>
                      <w:color w:val="000000"/>
                      <w:kern w:val="0"/>
                      <w:sz w:val="21"/>
                      <w:szCs w:val="21"/>
                      <w:highlight w:val="none"/>
                    </w:rPr>
                    <w:t>1次/年</w:t>
                  </w:r>
                </w:p>
              </w:tc>
              <w:tc>
                <w:tcPr>
                  <w:tcW w:w="2516" w:type="pct"/>
                  <w:tcBorders>
                    <w:tl2br w:val="nil"/>
                    <w:tr2bl w:val="nil"/>
                  </w:tcBorders>
                  <w:noWrap w:val="0"/>
                  <w:vAlign w:val="center"/>
                </w:tcPr>
                <w:p>
                  <w:pPr>
                    <w:adjustRightInd w:val="0"/>
                    <w:snapToGrid w:val="0"/>
                    <w:spacing w:line="240" w:lineRule="auto"/>
                    <w:jc w:val="center"/>
                    <w:rPr>
                      <w:rFonts w:hint="default" w:ascii="Times New Roman" w:hAnsi="Times New Roman" w:eastAsia="宋体" w:cs="Times New Roman"/>
                      <w:snapToGrid w:val="0"/>
                      <w:color w:val="000000"/>
                      <w:spacing w:val="-4"/>
                      <w:kern w:val="0"/>
                      <w:sz w:val="21"/>
                      <w:szCs w:val="21"/>
                      <w:highlight w:val="none"/>
                      <w:lang w:eastAsia="zh-CN"/>
                    </w:rPr>
                  </w:pPr>
                  <w:r>
                    <w:rPr>
                      <w:rFonts w:hint="default" w:ascii="Times New Roman" w:hAnsi="Times New Roman" w:cs="Times New Roman"/>
                      <w:color w:val="000000" w:themeColor="text1"/>
                      <w:sz w:val="21"/>
                      <w:szCs w:val="21"/>
                      <w14:textFill>
                        <w14:solidFill>
                          <w14:schemeClr w14:val="tx1"/>
                        </w14:solidFill>
                      </w14:textFill>
                    </w:rPr>
                    <w:t>《挥发性有机物无组织排放控制标准》（GB37822-2019）表A.1厂区内VOCs无组织排放限值要求</w:t>
                  </w:r>
                </w:p>
              </w:tc>
            </w:tr>
          </w:tbl>
          <w:p>
            <w:pPr>
              <w:keepNext/>
              <w:keepLines/>
              <w:pageBreakBefore w:val="0"/>
              <w:widowControl w:val="0"/>
              <w:numPr>
                <w:ilvl w:val="0"/>
                <w:numId w:val="0"/>
              </w:numPr>
              <w:kinsoku/>
              <w:wordWrap/>
              <w:overflowPunct/>
              <w:topLinePunct w:val="0"/>
              <w:autoSpaceDE/>
              <w:autoSpaceDN/>
              <w:bidi w:val="0"/>
              <w:adjustRightInd/>
              <w:snapToGrid/>
              <w:spacing w:before="0" w:after="0" w:line="480" w:lineRule="exact"/>
              <w:ind w:leftChars="0"/>
              <w:textAlignment w:val="auto"/>
              <w:outlineLvl w:val="9"/>
              <w:rPr>
                <w:rFonts w:hint="default" w:ascii="Times New Roman" w:hAnsi="Times New Roman" w:eastAsia="宋体" w:cs="Times New Roman"/>
                <w:b w:val="0"/>
                <w:bCs/>
                <w:color w:val="000000"/>
                <w:sz w:val="24"/>
                <w:szCs w:val="24"/>
                <w:highlight w:val="none"/>
              </w:rPr>
            </w:pPr>
            <w:r>
              <w:rPr>
                <w:rFonts w:hint="default" w:ascii="Times New Roman" w:hAnsi="Times New Roman" w:eastAsia="宋体" w:cs="Times New Roman"/>
                <w:b w:val="0"/>
                <w:bCs/>
                <w:color w:val="000000"/>
                <w:sz w:val="24"/>
                <w:szCs w:val="24"/>
                <w:highlight w:val="none"/>
                <w:lang w:val="en-US" w:eastAsia="zh-CN"/>
              </w:rPr>
              <w:t>二、</w:t>
            </w:r>
            <w:r>
              <w:rPr>
                <w:rFonts w:hint="default" w:ascii="Times New Roman" w:hAnsi="Times New Roman" w:eastAsia="宋体" w:cs="Times New Roman"/>
                <w:b w:val="0"/>
                <w:bCs/>
                <w:color w:val="000000"/>
                <w:sz w:val="24"/>
                <w:szCs w:val="24"/>
                <w:highlight w:val="none"/>
              </w:rPr>
              <w:t>水环境影响分析</w:t>
            </w:r>
            <w:bookmarkEnd w:id="42"/>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snapToGrid w:val="0"/>
                <w:color w:val="000000"/>
                <w:sz w:val="24"/>
                <w:szCs w:val="24"/>
                <w:highlight w:val="none"/>
                <w:lang w:val="en-US" w:eastAsia="zh-CN"/>
              </w:rPr>
            </w:pPr>
            <w:r>
              <w:rPr>
                <w:rFonts w:hint="default" w:ascii="Times New Roman" w:hAnsi="Times New Roman" w:eastAsia="宋体" w:cs="Times New Roman"/>
                <w:snapToGrid w:val="0"/>
                <w:color w:val="000000"/>
                <w:sz w:val="24"/>
                <w:szCs w:val="24"/>
                <w:highlight w:val="none"/>
                <w:lang w:val="en-US" w:eastAsia="zh-CN"/>
              </w:rPr>
              <w:t>1、项目废水排放情况</w:t>
            </w:r>
          </w:p>
          <w:p>
            <w:pPr>
              <w:keepNext w:val="0"/>
              <w:keepLines w:val="0"/>
              <w:pageBreakBefore w:val="0"/>
              <w:widowControl w:val="0"/>
              <w:kinsoku/>
              <w:wordWrap/>
              <w:overflowPunct/>
              <w:topLinePunct w:val="0"/>
              <w:bidi w:val="0"/>
              <w:adjustRightInd w:val="0"/>
              <w:snapToGrid w:val="0"/>
              <w:spacing w:line="480" w:lineRule="exact"/>
              <w:ind w:firstLine="480" w:firstLineChars="200"/>
              <w:rPr>
                <w:rFonts w:hint="default" w:ascii="Times New Roman" w:hAnsi="Times New Roman" w:cs="Times New Roman"/>
                <w:bCs/>
                <w:color w:val="000000"/>
                <w:sz w:val="24"/>
              </w:rPr>
            </w:pPr>
            <w:r>
              <w:rPr>
                <w:rFonts w:hint="default" w:ascii="Times New Roman" w:hAnsi="Times New Roman" w:eastAsia="宋体" w:cs="Times New Roman"/>
                <w:snapToGrid w:val="0"/>
                <w:color w:val="000000"/>
                <w:sz w:val="24"/>
                <w:szCs w:val="24"/>
                <w:highlight w:val="none"/>
                <w:lang w:val="en-US" w:eastAsia="zh-CN"/>
              </w:rPr>
              <w:t>本项目生产用水</w:t>
            </w:r>
            <w:r>
              <w:rPr>
                <w:rFonts w:hint="default" w:ascii="Times New Roman" w:hAnsi="Times New Roman" w:cs="Times New Roman"/>
                <w:snapToGrid w:val="0"/>
                <w:color w:val="000000"/>
                <w:sz w:val="24"/>
                <w:szCs w:val="24"/>
                <w:highlight w:val="none"/>
                <w:lang w:val="en-US" w:eastAsia="zh-CN"/>
              </w:rPr>
              <w:t>为蒸汽发生器</w:t>
            </w:r>
            <w:r>
              <w:rPr>
                <w:rFonts w:hint="default" w:ascii="Times New Roman" w:hAnsi="Times New Roman" w:cs="Times New Roman"/>
                <w:bCs/>
                <w:color w:val="000000"/>
                <w:sz w:val="24"/>
              </w:rPr>
              <w:t>用水</w:t>
            </w:r>
            <w:r>
              <w:rPr>
                <w:rFonts w:hint="default" w:ascii="Times New Roman" w:hAnsi="Times New Roman" w:cs="Times New Roman"/>
                <w:bCs/>
                <w:color w:val="000000"/>
                <w:sz w:val="24"/>
                <w:lang w:eastAsia="zh-CN"/>
              </w:rPr>
              <w:t>，</w:t>
            </w:r>
            <w:r>
              <w:rPr>
                <w:rFonts w:hint="default" w:ascii="Times New Roman" w:hAnsi="Times New Roman" w:cs="Times New Roman"/>
                <w:bCs/>
                <w:color w:val="000000"/>
                <w:sz w:val="24"/>
                <w:lang w:val="en-US" w:eastAsia="zh-CN"/>
              </w:rPr>
              <w:t>无其他生产用水环节。项目矿物铸件养护</w:t>
            </w:r>
            <w:r>
              <w:rPr>
                <w:rFonts w:hint="default" w:ascii="Times New Roman" w:hAnsi="Times New Roman" w:cs="Times New Roman"/>
                <w:bCs/>
                <w:color w:val="000000"/>
                <w:sz w:val="24"/>
              </w:rPr>
              <w:t>用蒸汽由1台</w:t>
            </w:r>
            <w:r>
              <w:rPr>
                <w:rFonts w:hint="default" w:ascii="Times New Roman" w:hAnsi="Times New Roman" w:cs="Times New Roman"/>
                <w:bCs/>
                <w:color w:val="000000"/>
                <w:sz w:val="24"/>
                <w:lang w:val="en-US" w:eastAsia="zh-CN"/>
              </w:rPr>
              <w:t>2</w:t>
            </w:r>
            <w:r>
              <w:rPr>
                <w:rFonts w:hint="default" w:ascii="Times New Roman" w:hAnsi="Times New Roman" w:cs="Times New Roman"/>
                <w:bCs/>
                <w:color w:val="000000"/>
                <w:sz w:val="24"/>
              </w:rPr>
              <w:t>t/h的蒸汽发生器提供，蒸汽发生器年有效运行时间</w:t>
            </w:r>
            <w:r>
              <w:rPr>
                <w:rFonts w:hint="default" w:ascii="Times New Roman" w:hAnsi="Times New Roman" w:cs="Times New Roman"/>
                <w:bCs/>
                <w:color w:val="000000"/>
                <w:sz w:val="24"/>
                <w:lang w:val="en-US" w:eastAsia="zh-CN"/>
              </w:rPr>
              <w:t>60</w:t>
            </w:r>
            <w:r>
              <w:rPr>
                <w:rFonts w:hint="default" w:ascii="Times New Roman" w:hAnsi="Times New Roman" w:cs="Times New Roman"/>
                <w:bCs/>
                <w:color w:val="000000"/>
                <w:sz w:val="24"/>
              </w:rPr>
              <w:t>0</w:t>
            </w:r>
            <w:r>
              <w:rPr>
                <w:rFonts w:hint="default" w:ascii="Times New Roman" w:hAnsi="Times New Roman" w:cs="Times New Roman"/>
                <w:bCs/>
                <w:color w:val="000000"/>
                <w:sz w:val="24"/>
                <w:lang w:val="en-US" w:eastAsia="zh-CN"/>
              </w:rPr>
              <w:t>h</w:t>
            </w:r>
            <w:r>
              <w:rPr>
                <w:rFonts w:hint="default" w:ascii="Times New Roman" w:hAnsi="Times New Roman" w:cs="Times New Roman"/>
                <w:bCs/>
                <w:color w:val="000000"/>
                <w:sz w:val="24"/>
              </w:rPr>
              <w:t>（</w:t>
            </w:r>
            <w:r>
              <w:rPr>
                <w:rFonts w:hint="default" w:ascii="Times New Roman" w:hAnsi="Times New Roman" w:cs="Times New Roman"/>
                <w:bCs/>
                <w:color w:val="000000"/>
                <w:sz w:val="24"/>
                <w:lang w:val="en-US" w:eastAsia="zh-CN"/>
              </w:rPr>
              <w:t>2</w:t>
            </w:r>
            <w:r>
              <w:rPr>
                <w:rFonts w:hint="default" w:ascii="Times New Roman" w:hAnsi="Times New Roman" w:cs="Times New Roman"/>
                <w:bCs/>
                <w:color w:val="000000"/>
                <w:sz w:val="24"/>
              </w:rPr>
              <w:t>h</w:t>
            </w:r>
            <w:r>
              <w:rPr>
                <w:rFonts w:hint="default" w:ascii="Times New Roman" w:hAnsi="Times New Roman" w:cs="Times New Roman"/>
                <w:bCs/>
                <w:color w:val="000000"/>
                <w:sz w:val="24"/>
                <w:lang w:val="en-US" w:eastAsia="zh-CN"/>
              </w:rPr>
              <w:t>/d</w:t>
            </w:r>
            <w:r>
              <w:rPr>
                <w:rFonts w:hint="default" w:ascii="Times New Roman" w:hAnsi="Times New Roman" w:cs="Times New Roman"/>
                <w:bCs/>
                <w:color w:val="000000"/>
                <w:sz w:val="24"/>
              </w:rPr>
              <w:t>），年用软水量为</w:t>
            </w:r>
            <w:r>
              <w:rPr>
                <w:rFonts w:hint="default" w:ascii="Times New Roman" w:hAnsi="Times New Roman" w:cs="Times New Roman"/>
                <w:bCs/>
                <w:color w:val="000000"/>
                <w:sz w:val="24"/>
                <w:lang w:val="en-US" w:eastAsia="zh-CN"/>
              </w:rPr>
              <w:t>120</w:t>
            </w:r>
            <w:r>
              <w:rPr>
                <w:rFonts w:hint="default" w:ascii="Times New Roman" w:hAnsi="Times New Roman" w:cs="Times New Roman"/>
                <w:bCs/>
                <w:color w:val="000000"/>
                <w:sz w:val="24"/>
              </w:rPr>
              <w:t>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/a，每天软水用量为</w:t>
            </w:r>
            <w:r>
              <w:rPr>
                <w:rFonts w:hint="default" w:ascii="Times New Roman" w:hAnsi="Times New Roman" w:cs="Times New Roman"/>
                <w:bCs/>
                <w:color w:val="000000"/>
                <w:sz w:val="24"/>
                <w:lang w:val="en-US" w:eastAsia="zh-CN"/>
              </w:rPr>
              <w:t>4</w:t>
            </w:r>
            <w:r>
              <w:rPr>
                <w:rFonts w:hint="default" w:ascii="Times New Roman" w:hAnsi="Times New Roman" w:cs="Times New Roman"/>
                <w:bCs/>
                <w:color w:val="000000"/>
                <w:sz w:val="24"/>
              </w:rPr>
              <w:t>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/d。软水由</w:t>
            </w:r>
            <w:r>
              <w:rPr>
                <w:rFonts w:hint="default" w:ascii="Times New Roman" w:hAnsi="Times New Roman" w:cs="Times New Roman"/>
                <w:bCs/>
                <w:color w:val="000000"/>
                <w:sz w:val="24"/>
                <w:lang w:val="en-US" w:eastAsia="zh-CN"/>
              </w:rPr>
              <w:t>反渗透法</w:t>
            </w:r>
            <w:r>
              <w:rPr>
                <w:rFonts w:hint="default" w:ascii="Times New Roman" w:hAnsi="Times New Roman" w:cs="Times New Roman"/>
                <w:bCs/>
                <w:color w:val="000000"/>
                <w:sz w:val="24"/>
              </w:rPr>
              <w:t>制备，1台</w:t>
            </w:r>
            <w:r>
              <w:rPr>
                <w:rFonts w:hint="default" w:ascii="Times New Roman" w:hAnsi="Times New Roman" w:cs="Times New Roman"/>
                <w:bCs/>
                <w:color w:val="000000"/>
                <w:sz w:val="24"/>
                <w:lang w:val="en-US" w:eastAsia="zh-CN"/>
              </w:rPr>
              <w:t>2</w:t>
            </w:r>
            <w:r>
              <w:rPr>
                <w:rFonts w:hint="default" w:ascii="Times New Roman" w:hAnsi="Times New Roman" w:cs="Times New Roman"/>
                <w:bCs/>
                <w:color w:val="000000"/>
                <w:sz w:val="24"/>
              </w:rPr>
              <w:t>t/h蒸汽发生器的年用软水量为</w:t>
            </w:r>
            <w:r>
              <w:rPr>
                <w:rFonts w:hint="default" w:ascii="Times New Roman" w:hAnsi="Times New Roman" w:cs="Times New Roman"/>
                <w:bCs/>
                <w:color w:val="000000"/>
                <w:sz w:val="24"/>
                <w:lang w:val="en-US" w:eastAsia="zh-CN"/>
              </w:rPr>
              <w:t>120</w:t>
            </w:r>
            <w:r>
              <w:rPr>
                <w:rFonts w:hint="default" w:ascii="Times New Roman" w:hAnsi="Times New Roman" w:cs="Times New Roman"/>
                <w:bCs/>
                <w:color w:val="000000"/>
                <w:sz w:val="24"/>
              </w:rPr>
              <w:t>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/a，软水制备效率为80%，则新鲜水用量为</w:t>
            </w:r>
            <w:r>
              <w:rPr>
                <w:rFonts w:hint="default" w:ascii="Times New Roman" w:hAnsi="Times New Roman" w:cs="Times New Roman"/>
                <w:bCs/>
                <w:color w:val="000000"/>
                <w:sz w:val="24"/>
                <w:lang w:val="en-US" w:eastAsia="zh-CN"/>
              </w:rPr>
              <w:t>15</w:t>
            </w:r>
            <w:r>
              <w:rPr>
                <w:rFonts w:hint="default" w:ascii="Times New Roman" w:hAnsi="Times New Roman" w:cs="Times New Roman"/>
                <w:bCs/>
                <w:color w:val="000000"/>
                <w:sz w:val="24"/>
              </w:rPr>
              <w:t>00m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w:t>
            </w:r>
            <w:r>
              <w:rPr>
                <w:rFonts w:hint="default" w:ascii="Times New Roman" w:hAnsi="Times New Roman" w:cs="Times New Roman"/>
                <w:bCs/>
                <w:color w:val="000000"/>
                <w:sz w:val="24"/>
                <w:lang w:val="en-US" w:eastAsia="zh-CN"/>
              </w:rPr>
              <w:t>5</w:t>
            </w:r>
            <w:r>
              <w:rPr>
                <w:rFonts w:hint="default" w:ascii="Times New Roman" w:hAnsi="Times New Roman" w:cs="Times New Roman"/>
                <w:bCs/>
                <w:color w:val="000000"/>
                <w:sz w:val="24"/>
              </w:rPr>
              <w:t>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/d），软水制备浓水产生量为</w:t>
            </w:r>
            <w:r>
              <w:rPr>
                <w:rFonts w:hint="default" w:ascii="Times New Roman" w:hAnsi="Times New Roman" w:cs="Times New Roman"/>
                <w:bCs/>
                <w:color w:val="000000"/>
                <w:sz w:val="24"/>
                <w:lang w:val="en-US" w:eastAsia="zh-CN"/>
              </w:rPr>
              <w:t>30</w:t>
            </w:r>
            <w:r>
              <w:rPr>
                <w:rFonts w:hint="default" w:ascii="Times New Roman" w:hAnsi="Times New Roman" w:cs="Times New Roman"/>
                <w:bCs/>
                <w:color w:val="000000"/>
                <w:sz w:val="24"/>
              </w:rPr>
              <w:t>0m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/a（</w:t>
            </w:r>
            <w:r>
              <w:rPr>
                <w:rFonts w:hint="default" w:ascii="Times New Roman" w:hAnsi="Times New Roman" w:cs="Times New Roman"/>
                <w:bCs/>
                <w:color w:val="000000"/>
                <w:sz w:val="24"/>
                <w:lang w:val="en-US" w:eastAsia="zh-CN"/>
              </w:rPr>
              <w:t>1</w:t>
            </w:r>
            <w:r>
              <w:rPr>
                <w:rFonts w:hint="default" w:ascii="Times New Roman" w:hAnsi="Times New Roman" w:cs="Times New Roman"/>
                <w:bCs/>
                <w:color w:val="000000"/>
                <w:sz w:val="24"/>
              </w:rPr>
              <w:t>m</w:t>
            </w:r>
            <w:r>
              <w:rPr>
                <w:rFonts w:hint="default" w:ascii="Times New Roman" w:hAnsi="Times New Roman" w:cs="Times New Roman"/>
                <w:bCs/>
                <w:color w:val="000000"/>
                <w:sz w:val="24"/>
                <w:vertAlign w:val="superscript"/>
              </w:rPr>
              <w:t>3</w:t>
            </w:r>
            <w:r>
              <w:rPr>
                <w:rFonts w:hint="default" w:ascii="Times New Roman" w:hAnsi="Times New Roman" w:cs="Times New Roman"/>
                <w:bCs/>
                <w:color w:val="000000"/>
                <w:sz w:val="24"/>
              </w:rPr>
              <w:t>/d）。软水制备原水水质较好，浓水各指标能达到排放标准</w:t>
            </w:r>
            <w:r>
              <w:rPr>
                <w:rFonts w:hint="default" w:ascii="Times New Roman" w:hAnsi="Times New Roman" w:cs="Times New Roman"/>
                <w:bCs/>
                <w:color w:val="000000"/>
                <w:sz w:val="24"/>
                <w:lang w:eastAsia="zh-CN"/>
              </w:rPr>
              <w:t>，</w:t>
            </w:r>
            <w:r>
              <w:rPr>
                <w:rFonts w:hint="default" w:ascii="Times New Roman" w:hAnsi="Times New Roman" w:cs="Times New Roman"/>
                <w:bCs/>
                <w:color w:val="000000"/>
                <w:sz w:val="24"/>
                <w:lang w:val="en-US" w:eastAsia="zh-CN"/>
              </w:rPr>
              <w:t>且</w:t>
            </w:r>
            <w:r>
              <w:rPr>
                <w:rFonts w:hint="default" w:ascii="Times New Roman" w:hAnsi="Times New Roman" w:cs="Times New Roman"/>
                <w:bCs/>
                <w:color w:val="000000"/>
                <w:sz w:val="24"/>
              </w:rPr>
              <w:t>流量较小，</w:t>
            </w:r>
            <w:r>
              <w:rPr>
                <w:rFonts w:hint="default" w:ascii="Times New Roman" w:hAnsi="Times New Roman" w:cs="Times New Roman"/>
                <w:bCs/>
                <w:color w:val="000000"/>
                <w:sz w:val="24"/>
                <w:lang w:val="en-US" w:eastAsia="zh-CN"/>
              </w:rPr>
              <w:t>用于厂区泼洒抑尘</w:t>
            </w:r>
            <w:r>
              <w:rPr>
                <w:rFonts w:hint="default" w:ascii="Times New Roman" w:hAnsi="Times New Roman" w:cs="Times New Roman"/>
                <w:bCs/>
                <w:color w:val="000000"/>
                <w:sz w:val="24"/>
              </w:rPr>
              <w:t>。</w:t>
            </w:r>
          </w:p>
          <w:p>
            <w:pPr>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生活用水主要为</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员工</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生活</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及</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食堂</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用水，本项目建设员工宿舍500m</w:t>
            </w:r>
            <w:r>
              <w:rPr>
                <w:rFonts w:hint="default" w:ascii="Times New Roman" w:hAnsi="Times New Roman" w:cs="Times New Roman"/>
                <w:snapToGrid w:val="0"/>
                <w:color w:val="000000" w:themeColor="text1"/>
                <w:sz w:val="24"/>
                <w:szCs w:val="24"/>
                <w:highlight w:val="none"/>
                <w:vertAlign w:val="superscript"/>
                <w:lang w:val="en-US" w:eastAsia="zh-CN"/>
                <w14:textFill>
                  <w14:solidFill>
                    <w14:schemeClr w14:val="tx1"/>
                  </w14:solidFill>
                </w14:textFill>
              </w:rPr>
              <w:t>2</w:t>
            </w:r>
            <w:r>
              <w:rPr>
                <w:rFonts w:hint="default" w:ascii="Times New Roman" w:hAnsi="Times New Roman" w:cs="Times New Roman"/>
                <w:snapToGrid w:val="0"/>
                <w:color w:val="000000" w:themeColor="text1"/>
                <w:sz w:val="24"/>
                <w:szCs w:val="24"/>
                <w:highlight w:val="none"/>
                <w:vertAlign w:val="baseline"/>
                <w:lang w:val="en-US" w:eastAsia="zh-CN"/>
                <w14:textFill>
                  <w14:solidFill>
                    <w14:schemeClr w14:val="tx1"/>
                  </w14:solidFill>
                </w14:textFill>
              </w:rPr>
              <w:t>（可住30人），</w:t>
            </w:r>
            <w:r>
              <w:rPr>
                <w:rFonts w:hint="default" w:ascii="Times New Roman" w:hAnsi="Times New Roman" w:eastAsia="Segoe UI" w:cs="Times New Roman"/>
                <w:i w:val="0"/>
                <w:iCs w:val="0"/>
                <w:caps w:val="0"/>
                <w:spacing w:val="0"/>
                <w:sz w:val="24"/>
                <w:szCs w:val="24"/>
                <w:shd w:val="clear" w:fill="FFFFFF"/>
              </w:rPr>
              <w:t>参考《建筑给水排水设计标准》</w:t>
            </w:r>
            <w:r>
              <w:rPr>
                <w:rFonts w:hint="default" w:ascii="Times New Roman" w:hAnsi="Times New Roman" w:eastAsia="宋体" w:cs="Times New Roman"/>
                <w:i w:val="0"/>
                <w:iCs w:val="0"/>
                <w:caps w:val="0"/>
                <w:spacing w:val="0"/>
                <w:sz w:val="24"/>
                <w:szCs w:val="24"/>
                <w:shd w:val="clear" w:fill="FFFFFF"/>
                <w:lang w:eastAsia="zh-CN"/>
              </w:rPr>
              <w:t>（</w:t>
            </w:r>
            <w:r>
              <w:rPr>
                <w:rFonts w:hint="default" w:ascii="Times New Roman" w:hAnsi="Times New Roman" w:eastAsia="Segoe UI" w:cs="Times New Roman"/>
                <w:i w:val="0"/>
                <w:iCs w:val="0"/>
                <w:caps w:val="0"/>
                <w:spacing w:val="0"/>
                <w:sz w:val="24"/>
                <w:szCs w:val="24"/>
                <w:shd w:val="clear" w:fill="FFFFFF"/>
              </w:rPr>
              <w:t>GB 50015-2019</w:t>
            </w:r>
            <w:r>
              <w:rPr>
                <w:rFonts w:hint="default" w:ascii="Times New Roman" w:hAnsi="Times New Roman" w:eastAsia="宋体" w:cs="Times New Roman"/>
                <w:i w:val="0"/>
                <w:iCs w:val="0"/>
                <w:caps w:val="0"/>
                <w:spacing w:val="0"/>
                <w:sz w:val="24"/>
                <w:szCs w:val="24"/>
                <w:shd w:val="clear" w:fill="FFFFFF"/>
                <w:lang w:eastAsia="zh-CN"/>
              </w:rPr>
              <w:t>）</w:t>
            </w:r>
            <w:r>
              <w:rPr>
                <w:rFonts w:hint="default" w:ascii="Times New Roman" w:hAnsi="Times New Roman" w:cs="Times New Roman"/>
                <w:i w:val="0"/>
                <w:iCs w:val="0"/>
                <w:caps w:val="0"/>
                <w:spacing w:val="0"/>
                <w:sz w:val="24"/>
                <w:szCs w:val="24"/>
                <w:shd w:val="clear" w:fill="FFFFFF"/>
                <w:lang w:val="en-US" w:eastAsia="zh-CN"/>
              </w:rPr>
              <w:t>及</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《生活与服务业用水定额 第1部分：居民生活》（DB13/T5450.1-2021）</w:t>
            </w:r>
            <w:r>
              <w:rPr>
                <w:rFonts w:hint="default" w:ascii="Times New Roman" w:hAnsi="Times New Roman" w:eastAsia="Segoe UI" w:cs="Times New Roman"/>
                <w:i w:val="0"/>
                <w:iCs w:val="0"/>
                <w:caps w:val="0"/>
                <w:spacing w:val="0"/>
                <w:sz w:val="24"/>
                <w:szCs w:val="24"/>
                <w:shd w:val="clear" w:fill="FFFFFF"/>
              </w:rPr>
              <w:t>，</w:t>
            </w:r>
            <w:r>
              <w:rPr>
                <w:rFonts w:hint="default" w:ascii="Times New Roman" w:hAnsi="Times New Roman" w:eastAsia="宋体" w:cs="Times New Roman"/>
                <w:i w:val="0"/>
                <w:iCs w:val="0"/>
                <w:caps w:val="0"/>
                <w:spacing w:val="0"/>
                <w:sz w:val="24"/>
                <w:szCs w:val="24"/>
                <w:shd w:val="clear" w:fill="FFFFFF"/>
                <w:lang w:val="en-US" w:eastAsia="zh-CN"/>
              </w:rPr>
              <w:t>结合本项目实际，员工</w:t>
            </w:r>
            <w:r>
              <w:rPr>
                <w:rFonts w:hint="default" w:ascii="Times New Roman" w:hAnsi="Times New Roman" w:eastAsia="Segoe UI" w:cs="Times New Roman"/>
                <w:i w:val="0"/>
                <w:iCs w:val="0"/>
                <w:caps w:val="0"/>
                <w:spacing w:val="0"/>
                <w:sz w:val="24"/>
                <w:szCs w:val="24"/>
                <w:shd w:val="clear" w:fill="FFFFFF"/>
              </w:rPr>
              <w:t>宿舍设单独卫生间，按照用水定额每床位每日300L计算，则员工宿舍每日用水量为</w:t>
            </w:r>
            <w:r>
              <w:rPr>
                <w:rFonts w:hint="default" w:ascii="Times New Roman" w:hAnsi="Times New Roman" w:eastAsia="宋体" w:cs="Times New Roman"/>
                <w:i w:val="0"/>
                <w:iCs w:val="0"/>
                <w:caps w:val="0"/>
                <w:spacing w:val="0"/>
                <w:sz w:val="24"/>
                <w:szCs w:val="24"/>
                <w:shd w:val="clear" w:fill="FFFFFF"/>
                <w:lang w:val="en-US" w:eastAsia="zh-CN"/>
              </w:rPr>
              <w:t>30人</w:t>
            </w:r>
            <w:r>
              <w:rPr>
                <w:rFonts w:hint="default" w:ascii="Times New Roman" w:hAnsi="Times New Roman" w:eastAsia="Segoe UI" w:cs="Times New Roman"/>
                <w:i w:val="0"/>
                <w:iCs w:val="0"/>
                <w:caps w:val="0"/>
                <w:spacing w:val="0"/>
                <w:sz w:val="24"/>
                <w:szCs w:val="24"/>
                <w:shd w:val="clear" w:fill="FFFFFF"/>
              </w:rPr>
              <w:t>×300</w:t>
            </w:r>
            <w:r>
              <w:rPr>
                <w:rFonts w:hint="default" w:ascii="Times New Roman" w:hAnsi="Times New Roman" w:eastAsia="宋体" w:cs="Times New Roman"/>
                <w:i w:val="0"/>
                <w:iCs w:val="0"/>
                <w:caps w:val="0"/>
                <w:spacing w:val="0"/>
                <w:sz w:val="24"/>
                <w:szCs w:val="24"/>
                <w:shd w:val="clear" w:fill="FFFFFF"/>
                <w:lang w:val="en-US" w:eastAsia="zh-CN"/>
              </w:rPr>
              <w:t>L</w:t>
            </w:r>
            <w:r>
              <w:rPr>
                <w:rFonts w:hint="default" w:ascii="Times New Roman" w:hAnsi="Times New Roman" w:eastAsia="Segoe UI" w:cs="Times New Roman"/>
                <w:i w:val="0"/>
                <w:iCs w:val="0"/>
                <w:caps w:val="0"/>
                <w:spacing w:val="0"/>
                <w:sz w:val="24"/>
                <w:szCs w:val="24"/>
                <w:shd w:val="clear" w:fill="FFFFFF"/>
              </w:rPr>
              <w:t>×300</w:t>
            </w:r>
            <w:r>
              <w:rPr>
                <w:rFonts w:hint="default" w:ascii="Times New Roman" w:hAnsi="Times New Roman" w:cs="Times New Roman"/>
                <w:i w:val="0"/>
                <w:iCs w:val="0"/>
                <w:caps w:val="0"/>
                <w:spacing w:val="0"/>
                <w:sz w:val="24"/>
                <w:szCs w:val="24"/>
                <w:shd w:val="clear" w:fill="FFFFFF"/>
                <w:lang w:val="en-US" w:eastAsia="zh-CN"/>
              </w:rPr>
              <w:t>d</w:t>
            </w:r>
            <w:r>
              <w:rPr>
                <w:rFonts w:hint="default" w:ascii="Times New Roman" w:hAnsi="Times New Roman" w:eastAsia="Segoe UI" w:cs="Times New Roman"/>
                <w:i w:val="0"/>
                <w:iCs w:val="0"/>
                <w:caps w:val="0"/>
                <w:spacing w:val="0"/>
                <w:sz w:val="24"/>
                <w:szCs w:val="24"/>
                <w:shd w:val="clear" w:fill="FFFFFF"/>
              </w:rPr>
              <w:t>=</w:t>
            </w:r>
            <w:r>
              <w:rPr>
                <w:rFonts w:hint="default" w:ascii="Times New Roman" w:hAnsi="Times New Roman" w:eastAsia="宋体" w:cs="Times New Roman"/>
                <w:i w:val="0"/>
                <w:iCs w:val="0"/>
                <w:caps w:val="0"/>
                <w:spacing w:val="0"/>
                <w:sz w:val="24"/>
                <w:szCs w:val="24"/>
                <w:shd w:val="clear" w:fill="FFFFFF"/>
                <w:lang w:val="en-US" w:eastAsia="zh-CN"/>
              </w:rPr>
              <w:t>2700</w:t>
            </w:r>
            <w:r>
              <w:rPr>
                <w:rFonts w:hint="default" w:ascii="Times New Roman" w:hAnsi="Times New Roman" w:eastAsia="Segoe UI" w:cs="Times New Roman"/>
                <w:i w:val="0"/>
                <w:iCs w:val="0"/>
                <w:caps w:val="0"/>
                <w:spacing w:val="0"/>
                <w:sz w:val="24"/>
                <w:szCs w:val="24"/>
                <w:shd w:val="clear" w:fill="FFFFFF"/>
              </w:rPr>
              <w:t>m</w:t>
            </w:r>
            <w:r>
              <w:rPr>
                <w:rFonts w:hint="default" w:ascii="Times New Roman" w:hAnsi="Times New Roman" w:eastAsia="宋体" w:cs="Times New Roman"/>
                <w:i w:val="0"/>
                <w:iCs w:val="0"/>
                <w:caps w:val="0"/>
                <w:spacing w:val="0"/>
                <w:sz w:val="24"/>
                <w:szCs w:val="24"/>
                <w:shd w:val="clear" w:fill="FFFFFF"/>
                <w:vertAlign w:val="superscript"/>
                <w:lang w:val="en-US" w:eastAsia="zh-CN"/>
              </w:rPr>
              <w:t>3</w:t>
            </w:r>
            <w:r>
              <w:rPr>
                <w:rFonts w:hint="default" w:ascii="Times New Roman" w:hAnsi="Times New Roman" w:eastAsia="宋体" w:cs="Times New Roman"/>
                <w:i w:val="0"/>
                <w:iCs w:val="0"/>
                <w:caps w:val="0"/>
                <w:spacing w:val="0"/>
                <w:sz w:val="24"/>
                <w:szCs w:val="24"/>
                <w:shd w:val="clear" w:fill="FFFFFF"/>
                <w:vertAlign w:val="baseline"/>
                <w:lang w:val="en-US" w:eastAsia="zh-CN"/>
              </w:rPr>
              <w:t>/a（9</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/d</w:t>
            </w:r>
            <w:r>
              <w:rPr>
                <w:rFonts w:hint="default" w:ascii="Times New Roman" w:hAnsi="Times New Roman" w:eastAsia="宋体" w:cs="Times New Roman"/>
                <w:i w:val="0"/>
                <w:iCs w:val="0"/>
                <w:caps w:val="0"/>
                <w:spacing w:val="0"/>
                <w:sz w:val="24"/>
                <w:szCs w:val="24"/>
                <w:shd w:val="clear" w:fill="FFFFFF"/>
                <w:vertAlign w:val="baseline"/>
                <w:lang w:val="en-US" w:eastAsia="zh-CN"/>
              </w:rPr>
              <w:t>）</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；员工食堂150m</w:t>
            </w:r>
            <w:r>
              <w:rPr>
                <w:rFonts w:hint="default" w:ascii="Times New Roman" w:hAnsi="Times New Roman" w:cs="Times New Roman"/>
                <w:snapToGrid w:val="0"/>
                <w:color w:val="000000" w:themeColor="text1"/>
                <w:sz w:val="24"/>
                <w:szCs w:val="24"/>
                <w:highlight w:val="none"/>
                <w:vertAlign w:val="superscript"/>
                <w:lang w:val="en-US" w:eastAsia="zh-CN"/>
                <w14:textFill>
                  <w14:solidFill>
                    <w14:schemeClr w14:val="tx1"/>
                  </w14:solidFill>
                </w14:textFill>
              </w:rPr>
              <w:t>2</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，食堂用水约300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/d）。</w:t>
            </w:r>
            <w:r>
              <w:rPr>
                <w:rFonts w:hint="default" w:ascii="Times New Roman" w:hAnsi="Times New Roman" w:cs="Times New Roman"/>
                <w:color w:val="000000"/>
                <w:sz w:val="24"/>
                <w:szCs w:val="24"/>
                <w:highlight w:val="none"/>
                <w:lang w:val="en-US" w:eastAsia="zh-CN"/>
              </w:rPr>
              <w:t>员工生活污水按用水量80%计算，</w:t>
            </w:r>
            <w:r>
              <w:rPr>
                <w:rFonts w:hint="default" w:ascii="Times New Roman" w:hAnsi="Times New Roman" w:eastAsia="宋体" w:cs="Times New Roman"/>
                <w:snapToGrid w:val="0"/>
                <w:color w:val="000000"/>
                <w:sz w:val="24"/>
                <w:szCs w:val="24"/>
                <w:highlight w:val="none"/>
                <w:lang w:val="en-US" w:eastAsia="zh-CN"/>
              </w:rPr>
              <w:t>则</w:t>
            </w:r>
            <w:r>
              <w:rPr>
                <w:rFonts w:hint="default" w:ascii="Times New Roman" w:hAnsi="Times New Roman" w:cs="Times New Roman"/>
                <w:snapToGrid w:val="0"/>
                <w:color w:val="000000"/>
                <w:sz w:val="24"/>
                <w:szCs w:val="24"/>
                <w:highlight w:val="none"/>
                <w:lang w:val="en-US" w:eastAsia="zh-CN"/>
              </w:rPr>
              <w:t>生活污水</w:t>
            </w:r>
            <w:r>
              <w:rPr>
                <w:rFonts w:hint="default" w:ascii="Times New Roman" w:hAnsi="Times New Roman" w:eastAsia="宋体" w:cs="Times New Roman"/>
                <w:snapToGrid w:val="0"/>
                <w:color w:val="000000"/>
                <w:sz w:val="24"/>
                <w:szCs w:val="24"/>
                <w:highlight w:val="none"/>
                <w:lang w:val="en-US" w:eastAsia="zh-CN"/>
              </w:rPr>
              <w:t>量为</w:t>
            </w:r>
            <w:r>
              <w:rPr>
                <w:rFonts w:hint="default" w:ascii="Times New Roman" w:hAnsi="Times New Roman" w:cs="Times New Roman"/>
                <w:snapToGrid w:val="0"/>
                <w:color w:val="000000"/>
                <w:sz w:val="24"/>
                <w:szCs w:val="24"/>
                <w:highlight w:val="none"/>
                <w:lang w:val="en-US" w:eastAsia="zh-CN"/>
              </w:rPr>
              <w:t>2160</w:t>
            </w:r>
            <w:r>
              <w:rPr>
                <w:rFonts w:hint="default" w:ascii="Times New Roman" w:hAnsi="Times New Roman" w:eastAsia="宋体" w:cs="Times New Roman"/>
                <w:snapToGrid w:val="0"/>
                <w:color w:val="000000"/>
                <w:sz w:val="24"/>
                <w:szCs w:val="24"/>
                <w:highlight w:val="none"/>
                <w:lang w:val="en-US" w:eastAsia="zh-CN"/>
              </w:rPr>
              <w:t>m</w:t>
            </w:r>
            <w:r>
              <w:rPr>
                <w:rFonts w:hint="default" w:ascii="Times New Roman" w:hAnsi="Times New Roman" w:eastAsia="宋体" w:cs="Times New Roman"/>
                <w:snapToGrid w:val="0"/>
                <w:color w:val="000000"/>
                <w:sz w:val="24"/>
                <w:szCs w:val="24"/>
                <w:highlight w:val="none"/>
                <w:vertAlign w:val="superscript"/>
                <w:lang w:val="en-US" w:eastAsia="zh-CN"/>
              </w:rPr>
              <w:t>3</w:t>
            </w:r>
            <w:r>
              <w:rPr>
                <w:rFonts w:hint="default" w:ascii="Times New Roman" w:hAnsi="Times New Roman" w:eastAsia="宋体" w:cs="Times New Roman"/>
                <w:snapToGrid w:val="0"/>
                <w:color w:val="000000"/>
                <w:sz w:val="24"/>
                <w:szCs w:val="24"/>
                <w:highlight w:val="none"/>
                <w:lang w:val="en-US" w:eastAsia="zh-CN"/>
              </w:rPr>
              <w:t>/a（</w:t>
            </w:r>
            <w:r>
              <w:rPr>
                <w:rFonts w:hint="default" w:ascii="Times New Roman" w:hAnsi="Times New Roman" w:cs="Times New Roman"/>
                <w:snapToGrid w:val="0"/>
                <w:color w:val="000000"/>
                <w:sz w:val="24"/>
                <w:szCs w:val="24"/>
                <w:highlight w:val="none"/>
                <w:lang w:val="en-US" w:eastAsia="zh-CN"/>
              </w:rPr>
              <w:t>7.2</w:t>
            </w:r>
            <w:r>
              <w:rPr>
                <w:rFonts w:hint="default" w:ascii="Times New Roman" w:hAnsi="Times New Roman" w:eastAsia="宋体" w:cs="Times New Roman"/>
                <w:snapToGrid w:val="0"/>
                <w:color w:val="000000"/>
                <w:sz w:val="24"/>
                <w:szCs w:val="24"/>
                <w:highlight w:val="none"/>
                <w:lang w:val="en-US" w:eastAsia="zh-CN"/>
              </w:rPr>
              <w:t>m</w:t>
            </w:r>
            <w:r>
              <w:rPr>
                <w:rFonts w:hint="default" w:ascii="Times New Roman" w:hAnsi="Times New Roman" w:eastAsia="宋体" w:cs="Times New Roman"/>
                <w:snapToGrid w:val="0"/>
                <w:color w:val="000000"/>
                <w:sz w:val="24"/>
                <w:szCs w:val="24"/>
                <w:highlight w:val="none"/>
                <w:vertAlign w:val="superscript"/>
                <w:lang w:val="en-US" w:eastAsia="zh-CN"/>
              </w:rPr>
              <w:t>3</w:t>
            </w:r>
            <w:r>
              <w:rPr>
                <w:rFonts w:hint="default" w:ascii="Times New Roman" w:hAnsi="Times New Roman" w:eastAsia="宋体" w:cs="Times New Roman"/>
                <w:snapToGrid w:val="0"/>
                <w:color w:val="000000"/>
                <w:sz w:val="24"/>
                <w:szCs w:val="24"/>
                <w:highlight w:val="none"/>
                <w:lang w:val="en-US" w:eastAsia="zh-CN"/>
              </w:rPr>
              <w:t>/d）</w:t>
            </w:r>
            <w:r>
              <w:rPr>
                <w:rFonts w:hint="default" w:ascii="Times New Roman" w:hAnsi="Times New Roman" w:cs="Times New Roman"/>
                <w:snapToGrid w:val="0"/>
                <w:color w:val="000000"/>
                <w:sz w:val="24"/>
                <w:szCs w:val="24"/>
                <w:highlight w:val="none"/>
                <w:lang w:val="en-US" w:eastAsia="zh-CN"/>
              </w:rPr>
              <w:t>，生活污水</w:t>
            </w:r>
            <w:r>
              <w:rPr>
                <w:rFonts w:hint="default" w:ascii="Times New Roman" w:hAnsi="Times New Roman" w:eastAsia="宋体" w:cs="Times New Roman"/>
                <w:snapToGrid w:val="0"/>
                <w:color w:val="000000"/>
                <w:sz w:val="24"/>
                <w:szCs w:val="24"/>
                <w:highlight w:val="none"/>
                <w:lang w:val="en-US" w:eastAsia="zh-CN"/>
              </w:rPr>
              <w:t>经化粪池处理后排入园区污水管网进入抚宁污水处理厂进一步处理。</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食堂废水按用水量60%计算，则</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食堂废水量为180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0.6</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/d），</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食堂废水经隔油池+</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化粪池处理后排入园区污水管网进入抚宁污水处理厂进一步处理。</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综上，本项目年排水总量为2160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180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2340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w:t>
            </w:r>
            <w:r>
              <w:rPr>
                <w:rFonts w:hint="default" w:ascii="Times New Roman" w:hAnsi="Times New Roman" w:eastAsia="宋体" w:cs="Times New Roman"/>
                <w:snapToGrid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/a。</w:t>
            </w:r>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参照《生活污染源产排污系数手册》，结合项目实际情况，</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食堂废水经隔油池去除油污及杂质等，与员工生活</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污水</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一起进入化粪池处理，污水</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中主要污染物</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SS、COD、BOD</w:t>
            </w:r>
            <w:r>
              <w:rPr>
                <w:rFonts w:hint="default" w:ascii="Times New Roman" w:hAnsi="Times New Roman" w:eastAsia="宋体" w:cs="Times New Roman"/>
                <w:snapToGrid w:val="0"/>
                <w:color w:val="000000" w:themeColor="text1"/>
                <w:sz w:val="24"/>
                <w:szCs w:val="24"/>
                <w:highlight w:val="none"/>
                <w:vertAlign w:val="subscript"/>
                <w:lang w:val="en-US" w:eastAsia="zh-CN"/>
                <w14:textFill>
                  <w14:solidFill>
                    <w14:schemeClr w14:val="tx1"/>
                  </w14:solidFill>
                </w14:textFill>
              </w:rPr>
              <w:t>5</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、NH</w:t>
            </w:r>
            <w:r>
              <w:rPr>
                <w:rFonts w:hint="default" w:ascii="Times New Roman" w:hAnsi="Times New Roman" w:eastAsia="宋体" w:cs="Times New Roman"/>
                <w:snapToGrid w:val="0"/>
                <w:color w:val="000000" w:themeColor="text1"/>
                <w:sz w:val="24"/>
                <w:szCs w:val="24"/>
                <w:highlight w:val="none"/>
                <w:vertAlign w:val="sub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-N的产生浓度分别为300mg/L、380mg/L、200mg/L、3</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0</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mg/L，经化粪池处理后主要污染物SS、COD、BOD</w:t>
            </w:r>
            <w:r>
              <w:rPr>
                <w:rFonts w:hint="default" w:ascii="Times New Roman" w:hAnsi="Times New Roman" w:eastAsia="宋体" w:cs="Times New Roman"/>
                <w:snapToGrid w:val="0"/>
                <w:color w:val="000000" w:themeColor="text1"/>
                <w:sz w:val="24"/>
                <w:szCs w:val="24"/>
                <w:highlight w:val="none"/>
                <w:vertAlign w:val="subscript"/>
                <w:lang w:val="en-US" w:eastAsia="zh-CN"/>
                <w14:textFill>
                  <w14:solidFill>
                    <w14:schemeClr w14:val="tx1"/>
                  </w14:solidFill>
                </w14:textFill>
              </w:rPr>
              <w:t>5</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、NH</w:t>
            </w:r>
            <w:r>
              <w:rPr>
                <w:rFonts w:hint="default" w:ascii="Times New Roman" w:hAnsi="Times New Roman" w:eastAsia="宋体" w:cs="Times New Roman"/>
                <w:snapToGrid w:val="0"/>
                <w:color w:val="000000" w:themeColor="text1"/>
                <w:sz w:val="24"/>
                <w:szCs w:val="24"/>
                <w:highlight w:val="none"/>
                <w:vertAlign w:val="subscript"/>
                <w:lang w:val="en-US" w:eastAsia="zh-CN"/>
                <w14:textFill>
                  <w14:solidFill>
                    <w14:schemeClr w14:val="tx1"/>
                  </w14:solidFill>
                </w14:textFill>
              </w:rPr>
              <w:t>3</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-N排放浓度分别为100mg/L、300mg/L、120mg/L、</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2</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0mg/L，排放量分别为0.234t/a、0.702t/a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0.28</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t/a</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0.04</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7</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t/a。排水水质满足《污水综合排放标准》（GB8978-1996）表4中三级排放标准最高允许排放浓度要求，同时可满足</w:t>
            </w:r>
            <w:r>
              <w:rPr>
                <w:rFonts w:hint="default" w:ascii="Times New Roman" w:hAnsi="Times New Roman" w:cs="Times New Roman"/>
                <w:snapToGrid w:val="0"/>
                <w:color w:val="000000" w:themeColor="text1"/>
                <w:sz w:val="24"/>
                <w:szCs w:val="24"/>
                <w:highlight w:val="none"/>
                <w:lang w:val="en-US" w:eastAsia="zh-CN"/>
                <w14:textFill>
                  <w14:solidFill>
                    <w14:schemeClr w14:val="tx1"/>
                  </w14:solidFill>
                </w14:textFill>
              </w:rPr>
              <w:t>抚宁</w:t>
            </w:r>
            <w:r>
              <w:rPr>
                <w:rFonts w:hint="default" w:ascii="Times New Roman" w:hAnsi="Times New Roman" w:eastAsia="宋体" w:cs="Times New Roman"/>
                <w:snapToGrid w:val="0"/>
                <w:color w:val="000000" w:themeColor="text1"/>
                <w:sz w:val="24"/>
                <w:szCs w:val="24"/>
                <w:highlight w:val="none"/>
                <w:lang w:val="en-US" w:eastAsia="zh-CN"/>
                <w14:textFill>
                  <w14:solidFill>
                    <w14:schemeClr w14:val="tx1"/>
                  </w14:solidFill>
                </w14:textFill>
              </w:rPr>
              <w:t>污水处理厂的收水要求，对周围水环境影响很小。</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80" w:lineRule="exact"/>
              <w:ind w:firstLine="0" w:firstLineChars="0"/>
              <w:jc w:val="center"/>
              <w:textAlignment w:val="auto"/>
              <w:rPr>
                <w:rFonts w:hint="default" w:ascii="Times New Roman" w:hAnsi="Times New Roman" w:eastAsia="宋体" w:cs="Times New Roman"/>
                <w:b/>
                <w:bCs/>
                <w:color w:val="000000"/>
                <w:kern w:val="0"/>
                <w:sz w:val="24"/>
                <w:szCs w:val="24"/>
                <w:highlight w:val="none"/>
                <w:lang w:val="en-US" w:eastAsia="zh-CN"/>
              </w:rPr>
            </w:pPr>
            <w:r>
              <w:rPr>
                <w:rFonts w:hint="default" w:ascii="Times New Roman" w:hAnsi="Times New Roman" w:eastAsia="宋体" w:cs="Times New Roman"/>
                <w:b/>
                <w:bCs/>
                <w:color w:val="000000"/>
                <w:kern w:val="0"/>
                <w:sz w:val="24"/>
                <w:szCs w:val="24"/>
                <w:highlight w:val="none"/>
                <w:lang w:val="en-US" w:eastAsia="zh-CN"/>
              </w:rPr>
              <w:t>表4-6 本项目</w:t>
            </w:r>
            <w:r>
              <w:rPr>
                <w:rFonts w:hint="default" w:ascii="Times New Roman" w:hAnsi="Times New Roman" w:cs="Times New Roman"/>
                <w:b/>
                <w:bCs/>
                <w:color w:val="000000"/>
                <w:kern w:val="0"/>
                <w:sz w:val="24"/>
                <w:szCs w:val="24"/>
                <w:highlight w:val="none"/>
                <w:lang w:val="en-US" w:eastAsia="zh-CN"/>
              </w:rPr>
              <w:t>生活污水</w:t>
            </w:r>
            <w:r>
              <w:rPr>
                <w:rFonts w:hint="default" w:ascii="Times New Roman" w:hAnsi="Times New Roman" w:eastAsia="宋体" w:cs="Times New Roman"/>
                <w:b/>
                <w:bCs/>
                <w:color w:val="000000"/>
                <w:kern w:val="0"/>
                <w:sz w:val="24"/>
                <w:szCs w:val="24"/>
                <w:highlight w:val="none"/>
                <w:lang w:val="en-US" w:eastAsia="zh-CN"/>
              </w:rPr>
              <w:t>产生及排放情况表</w:t>
            </w:r>
          </w:p>
          <w:tbl>
            <w:tblPr>
              <w:tblStyle w:val="33"/>
              <w:tblW w:w="841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6"/>
              <w:gridCol w:w="856"/>
              <w:gridCol w:w="841"/>
              <w:gridCol w:w="916"/>
              <w:gridCol w:w="871"/>
              <w:gridCol w:w="841"/>
              <w:gridCol w:w="1532"/>
              <w:gridCol w:w="1111"/>
              <w:gridCol w:w="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766"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污染源</w:t>
                  </w:r>
                </w:p>
              </w:tc>
              <w:tc>
                <w:tcPr>
                  <w:tcW w:w="856"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污染物名称</w:t>
                  </w:r>
                </w:p>
              </w:tc>
              <w:tc>
                <w:tcPr>
                  <w:tcW w:w="1757"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产生情况</w:t>
                  </w:r>
                </w:p>
              </w:tc>
              <w:tc>
                <w:tcPr>
                  <w:tcW w:w="1712"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排放情况</w:t>
                  </w:r>
                </w:p>
              </w:tc>
              <w:tc>
                <w:tcPr>
                  <w:tcW w:w="1532"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《污水综合排放标准》(GB8978-1996)表4中三级排放标准(mg</w:t>
                  </w: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/L</w:t>
                  </w: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w:t>
                  </w:r>
                </w:p>
              </w:tc>
              <w:tc>
                <w:tcPr>
                  <w:tcW w:w="1111"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抚宁</w:t>
                  </w: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污水处理厂收水标准(mg/L)</w:t>
                  </w:r>
                </w:p>
              </w:tc>
              <w:tc>
                <w:tcPr>
                  <w:tcW w:w="683"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是否达标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trPr>
              <w:tc>
                <w:tcPr>
                  <w:tcW w:w="76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85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浓度(mg/</w:t>
                  </w: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L)</w:t>
                  </w:r>
                </w:p>
              </w:tc>
              <w:tc>
                <w:tcPr>
                  <w:tcW w:w="91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产生量</w:t>
                  </w: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t</w:t>
                  </w: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a)</w:t>
                  </w:r>
                </w:p>
              </w:tc>
              <w:tc>
                <w:tcPr>
                  <w:tcW w:w="8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浓度(mg/</w:t>
                  </w: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L)</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排放量(t</w:t>
                  </w: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w:t>
                  </w:r>
                  <w: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t>a)</w:t>
                  </w:r>
                </w:p>
              </w:tc>
              <w:tc>
                <w:tcPr>
                  <w:tcW w:w="1532"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1111"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683"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766"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生活污水</w:t>
                  </w:r>
                </w:p>
              </w:tc>
              <w:tc>
                <w:tcPr>
                  <w:tcW w:w="85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pH</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6-9</w:t>
                  </w:r>
                </w:p>
              </w:tc>
              <w:tc>
                <w:tcPr>
                  <w:tcW w:w="91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w:t>
                  </w:r>
                </w:p>
              </w:tc>
              <w:tc>
                <w:tcPr>
                  <w:tcW w:w="87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6-9</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6-9</w:t>
                  </w:r>
                </w:p>
              </w:tc>
              <w:tc>
                <w:tcPr>
                  <w:tcW w:w="111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6-9</w:t>
                  </w:r>
                </w:p>
              </w:tc>
              <w:tc>
                <w:tcPr>
                  <w:tcW w:w="68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76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85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SS</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300</w:t>
                  </w:r>
                </w:p>
              </w:tc>
              <w:tc>
                <w:tcPr>
                  <w:tcW w:w="916"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0.702</w:t>
                  </w:r>
                </w:p>
              </w:tc>
              <w:tc>
                <w:tcPr>
                  <w:tcW w:w="87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100</w:t>
                  </w:r>
                </w:p>
              </w:tc>
              <w:tc>
                <w:tcPr>
                  <w:tcW w:w="84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0.234</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400</w:t>
                  </w:r>
                </w:p>
              </w:tc>
              <w:tc>
                <w:tcPr>
                  <w:tcW w:w="111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300</w:t>
                  </w:r>
                </w:p>
              </w:tc>
              <w:tc>
                <w:tcPr>
                  <w:tcW w:w="68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76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85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COD</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380</w:t>
                  </w:r>
                </w:p>
              </w:tc>
              <w:tc>
                <w:tcPr>
                  <w:tcW w:w="916"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0.8892</w:t>
                  </w:r>
                </w:p>
              </w:tc>
              <w:tc>
                <w:tcPr>
                  <w:tcW w:w="87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300</w:t>
                  </w:r>
                </w:p>
              </w:tc>
              <w:tc>
                <w:tcPr>
                  <w:tcW w:w="84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0.702</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500</w:t>
                  </w:r>
                </w:p>
              </w:tc>
              <w:tc>
                <w:tcPr>
                  <w:tcW w:w="111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t>500</w:t>
                  </w:r>
                </w:p>
              </w:tc>
              <w:tc>
                <w:tcPr>
                  <w:tcW w:w="68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76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85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BOD</w:t>
                  </w:r>
                  <w:r>
                    <w:rPr>
                      <w:rFonts w:hint="default" w:ascii="Times New Roman" w:hAnsi="Times New Roman" w:cs="Times New Roman"/>
                      <w:color w:val="000000" w:themeColor="text1"/>
                      <w:sz w:val="21"/>
                      <w:szCs w:val="21"/>
                      <w:highlight w:val="none"/>
                      <w:vertAlign w:val="subscript"/>
                      <w14:textFill>
                        <w14:solidFill>
                          <w14:schemeClr w14:val="tx1"/>
                        </w14:solidFill>
                      </w14:textFill>
                    </w:rPr>
                    <w:t>5</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200</w:t>
                  </w:r>
                </w:p>
              </w:tc>
              <w:tc>
                <w:tcPr>
                  <w:tcW w:w="916"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0.468</w:t>
                  </w:r>
                </w:p>
              </w:tc>
              <w:tc>
                <w:tcPr>
                  <w:tcW w:w="87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120</w:t>
                  </w:r>
                </w:p>
              </w:tc>
              <w:tc>
                <w:tcPr>
                  <w:tcW w:w="84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0.28</w:t>
                  </w:r>
                  <w:r>
                    <w:rPr>
                      <w:rFonts w:hint="default"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1</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300</w:t>
                  </w:r>
                </w:p>
              </w:tc>
              <w:tc>
                <w:tcPr>
                  <w:tcW w:w="111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200</w:t>
                  </w:r>
                </w:p>
              </w:tc>
              <w:tc>
                <w:tcPr>
                  <w:tcW w:w="68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trPr>
              <w:tc>
                <w:tcPr>
                  <w:tcW w:w="766" w:type="dxa"/>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p>
              </w:tc>
              <w:tc>
                <w:tcPr>
                  <w:tcW w:w="856"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氨氮</w:t>
                  </w:r>
                </w:p>
              </w:tc>
              <w:tc>
                <w:tcPr>
                  <w:tcW w:w="84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30</w:t>
                  </w:r>
                </w:p>
              </w:tc>
              <w:tc>
                <w:tcPr>
                  <w:tcW w:w="916"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0.0702</w:t>
                  </w:r>
                </w:p>
              </w:tc>
              <w:tc>
                <w:tcPr>
                  <w:tcW w:w="87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20</w:t>
                  </w:r>
                </w:p>
              </w:tc>
              <w:tc>
                <w:tcPr>
                  <w:tcW w:w="841" w:type="dxa"/>
                  <w:vAlign w:val="center"/>
                </w:tcPr>
                <w:p>
                  <w:pPr>
                    <w:keepNext w:val="0"/>
                    <w:keepLines w:val="0"/>
                    <w:widowControl/>
                    <w:suppressLineNumbers w:val="0"/>
                    <w:jc w:val="center"/>
                    <w:textAlignment w:val="center"/>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1"/>
                      <w:szCs w:val="21"/>
                      <w:u w:val="none"/>
                      <w:lang w:val="en-US" w:eastAsia="zh-CN" w:bidi="ar"/>
                      <w14:textFill>
                        <w14:solidFill>
                          <w14:schemeClr w14:val="tx1"/>
                        </w14:solidFill>
                      </w14:textFill>
                    </w:rPr>
                    <w:t>0.04</w:t>
                  </w:r>
                  <w:r>
                    <w:rPr>
                      <w:rFonts w:hint="default" w:ascii="Times New Roman" w:hAnsi="Times New Roman" w:cs="Times New Roman"/>
                      <w:i w:val="0"/>
                      <w:iCs w:val="0"/>
                      <w:color w:val="000000" w:themeColor="text1"/>
                      <w:kern w:val="0"/>
                      <w:sz w:val="21"/>
                      <w:szCs w:val="21"/>
                      <w:u w:val="none"/>
                      <w:lang w:val="en-US" w:eastAsia="zh-CN" w:bidi="ar"/>
                      <w14:textFill>
                        <w14:solidFill>
                          <w14:schemeClr w14:val="tx1"/>
                        </w14:solidFill>
                      </w14:textFill>
                    </w:rPr>
                    <w:t>7</w:t>
                  </w:r>
                </w:p>
              </w:tc>
              <w:tc>
                <w:tcPr>
                  <w:tcW w:w="1532"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w:t>
                  </w:r>
                </w:p>
              </w:tc>
              <w:tc>
                <w:tcPr>
                  <w:tcW w:w="1111"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22</w:t>
                  </w:r>
                </w:p>
              </w:tc>
              <w:tc>
                <w:tcPr>
                  <w:tcW w:w="68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eastAsia="宋体" w:cs="Times New Roman"/>
                      <w:snapToGrid w:val="0"/>
                      <w:color w:val="000000" w:themeColor="text1"/>
                      <w:sz w:val="21"/>
                      <w:szCs w:val="21"/>
                      <w:highlight w:val="none"/>
                      <w:vertAlign w:val="baseline"/>
                      <w:lang w:val="en-US" w:eastAsia="zh-CN"/>
                      <w14:textFill>
                        <w14:solidFill>
                          <w14:schemeClr w14:val="tx1"/>
                        </w14:solidFill>
                      </w14:textFill>
                    </w:rPr>
                  </w:pPr>
                  <w:r>
                    <w:rPr>
                      <w:rFonts w:hint="default" w:ascii="Times New Roman" w:hAnsi="Times New Roman" w:cs="Times New Roman"/>
                      <w:snapToGrid w:val="0"/>
                      <w:color w:val="000000" w:themeColor="text1"/>
                      <w:sz w:val="21"/>
                      <w:szCs w:val="21"/>
                      <w:highlight w:val="none"/>
                      <w:vertAlign w:val="baseline"/>
                      <w:lang w:val="en-US" w:eastAsia="zh-CN"/>
                      <w14:textFill>
                        <w14:solidFill>
                          <w14:schemeClr w14:val="tx1"/>
                        </w14:solidFill>
                      </w14:textFill>
                    </w:rPr>
                    <w:t>是</w:t>
                  </w:r>
                </w:p>
              </w:tc>
            </w:tr>
          </w:tbl>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2、废水监测计划</w:t>
            </w:r>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参照</w:t>
            </w:r>
            <w:r>
              <w:rPr>
                <w:rFonts w:hint="default" w:ascii="Times New Roman" w:hAnsi="Times New Roman" w:cs="Times New Roman"/>
                <w:color w:val="000000" w:themeColor="text1"/>
                <w:kern w:val="2"/>
                <w:sz w:val="24"/>
                <w:szCs w:val="24"/>
                <w:highlight w:val="none"/>
                <w:vertAlign w:val="baseline"/>
                <w:lang w:val="en-US" w:eastAsia="zh-CN" w:bidi="ar-SA"/>
                <w14:textFill>
                  <w14:solidFill>
                    <w14:schemeClr w14:val="tx1"/>
                  </w14:solidFill>
                </w14:textFill>
              </w:rPr>
              <w:t>《排污单位自行监测技术指南 涂装》（HJ1086-2020）及</w:t>
            </w:r>
            <w:r>
              <w:rPr>
                <w:rFonts w:hint="default" w:ascii="Times New Roman" w:hAnsi="Times New Roman" w:eastAsia="宋体" w:cs="Times New Roman"/>
                <w:color w:val="000000" w:themeColor="text1"/>
                <w:kern w:val="2"/>
                <w:sz w:val="24"/>
                <w:szCs w:val="24"/>
                <w:highlight w:val="none"/>
                <w:vertAlign w:val="baseline"/>
                <w:lang w:val="en-US" w:eastAsia="zh-CN" w:bidi="ar-SA"/>
                <w14:textFill>
                  <w14:solidFill>
                    <w14:schemeClr w14:val="tx1"/>
                  </w14:solidFill>
                </w14:textFill>
              </w:rPr>
              <w:t>《排污许可证申请与核发技术规范 铁路、船舶、航空航天和其他运输设备制造业》（HJ1124-2020）</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文件</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附录A</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要求，</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并</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结合本项目特点及污染物排放特征制定监测方案。废水具体监测要求见下表：</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480" w:lineRule="exact"/>
              <w:jc w:val="center"/>
              <w:textAlignment w:val="auto"/>
              <w:rPr>
                <w:rFonts w:hint="default" w:ascii="Times New Roman" w:hAnsi="Times New Roman" w:eastAsia="宋体" w:cs="Times New Roman"/>
                <w:b/>
                <w:color w:val="000000"/>
                <w:sz w:val="24"/>
                <w:szCs w:val="24"/>
                <w:highlight w:val="none"/>
                <w:shd w:val="clear" w:color="auto" w:fill="auto"/>
                <w:lang w:eastAsia="zh-CN"/>
              </w:rPr>
            </w:pPr>
            <w:r>
              <w:rPr>
                <w:rFonts w:hint="default" w:ascii="Times New Roman" w:hAnsi="Times New Roman" w:eastAsia="宋体" w:cs="Times New Roman"/>
                <w:b/>
                <w:bCs/>
                <w:color w:val="000000"/>
                <w:kern w:val="0"/>
                <w:sz w:val="24"/>
                <w:szCs w:val="24"/>
                <w:highlight w:val="none"/>
                <w:shd w:val="clear" w:color="auto" w:fill="auto"/>
                <w:lang w:val="en-US" w:eastAsia="zh-CN" w:bidi="ar-SA"/>
              </w:rPr>
              <w:t>表4-</w:t>
            </w:r>
            <w:r>
              <w:rPr>
                <w:rFonts w:hint="default" w:ascii="Times New Roman" w:hAnsi="Times New Roman" w:cs="Times New Roman"/>
                <w:b/>
                <w:bCs/>
                <w:color w:val="000000"/>
                <w:kern w:val="0"/>
                <w:sz w:val="24"/>
                <w:szCs w:val="24"/>
                <w:highlight w:val="none"/>
                <w:shd w:val="clear" w:color="auto" w:fill="auto"/>
                <w:lang w:val="en-US" w:eastAsia="zh-CN" w:bidi="ar-SA"/>
              </w:rPr>
              <w:t>7</w:t>
            </w:r>
            <w:r>
              <w:rPr>
                <w:rFonts w:hint="default" w:ascii="Times New Roman" w:hAnsi="Times New Roman" w:eastAsia="宋体" w:cs="Times New Roman"/>
                <w:b/>
                <w:bCs/>
                <w:color w:val="000000"/>
                <w:kern w:val="0"/>
                <w:sz w:val="24"/>
                <w:szCs w:val="24"/>
                <w:highlight w:val="none"/>
                <w:shd w:val="clear" w:color="auto" w:fill="auto"/>
                <w:lang w:val="en-US" w:eastAsia="zh-CN" w:bidi="ar-SA"/>
              </w:rPr>
              <w:t xml:space="preserve"> 废水</w:t>
            </w:r>
            <w:r>
              <w:rPr>
                <w:rFonts w:hint="default" w:ascii="Times New Roman" w:hAnsi="Times New Roman" w:eastAsia="宋体" w:cs="Times New Roman"/>
                <w:b/>
                <w:bCs/>
                <w:color w:val="000000"/>
                <w:sz w:val="24"/>
                <w:szCs w:val="24"/>
                <w:highlight w:val="none"/>
              </w:rPr>
              <w:t>监测计划一览表</w:t>
            </w:r>
          </w:p>
          <w:tbl>
            <w:tblPr>
              <w:tblStyle w:val="3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7"/>
              <w:gridCol w:w="1205"/>
              <w:gridCol w:w="1290"/>
              <w:gridCol w:w="1305"/>
              <w:gridCol w:w="38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90" w:type="pct"/>
                  <w:tcBorders>
                    <w:tl2br w:val="nil"/>
                    <w:tr2bl w:val="nil"/>
                  </w:tcBorders>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jc w:val="center"/>
                    <w:textAlignment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bidi="ar"/>
                    </w:rPr>
                    <w:t>序号</w:t>
                  </w:r>
                </w:p>
              </w:tc>
              <w:tc>
                <w:tcPr>
                  <w:tcW w:w="726"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textAlignment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bidi="ar"/>
                    </w:rPr>
                    <w:t>监测点位</w:t>
                  </w:r>
                </w:p>
              </w:tc>
              <w:tc>
                <w:tcPr>
                  <w:tcW w:w="777"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bidi="ar"/>
                    </w:rPr>
                    <w:t>监测因子</w:t>
                  </w:r>
                </w:p>
              </w:tc>
              <w:tc>
                <w:tcPr>
                  <w:tcW w:w="786" w:type="pct"/>
                  <w:tcBorders>
                    <w:tl2br w:val="nil"/>
                    <w:tr2bl w:val="nil"/>
                  </w:tcBorders>
                  <w:noWrap w:val="0"/>
                  <w:vAlign w:val="center"/>
                </w:tcPr>
                <w:p>
                  <w:pPr>
                    <w:keepNext w:val="0"/>
                    <w:keepLines w:val="0"/>
                    <w:pageBreakBefore w:val="0"/>
                    <w:widowControl/>
                    <w:kinsoku/>
                    <w:wordWrap/>
                    <w:overflowPunct/>
                    <w:topLinePunct w:val="0"/>
                    <w:autoSpaceDE/>
                    <w:autoSpaceDN/>
                    <w:bidi w:val="0"/>
                    <w:adjustRightInd w:val="0"/>
                    <w:snapToGrid w:val="0"/>
                    <w:jc w:val="center"/>
                    <w:textAlignment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bidi="ar"/>
                    </w:rPr>
                    <w:t>监测频次</w:t>
                  </w:r>
                </w:p>
              </w:tc>
              <w:tc>
                <w:tcPr>
                  <w:tcW w:w="2319"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textAlignment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sz w:val="21"/>
                      <w:szCs w:val="21"/>
                      <w:highlight w:val="none"/>
                      <w:shd w:val="clear" w:color="auto" w:fill="auto"/>
                    </w:rPr>
                    <w:t>排放标准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90" w:type="pct"/>
                  <w:tcBorders>
                    <w:tl2br w:val="nil"/>
                    <w:tr2bl w:val="nil"/>
                  </w:tcBorders>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sz w:val="21"/>
                      <w:szCs w:val="21"/>
                      <w:highlight w:val="none"/>
                      <w:shd w:val="clear" w:color="auto" w:fill="auto"/>
                    </w:rPr>
                    <w:t>1</w:t>
                  </w:r>
                </w:p>
              </w:tc>
              <w:tc>
                <w:tcPr>
                  <w:tcW w:w="726" w:type="pct"/>
                  <w:vMerge w:val="restart"/>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bCs/>
                      <w:color w:val="000000"/>
                      <w:sz w:val="21"/>
                      <w:szCs w:val="21"/>
                      <w:highlight w:val="none"/>
                      <w:shd w:val="clear" w:color="auto" w:fill="auto"/>
                      <w:lang w:val="en-US"/>
                    </w:rPr>
                  </w:pPr>
                  <w:r>
                    <w:rPr>
                      <w:rFonts w:hint="default" w:ascii="Times New Roman" w:hAnsi="Times New Roman" w:eastAsia="宋体" w:cs="Times New Roman"/>
                      <w:i w:val="0"/>
                      <w:iCs w:val="0"/>
                      <w:caps w:val="0"/>
                      <w:color w:val="000000"/>
                      <w:spacing w:val="0"/>
                      <w:sz w:val="21"/>
                      <w:szCs w:val="21"/>
                      <w:highlight w:val="none"/>
                      <w:shd w:val="clear" w:color="auto" w:fill="auto"/>
                      <w:lang w:val="en-US" w:eastAsia="zh-CN"/>
                    </w:rPr>
                    <w:t>生活污水排放口</w:t>
                  </w:r>
                </w:p>
              </w:tc>
              <w:tc>
                <w:tcPr>
                  <w:tcW w:w="777"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jc w:val="center"/>
                    <w:textAlignment w:val="auto"/>
                    <w:rPr>
                      <w:rFonts w:hint="default" w:ascii="Times New Roman" w:hAnsi="Times New Roman"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rPr>
                    <w:t>pH</w:t>
                  </w:r>
                </w:p>
              </w:tc>
              <w:tc>
                <w:tcPr>
                  <w:tcW w:w="786" w:type="pct"/>
                  <w:tcBorders>
                    <w:tl2br w:val="nil"/>
                    <w:tr2bl w:val="nil"/>
                  </w:tcBorders>
                  <w:noWrap w:val="0"/>
                  <w:vAlign w:val="center"/>
                </w:tcPr>
                <w:p>
                  <w:pPr>
                    <w:keepNext w:val="0"/>
                    <w:keepLines w:val="0"/>
                    <w:pageBreakBefore w:val="0"/>
                    <w:kinsoku/>
                    <w:wordWrap/>
                    <w:overflowPunct/>
                    <w:topLinePunct w:val="0"/>
                    <w:autoSpaceDE/>
                    <w:autoSpaceDN/>
                    <w:bidi w:val="0"/>
                    <w:jc w:val="center"/>
                    <w:rPr>
                      <w:rFonts w:hint="default" w:ascii="Times New Roman" w:hAnsi="Times New Roman" w:eastAsia="宋体"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val="en-US" w:eastAsia="zh-CN"/>
                    </w:rPr>
                    <w:t>1</w:t>
                  </w:r>
                  <w:r>
                    <w:rPr>
                      <w:rFonts w:hint="default" w:ascii="Times New Roman" w:hAnsi="Times New Roman" w:cs="Times New Roman"/>
                      <w:color w:val="000000"/>
                      <w:kern w:val="0"/>
                      <w:sz w:val="21"/>
                      <w:szCs w:val="21"/>
                      <w:highlight w:val="none"/>
                      <w:shd w:val="clear" w:color="auto" w:fill="auto"/>
                    </w:rPr>
                    <w:t>次/</w:t>
                  </w:r>
                  <w:r>
                    <w:rPr>
                      <w:rFonts w:hint="default" w:ascii="Times New Roman" w:hAnsi="Times New Roman" w:cs="Times New Roman"/>
                      <w:color w:val="000000"/>
                      <w:kern w:val="0"/>
                      <w:sz w:val="21"/>
                      <w:szCs w:val="21"/>
                      <w:highlight w:val="none"/>
                      <w:shd w:val="clear" w:color="auto" w:fill="auto"/>
                      <w:lang w:val="en-US" w:eastAsia="zh-CN"/>
                    </w:rPr>
                    <w:t>年</w:t>
                  </w:r>
                </w:p>
              </w:tc>
              <w:tc>
                <w:tcPr>
                  <w:tcW w:w="2319" w:type="pct"/>
                  <w:vMerge w:val="restar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bCs/>
                      <w:color w:val="000000"/>
                      <w:sz w:val="21"/>
                      <w:szCs w:val="21"/>
                      <w:highlight w:val="none"/>
                      <w:shd w:val="clear" w:color="auto" w:fill="auto"/>
                    </w:rPr>
                  </w:pPr>
                  <w:r>
                    <w:rPr>
                      <w:rFonts w:hint="default" w:ascii="Times New Roman" w:hAnsi="Times New Roman" w:cs="Times New Roman"/>
                      <w:bCs/>
                      <w:color w:val="000000"/>
                      <w:sz w:val="21"/>
                      <w:szCs w:val="21"/>
                      <w:highlight w:val="none"/>
                      <w:shd w:val="clear" w:color="auto" w:fill="auto"/>
                      <w:lang w:val="en-US" w:eastAsia="zh-CN"/>
                    </w:rPr>
                    <w:t>《污水综合排放标准》（GB8978-1996）中表4三级标准及满足抚宁污水处理厂收水标准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90" w:type="pct"/>
                  <w:tcBorders>
                    <w:tl2br w:val="nil"/>
                    <w:tr2bl w:val="nil"/>
                  </w:tcBorders>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sz w:val="21"/>
                      <w:szCs w:val="21"/>
                      <w:highlight w:val="none"/>
                      <w:shd w:val="clear" w:color="auto" w:fill="auto"/>
                    </w:rPr>
                    <w:t>2</w:t>
                  </w:r>
                </w:p>
              </w:tc>
              <w:tc>
                <w:tcPr>
                  <w:tcW w:w="726"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p>
              </w:tc>
              <w:tc>
                <w:tcPr>
                  <w:tcW w:w="777"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jc w:val="center"/>
                    <w:textAlignment w:val="auto"/>
                    <w:rPr>
                      <w:rFonts w:hint="default" w:ascii="Times New Roman" w:hAnsi="Times New Roman"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rPr>
                    <w:t>SS</w:t>
                  </w:r>
                </w:p>
              </w:tc>
              <w:tc>
                <w:tcPr>
                  <w:tcW w:w="786" w:type="pct"/>
                  <w:tcBorders>
                    <w:tl2br w:val="nil"/>
                    <w:tr2bl w:val="nil"/>
                  </w:tcBorders>
                  <w:noWrap w:val="0"/>
                  <w:vAlign w:val="center"/>
                </w:tcPr>
                <w:p>
                  <w:pPr>
                    <w:keepNext w:val="0"/>
                    <w:keepLines w:val="0"/>
                    <w:pageBreakBefore w:val="0"/>
                    <w:kinsoku/>
                    <w:wordWrap/>
                    <w:overflowPunct/>
                    <w:topLinePunct w:val="0"/>
                    <w:autoSpaceDE/>
                    <w:autoSpaceDN/>
                    <w:bidi w:val="0"/>
                    <w:jc w:val="center"/>
                    <w:rPr>
                      <w:rFonts w:hint="default" w:ascii="Times New Roman" w:hAnsi="Times New Roman" w:eastAsia="宋体"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val="en-US" w:eastAsia="zh-CN"/>
                    </w:rPr>
                    <w:t>1</w:t>
                  </w:r>
                  <w:r>
                    <w:rPr>
                      <w:rFonts w:hint="default" w:ascii="Times New Roman" w:hAnsi="Times New Roman" w:cs="Times New Roman"/>
                      <w:color w:val="000000"/>
                      <w:kern w:val="0"/>
                      <w:sz w:val="21"/>
                      <w:szCs w:val="21"/>
                      <w:highlight w:val="none"/>
                      <w:shd w:val="clear" w:color="auto" w:fill="auto"/>
                    </w:rPr>
                    <w:t>次/</w:t>
                  </w:r>
                  <w:r>
                    <w:rPr>
                      <w:rFonts w:hint="default" w:ascii="Times New Roman" w:hAnsi="Times New Roman" w:cs="Times New Roman"/>
                      <w:color w:val="000000"/>
                      <w:kern w:val="0"/>
                      <w:sz w:val="21"/>
                      <w:szCs w:val="21"/>
                      <w:highlight w:val="none"/>
                      <w:shd w:val="clear" w:color="auto" w:fill="auto"/>
                      <w:lang w:val="en-US" w:eastAsia="zh-CN"/>
                    </w:rPr>
                    <w:t>年</w:t>
                  </w:r>
                </w:p>
              </w:tc>
              <w:tc>
                <w:tcPr>
                  <w:tcW w:w="2319"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bCs/>
                      <w:color w:val="000000"/>
                      <w:sz w:val="21"/>
                      <w:szCs w:val="21"/>
                      <w:highlight w:val="none"/>
                      <w:shd w:val="clear" w:color="auto" w:fil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90" w:type="pct"/>
                  <w:tcBorders>
                    <w:tl2br w:val="nil"/>
                    <w:tr2bl w:val="nil"/>
                  </w:tcBorders>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sz w:val="21"/>
                      <w:szCs w:val="21"/>
                      <w:highlight w:val="none"/>
                      <w:shd w:val="clear" w:color="auto" w:fill="auto"/>
                    </w:rPr>
                    <w:t>3</w:t>
                  </w:r>
                </w:p>
              </w:tc>
              <w:tc>
                <w:tcPr>
                  <w:tcW w:w="726"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p>
              </w:tc>
              <w:tc>
                <w:tcPr>
                  <w:tcW w:w="777" w:type="pct"/>
                  <w:tcBorders>
                    <w:tl2br w:val="nil"/>
                    <w:tr2bl w:val="nil"/>
                  </w:tcBorders>
                  <w:noWrap w:val="0"/>
                  <w:vAlign w:val="center"/>
                </w:tcPr>
                <w:p>
                  <w:pPr>
                    <w:keepNext w:val="0"/>
                    <w:keepLines w:val="0"/>
                    <w:pageBreakBefore w:val="0"/>
                    <w:kinsoku/>
                    <w:wordWrap/>
                    <w:overflowPunct/>
                    <w:topLinePunct w:val="0"/>
                    <w:autoSpaceDE/>
                    <w:autoSpaceDN/>
                    <w:bidi w:val="0"/>
                    <w:adjustRightInd/>
                    <w:snapToGrid/>
                    <w:jc w:val="center"/>
                    <w:textAlignment w:val="auto"/>
                    <w:rPr>
                      <w:rFonts w:hint="default" w:ascii="Times New Roman" w:hAnsi="Times New Roman"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rPr>
                    <w:t>COD</w:t>
                  </w:r>
                </w:p>
              </w:tc>
              <w:tc>
                <w:tcPr>
                  <w:tcW w:w="786" w:type="pct"/>
                  <w:tcBorders>
                    <w:tl2br w:val="nil"/>
                    <w:tr2bl w:val="nil"/>
                  </w:tcBorders>
                  <w:noWrap w:val="0"/>
                  <w:vAlign w:val="center"/>
                </w:tcPr>
                <w:p>
                  <w:pPr>
                    <w:keepNext w:val="0"/>
                    <w:keepLines w:val="0"/>
                    <w:pageBreakBefore w:val="0"/>
                    <w:kinsoku/>
                    <w:wordWrap/>
                    <w:overflowPunct/>
                    <w:topLinePunct w:val="0"/>
                    <w:autoSpaceDE/>
                    <w:autoSpaceDN/>
                    <w:bidi w:val="0"/>
                    <w:jc w:val="center"/>
                    <w:rPr>
                      <w:rFonts w:hint="default" w:ascii="Times New Roman" w:hAnsi="Times New Roman" w:eastAsia="宋体"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val="en-US" w:eastAsia="zh-CN"/>
                    </w:rPr>
                    <w:t>1</w:t>
                  </w:r>
                  <w:r>
                    <w:rPr>
                      <w:rFonts w:hint="default" w:ascii="Times New Roman" w:hAnsi="Times New Roman" w:cs="Times New Roman"/>
                      <w:color w:val="000000"/>
                      <w:kern w:val="0"/>
                      <w:sz w:val="21"/>
                      <w:szCs w:val="21"/>
                      <w:highlight w:val="none"/>
                      <w:shd w:val="clear" w:color="auto" w:fill="auto"/>
                    </w:rPr>
                    <w:t>次/</w:t>
                  </w:r>
                  <w:r>
                    <w:rPr>
                      <w:rFonts w:hint="default" w:ascii="Times New Roman" w:hAnsi="Times New Roman" w:cs="Times New Roman"/>
                      <w:color w:val="000000"/>
                      <w:kern w:val="0"/>
                      <w:sz w:val="21"/>
                      <w:szCs w:val="21"/>
                      <w:highlight w:val="none"/>
                      <w:shd w:val="clear" w:color="auto" w:fill="auto"/>
                      <w:lang w:val="en-US" w:eastAsia="zh-CN"/>
                    </w:rPr>
                    <w:t>年</w:t>
                  </w:r>
                </w:p>
              </w:tc>
              <w:tc>
                <w:tcPr>
                  <w:tcW w:w="2319"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bCs/>
                      <w:color w:val="000000"/>
                      <w:sz w:val="21"/>
                      <w:szCs w:val="21"/>
                      <w:highlight w:val="none"/>
                      <w:shd w:val="clear" w:color="auto" w:fil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0" w:hRule="atLeast"/>
              </w:trPr>
              <w:tc>
                <w:tcPr>
                  <w:tcW w:w="390" w:type="pct"/>
                  <w:tcBorders>
                    <w:tl2br w:val="nil"/>
                    <w:tr2bl w:val="nil"/>
                  </w:tcBorders>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sz w:val="21"/>
                      <w:szCs w:val="21"/>
                      <w:highlight w:val="none"/>
                      <w:shd w:val="clear" w:color="auto" w:fill="auto"/>
                    </w:rPr>
                    <w:t>4</w:t>
                  </w:r>
                </w:p>
              </w:tc>
              <w:tc>
                <w:tcPr>
                  <w:tcW w:w="726"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p>
              </w:tc>
              <w:tc>
                <w:tcPr>
                  <w:tcW w:w="777" w:type="pct"/>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kern w:val="0"/>
                      <w:sz w:val="21"/>
                      <w:szCs w:val="21"/>
                      <w:highlight w:val="none"/>
                      <w:shd w:val="clear" w:color="auto" w:fill="auto"/>
                      <w:lang w:val="en-US" w:eastAsia="zh-CN"/>
                    </w:rPr>
                  </w:pPr>
                  <w:r>
                    <w:rPr>
                      <w:rFonts w:hint="default" w:ascii="Times New Roman" w:hAnsi="Times New Roman" w:cs="Times New Roman"/>
                      <w:color w:val="000000"/>
                      <w:kern w:val="0"/>
                      <w:sz w:val="21"/>
                      <w:szCs w:val="21"/>
                      <w:highlight w:val="none"/>
                      <w:shd w:val="clear" w:color="auto" w:fill="auto"/>
                    </w:rPr>
                    <w:t>BOD</w:t>
                  </w:r>
                  <w:r>
                    <w:rPr>
                      <w:rFonts w:hint="default" w:ascii="Times New Roman" w:hAnsi="Times New Roman" w:cs="Times New Roman"/>
                      <w:color w:val="000000"/>
                      <w:kern w:val="0"/>
                      <w:sz w:val="21"/>
                      <w:szCs w:val="21"/>
                      <w:highlight w:val="none"/>
                      <w:shd w:val="clear" w:color="auto" w:fill="auto"/>
                      <w:vertAlign w:val="subscript"/>
                      <w:lang w:val="en-US" w:eastAsia="zh-CN"/>
                    </w:rPr>
                    <w:t>5</w:t>
                  </w:r>
                </w:p>
              </w:tc>
              <w:tc>
                <w:tcPr>
                  <w:tcW w:w="786" w:type="pct"/>
                  <w:tcBorders>
                    <w:tl2br w:val="nil"/>
                    <w:tr2bl w:val="nil"/>
                  </w:tcBorders>
                  <w:noWrap w:val="0"/>
                  <w:vAlign w:val="center"/>
                </w:tcPr>
                <w:p>
                  <w:pPr>
                    <w:keepNext w:val="0"/>
                    <w:keepLines w:val="0"/>
                    <w:pageBreakBefore w:val="0"/>
                    <w:kinsoku/>
                    <w:wordWrap/>
                    <w:overflowPunct/>
                    <w:topLinePunct w:val="0"/>
                    <w:autoSpaceDE/>
                    <w:autoSpaceDN/>
                    <w:bidi w:val="0"/>
                    <w:jc w:val="center"/>
                    <w:rPr>
                      <w:rFonts w:hint="default" w:ascii="Times New Roman" w:hAnsi="Times New Roman" w:eastAsia="宋体" w:cs="Times New Roman"/>
                      <w:color w:val="000000"/>
                      <w:kern w:val="0"/>
                      <w:sz w:val="21"/>
                      <w:szCs w:val="21"/>
                      <w:highlight w:val="none"/>
                      <w:shd w:val="clear" w:color="auto" w:fill="auto"/>
                    </w:rPr>
                  </w:pPr>
                  <w:r>
                    <w:rPr>
                      <w:rFonts w:hint="default" w:ascii="Times New Roman" w:hAnsi="Times New Roman" w:cs="Times New Roman"/>
                      <w:color w:val="000000"/>
                      <w:kern w:val="0"/>
                      <w:sz w:val="21"/>
                      <w:szCs w:val="21"/>
                      <w:highlight w:val="none"/>
                      <w:shd w:val="clear" w:color="auto" w:fill="auto"/>
                      <w:lang w:val="en-US" w:eastAsia="zh-CN"/>
                    </w:rPr>
                    <w:t>1</w:t>
                  </w:r>
                  <w:r>
                    <w:rPr>
                      <w:rFonts w:hint="default" w:ascii="Times New Roman" w:hAnsi="Times New Roman" w:cs="Times New Roman"/>
                      <w:color w:val="000000"/>
                      <w:kern w:val="0"/>
                      <w:sz w:val="21"/>
                      <w:szCs w:val="21"/>
                      <w:highlight w:val="none"/>
                      <w:shd w:val="clear" w:color="auto" w:fill="auto"/>
                    </w:rPr>
                    <w:t>次/</w:t>
                  </w:r>
                  <w:r>
                    <w:rPr>
                      <w:rFonts w:hint="default" w:ascii="Times New Roman" w:hAnsi="Times New Roman" w:cs="Times New Roman"/>
                      <w:color w:val="000000"/>
                      <w:kern w:val="0"/>
                      <w:sz w:val="21"/>
                      <w:szCs w:val="21"/>
                      <w:highlight w:val="none"/>
                      <w:shd w:val="clear" w:color="auto" w:fill="auto"/>
                      <w:lang w:val="en-US" w:eastAsia="zh-CN"/>
                    </w:rPr>
                    <w:t>年</w:t>
                  </w:r>
                </w:p>
              </w:tc>
              <w:tc>
                <w:tcPr>
                  <w:tcW w:w="2319"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bCs/>
                      <w:color w:val="000000"/>
                      <w:sz w:val="21"/>
                      <w:szCs w:val="21"/>
                      <w:highlight w:val="none"/>
                      <w:shd w:val="clear" w:color="auto" w:fil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0" w:hRule="atLeast"/>
              </w:trPr>
              <w:tc>
                <w:tcPr>
                  <w:tcW w:w="390" w:type="pct"/>
                  <w:tcBorders>
                    <w:tl2br w:val="nil"/>
                    <w:tr2bl w:val="nil"/>
                  </w:tcBorders>
                  <w:noWrap/>
                  <w:tcMar>
                    <w:top w:w="15" w:type="dxa"/>
                    <w:left w:w="15" w:type="dxa"/>
                    <w:right w:w="15" w:type="dxa"/>
                  </w:tcMar>
                  <w:vAlign w:val="center"/>
                </w:tcPr>
                <w:p>
                  <w:pPr>
                    <w:keepNext w:val="0"/>
                    <w:keepLines w:val="0"/>
                    <w:pageBreakBefore w:val="0"/>
                    <w:widowControl/>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r>
                    <w:rPr>
                      <w:rFonts w:hint="default" w:ascii="Times New Roman" w:hAnsi="Times New Roman" w:cs="Times New Roman"/>
                      <w:color w:val="000000"/>
                      <w:sz w:val="21"/>
                      <w:szCs w:val="21"/>
                      <w:highlight w:val="none"/>
                      <w:shd w:val="clear" w:color="auto" w:fill="auto"/>
                    </w:rPr>
                    <w:t>5</w:t>
                  </w:r>
                </w:p>
              </w:tc>
              <w:tc>
                <w:tcPr>
                  <w:tcW w:w="726" w:type="pct"/>
                  <w:vMerge w:val="continue"/>
                  <w:tcBorders>
                    <w:tl2br w:val="nil"/>
                    <w:tr2bl w:val="nil"/>
                  </w:tcBorders>
                  <w:noWrap w:val="0"/>
                  <w:tcMar>
                    <w:top w:w="15" w:type="dxa"/>
                    <w:left w:w="15" w:type="dxa"/>
                    <w:right w:w="15" w:type="dxa"/>
                  </w:tcMar>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shd w:val="clear" w:color="auto" w:fill="auto"/>
                    </w:rPr>
                  </w:pPr>
                </w:p>
              </w:tc>
              <w:tc>
                <w:tcPr>
                  <w:tcW w:w="777" w:type="pct"/>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auto"/>
                    <w:rPr>
                      <w:rFonts w:hint="default" w:ascii="Times New Roman" w:hAnsi="Times New Roman" w:eastAsia="宋体" w:cs="Times New Roman"/>
                      <w:color w:val="000000"/>
                      <w:kern w:val="0"/>
                      <w:sz w:val="21"/>
                      <w:szCs w:val="21"/>
                      <w:highlight w:val="none"/>
                      <w:shd w:val="clear" w:color="auto" w:fill="auto"/>
                      <w:lang w:eastAsia="zh-CN"/>
                    </w:rPr>
                  </w:pPr>
                  <w:r>
                    <w:rPr>
                      <w:rFonts w:hint="default" w:ascii="Times New Roman" w:hAnsi="Times New Roman" w:eastAsia="宋体" w:cs="Times New Roman"/>
                      <w:color w:val="000000"/>
                      <w:kern w:val="0"/>
                      <w:sz w:val="21"/>
                      <w:szCs w:val="21"/>
                      <w:highlight w:val="none"/>
                      <w:shd w:val="clear" w:color="auto" w:fill="auto"/>
                      <w:lang w:val="en-US" w:eastAsia="zh-CN"/>
                    </w:rPr>
                    <w:t>氨氮</w:t>
                  </w:r>
                </w:p>
              </w:tc>
              <w:tc>
                <w:tcPr>
                  <w:tcW w:w="786" w:type="pct"/>
                  <w:tcBorders>
                    <w:tl2br w:val="nil"/>
                    <w:tr2bl w:val="nil"/>
                  </w:tcBorders>
                  <w:noWrap w:val="0"/>
                  <w:vAlign w:val="center"/>
                </w:tcPr>
                <w:p>
                  <w:pPr>
                    <w:keepNext w:val="0"/>
                    <w:keepLines w:val="0"/>
                    <w:pageBreakBefore w:val="0"/>
                    <w:kinsoku/>
                    <w:wordWrap/>
                    <w:overflowPunct/>
                    <w:topLinePunct w:val="0"/>
                    <w:autoSpaceDE/>
                    <w:autoSpaceDN/>
                    <w:bidi w:val="0"/>
                    <w:jc w:val="center"/>
                    <w:rPr>
                      <w:rFonts w:hint="default" w:ascii="Times New Roman" w:hAnsi="Times New Roman" w:eastAsia="宋体" w:cs="Times New Roman"/>
                      <w:color w:val="000000"/>
                      <w:kern w:val="0"/>
                      <w:sz w:val="21"/>
                      <w:szCs w:val="21"/>
                      <w:highlight w:val="none"/>
                      <w:shd w:val="clear" w:color="auto" w:fill="auto"/>
                      <w:lang w:val="en-US" w:eastAsia="zh-CN"/>
                    </w:rPr>
                  </w:pPr>
                  <w:r>
                    <w:rPr>
                      <w:rFonts w:hint="default" w:ascii="Times New Roman" w:hAnsi="Times New Roman" w:cs="Times New Roman"/>
                      <w:color w:val="000000"/>
                      <w:kern w:val="0"/>
                      <w:sz w:val="21"/>
                      <w:szCs w:val="21"/>
                      <w:highlight w:val="none"/>
                      <w:shd w:val="clear" w:color="auto" w:fill="auto"/>
                      <w:lang w:val="en-US" w:eastAsia="zh-CN"/>
                    </w:rPr>
                    <w:t>1</w:t>
                  </w:r>
                  <w:r>
                    <w:rPr>
                      <w:rFonts w:hint="default" w:ascii="Times New Roman" w:hAnsi="Times New Roman" w:cs="Times New Roman"/>
                      <w:color w:val="000000"/>
                      <w:kern w:val="0"/>
                      <w:sz w:val="21"/>
                      <w:szCs w:val="21"/>
                      <w:highlight w:val="none"/>
                      <w:shd w:val="clear" w:color="auto" w:fill="auto"/>
                    </w:rPr>
                    <w:t>次/</w:t>
                  </w:r>
                  <w:r>
                    <w:rPr>
                      <w:rFonts w:hint="default" w:ascii="Times New Roman" w:hAnsi="Times New Roman" w:cs="Times New Roman"/>
                      <w:color w:val="000000"/>
                      <w:kern w:val="0"/>
                      <w:sz w:val="21"/>
                      <w:szCs w:val="21"/>
                      <w:highlight w:val="none"/>
                      <w:shd w:val="clear" w:color="auto" w:fill="auto"/>
                      <w:lang w:val="en-US" w:eastAsia="zh-CN"/>
                    </w:rPr>
                    <w:t>年</w:t>
                  </w:r>
                </w:p>
              </w:tc>
              <w:tc>
                <w:tcPr>
                  <w:tcW w:w="2319" w:type="pct"/>
                  <w:vMerge w:val="continue"/>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jc w:val="center"/>
                    <w:rPr>
                      <w:rFonts w:hint="default" w:ascii="Times New Roman" w:hAnsi="Times New Roman" w:cs="Times New Roman"/>
                      <w:bCs/>
                      <w:color w:val="000000"/>
                      <w:sz w:val="21"/>
                      <w:szCs w:val="21"/>
                      <w:highlight w:val="none"/>
                      <w:shd w:val="clear" w:color="auto" w:fill="auto"/>
                    </w:rPr>
                  </w:pPr>
                </w:p>
              </w:tc>
            </w:tr>
          </w:tbl>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本项目废水不直接排入地表和地下水环境，对项目周边地表水环境影响不大，对项目所在区域地表水环境影响较小。</w:t>
            </w:r>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3、污水处理依托可行性分析</w:t>
            </w:r>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项目位于</w:t>
            </w:r>
            <w:r>
              <w:rPr>
                <w:rFonts w:hint="default" w:ascii="Times New Roman" w:hAnsi="Times New Roman" w:cs="Times New Roman"/>
                <w:color w:val="000000" w:themeColor="text1"/>
                <w:sz w:val="24"/>
                <w:szCs w:val="24"/>
                <w:highlight w:val="none"/>
                <w:u w:val="none"/>
                <w:lang w:val="en-US" w:eastAsia="zh-CN"/>
                <w14:textFill>
                  <w14:solidFill>
                    <w14:schemeClr w14:val="tx1"/>
                  </w14:solidFill>
                </w14:textFill>
              </w:rPr>
              <w:t>抚宁经济开发区北区三抚路西侧，环城北路北侧</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，属于秦皇岛市抚宁区中冶水务有限公司(抚宁区污水处理厂)服务范围。目前该片区配套污水管网已铺设完善，项目外排水具备入网条件。</w:t>
            </w:r>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目前，秦皇岛市抚宁区中冶水务有限公司(抚宁区污水处理厂)占地面积83亩，污水处理能力为5万m</w:t>
            </w:r>
            <w:r>
              <w:rPr>
                <w:rFonts w:hint="default" w:ascii="Times New Roman" w:hAnsi="Times New Roman" w:cs="Times New Roman"/>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/d，污水处理工艺采用“格栅+初沉池+厌氧池+氧化沟+二沉池+机械混合反应池+滤站+紫外线消毒”工艺，污水处理厂收水水质标准为COD</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500mg</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BOD≤100mg</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，SS≤300mg</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，氨氨≤22mg</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，动植物油≤20mg</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/L</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出水执行《城镇污水处理厂污染物排放标准》(GB18918-2002)中的一级A标准，出水经人造河入海。抚宁区污水处理厂收水范围为抚宁区抚宁镇城镇工业及生活污水、留守营镇的生活污水及工业废水，汇水面积为20.26km</w:t>
            </w:r>
            <w:r>
              <w:rPr>
                <w:rFonts w:hint="default" w:ascii="Times New Roman" w:hAnsi="Times New Roman" w:cs="Times New Roman"/>
                <w:color w:val="000000" w:themeColor="text1"/>
                <w:sz w:val="24"/>
                <w:szCs w:val="24"/>
                <w:highlight w:val="none"/>
                <w:vertAlign w:val="superscript"/>
                <w:lang w:val="en-US" w:eastAsia="zh-CN"/>
                <w14:textFill>
                  <w14:solidFill>
                    <w14:schemeClr w14:val="tx1"/>
                  </w14:solidFill>
                </w14:textFill>
              </w:rPr>
              <w:t>2</w:t>
            </w: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。项目位于该污水处理厂收水范围内，项目废水排放浓度满足污水厂收水水质标准，污水处理厂处理能力满足项目废水处理需求，项目废水依托抚宁区污水处理厂处理可行。</w:t>
            </w:r>
          </w:p>
          <w:p>
            <w:pPr>
              <w:pageBreakBefore w:val="0"/>
              <w:widowControl w:val="0"/>
              <w:kinsoku/>
              <w:wordWrap/>
              <w:overflowPunct/>
              <w:topLinePunct w:val="0"/>
              <w:bidi w:val="0"/>
              <w:spacing w:line="480" w:lineRule="exact"/>
              <w:ind w:firstLine="480" w:firstLineChars="200"/>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综上所述，本项目外排废水不直接排入地表水体，不会影响周边地表水环境。</w:t>
            </w:r>
          </w:p>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leftChars="0"/>
              <w:textAlignment w:val="auto"/>
              <w:rPr>
                <w:rFonts w:hint="default" w:ascii="Times New Roman" w:hAnsi="Times New Roman" w:eastAsia="宋体" w:cs="Times New Roman"/>
                <w:b w:val="0"/>
                <w:bCs/>
                <w:color w:val="000000" w:themeColor="text1"/>
                <w:sz w:val="24"/>
                <w:szCs w:val="24"/>
                <w:highlight w:val="none"/>
                <w14:textFill>
                  <w14:solidFill>
                    <w14:schemeClr w14:val="tx1"/>
                  </w14:solidFill>
                </w14:textFill>
              </w:rPr>
            </w:pPr>
            <w:r>
              <w:rPr>
                <w:rFonts w:hint="default" w:ascii="Times New Roman" w:hAnsi="Times New Roman" w:eastAsia="宋体" w:cs="Times New Roman"/>
                <w:b w:val="0"/>
                <w:bCs/>
                <w:color w:val="000000" w:themeColor="text1"/>
                <w:sz w:val="24"/>
                <w:szCs w:val="24"/>
                <w:highlight w:val="none"/>
                <w:lang w:eastAsia="zh-CN"/>
                <w14:textFill>
                  <w14:solidFill>
                    <w14:schemeClr w14:val="tx1"/>
                  </w14:solidFill>
                </w14:textFill>
              </w:rPr>
              <w:t>三、</w:t>
            </w:r>
            <w:r>
              <w:rPr>
                <w:rFonts w:hint="default" w:ascii="Times New Roman" w:hAnsi="Times New Roman" w:eastAsia="宋体" w:cs="Times New Roman"/>
                <w:b w:val="0"/>
                <w:bCs/>
                <w:color w:val="000000" w:themeColor="text1"/>
                <w:sz w:val="24"/>
                <w:szCs w:val="24"/>
                <w:highlight w:val="none"/>
                <w14:textFill>
                  <w14:solidFill>
                    <w14:schemeClr w14:val="tx1"/>
                  </w14:solidFill>
                </w14:textFill>
              </w:rPr>
              <w:t>声环境影响分析</w:t>
            </w:r>
          </w:p>
          <w:p>
            <w:pPr>
              <w:pStyle w:val="5"/>
              <w:pageBreakBefore w:val="0"/>
              <w:widowControl w:val="0"/>
              <w:tabs>
                <w:tab w:val="left" w:pos="1282"/>
              </w:tabs>
              <w:kinsoku/>
              <w:wordWrap/>
              <w:overflowPunct/>
              <w:topLinePunct w:val="0"/>
              <w:autoSpaceDE/>
              <w:autoSpaceDN/>
              <w:bidi w:val="0"/>
              <w:adjustRightInd/>
              <w:snapToGrid w:val="0"/>
              <w:spacing w:after="0" w:line="480" w:lineRule="exact"/>
              <w:ind w:left="0" w:leftChars="0" w:firstLine="480" w:firstLineChars="200"/>
              <w:jc w:val="both"/>
              <w:textAlignment w:val="auto"/>
              <w:rPr>
                <w:rFonts w:hint="default" w:ascii="Times New Roman" w:hAnsi="Times New Roman" w:eastAsia="宋体" w:cs="Times New Roman"/>
                <w:b w:val="0"/>
                <w:snapToGrid w:val="0"/>
                <w:color w:val="000000"/>
                <w:kern w:val="0"/>
                <w:sz w:val="24"/>
                <w:szCs w:val="24"/>
                <w:highlight w:val="none"/>
                <w:lang w:val="en-US" w:eastAsia="zh-CN" w:bidi="ar-SA"/>
              </w:rPr>
            </w:pPr>
            <w:r>
              <w:rPr>
                <w:rFonts w:hint="default" w:ascii="Times New Roman" w:hAnsi="Times New Roman" w:eastAsia="宋体" w:cs="Times New Roman"/>
                <w:b w:val="0"/>
                <w:snapToGrid w:val="0"/>
                <w:color w:val="000000"/>
                <w:kern w:val="0"/>
                <w:sz w:val="24"/>
                <w:szCs w:val="24"/>
                <w:highlight w:val="none"/>
                <w:lang w:val="en-US" w:eastAsia="zh-CN" w:bidi="ar-SA"/>
              </w:rPr>
              <w:t>1、预测模型</w:t>
            </w:r>
          </w:p>
          <w:p>
            <w:pPr>
              <w:pageBreakBefore w:val="0"/>
              <w:widowControl w:val="0"/>
              <w:kinsoku/>
              <w:wordWrap/>
              <w:overflowPunct/>
              <w:topLinePunct w:val="0"/>
              <w:autoSpaceDE/>
              <w:autoSpaceDN/>
              <w:bidi w:val="0"/>
              <w:adjustRightInd/>
              <w:snapToGrid w:val="0"/>
              <w:spacing w:line="480" w:lineRule="exact"/>
              <w:ind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根据项目建设内容及《环境影响评价技术导则</w:t>
            </w:r>
            <w:r>
              <w:rPr>
                <w:rFonts w:hint="default" w:ascii="Times New Roman" w:hAnsi="Times New Roman" w:cs="Times New Roman"/>
                <w:snapToGrid w:val="0"/>
                <w:color w:val="000000"/>
                <w:kern w:val="0"/>
                <w:sz w:val="24"/>
                <w:szCs w:val="24"/>
                <w:highlight w:val="none"/>
                <w:lang w:val="en-US" w:eastAsia="zh-CN" w:bidi="ar-SA"/>
              </w:rPr>
              <w:t>—</w:t>
            </w:r>
            <w:r>
              <w:rPr>
                <w:rFonts w:hint="default" w:ascii="Times New Roman" w:hAnsi="Times New Roman" w:eastAsia="宋体" w:cs="Times New Roman"/>
                <w:snapToGrid w:val="0"/>
                <w:color w:val="000000"/>
                <w:kern w:val="0"/>
                <w:sz w:val="24"/>
                <w:szCs w:val="24"/>
                <w:highlight w:val="none"/>
                <w:lang w:val="en-US" w:eastAsia="zh-CN" w:bidi="ar-SA"/>
              </w:rPr>
              <w:t>声环境》（HJ2.4-2021）的要求，项目环评釆用环保小智环境噪声预测评价模拟软件系统。该软件计算工业噪声时采用的模型为《环境影响评价技术导则 声环境》(HJ2.4.2021) 附录B（规范性附录）中“B.1工业噪声预测计算模型”。</w:t>
            </w:r>
          </w:p>
          <w:p>
            <w:pPr>
              <w:pStyle w:val="31"/>
              <w:pageBreakBefore w:val="0"/>
              <w:widowControl w:val="0"/>
              <w:numPr>
                <w:ilvl w:val="0"/>
                <w:numId w:val="0"/>
              </w:numPr>
              <w:kinsoku/>
              <w:wordWrap/>
              <w:overflowPunct/>
              <w:topLinePunct w:val="0"/>
              <w:autoSpaceDE/>
              <w:autoSpaceDN/>
              <w:bidi w:val="0"/>
              <w:adjustRightIn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cs="Times New Roman"/>
                <w:snapToGrid w:val="0"/>
                <w:color w:val="000000"/>
                <w:kern w:val="0"/>
                <w:sz w:val="24"/>
                <w:szCs w:val="24"/>
                <w:highlight w:val="none"/>
                <w:lang w:val="en-US" w:eastAsia="zh-CN" w:bidi="ar-SA"/>
              </w:rPr>
              <w:t>（1）对室外噪声源主要考虑噪声的几何发散衰减及环境影响衰减：</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0" w:firstLineChars="0"/>
              <w:jc w:val="center"/>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L</w:t>
            </w:r>
            <w:r>
              <w:rPr>
                <w:rFonts w:hint="default" w:ascii="Times New Roman" w:hAnsi="Times New Roman" w:eastAsia="宋体" w:cs="Times New Roman"/>
                <w:snapToGrid w:val="0"/>
                <w:color w:val="000000"/>
                <w:kern w:val="0"/>
                <w:sz w:val="24"/>
                <w:szCs w:val="24"/>
                <w:highlight w:val="none"/>
                <w:vertAlign w:val="subscript"/>
                <w:lang w:val="en-US" w:eastAsia="zh-CN" w:bidi="ar-SA"/>
              </w:rPr>
              <w:t>p</w:t>
            </w:r>
            <w:r>
              <w:rPr>
                <w:rFonts w:hint="default" w:ascii="Times New Roman" w:hAnsi="Times New Roman" w:eastAsia="宋体" w:cs="Times New Roman"/>
                <w:snapToGrid w:val="0"/>
                <w:color w:val="000000"/>
                <w:kern w:val="0"/>
                <w:sz w:val="24"/>
                <w:szCs w:val="24"/>
                <w:highlight w:val="none"/>
                <w:lang w:val="en-US" w:eastAsia="zh-CN" w:bidi="ar-SA"/>
              </w:rPr>
              <w:t>(r)＝L</w:t>
            </w:r>
            <w:r>
              <w:rPr>
                <w:rFonts w:hint="default" w:ascii="Times New Roman" w:hAnsi="Times New Roman" w:eastAsia="宋体" w:cs="Times New Roman"/>
                <w:snapToGrid w:val="0"/>
                <w:color w:val="000000"/>
                <w:kern w:val="0"/>
                <w:sz w:val="24"/>
                <w:szCs w:val="24"/>
                <w:highlight w:val="none"/>
                <w:vertAlign w:val="subscript"/>
                <w:lang w:val="en-US" w:eastAsia="zh-CN" w:bidi="ar-SA"/>
              </w:rPr>
              <w:t>w</w:t>
            </w:r>
            <w:r>
              <w:rPr>
                <w:rFonts w:hint="default" w:ascii="Times New Roman" w:hAnsi="Times New Roman" w:eastAsia="宋体" w:cs="Times New Roman"/>
                <w:snapToGrid w:val="0"/>
                <w:color w:val="000000"/>
                <w:kern w:val="0"/>
                <w:sz w:val="24"/>
                <w:szCs w:val="24"/>
                <w:highlight w:val="none"/>
                <w:lang w:val="en-US" w:eastAsia="zh-CN" w:bidi="ar-SA"/>
              </w:rPr>
              <w:t>+D</w:t>
            </w:r>
            <w:r>
              <w:rPr>
                <w:rFonts w:hint="default" w:ascii="Times New Roman" w:hAnsi="Times New Roman" w:eastAsia="宋体" w:cs="Times New Roman"/>
                <w:snapToGrid w:val="0"/>
                <w:color w:val="000000"/>
                <w:kern w:val="0"/>
                <w:sz w:val="24"/>
                <w:szCs w:val="24"/>
                <w:highlight w:val="none"/>
                <w:vertAlign w:val="subscript"/>
                <w:lang w:val="en-US" w:eastAsia="zh-CN" w:bidi="ar-SA"/>
              </w:rPr>
              <w:t>C</w:t>
            </w: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div</w:t>
            </w: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atm</w:t>
            </w: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gr</w:t>
            </w: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bar</w:t>
            </w: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misc</w:t>
            </w:r>
            <w:r>
              <w:rPr>
                <w:rFonts w:hint="default" w:ascii="Times New Roman" w:hAnsi="Times New Roman" w:eastAsia="宋体" w:cs="Times New Roman"/>
                <w:snapToGrid w:val="0"/>
                <w:color w:val="000000"/>
                <w:kern w:val="0"/>
                <w:sz w:val="24"/>
                <w:szCs w:val="24"/>
                <w:highlight w:val="none"/>
                <w:lang w:val="en-US" w:eastAsia="zh-CN" w:bidi="ar-SA"/>
              </w:rPr>
              <w:t>)</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式中：</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L</w:t>
            </w:r>
            <w:r>
              <w:rPr>
                <w:rFonts w:hint="default" w:ascii="Times New Roman" w:hAnsi="Times New Roman" w:eastAsia="宋体" w:cs="Times New Roman"/>
                <w:snapToGrid w:val="0"/>
                <w:color w:val="000000"/>
                <w:kern w:val="0"/>
                <w:sz w:val="24"/>
                <w:szCs w:val="24"/>
                <w:highlight w:val="none"/>
                <w:vertAlign w:val="subscript"/>
                <w:lang w:val="en-US" w:eastAsia="zh-CN" w:bidi="ar-SA"/>
              </w:rPr>
              <w:t>p</w:t>
            </w:r>
            <w:r>
              <w:rPr>
                <w:rFonts w:hint="default" w:ascii="Times New Roman" w:hAnsi="Times New Roman" w:eastAsia="宋体" w:cs="Times New Roman"/>
                <w:snapToGrid w:val="0"/>
                <w:color w:val="000000"/>
                <w:kern w:val="0"/>
                <w:sz w:val="24"/>
                <w:szCs w:val="24"/>
                <w:highlight w:val="none"/>
                <w:lang w:val="en-US" w:eastAsia="zh-CN" w:bidi="ar-SA"/>
              </w:rPr>
              <w:t>(r)——预测点处声压级，dB；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L</w:t>
            </w:r>
            <w:r>
              <w:rPr>
                <w:rFonts w:hint="default" w:ascii="Times New Roman" w:hAnsi="Times New Roman" w:eastAsia="宋体" w:cs="Times New Roman"/>
                <w:snapToGrid w:val="0"/>
                <w:color w:val="000000"/>
                <w:kern w:val="0"/>
                <w:sz w:val="24"/>
                <w:szCs w:val="24"/>
                <w:highlight w:val="none"/>
                <w:vertAlign w:val="subscript"/>
                <w:lang w:val="en-US" w:eastAsia="zh-CN" w:bidi="ar-SA"/>
              </w:rPr>
              <w:t>w</w:t>
            </w:r>
            <w:r>
              <w:rPr>
                <w:rFonts w:hint="default" w:ascii="Times New Roman" w:hAnsi="Times New Roman" w:eastAsia="宋体" w:cs="Times New Roman"/>
                <w:snapToGrid w:val="0"/>
                <w:color w:val="000000"/>
                <w:kern w:val="0"/>
                <w:sz w:val="24"/>
                <w:szCs w:val="24"/>
                <w:highlight w:val="none"/>
                <w:lang w:val="en-US" w:eastAsia="zh-CN" w:bidi="ar-SA"/>
              </w:rPr>
              <w:t>——由点声源产生的声功率级（A计权或倍频带），dB；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D</w:t>
            </w:r>
            <w:r>
              <w:rPr>
                <w:rFonts w:hint="default" w:ascii="Times New Roman" w:hAnsi="Times New Roman" w:eastAsia="宋体" w:cs="Times New Roman"/>
                <w:snapToGrid w:val="0"/>
                <w:color w:val="000000"/>
                <w:kern w:val="0"/>
                <w:sz w:val="24"/>
                <w:szCs w:val="24"/>
                <w:highlight w:val="none"/>
                <w:vertAlign w:val="subscript"/>
                <w:lang w:val="en-US" w:eastAsia="zh-CN" w:bidi="ar-SA"/>
              </w:rPr>
              <w:t>C</w:t>
            </w:r>
            <w:r>
              <w:rPr>
                <w:rFonts w:hint="default" w:ascii="Times New Roman" w:hAnsi="Times New Roman" w:eastAsia="宋体" w:cs="Times New Roman"/>
                <w:snapToGrid w:val="0"/>
                <w:color w:val="000000"/>
                <w:kern w:val="0"/>
                <w:sz w:val="24"/>
                <w:szCs w:val="24"/>
                <w:highlight w:val="none"/>
                <w:lang w:val="en-US" w:eastAsia="zh-CN" w:bidi="ar-SA"/>
              </w:rPr>
              <w:t>——指向性校正，它描述点声源的等效连续声压级与产生声功率级L</w:t>
            </w:r>
            <w:r>
              <w:rPr>
                <w:rFonts w:hint="default" w:ascii="Times New Roman" w:hAnsi="Times New Roman" w:eastAsia="宋体" w:cs="Times New Roman"/>
                <w:snapToGrid w:val="0"/>
                <w:color w:val="000000"/>
                <w:kern w:val="0"/>
                <w:sz w:val="24"/>
                <w:szCs w:val="24"/>
                <w:highlight w:val="none"/>
                <w:vertAlign w:val="subscript"/>
                <w:lang w:val="en-US" w:eastAsia="zh-CN" w:bidi="ar-SA"/>
              </w:rPr>
              <w:t>w</w:t>
            </w:r>
            <w:r>
              <w:rPr>
                <w:rFonts w:hint="default" w:ascii="Times New Roman" w:hAnsi="Times New Roman" w:eastAsia="宋体" w:cs="Times New Roman"/>
                <w:snapToGrid w:val="0"/>
                <w:color w:val="000000"/>
                <w:kern w:val="0"/>
                <w:sz w:val="24"/>
                <w:szCs w:val="24"/>
                <w:highlight w:val="none"/>
                <w:lang w:val="en-US" w:eastAsia="zh-CN" w:bidi="ar-SA"/>
              </w:rPr>
              <w:t>的全向点声源在规定方向的声级的偏差程度，dB；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div</w:t>
            </w:r>
            <w:r>
              <w:rPr>
                <w:rFonts w:hint="default" w:ascii="Times New Roman" w:hAnsi="Times New Roman" w:eastAsia="宋体" w:cs="Times New Roman"/>
                <w:snapToGrid w:val="0"/>
                <w:color w:val="000000"/>
                <w:kern w:val="0"/>
                <w:sz w:val="24"/>
                <w:szCs w:val="24"/>
                <w:highlight w:val="none"/>
                <w:lang w:val="en-US" w:eastAsia="zh-CN" w:bidi="ar-SA"/>
              </w:rPr>
              <w:t>——几何发散引起的衰减，dB；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atm</w:t>
            </w:r>
            <w:r>
              <w:rPr>
                <w:rFonts w:hint="default" w:ascii="Times New Roman" w:hAnsi="Times New Roman" w:eastAsia="宋体" w:cs="Times New Roman"/>
                <w:snapToGrid w:val="0"/>
                <w:color w:val="000000"/>
                <w:kern w:val="0"/>
                <w:sz w:val="24"/>
                <w:szCs w:val="24"/>
                <w:highlight w:val="none"/>
                <w:lang w:val="en-US" w:eastAsia="zh-CN" w:bidi="ar-SA"/>
              </w:rPr>
              <w:t>——大气吸收引起的衰减，dB；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gr</w:t>
            </w:r>
            <w:r>
              <w:rPr>
                <w:rFonts w:hint="default" w:ascii="Times New Roman" w:hAnsi="Times New Roman" w:eastAsia="宋体" w:cs="Times New Roman"/>
                <w:snapToGrid w:val="0"/>
                <w:color w:val="000000"/>
                <w:kern w:val="0"/>
                <w:sz w:val="24"/>
                <w:szCs w:val="24"/>
                <w:highlight w:val="none"/>
                <w:lang w:val="en-US" w:eastAsia="zh-CN" w:bidi="ar-SA"/>
              </w:rPr>
              <w:t>——地面效应引起的衰减，dB；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bar</w:t>
            </w:r>
            <w:r>
              <w:rPr>
                <w:rFonts w:hint="default" w:ascii="Times New Roman" w:hAnsi="Times New Roman" w:eastAsia="宋体" w:cs="Times New Roman"/>
                <w:snapToGrid w:val="0"/>
                <w:color w:val="000000"/>
                <w:kern w:val="0"/>
                <w:sz w:val="24"/>
                <w:szCs w:val="24"/>
                <w:highlight w:val="none"/>
                <w:lang w:val="en-US" w:eastAsia="zh-CN" w:bidi="ar-SA"/>
              </w:rPr>
              <w:t>——障碍物屏蔽引起的衰减，dB；</w:t>
            </w:r>
          </w:p>
          <w:p>
            <w:pPr>
              <w:pStyle w:val="31"/>
              <w:keepNext w:val="0"/>
              <w:keepLines w:val="0"/>
              <w:pageBreakBefore w:val="0"/>
              <w:widowControl w:val="0"/>
              <w:numPr>
                <w:ilvl w:val="0"/>
                <w:numId w:val="0"/>
              </w:numPr>
              <w:kinsoku/>
              <w:wordWrap/>
              <w:overflowPunct/>
              <w:topLinePunct w:val="0"/>
              <w:autoSpaceDE/>
              <w:autoSpaceDN/>
              <w:bidi w:val="0"/>
              <w:adjustRightInd/>
              <w:snapToGri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A</w:t>
            </w:r>
            <w:r>
              <w:rPr>
                <w:rFonts w:hint="default" w:ascii="Times New Roman" w:hAnsi="Times New Roman" w:eastAsia="宋体" w:cs="Times New Roman"/>
                <w:snapToGrid w:val="0"/>
                <w:color w:val="000000"/>
                <w:kern w:val="0"/>
                <w:sz w:val="24"/>
                <w:szCs w:val="24"/>
                <w:highlight w:val="none"/>
                <w:vertAlign w:val="subscript"/>
                <w:lang w:val="en-US" w:eastAsia="zh-CN" w:bidi="ar-SA"/>
              </w:rPr>
              <w:t>misc</w:t>
            </w:r>
            <w:r>
              <w:rPr>
                <w:rFonts w:hint="default" w:ascii="Times New Roman" w:hAnsi="Times New Roman" w:eastAsia="宋体" w:cs="Times New Roman"/>
                <w:snapToGrid w:val="0"/>
                <w:color w:val="000000"/>
                <w:kern w:val="0"/>
                <w:sz w:val="24"/>
                <w:szCs w:val="24"/>
                <w:highlight w:val="none"/>
                <w:lang w:val="en-US" w:eastAsia="zh-CN" w:bidi="ar-SA"/>
              </w:rPr>
              <w:t>——其他多方面效应引起的衰减，dB</w:t>
            </w:r>
          </w:p>
          <w:p>
            <w:pPr>
              <w:pStyle w:val="30"/>
              <w:keepNext w:val="0"/>
              <w:keepLines w:val="0"/>
              <w:pageBreakBefore w:val="0"/>
              <w:kinsoku/>
              <w:wordWrap/>
              <w:overflowPunct/>
              <w:topLinePunct w:val="0"/>
              <w:autoSpaceDE/>
              <w:autoSpaceDN/>
              <w:bidi w:val="0"/>
              <w:adjustRightInd/>
              <w:spacing w:before="0" w:after="0" w:line="480" w:lineRule="exact"/>
              <w:ind w:left="0" w:leftChars="0" w:right="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（2）室内点声源对厂界噪声预测点贡献值预测模式</w:t>
            </w:r>
          </w:p>
          <w:p>
            <w:pPr>
              <w:keepNext w:val="0"/>
              <w:keepLines w:val="0"/>
              <w:pageBreakBefore w:val="0"/>
              <w:kinsoku/>
              <w:wordWrap/>
              <w:overflowPunct/>
              <w:topLinePunct w:val="0"/>
              <w:autoSpaceDE/>
              <w:autoSpaceDN/>
              <w:bidi w:val="0"/>
              <w:adjustRightInd/>
              <w:spacing w:line="480" w:lineRule="exact"/>
              <w:ind w:left="0" w:leftChars="0" w:right="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室内声源首先换算为等效室外声源，再按各类声源模式计算。</w:t>
            </w:r>
          </w:p>
          <w:p>
            <w:pPr>
              <w:pStyle w:val="31"/>
              <w:keepNext w:val="0"/>
              <w:keepLines w:val="0"/>
              <w:pageBreakBefore w:val="0"/>
              <w:kinsoku/>
              <w:wordWrap/>
              <w:overflowPunct/>
              <w:topLinePunct w:val="0"/>
              <w:autoSpaceDE/>
              <w:autoSpaceDN/>
              <w:bidi w:val="0"/>
              <w:adjustRightInd/>
              <w:spacing w:after="0" w:line="480" w:lineRule="exact"/>
              <w:ind w:left="0" w:leftChars="0" w:right="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①首先计算出某个室内声源靠近围护结构处的倍频带声压级：</w:t>
            </w:r>
          </w:p>
          <w:p>
            <w:pPr>
              <w:pStyle w:val="30"/>
              <w:keepNext w:val="0"/>
              <w:keepLines w:val="0"/>
              <w:pageBreakBefore w:val="0"/>
              <w:widowControl/>
              <w:kinsoku/>
              <w:wordWrap/>
              <w:overflowPunct/>
              <w:topLinePunct w:val="0"/>
              <w:autoSpaceDE/>
              <w:autoSpaceDN/>
              <w:bidi w:val="0"/>
              <w:adjustRightInd/>
              <w:snapToGrid w:val="0"/>
              <w:spacing w:before="0" w:after="0" w:line="480" w:lineRule="exact"/>
              <w:ind w:left="0" w:leftChars="0" w:right="0" w:firstLine="0" w:firstLineChars="0"/>
              <w:jc w:val="center"/>
              <w:textAlignment w:val="auto"/>
              <w:rPr>
                <w:rFonts w:hint="default" w:ascii="Times New Roman" w:hAnsi="Times New Roman" w:cs="Times New Roman"/>
                <w:color w:val="000000"/>
                <w:sz w:val="24"/>
                <w:szCs w:val="24"/>
                <w:highlight w:val="none"/>
                <w:lang w:val="en-US" w:eastAsia="zh-CN"/>
              </w:rPr>
            </w:pPr>
            <m:oMathPara>
              <m:oMath>
                <m:sSub>
                  <m:sSubPr>
                    <m:ctrlPr>
                      <w:rPr>
                        <w:rFonts w:hint="default" w:ascii="Cambria Math" w:hAnsi="Cambria Math" w:cs="Times New Roman"/>
                        <w:i/>
                        <w:color w:val="0C0C0C"/>
                        <w:sz w:val="24"/>
                        <w:szCs w:val="24"/>
                        <w:highlight w:val="none"/>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rPr>
                    </m:ctrlPr>
                  </m:e>
                  <m:sub>
                    <m:r>
                      <w:rPr>
                        <w:rFonts w:hint="default" w:ascii="Cambria Math" w:hAnsi="Cambria Math" w:cs="Times New Roman"/>
                        <w:color w:val="0C0C0C"/>
                        <w:sz w:val="24"/>
                        <w:szCs w:val="24"/>
                        <w:highlight w:val="none"/>
                        <w:lang w:val="en-US" w:eastAsia="zh-CN"/>
                      </w:rPr>
                      <m:t>P1</m:t>
                    </m:r>
                    <m:ctrlPr>
                      <w:rPr>
                        <w:rFonts w:hint="default" w:ascii="Cambria Math" w:hAnsi="Cambria Math" w:cs="Times New Roman"/>
                        <w:i/>
                        <w:color w:val="0C0C0C"/>
                        <w:sz w:val="24"/>
                        <w:szCs w:val="24"/>
                        <w:highlight w:val="none"/>
                      </w:rPr>
                    </m:ctrlPr>
                  </m:sub>
                </m:sSub>
                <m:r>
                  <w:rPr>
                    <w:rFonts w:hint="default" w:ascii="Cambria Math" w:hAnsi="Cambria Math" w:cs="Times New Roman"/>
                    <w:color w:val="0C0C0C"/>
                    <w:sz w:val="24"/>
                    <w:szCs w:val="24"/>
                    <w:highlight w:val="none"/>
                    <w:lang w:val="en-US" w:eastAsia="zh-CN"/>
                  </w:rPr>
                  <m:t>=</m:t>
                </m:r>
                <m:sSub>
                  <m:sSubPr>
                    <m:ctrlPr>
                      <w:rPr>
                        <w:rFonts w:hint="default" w:ascii="Cambria Math" w:hAnsi="Cambria Math" w:cs="Times New Roman"/>
                        <w:i/>
                        <w:color w:val="0C0C0C"/>
                        <w:sz w:val="24"/>
                        <w:szCs w:val="24"/>
                        <w:highlight w:val="none"/>
                        <w:lang w:val="en-US" w:eastAsia="zh-CN"/>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lang w:val="en-US" w:eastAsia="zh-CN"/>
                      </w:rPr>
                    </m:ctrlPr>
                  </m:e>
                  <m:sub>
                    <m:r>
                      <w:rPr>
                        <w:rFonts w:hint="default" w:ascii="Cambria Math" w:hAnsi="Cambria Math" w:cs="Times New Roman"/>
                        <w:color w:val="0C0C0C"/>
                        <w:sz w:val="24"/>
                        <w:szCs w:val="24"/>
                        <w:highlight w:val="none"/>
                        <w:lang w:val="en-US" w:eastAsia="zh-CN"/>
                      </w:rPr>
                      <m:t>W</m:t>
                    </m:r>
                    <m:ctrlPr>
                      <w:rPr>
                        <w:rFonts w:hint="default" w:ascii="Cambria Math" w:hAnsi="Cambria Math" w:cs="Times New Roman"/>
                        <w:i/>
                        <w:color w:val="0C0C0C"/>
                        <w:sz w:val="24"/>
                        <w:szCs w:val="24"/>
                        <w:highlight w:val="none"/>
                        <w:lang w:val="en-US" w:eastAsia="zh-CN"/>
                      </w:rPr>
                    </m:ctrlPr>
                  </m:sub>
                </m:sSub>
                <m:r>
                  <w:rPr>
                    <w:rFonts w:hint="default" w:ascii="Cambria Math" w:hAnsi="Cambria Math" w:cs="Times New Roman"/>
                    <w:color w:val="0C0C0C"/>
                    <w:sz w:val="24"/>
                    <w:szCs w:val="24"/>
                    <w:highlight w:val="none"/>
                    <w:lang w:val="en-US" w:eastAsia="zh-CN"/>
                  </w:rPr>
                  <m:t>+10lg</m:t>
                </m:r>
                <m:d>
                  <m:dPr>
                    <m:ctrlPr>
                      <w:rPr>
                        <w:rFonts w:hint="default" w:ascii="Cambria Math" w:hAnsi="Cambria Math" w:cs="Times New Roman"/>
                        <w:i/>
                        <w:color w:val="0C0C0C"/>
                        <w:sz w:val="24"/>
                        <w:szCs w:val="24"/>
                        <w:highlight w:val="none"/>
                        <w:lang w:val="en-US" w:eastAsia="zh-CN"/>
                      </w:rPr>
                    </m:ctrlPr>
                  </m:dPr>
                  <m:e>
                    <m:f>
                      <m:fPr>
                        <m:ctrlPr>
                          <w:rPr>
                            <w:rFonts w:hint="default" w:ascii="Cambria Math" w:hAnsi="Cambria Math" w:cs="Times New Roman"/>
                            <w:i/>
                            <w:color w:val="0C0C0C"/>
                            <w:sz w:val="24"/>
                            <w:szCs w:val="24"/>
                            <w:highlight w:val="none"/>
                            <w:lang w:val="en-US" w:eastAsia="zh-CN"/>
                          </w:rPr>
                        </m:ctrlPr>
                      </m:fPr>
                      <m:num>
                        <m:r>
                          <w:rPr>
                            <w:rFonts w:hint="default" w:ascii="Cambria Math" w:hAnsi="Cambria Math" w:cs="Times New Roman"/>
                            <w:color w:val="0C0C0C"/>
                            <w:sz w:val="24"/>
                            <w:szCs w:val="24"/>
                            <w:highlight w:val="none"/>
                            <w:lang w:val="en-US" w:eastAsia="zh-CN"/>
                          </w:rPr>
                          <m:t>Q</m:t>
                        </m:r>
                        <m:ctrlPr>
                          <w:rPr>
                            <w:rFonts w:hint="default" w:ascii="Cambria Math" w:hAnsi="Cambria Math" w:cs="Times New Roman"/>
                            <w:i/>
                            <w:color w:val="0C0C0C"/>
                            <w:sz w:val="24"/>
                            <w:szCs w:val="24"/>
                            <w:highlight w:val="none"/>
                            <w:lang w:val="en-US" w:eastAsia="zh-CN"/>
                          </w:rPr>
                        </m:ctrlPr>
                      </m:num>
                      <m:den>
                        <m:sSup>
                          <m:sSupPr>
                            <m:ctrlPr>
                              <w:rPr>
                                <w:rFonts w:hint="default" w:ascii="Cambria Math" w:hAnsi="Cambria Math" w:cs="Times New Roman"/>
                                <w:i/>
                                <w:color w:val="0C0C0C"/>
                                <w:sz w:val="24"/>
                                <w:szCs w:val="24"/>
                                <w:highlight w:val="none"/>
                                <w:lang w:val="en-US" w:eastAsia="zh-CN"/>
                              </w:rPr>
                            </m:ctrlPr>
                          </m:sSupPr>
                          <m:e>
                            <m:r>
                              <w:rPr>
                                <w:rFonts w:hint="default" w:ascii="Cambria Math" w:hAnsi="Cambria Math" w:cs="Times New Roman"/>
                                <w:color w:val="0C0C0C"/>
                                <w:sz w:val="24"/>
                                <w:szCs w:val="24"/>
                                <w:highlight w:val="none"/>
                                <w:lang w:val="en-US" w:eastAsia="zh-CN"/>
                              </w:rPr>
                              <m:t>4</m:t>
                            </m:r>
                            <m:r>
                              <w:rPr>
                                <w:rFonts w:hint="default" w:ascii="Cambria Math" w:hAnsi="Cambria Math" w:cs="Times New Roman"/>
                                <w:color w:val="0C0C0C"/>
                                <w:sz w:val="24"/>
                                <w:szCs w:val="24"/>
                                <w:highlight w:val="none"/>
                                <w:lang w:val="en-US"/>
                              </w:rPr>
                              <m:t>π</m:t>
                            </m:r>
                            <m:r>
                              <w:rPr>
                                <w:rFonts w:hint="default" w:ascii="Cambria Math" w:hAnsi="Cambria Math" w:cs="Times New Roman"/>
                                <w:color w:val="0C0C0C"/>
                                <w:sz w:val="24"/>
                                <w:szCs w:val="24"/>
                                <w:highlight w:val="none"/>
                                <w:lang w:val="en-US" w:eastAsia="zh-CN"/>
                              </w:rPr>
                              <m:t>r</m:t>
                            </m:r>
                            <m:ctrlPr>
                              <w:rPr>
                                <w:rFonts w:hint="default" w:ascii="Cambria Math" w:hAnsi="Cambria Math" w:cs="Times New Roman"/>
                                <w:i/>
                                <w:color w:val="0C0C0C"/>
                                <w:sz w:val="24"/>
                                <w:szCs w:val="24"/>
                                <w:highlight w:val="none"/>
                                <w:lang w:val="en-US" w:eastAsia="zh-CN"/>
                              </w:rPr>
                            </m:ctrlPr>
                          </m:e>
                          <m:sup>
                            <m:r>
                              <w:rPr>
                                <w:rFonts w:hint="default" w:ascii="Cambria Math" w:hAnsi="Cambria Math" w:cs="Times New Roman"/>
                                <w:color w:val="0C0C0C"/>
                                <w:sz w:val="24"/>
                                <w:szCs w:val="24"/>
                                <w:highlight w:val="none"/>
                                <w:lang w:val="en-US" w:eastAsia="zh-CN"/>
                              </w:rPr>
                              <m:t>2</m:t>
                            </m:r>
                            <m:ctrlPr>
                              <w:rPr>
                                <w:rFonts w:hint="default" w:ascii="Cambria Math" w:hAnsi="Cambria Math" w:cs="Times New Roman"/>
                                <w:i/>
                                <w:color w:val="0C0C0C"/>
                                <w:sz w:val="24"/>
                                <w:szCs w:val="24"/>
                                <w:highlight w:val="none"/>
                                <w:lang w:val="en-US" w:eastAsia="zh-CN"/>
                              </w:rPr>
                            </m:ctrlPr>
                          </m:sup>
                        </m:sSup>
                        <m:ctrlPr>
                          <w:rPr>
                            <w:rFonts w:hint="default" w:ascii="Cambria Math" w:hAnsi="Cambria Math" w:cs="Times New Roman"/>
                            <w:i/>
                            <w:color w:val="0C0C0C"/>
                            <w:sz w:val="24"/>
                            <w:szCs w:val="24"/>
                            <w:highlight w:val="none"/>
                            <w:lang w:val="en-US" w:eastAsia="zh-CN"/>
                          </w:rPr>
                        </m:ctrlPr>
                      </m:den>
                    </m:f>
                    <m:r>
                      <w:rPr>
                        <w:rFonts w:hint="default" w:ascii="Cambria Math" w:hAnsi="Cambria Math" w:cs="Times New Roman"/>
                        <w:color w:val="0C0C0C"/>
                        <w:sz w:val="24"/>
                        <w:szCs w:val="24"/>
                        <w:highlight w:val="none"/>
                        <w:lang w:val="en-US" w:eastAsia="zh-CN"/>
                      </w:rPr>
                      <m:t>+</m:t>
                    </m:r>
                    <m:f>
                      <m:fPr>
                        <m:ctrlPr>
                          <w:rPr>
                            <w:rFonts w:hint="default" w:ascii="Cambria Math" w:hAnsi="Cambria Math" w:cs="Times New Roman"/>
                            <w:i/>
                            <w:color w:val="0C0C0C"/>
                            <w:sz w:val="24"/>
                            <w:szCs w:val="24"/>
                            <w:highlight w:val="none"/>
                            <w:lang w:val="en-US" w:eastAsia="zh-CN"/>
                          </w:rPr>
                        </m:ctrlPr>
                      </m:fPr>
                      <m:num>
                        <m:r>
                          <w:rPr>
                            <w:rFonts w:hint="default" w:ascii="Cambria Math" w:hAnsi="Cambria Math" w:cs="Times New Roman"/>
                            <w:color w:val="0C0C0C"/>
                            <w:sz w:val="24"/>
                            <w:szCs w:val="24"/>
                            <w:highlight w:val="none"/>
                            <w:lang w:val="en-US" w:eastAsia="zh-CN"/>
                          </w:rPr>
                          <m:t>4</m:t>
                        </m:r>
                        <m:ctrlPr>
                          <w:rPr>
                            <w:rFonts w:hint="default" w:ascii="Cambria Math" w:hAnsi="Cambria Math" w:cs="Times New Roman"/>
                            <w:i/>
                            <w:color w:val="0C0C0C"/>
                            <w:sz w:val="24"/>
                            <w:szCs w:val="24"/>
                            <w:highlight w:val="none"/>
                            <w:lang w:val="en-US" w:eastAsia="zh-CN"/>
                          </w:rPr>
                        </m:ctrlPr>
                      </m:num>
                      <m:den>
                        <m:r>
                          <w:rPr>
                            <w:rFonts w:hint="default" w:ascii="Cambria Math" w:hAnsi="Cambria Math" w:cs="Times New Roman"/>
                            <w:color w:val="0C0C0C"/>
                            <w:sz w:val="24"/>
                            <w:szCs w:val="24"/>
                            <w:highlight w:val="none"/>
                            <w:lang w:val="en-US" w:eastAsia="zh-CN"/>
                          </w:rPr>
                          <m:t>R</m:t>
                        </m:r>
                        <m:ctrlPr>
                          <w:rPr>
                            <w:rFonts w:hint="default" w:ascii="Cambria Math" w:hAnsi="Cambria Math" w:cs="Times New Roman"/>
                            <w:i/>
                            <w:color w:val="0C0C0C"/>
                            <w:sz w:val="24"/>
                            <w:szCs w:val="24"/>
                            <w:highlight w:val="none"/>
                            <w:lang w:val="en-US" w:eastAsia="zh-CN"/>
                          </w:rPr>
                        </m:ctrlPr>
                      </m:den>
                    </m:f>
                    <m:ctrlPr>
                      <w:rPr>
                        <w:rFonts w:hint="default" w:ascii="Cambria Math" w:hAnsi="Cambria Math" w:cs="Times New Roman"/>
                        <w:i/>
                        <w:color w:val="0C0C0C"/>
                        <w:sz w:val="24"/>
                        <w:szCs w:val="24"/>
                        <w:highlight w:val="none"/>
                        <w:lang w:val="en-US" w:eastAsia="zh-CN"/>
                      </w:rPr>
                    </m:ctrlPr>
                  </m:e>
                </m:d>
              </m:oMath>
            </m:oMathPara>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式中：</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L</w:t>
            </w:r>
            <w:r>
              <w:rPr>
                <w:rFonts w:hint="default" w:ascii="Times New Roman" w:hAnsi="Times New Roman" w:cs="Times New Roman"/>
                <w:color w:val="000000"/>
                <w:sz w:val="24"/>
                <w:szCs w:val="24"/>
                <w:highlight w:val="none"/>
                <w:vertAlign w:val="subscript"/>
                <w:lang w:val="en-US" w:eastAsia="zh-CN"/>
              </w:rPr>
              <w:t>p1</w:t>
            </w:r>
            <w:r>
              <w:rPr>
                <w:rFonts w:hint="default" w:ascii="Times New Roman" w:hAnsi="Times New Roman" w:cs="Times New Roman"/>
                <w:color w:val="000000"/>
                <w:sz w:val="24"/>
                <w:szCs w:val="24"/>
                <w:highlight w:val="none"/>
                <w:lang w:val="en-US" w:eastAsia="zh-CN"/>
              </w:rPr>
              <w:t>——靠近开口处（或窗户）室内某倍频带的声压级或A声级，dB；</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L</w:t>
            </w:r>
            <w:r>
              <w:rPr>
                <w:rFonts w:hint="default" w:ascii="Times New Roman" w:hAnsi="Times New Roman" w:cs="Times New Roman"/>
                <w:color w:val="000000"/>
                <w:sz w:val="24"/>
                <w:szCs w:val="24"/>
                <w:highlight w:val="none"/>
                <w:vertAlign w:val="subscript"/>
                <w:lang w:val="en-US" w:eastAsia="zh-CN"/>
              </w:rPr>
              <w:t>w</w:t>
            </w:r>
            <w:r>
              <w:rPr>
                <w:rFonts w:hint="default" w:ascii="Times New Roman" w:hAnsi="Times New Roman" w:cs="Times New Roman"/>
                <w:color w:val="000000"/>
                <w:sz w:val="24"/>
                <w:szCs w:val="24"/>
                <w:highlight w:val="none"/>
                <w:lang w:val="en-US" w:eastAsia="zh-CN"/>
              </w:rPr>
              <w:t>——点声源声功率级（A计权或倍频带），dB；</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r——声源到靠近围护结构某点处的距离，m；</w:t>
            </w:r>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Q——指向性因数；通常对无指向性声源，当声源放在房间中心时，Q=1；当放在一面墙的中心时，Q=2；当放在两面墙夹角处时，Q=4；当放在三面墙夹角处时，Q=8；</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R——房间常数，R=Sα/(1-α），S为房间内表面面积，m</w:t>
            </w:r>
            <w:r>
              <w:rPr>
                <w:rFonts w:hint="default" w:ascii="Times New Roman" w:hAnsi="Times New Roman" w:cs="Times New Roman"/>
                <w:color w:val="000000"/>
                <w:sz w:val="24"/>
                <w:szCs w:val="24"/>
                <w:highlight w:val="none"/>
                <w:vertAlign w:val="superscript"/>
                <w:lang w:val="en-US" w:eastAsia="zh-CN"/>
              </w:rPr>
              <w:t>2</w:t>
            </w:r>
            <w:r>
              <w:rPr>
                <w:rFonts w:hint="default" w:ascii="Times New Roman" w:hAnsi="Times New Roman" w:cs="Times New Roman"/>
                <w:color w:val="000000"/>
                <w:sz w:val="24"/>
                <w:szCs w:val="24"/>
                <w:highlight w:val="none"/>
                <w:lang w:val="en-US" w:eastAsia="zh-CN"/>
              </w:rPr>
              <w:t>，α为平均吸声系数。</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②计算出所有室内声源在靠近围护结构处产生的i倍频带叠加声压级：</w:t>
            </w:r>
          </w:p>
          <w:p>
            <w:pPr>
              <w:pStyle w:val="31"/>
              <w:keepNext w:val="0"/>
              <w:keepLines w:val="0"/>
              <w:pageBreakBefore w:val="0"/>
              <w:widowControl w:val="0"/>
              <w:kinsoku/>
              <w:wordWrap/>
              <w:overflowPunct/>
              <w:topLinePunct w:val="0"/>
              <w:autoSpaceDE/>
              <w:autoSpaceDN/>
              <w:bidi w:val="0"/>
              <w:adjustRightInd/>
              <w:snapToGrid/>
              <w:spacing w:after="0" w:line="240" w:lineRule="auto"/>
              <w:ind w:left="0" w:leftChars="0" w:right="0" w:firstLine="0"/>
              <w:jc w:val="center"/>
              <w:textAlignment w:val="auto"/>
              <w:rPr>
                <w:rFonts w:hint="default" w:ascii="Times New Roman" w:hAnsi="Times New Roman" w:eastAsia="宋体" w:cs="Times New Roman"/>
                <w:color w:val="000000"/>
                <w:sz w:val="24"/>
                <w:szCs w:val="24"/>
                <w:highlight w:val="none"/>
                <w:lang w:val="en-US" w:eastAsia="zh-CN"/>
              </w:rPr>
            </w:pPr>
            <m:oMathPara>
              <m:oMath>
                <m:sSub>
                  <m:sSubPr>
                    <m:ctrlPr>
                      <w:rPr>
                        <w:rFonts w:hint="default" w:ascii="Cambria Math" w:hAnsi="Cambria Math" w:cs="Times New Roman"/>
                        <w:i/>
                        <w:color w:val="0C0C0C"/>
                        <w:sz w:val="24"/>
                        <w:szCs w:val="24"/>
                        <w:highlight w:val="none"/>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rPr>
                    </m:ctrlPr>
                  </m:e>
                  <m:sub>
                    <m:r>
                      <w:rPr>
                        <w:rFonts w:hint="default" w:ascii="Cambria Math" w:hAnsi="Cambria Math" w:cs="Times New Roman"/>
                        <w:color w:val="0C0C0C"/>
                        <w:sz w:val="24"/>
                        <w:szCs w:val="24"/>
                        <w:highlight w:val="none"/>
                        <w:lang w:val="en-US" w:eastAsia="zh-CN"/>
                      </w:rPr>
                      <m:t>P1i</m:t>
                    </m:r>
                    <m:ctrlPr>
                      <w:rPr>
                        <w:rFonts w:hint="default" w:ascii="Cambria Math" w:hAnsi="Cambria Math" w:cs="Times New Roman"/>
                        <w:i/>
                        <w:color w:val="0C0C0C"/>
                        <w:sz w:val="24"/>
                        <w:szCs w:val="24"/>
                        <w:highlight w:val="none"/>
                      </w:rPr>
                    </m:ctrlPr>
                  </m:sub>
                </m:sSub>
                <m:d>
                  <m:dPr>
                    <m:ctrlPr>
                      <w:rPr>
                        <w:rFonts w:hint="default" w:ascii="Cambria Math" w:hAnsi="Cambria Math" w:cs="Times New Roman"/>
                        <w:i/>
                        <w:color w:val="0C0C0C"/>
                        <w:sz w:val="24"/>
                        <w:szCs w:val="24"/>
                        <w:highlight w:val="none"/>
                      </w:rPr>
                    </m:ctrlPr>
                  </m:dPr>
                  <m:e>
                    <m:r>
                      <w:rPr>
                        <w:rFonts w:hint="default" w:ascii="Cambria Math" w:hAnsi="Cambria Math" w:cs="Times New Roman"/>
                        <w:color w:val="0C0C0C"/>
                        <w:sz w:val="24"/>
                        <w:szCs w:val="24"/>
                        <w:highlight w:val="none"/>
                        <w:lang w:val="en-US" w:eastAsia="zh-CN"/>
                      </w:rPr>
                      <m:t>T</m:t>
                    </m:r>
                    <m:ctrlPr>
                      <w:rPr>
                        <w:rFonts w:hint="default" w:ascii="Cambria Math" w:hAnsi="Cambria Math" w:cs="Times New Roman"/>
                        <w:i/>
                        <w:color w:val="0C0C0C"/>
                        <w:sz w:val="24"/>
                        <w:szCs w:val="24"/>
                        <w:highlight w:val="none"/>
                      </w:rPr>
                    </m:ctrlPr>
                  </m:e>
                </m:d>
                <m:r>
                  <w:rPr>
                    <w:rFonts w:hint="default" w:ascii="Cambria Math" w:hAnsi="Cambria Math" w:cs="Times New Roman"/>
                    <w:color w:val="0C0C0C"/>
                    <w:sz w:val="24"/>
                    <w:szCs w:val="24"/>
                    <w:highlight w:val="none"/>
                    <w:lang w:val="en-US" w:eastAsia="zh-CN"/>
                  </w:rPr>
                  <m:t>=10lg</m:t>
                </m:r>
                <m:d>
                  <m:dPr>
                    <m:ctrlPr>
                      <w:rPr>
                        <w:rFonts w:hint="default" w:ascii="Cambria Math" w:hAnsi="Cambria Math" w:cs="Times New Roman"/>
                        <w:i/>
                        <w:color w:val="0C0C0C"/>
                        <w:sz w:val="24"/>
                        <w:szCs w:val="24"/>
                        <w:highlight w:val="none"/>
                        <w:lang w:val="en-US" w:eastAsia="zh-CN"/>
                      </w:rPr>
                    </m:ctrlPr>
                  </m:dPr>
                  <m:e>
                    <m:nary>
                      <m:naryPr>
                        <m:chr m:val="∑"/>
                        <m:limLoc m:val="undOvr"/>
                        <m:ctrlPr>
                          <w:rPr>
                            <w:rFonts w:hint="default" w:ascii="Cambria Math" w:hAnsi="Cambria Math" w:cs="Times New Roman"/>
                            <w:i/>
                            <w:color w:val="0C0C0C"/>
                            <w:sz w:val="24"/>
                            <w:szCs w:val="24"/>
                            <w:highlight w:val="none"/>
                            <w:lang w:val="en-US" w:eastAsia="zh-CN"/>
                          </w:rPr>
                        </m:ctrlPr>
                      </m:naryPr>
                      <m:sub>
                        <m:r>
                          <w:rPr>
                            <w:rFonts w:hint="default" w:ascii="Cambria Math" w:hAnsi="Cambria Math" w:cs="Times New Roman"/>
                            <w:color w:val="0C0C0C"/>
                            <w:sz w:val="24"/>
                            <w:szCs w:val="24"/>
                            <w:highlight w:val="none"/>
                            <w:lang w:val="en-US" w:eastAsia="zh-CN"/>
                          </w:rPr>
                          <m:t>j=1</m:t>
                        </m:r>
                        <m:ctrlPr>
                          <w:rPr>
                            <w:rFonts w:hint="default" w:ascii="Cambria Math" w:hAnsi="Cambria Math" w:cs="Times New Roman"/>
                            <w:i/>
                            <w:color w:val="0C0C0C"/>
                            <w:sz w:val="24"/>
                            <w:szCs w:val="24"/>
                            <w:highlight w:val="none"/>
                            <w:lang w:val="en-US" w:eastAsia="zh-CN"/>
                          </w:rPr>
                        </m:ctrlPr>
                      </m:sub>
                      <m:sup>
                        <m:r>
                          <w:rPr>
                            <w:rFonts w:hint="default" w:ascii="Cambria Math" w:hAnsi="Cambria Math" w:cs="Times New Roman"/>
                            <w:color w:val="0C0C0C"/>
                            <w:sz w:val="24"/>
                            <w:szCs w:val="24"/>
                            <w:highlight w:val="none"/>
                            <w:lang w:val="en-US" w:eastAsia="zh-CN"/>
                          </w:rPr>
                          <m:t>N</m:t>
                        </m:r>
                        <m:ctrlPr>
                          <w:rPr>
                            <w:rFonts w:hint="default" w:ascii="Cambria Math" w:hAnsi="Cambria Math" w:cs="Times New Roman"/>
                            <w:i/>
                            <w:color w:val="0C0C0C"/>
                            <w:sz w:val="24"/>
                            <w:szCs w:val="24"/>
                            <w:highlight w:val="none"/>
                            <w:lang w:val="en-US" w:eastAsia="zh-CN"/>
                          </w:rPr>
                        </m:ctrlPr>
                      </m:sup>
                      <m:e>
                        <m:sSup>
                          <m:sSupPr>
                            <m:ctrlPr>
                              <w:rPr>
                                <w:rFonts w:hint="default" w:ascii="Cambria Math" w:hAnsi="Cambria Math" w:cs="Times New Roman"/>
                                <w:i/>
                                <w:color w:val="0C0C0C"/>
                                <w:sz w:val="24"/>
                                <w:szCs w:val="24"/>
                                <w:highlight w:val="none"/>
                                <w:lang w:val="en-US" w:eastAsia="zh-CN"/>
                              </w:rPr>
                            </m:ctrlPr>
                          </m:sSupPr>
                          <m:e>
                            <m:r>
                              <w:rPr>
                                <w:rFonts w:hint="default" w:ascii="Cambria Math" w:hAnsi="Cambria Math" w:cs="Times New Roman"/>
                                <w:color w:val="0C0C0C"/>
                                <w:sz w:val="24"/>
                                <w:szCs w:val="24"/>
                                <w:highlight w:val="none"/>
                                <w:lang w:val="en-US" w:eastAsia="zh-CN"/>
                              </w:rPr>
                              <m:t>10</m:t>
                            </m:r>
                            <m:ctrlPr>
                              <w:rPr>
                                <w:rFonts w:hint="default" w:ascii="Cambria Math" w:hAnsi="Cambria Math" w:cs="Times New Roman"/>
                                <w:i/>
                                <w:color w:val="0C0C0C"/>
                                <w:sz w:val="24"/>
                                <w:szCs w:val="24"/>
                                <w:highlight w:val="none"/>
                                <w:lang w:val="en-US" w:eastAsia="zh-CN"/>
                              </w:rPr>
                            </m:ctrlPr>
                          </m:e>
                          <m:sup>
                            <m:r>
                              <w:rPr>
                                <w:rFonts w:hint="default" w:ascii="Cambria Math" w:hAnsi="Cambria Math" w:cs="Times New Roman"/>
                                <w:color w:val="0C0C0C"/>
                                <w:sz w:val="24"/>
                                <w:szCs w:val="24"/>
                                <w:highlight w:val="none"/>
                                <w:lang w:val="en-US" w:eastAsia="zh-CN"/>
                              </w:rPr>
                              <m:t>0.1</m:t>
                            </m:r>
                            <m:sSub>
                              <m:sSubPr>
                                <m:ctrlPr>
                                  <w:rPr>
                                    <w:rFonts w:hint="default" w:ascii="Cambria Math" w:hAnsi="Cambria Math" w:cs="Times New Roman"/>
                                    <w:i/>
                                    <w:color w:val="0C0C0C"/>
                                    <w:sz w:val="24"/>
                                    <w:szCs w:val="24"/>
                                    <w:highlight w:val="none"/>
                                    <w:lang w:val="en-US" w:eastAsia="zh-CN"/>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lang w:val="en-US" w:eastAsia="zh-CN"/>
                                  </w:rPr>
                                </m:ctrlPr>
                              </m:e>
                              <m:sub>
                                <m:r>
                                  <w:rPr>
                                    <w:rFonts w:hint="default" w:ascii="Cambria Math" w:hAnsi="Cambria Math" w:cs="Times New Roman"/>
                                    <w:color w:val="0C0C0C"/>
                                    <w:sz w:val="24"/>
                                    <w:szCs w:val="24"/>
                                    <w:highlight w:val="none"/>
                                    <w:lang w:val="en-US" w:eastAsia="zh-CN"/>
                                  </w:rPr>
                                  <m:t>P1ij</m:t>
                                </m:r>
                                <m:ctrlPr>
                                  <w:rPr>
                                    <w:rFonts w:hint="default" w:ascii="Cambria Math" w:hAnsi="Cambria Math" w:cs="Times New Roman"/>
                                    <w:i/>
                                    <w:color w:val="0C0C0C"/>
                                    <w:sz w:val="24"/>
                                    <w:szCs w:val="24"/>
                                    <w:highlight w:val="none"/>
                                    <w:lang w:val="en-US" w:eastAsia="zh-CN"/>
                                  </w:rPr>
                                </m:ctrlPr>
                              </m:sub>
                            </m:sSub>
                            <m:ctrlPr>
                              <w:rPr>
                                <w:rFonts w:hint="default" w:ascii="Cambria Math" w:hAnsi="Cambria Math" w:cs="Times New Roman"/>
                                <w:i/>
                                <w:color w:val="0C0C0C"/>
                                <w:sz w:val="24"/>
                                <w:szCs w:val="24"/>
                                <w:highlight w:val="none"/>
                                <w:lang w:val="en-US" w:eastAsia="zh-CN"/>
                              </w:rPr>
                            </m:ctrlPr>
                          </m:sup>
                        </m:sSup>
                        <m:ctrlPr>
                          <w:rPr>
                            <w:rFonts w:hint="default" w:ascii="Cambria Math" w:hAnsi="Cambria Math" w:cs="Times New Roman"/>
                            <w:i/>
                            <w:color w:val="0C0C0C"/>
                            <w:sz w:val="24"/>
                            <w:szCs w:val="24"/>
                            <w:highlight w:val="none"/>
                            <w:lang w:val="en-US" w:eastAsia="zh-CN"/>
                          </w:rPr>
                        </m:ctrlPr>
                      </m:e>
                    </m:nary>
                    <m:ctrlPr>
                      <w:rPr>
                        <w:rFonts w:hint="default" w:ascii="Cambria Math" w:hAnsi="Cambria Math" w:cs="Times New Roman"/>
                        <w:i/>
                        <w:color w:val="0C0C0C"/>
                        <w:sz w:val="24"/>
                        <w:szCs w:val="24"/>
                        <w:highlight w:val="none"/>
                        <w:lang w:val="en-US" w:eastAsia="zh-CN"/>
                      </w:rPr>
                    </m:ctrlPr>
                  </m:e>
                </m:d>
              </m:oMath>
            </m:oMathPara>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式中：</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L</w:t>
            </w:r>
            <w:r>
              <w:rPr>
                <w:rFonts w:hint="default" w:ascii="Times New Roman" w:hAnsi="Times New Roman" w:cs="Times New Roman"/>
                <w:color w:val="000000"/>
                <w:sz w:val="24"/>
                <w:szCs w:val="24"/>
                <w:highlight w:val="none"/>
                <w:vertAlign w:val="subscript"/>
                <w:lang w:val="en-US" w:eastAsia="zh-CN"/>
              </w:rPr>
              <w:t>p1i</w:t>
            </w:r>
            <w:r>
              <w:rPr>
                <w:rFonts w:hint="default" w:ascii="Times New Roman" w:hAnsi="Times New Roman" w:cs="Times New Roman"/>
                <w:color w:val="000000"/>
                <w:sz w:val="24"/>
                <w:szCs w:val="24"/>
                <w:highlight w:val="none"/>
                <w:lang w:val="en-US" w:eastAsia="zh-CN"/>
              </w:rPr>
              <w:t>（T）——靠近围护结构处室内N个声源i倍频带的叠加声压级，dB；</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L</w:t>
            </w:r>
            <w:r>
              <w:rPr>
                <w:rFonts w:hint="default" w:ascii="Times New Roman" w:hAnsi="Times New Roman" w:cs="Times New Roman"/>
                <w:color w:val="000000"/>
                <w:sz w:val="24"/>
                <w:szCs w:val="24"/>
                <w:highlight w:val="none"/>
                <w:vertAlign w:val="subscript"/>
                <w:lang w:val="en-US" w:eastAsia="zh-CN"/>
              </w:rPr>
              <w:t>p1ij</w:t>
            </w:r>
            <w:r>
              <w:rPr>
                <w:rFonts w:hint="default" w:ascii="Times New Roman" w:hAnsi="Times New Roman" w:cs="Times New Roman"/>
                <w:color w:val="000000"/>
                <w:sz w:val="24"/>
                <w:szCs w:val="24"/>
                <w:highlight w:val="none"/>
                <w:lang w:val="en-US" w:eastAsia="zh-CN"/>
              </w:rPr>
              <w:t>——室内j声源i倍频带的声压级，dB；</w:t>
            </w:r>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N——室内声源总数。</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③计算出室外靠近围护结构处的声压级：</w:t>
            </w:r>
          </w:p>
          <w:p>
            <w:pPr>
              <w:keepNext w:val="0"/>
              <w:keepLines w:val="0"/>
              <w:pageBreakBefore w:val="0"/>
              <w:widowControl w:val="0"/>
              <w:kinsoku/>
              <w:wordWrap/>
              <w:overflowPunct/>
              <w:topLinePunct w:val="0"/>
              <w:autoSpaceDE/>
              <w:autoSpaceDN/>
              <w:bidi w:val="0"/>
              <w:adjustRightInd/>
              <w:snapToGrid/>
              <w:spacing w:line="480" w:lineRule="exact"/>
              <w:ind w:left="0" w:leftChars="0" w:right="0"/>
              <w:jc w:val="center"/>
              <w:textAlignment w:val="auto"/>
              <w:rPr>
                <w:rFonts w:hint="default" w:ascii="Times New Roman" w:hAnsi="Times New Roman" w:eastAsia="宋体" w:cs="Times New Roman"/>
                <w:color w:val="000000"/>
                <w:sz w:val="24"/>
                <w:szCs w:val="24"/>
                <w:highlight w:val="none"/>
                <w:lang w:val="en-US" w:eastAsia="zh-CN"/>
              </w:rPr>
            </w:pPr>
            <m:oMathPara>
              <m:oMath>
                <m:sSub>
                  <m:sSubPr>
                    <m:ctrlPr>
                      <w:rPr>
                        <w:rFonts w:hint="default" w:ascii="Cambria Math" w:hAnsi="Cambria Math" w:cs="Times New Roman"/>
                        <w:i/>
                        <w:color w:val="0C0C0C"/>
                        <w:sz w:val="24"/>
                        <w:szCs w:val="24"/>
                        <w:highlight w:val="none"/>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rPr>
                    </m:ctrlPr>
                  </m:e>
                  <m:sub>
                    <m:r>
                      <w:rPr>
                        <w:rFonts w:hint="default" w:ascii="Cambria Math" w:hAnsi="Cambria Math" w:cs="Times New Roman"/>
                        <w:color w:val="0C0C0C"/>
                        <w:sz w:val="24"/>
                        <w:szCs w:val="24"/>
                        <w:highlight w:val="none"/>
                        <w:lang w:val="en-US" w:eastAsia="zh-CN"/>
                      </w:rPr>
                      <m:t>p2i</m:t>
                    </m:r>
                    <m:ctrlPr>
                      <w:rPr>
                        <w:rFonts w:hint="default" w:ascii="Cambria Math" w:hAnsi="Cambria Math" w:cs="Times New Roman"/>
                        <w:i/>
                        <w:color w:val="0C0C0C"/>
                        <w:sz w:val="24"/>
                        <w:szCs w:val="24"/>
                        <w:highlight w:val="none"/>
                      </w:rPr>
                    </m:ctrlPr>
                  </m:sub>
                </m:sSub>
                <m:d>
                  <m:dPr>
                    <m:ctrlPr>
                      <w:rPr>
                        <w:rFonts w:hint="default" w:ascii="Cambria Math" w:hAnsi="Cambria Math" w:cs="Times New Roman"/>
                        <w:i/>
                        <w:color w:val="0C0C0C"/>
                        <w:sz w:val="24"/>
                        <w:szCs w:val="24"/>
                        <w:highlight w:val="none"/>
                      </w:rPr>
                    </m:ctrlPr>
                  </m:dPr>
                  <m:e>
                    <m:r>
                      <w:rPr>
                        <w:rFonts w:hint="default" w:ascii="Cambria Math" w:hAnsi="Cambria Math" w:cs="Times New Roman"/>
                        <w:color w:val="0C0C0C"/>
                        <w:sz w:val="24"/>
                        <w:szCs w:val="24"/>
                        <w:highlight w:val="none"/>
                        <w:lang w:val="en-US" w:eastAsia="zh-CN"/>
                      </w:rPr>
                      <m:t>T</m:t>
                    </m:r>
                    <m:ctrlPr>
                      <w:rPr>
                        <w:rFonts w:hint="default" w:ascii="Cambria Math" w:hAnsi="Cambria Math" w:cs="Times New Roman"/>
                        <w:i/>
                        <w:color w:val="0C0C0C"/>
                        <w:sz w:val="24"/>
                        <w:szCs w:val="24"/>
                        <w:highlight w:val="none"/>
                      </w:rPr>
                    </m:ctrlPr>
                  </m:e>
                </m:d>
                <m:r>
                  <w:rPr>
                    <w:rFonts w:hint="default" w:ascii="Cambria Math" w:hAnsi="Cambria Math" w:cs="Times New Roman"/>
                    <w:color w:val="0C0C0C"/>
                    <w:sz w:val="24"/>
                    <w:szCs w:val="24"/>
                    <w:highlight w:val="none"/>
                    <w:lang w:val="en-US" w:eastAsia="zh-CN"/>
                  </w:rPr>
                  <m:t>=</m:t>
                </m:r>
                <m:sSub>
                  <m:sSubPr>
                    <m:ctrlPr>
                      <w:rPr>
                        <w:rFonts w:hint="default" w:ascii="Cambria Math" w:hAnsi="Cambria Math" w:cs="Times New Roman"/>
                        <w:i/>
                        <w:color w:val="0C0C0C"/>
                        <w:sz w:val="24"/>
                        <w:szCs w:val="24"/>
                        <w:highlight w:val="none"/>
                        <w:lang w:val="en-US" w:eastAsia="zh-CN"/>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lang w:val="en-US" w:eastAsia="zh-CN"/>
                      </w:rPr>
                    </m:ctrlPr>
                  </m:e>
                  <m:sub>
                    <m:r>
                      <w:rPr>
                        <w:rFonts w:hint="default" w:ascii="Cambria Math" w:hAnsi="Cambria Math" w:cs="Times New Roman"/>
                        <w:color w:val="0C0C0C"/>
                        <w:sz w:val="24"/>
                        <w:szCs w:val="24"/>
                        <w:highlight w:val="none"/>
                        <w:lang w:val="en-US" w:eastAsia="zh-CN"/>
                      </w:rPr>
                      <m:t>P1i</m:t>
                    </m:r>
                    <m:ctrlPr>
                      <w:rPr>
                        <w:rFonts w:hint="default" w:ascii="Cambria Math" w:hAnsi="Cambria Math" w:cs="Times New Roman"/>
                        <w:i/>
                        <w:color w:val="0C0C0C"/>
                        <w:sz w:val="24"/>
                        <w:szCs w:val="24"/>
                        <w:highlight w:val="none"/>
                        <w:lang w:val="en-US" w:eastAsia="zh-CN"/>
                      </w:rPr>
                    </m:ctrlPr>
                  </m:sub>
                </m:sSub>
                <m:d>
                  <m:dPr>
                    <m:ctrlPr>
                      <w:rPr>
                        <w:rFonts w:hint="default" w:ascii="Cambria Math" w:hAnsi="Cambria Math" w:cs="Times New Roman"/>
                        <w:i/>
                        <w:color w:val="0C0C0C"/>
                        <w:sz w:val="24"/>
                        <w:szCs w:val="24"/>
                        <w:highlight w:val="none"/>
                        <w:lang w:val="en-US" w:eastAsia="zh-CN"/>
                      </w:rPr>
                    </m:ctrlPr>
                  </m:dPr>
                  <m:e>
                    <m:r>
                      <w:rPr>
                        <w:rFonts w:hint="default" w:ascii="Cambria Math" w:hAnsi="Cambria Math" w:cs="Times New Roman"/>
                        <w:color w:val="0C0C0C"/>
                        <w:sz w:val="24"/>
                        <w:szCs w:val="24"/>
                        <w:highlight w:val="none"/>
                        <w:lang w:val="en-US" w:eastAsia="zh-CN"/>
                      </w:rPr>
                      <m:t>T</m:t>
                    </m:r>
                    <m:ctrlPr>
                      <w:rPr>
                        <w:rFonts w:hint="default" w:ascii="Cambria Math" w:hAnsi="Cambria Math" w:cs="Times New Roman"/>
                        <w:i/>
                        <w:color w:val="0C0C0C"/>
                        <w:sz w:val="24"/>
                        <w:szCs w:val="24"/>
                        <w:highlight w:val="none"/>
                        <w:lang w:val="en-US" w:eastAsia="zh-CN"/>
                      </w:rPr>
                    </m:ctrlPr>
                  </m:e>
                </m:d>
                <m:r>
                  <w:rPr>
                    <w:rFonts w:hint="default" w:ascii="Cambria Math" w:hAnsi="Cambria Math" w:cs="Times New Roman"/>
                    <w:color w:val="0C0C0C"/>
                    <w:sz w:val="24"/>
                    <w:szCs w:val="24"/>
                    <w:highlight w:val="none"/>
                    <w:lang w:val="en-US" w:eastAsia="zh-CN"/>
                  </w:rPr>
                  <m:t>−</m:t>
                </m:r>
                <m:d>
                  <m:dPr>
                    <m:ctrlPr>
                      <w:rPr>
                        <w:rFonts w:hint="default" w:ascii="Cambria Math" w:hAnsi="Cambria Math" w:cs="Times New Roman"/>
                        <w:i/>
                        <w:color w:val="0C0C0C"/>
                        <w:sz w:val="24"/>
                        <w:szCs w:val="24"/>
                        <w:highlight w:val="none"/>
                        <w:lang w:val="en-US" w:eastAsia="zh-CN"/>
                      </w:rPr>
                    </m:ctrlPr>
                  </m:dPr>
                  <m:e>
                    <m:r>
                      <w:rPr>
                        <w:rFonts w:hint="default" w:ascii="Cambria Math" w:hAnsi="Cambria Math" w:cs="Times New Roman"/>
                        <w:color w:val="0C0C0C"/>
                        <w:sz w:val="24"/>
                        <w:szCs w:val="24"/>
                        <w:highlight w:val="none"/>
                        <w:lang w:val="en-US" w:eastAsia="zh-CN"/>
                      </w:rPr>
                      <m:t>T</m:t>
                    </m:r>
                    <m:sSub>
                      <m:sSubPr>
                        <m:ctrlPr>
                          <w:rPr>
                            <w:rFonts w:hint="default" w:ascii="Cambria Math" w:hAnsi="Cambria Math" w:cs="Times New Roman"/>
                            <w:i/>
                            <w:color w:val="0C0C0C"/>
                            <w:sz w:val="24"/>
                            <w:szCs w:val="24"/>
                            <w:highlight w:val="none"/>
                            <w:lang w:val="en-US" w:eastAsia="zh-CN"/>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lang w:val="en-US" w:eastAsia="zh-CN"/>
                          </w:rPr>
                        </m:ctrlPr>
                      </m:e>
                      <m:sub>
                        <m:r>
                          <w:rPr>
                            <w:rFonts w:hint="default" w:ascii="Cambria Math" w:hAnsi="Cambria Math" w:cs="Times New Roman"/>
                            <w:color w:val="0C0C0C"/>
                            <w:sz w:val="24"/>
                            <w:szCs w:val="24"/>
                            <w:highlight w:val="none"/>
                            <w:lang w:val="en-US" w:eastAsia="zh-CN"/>
                          </w:rPr>
                          <m:t>i</m:t>
                        </m:r>
                        <m:ctrlPr>
                          <w:rPr>
                            <w:rFonts w:hint="default" w:ascii="Cambria Math" w:hAnsi="Cambria Math" w:cs="Times New Roman"/>
                            <w:i/>
                            <w:color w:val="0C0C0C"/>
                            <w:sz w:val="24"/>
                            <w:szCs w:val="24"/>
                            <w:highlight w:val="none"/>
                            <w:lang w:val="en-US" w:eastAsia="zh-CN"/>
                          </w:rPr>
                        </m:ctrlPr>
                      </m:sub>
                    </m:sSub>
                    <m:r>
                      <w:rPr>
                        <w:rFonts w:hint="default" w:ascii="Cambria Math" w:hAnsi="Cambria Math" w:cs="Times New Roman"/>
                        <w:color w:val="0C0C0C"/>
                        <w:sz w:val="24"/>
                        <w:szCs w:val="24"/>
                        <w:highlight w:val="none"/>
                        <w:lang w:val="en-US" w:eastAsia="zh-CN"/>
                      </w:rPr>
                      <m:t>+6</m:t>
                    </m:r>
                    <m:ctrlPr>
                      <w:rPr>
                        <w:rFonts w:hint="default" w:ascii="Cambria Math" w:hAnsi="Cambria Math" w:cs="Times New Roman"/>
                        <w:i/>
                        <w:color w:val="0C0C0C"/>
                        <w:sz w:val="24"/>
                        <w:szCs w:val="24"/>
                        <w:highlight w:val="none"/>
                        <w:lang w:val="en-US" w:eastAsia="zh-CN"/>
                      </w:rPr>
                    </m:ctrlPr>
                  </m:e>
                </m:d>
              </m:oMath>
            </m:oMathPara>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式中：</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L</w:t>
            </w:r>
            <w:r>
              <w:rPr>
                <w:rFonts w:hint="default" w:ascii="Times New Roman" w:hAnsi="Times New Roman" w:cs="Times New Roman"/>
                <w:color w:val="000000"/>
                <w:sz w:val="24"/>
                <w:szCs w:val="24"/>
                <w:highlight w:val="none"/>
                <w:vertAlign w:val="subscript"/>
              </w:rPr>
              <w:t>p2i</w:t>
            </w:r>
            <w:r>
              <w:rPr>
                <w:rFonts w:hint="default" w:ascii="Times New Roman" w:hAnsi="Times New Roman" w:cs="Times New Roman"/>
                <w:color w:val="000000"/>
                <w:sz w:val="24"/>
                <w:szCs w:val="24"/>
                <w:highlight w:val="none"/>
              </w:rPr>
              <w:t>（T）——靠近围护结构处室外N个声源i倍频带的叠加声压级，dB；</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TL</w:t>
            </w:r>
            <w:r>
              <w:rPr>
                <w:rFonts w:hint="default" w:ascii="Times New Roman" w:hAnsi="Times New Roman" w:cs="Times New Roman"/>
                <w:color w:val="000000"/>
                <w:sz w:val="24"/>
                <w:szCs w:val="24"/>
                <w:highlight w:val="none"/>
                <w:vertAlign w:val="subscript"/>
              </w:rPr>
              <w:t>i</w:t>
            </w:r>
            <w:r>
              <w:rPr>
                <w:rFonts w:hint="default" w:ascii="Times New Roman" w:hAnsi="Times New Roman" w:cs="Times New Roman"/>
                <w:color w:val="000000"/>
                <w:sz w:val="24"/>
                <w:szCs w:val="24"/>
                <w:highlight w:val="none"/>
              </w:rPr>
              <w:t>——围护结构i倍频带的隔声量，dB；</w:t>
            </w:r>
          </w:p>
          <w:p>
            <w:pPr>
              <w:pStyle w:val="31"/>
              <w:keepNext w:val="0"/>
              <w:keepLines w:val="0"/>
              <w:pageBreakBefore w:val="0"/>
              <w:kinsoku/>
              <w:wordWrap/>
              <w:overflowPunct/>
              <w:topLinePunct w:val="0"/>
              <w:autoSpaceDE/>
              <w:autoSpaceDN/>
              <w:bidi w:val="0"/>
              <w:adjustRightInd/>
              <w:spacing w:after="0" w:line="480" w:lineRule="exact"/>
              <w:ind w:left="0" w:leftChars="0" w:right="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④将室外声源的声压级和透过面积换算成等效的室外声源，计算出中心位置位于透声面积（S）处的等效声源的倍频带声功率级。</w:t>
            </w:r>
          </w:p>
          <w:p>
            <w:pPr>
              <w:pStyle w:val="30"/>
              <w:keepNext w:val="0"/>
              <w:keepLines w:val="0"/>
              <w:pageBreakBefore w:val="0"/>
              <w:widowControl/>
              <w:kinsoku/>
              <w:wordWrap/>
              <w:overflowPunct/>
              <w:topLinePunct w:val="0"/>
              <w:autoSpaceDE/>
              <w:autoSpaceDN/>
              <w:bidi w:val="0"/>
              <w:adjustRightInd/>
              <w:snapToGrid w:val="0"/>
              <w:spacing w:before="0" w:after="0" w:line="480" w:lineRule="exact"/>
              <w:ind w:left="0" w:leftChars="0" w:right="0" w:firstLine="0" w:firstLineChars="0"/>
              <w:jc w:val="center"/>
              <w:textAlignment w:val="auto"/>
              <w:rPr>
                <w:rFonts w:hint="default" w:ascii="Times New Roman" w:hAnsi="Times New Roman" w:eastAsia="宋体" w:cs="Times New Roman"/>
                <w:color w:val="000000"/>
                <w:sz w:val="24"/>
                <w:szCs w:val="24"/>
                <w:highlight w:val="none"/>
                <w:lang w:val="en-US" w:eastAsia="zh-CN"/>
              </w:rPr>
            </w:pPr>
            <m:oMathPara>
              <m:oMath>
                <m:sSub>
                  <m:sSubPr>
                    <m:ctrlPr>
                      <w:rPr>
                        <w:rFonts w:hint="default" w:ascii="Cambria Math" w:hAnsi="Cambria Math" w:cs="Times New Roman"/>
                        <w:i/>
                        <w:color w:val="0C0C0C"/>
                        <w:sz w:val="24"/>
                        <w:szCs w:val="24"/>
                        <w:highlight w:val="none"/>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rPr>
                    </m:ctrlPr>
                  </m:e>
                  <m:sub>
                    <m:r>
                      <w:rPr>
                        <w:rFonts w:hint="default" w:ascii="Cambria Math" w:hAnsi="Cambria Math" w:cs="Times New Roman"/>
                        <w:color w:val="0C0C0C"/>
                        <w:sz w:val="24"/>
                        <w:szCs w:val="24"/>
                        <w:highlight w:val="none"/>
                        <w:lang w:val="en-US" w:eastAsia="zh-CN"/>
                      </w:rPr>
                      <m:t>W</m:t>
                    </m:r>
                    <m:ctrlPr>
                      <w:rPr>
                        <w:rFonts w:hint="default" w:ascii="Cambria Math" w:hAnsi="Cambria Math" w:cs="Times New Roman"/>
                        <w:i/>
                        <w:color w:val="0C0C0C"/>
                        <w:sz w:val="24"/>
                        <w:szCs w:val="24"/>
                        <w:highlight w:val="none"/>
                      </w:rPr>
                    </m:ctrlPr>
                  </m:sub>
                </m:sSub>
                <m:r>
                  <w:rPr>
                    <w:rFonts w:hint="default" w:ascii="Cambria Math" w:hAnsi="Cambria Math" w:cs="Times New Roman"/>
                    <w:color w:val="0C0C0C"/>
                    <w:sz w:val="24"/>
                    <w:szCs w:val="24"/>
                    <w:highlight w:val="none"/>
                    <w:lang w:val="en-US" w:eastAsia="zh-CN"/>
                  </w:rPr>
                  <m:t>=</m:t>
                </m:r>
                <m:sSub>
                  <m:sSubPr>
                    <m:ctrlPr>
                      <w:rPr>
                        <w:rFonts w:hint="default" w:ascii="Cambria Math" w:hAnsi="Cambria Math" w:cs="Times New Roman"/>
                        <w:i/>
                        <w:color w:val="0C0C0C"/>
                        <w:sz w:val="24"/>
                        <w:szCs w:val="24"/>
                        <w:highlight w:val="none"/>
                        <w:lang w:val="en-US" w:eastAsia="zh-CN"/>
                      </w:rPr>
                    </m:ctrlPr>
                  </m:sSubPr>
                  <m:e>
                    <m:r>
                      <w:rPr>
                        <w:rFonts w:hint="default" w:ascii="Cambria Math" w:hAnsi="Cambria Math" w:cs="Times New Roman"/>
                        <w:color w:val="0C0C0C"/>
                        <w:sz w:val="24"/>
                        <w:szCs w:val="24"/>
                        <w:highlight w:val="none"/>
                        <w:lang w:val="en-US" w:eastAsia="zh-CN"/>
                      </w:rPr>
                      <m:t>L</m:t>
                    </m:r>
                    <m:ctrlPr>
                      <w:rPr>
                        <w:rFonts w:hint="default" w:ascii="Cambria Math" w:hAnsi="Cambria Math" w:cs="Times New Roman"/>
                        <w:i/>
                        <w:color w:val="0C0C0C"/>
                        <w:sz w:val="24"/>
                        <w:szCs w:val="24"/>
                        <w:highlight w:val="none"/>
                        <w:lang w:val="en-US" w:eastAsia="zh-CN"/>
                      </w:rPr>
                    </m:ctrlPr>
                  </m:e>
                  <m:sub>
                    <m:r>
                      <w:rPr>
                        <w:rFonts w:hint="default" w:ascii="Cambria Math" w:hAnsi="Cambria Math" w:cs="Times New Roman"/>
                        <w:color w:val="0C0C0C"/>
                        <w:sz w:val="24"/>
                        <w:szCs w:val="24"/>
                        <w:highlight w:val="none"/>
                        <w:lang w:val="en-US" w:eastAsia="zh-CN"/>
                      </w:rPr>
                      <m:t>P2</m:t>
                    </m:r>
                    <m:ctrlPr>
                      <w:rPr>
                        <w:rFonts w:hint="default" w:ascii="Cambria Math" w:hAnsi="Cambria Math" w:cs="Times New Roman"/>
                        <w:i/>
                        <w:color w:val="0C0C0C"/>
                        <w:sz w:val="24"/>
                        <w:szCs w:val="24"/>
                        <w:highlight w:val="none"/>
                        <w:lang w:val="en-US" w:eastAsia="zh-CN"/>
                      </w:rPr>
                    </m:ctrlPr>
                  </m:sub>
                </m:sSub>
                <m:d>
                  <m:dPr>
                    <m:ctrlPr>
                      <w:rPr>
                        <w:rFonts w:hint="default" w:ascii="Cambria Math" w:hAnsi="Cambria Math" w:cs="Times New Roman"/>
                        <w:i/>
                        <w:color w:val="0C0C0C"/>
                        <w:sz w:val="24"/>
                        <w:szCs w:val="24"/>
                        <w:highlight w:val="none"/>
                        <w:lang w:val="en-US" w:eastAsia="zh-CN"/>
                      </w:rPr>
                    </m:ctrlPr>
                  </m:dPr>
                  <m:e>
                    <m:r>
                      <w:rPr>
                        <w:rFonts w:hint="default" w:ascii="Cambria Math" w:hAnsi="Cambria Math" w:cs="Times New Roman"/>
                        <w:color w:val="0C0C0C"/>
                        <w:sz w:val="24"/>
                        <w:szCs w:val="24"/>
                        <w:highlight w:val="none"/>
                        <w:lang w:val="en-US" w:eastAsia="zh-CN"/>
                      </w:rPr>
                      <m:t>T</m:t>
                    </m:r>
                    <m:ctrlPr>
                      <w:rPr>
                        <w:rFonts w:hint="default" w:ascii="Cambria Math" w:hAnsi="Cambria Math" w:cs="Times New Roman"/>
                        <w:i/>
                        <w:color w:val="0C0C0C"/>
                        <w:sz w:val="24"/>
                        <w:szCs w:val="24"/>
                        <w:highlight w:val="none"/>
                        <w:lang w:val="en-US" w:eastAsia="zh-CN"/>
                      </w:rPr>
                    </m:ctrlPr>
                  </m:e>
                </m:d>
                <m:r>
                  <w:rPr>
                    <w:rFonts w:hint="default" w:ascii="Cambria Math" w:hAnsi="Cambria Math" w:cs="Times New Roman"/>
                    <w:color w:val="0C0C0C"/>
                    <w:sz w:val="24"/>
                    <w:szCs w:val="24"/>
                    <w:highlight w:val="none"/>
                    <w:lang w:val="en-US" w:eastAsia="zh-CN"/>
                  </w:rPr>
                  <m:t>+10lgS</m:t>
                </m:r>
              </m:oMath>
            </m:oMathPara>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⑤等效室外声源的位置为围护结构的位置，其倍频带声功率级为L w ，根据厂房结构（门、窗）和预测点的位置关系，分别按照面声源、线声源和点声源的衰减模式，计算预测点处的声级。</w:t>
            </w:r>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假设窗户的宽度为a，高度为b，窗户个数为n；预测点距墙中心的距离为r。预测点的声级按照下述公式进行预测：</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当r≤b/π时，L</w:t>
            </w:r>
            <w:r>
              <w:rPr>
                <w:rFonts w:hint="default" w:ascii="Times New Roman" w:hAnsi="Times New Roman" w:cs="Times New Roman"/>
                <w:color w:val="000000"/>
                <w:sz w:val="24"/>
                <w:szCs w:val="24"/>
                <w:highlight w:val="none"/>
                <w:vertAlign w:val="subscript"/>
                <w:lang w:val="en-US" w:eastAsia="zh-CN"/>
              </w:rPr>
              <w:t>A</w:t>
            </w:r>
            <w:r>
              <w:rPr>
                <w:rFonts w:hint="default" w:ascii="Times New Roman" w:hAnsi="Times New Roman" w:cs="Times New Roman"/>
                <w:color w:val="000000"/>
                <w:sz w:val="24"/>
                <w:szCs w:val="24"/>
                <w:highlight w:val="none"/>
                <w:lang w:val="en-US" w:eastAsia="zh-CN"/>
              </w:rPr>
              <w:t>（r）=L</w:t>
            </w:r>
            <w:r>
              <w:rPr>
                <w:rFonts w:hint="default" w:ascii="Times New Roman" w:hAnsi="Times New Roman" w:cs="Times New Roman"/>
                <w:color w:val="000000"/>
                <w:sz w:val="24"/>
                <w:szCs w:val="24"/>
                <w:highlight w:val="none"/>
                <w:vertAlign w:val="subscript"/>
                <w:lang w:val="en-US" w:eastAsia="zh-CN"/>
              </w:rPr>
              <w:t>2</w:t>
            </w:r>
            <w:r>
              <w:rPr>
                <w:rFonts w:hint="default" w:ascii="Times New Roman" w:hAnsi="Times New Roman" w:cs="Times New Roman"/>
                <w:color w:val="000000"/>
                <w:sz w:val="24"/>
                <w:szCs w:val="24"/>
                <w:highlight w:val="none"/>
                <w:lang w:val="en-US" w:eastAsia="zh-CN"/>
              </w:rPr>
              <w:t>（即按面声源处理）；</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当b/π≤r≤na/π时，L</w:t>
            </w:r>
            <w:r>
              <w:rPr>
                <w:rFonts w:hint="default" w:ascii="Times New Roman" w:hAnsi="Times New Roman" w:cs="Times New Roman"/>
                <w:color w:val="000000"/>
                <w:sz w:val="24"/>
                <w:szCs w:val="24"/>
                <w:highlight w:val="none"/>
                <w:vertAlign w:val="subscript"/>
                <w:lang w:val="en-US" w:eastAsia="zh-CN"/>
              </w:rPr>
              <w:t>A</w:t>
            </w:r>
            <w:r>
              <w:rPr>
                <w:rFonts w:hint="default" w:ascii="Times New Roman" w:hAnsi="Times New Roman" w:cs="Times New Roman"/>
                <w:color w:val="000000"/>
                <w:sz w:val="24"/>
                <w:szCs w:val="24"/>
                <w:highlight w:val="none"/>
                <w:lang w:val="en-US" w:eastAsia="zh-CN"/>
              </w:rPr>
              <w:t>（r）=L</w:t>
            </w:r>
            <w:r>
              <w:rPr>
                <w:rFonts w:hint="default" w:ascii="Times New Roman" w:hAnsi="Times New Roman" w:cs="Times New Roman"/>
                <w:color w:val="000000"/>
                <w:sz w:val="24"/>
                <w:szCs w:val="24"/>
                <w:highlight w:val="none"/>
                <w:vertAlign w:val="subscript"/>
                <w:lang w:val="en-US" w:eastAsia="zh-CN"/>
              </w:rPr>
              <w:t>2</w:t>
            </w:r>
            <w:r>
              <w:rPr>
                <w:rFonts w:hint="default" w:ascii="Times New Roman" w:hAnsi="Times New Roman" w:cs="Times New Roman"/>
                <w:color w:val="000000"/>
                <w:sz w:val="24"/>
                <w:szCs w:val="24"/>
                <w:highlight w:val="none"/>
                <w:lang w:val="en-US" w:eastAsia="zh-CN"/>
              </w:rPr>
              <w:t>-10lg（r/b）（即按线声源处理）；</w:t>
            </w:r>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当r≥na/π时，L</w:t>
            </w:r>
            <w:r>
              <w:rPr>
                <w:rFonts w:hint="default" w:ascii="Times New Roman" w:hAnsi="Times New Roman" w:cs="Times New Roman"/>
                <w:color w:val="000000"/>
                <w:sz w:val="24"/>
                <w:szCs w:val="24"/>
                <w:highlight w:val="none"/>
                <w:vertAlign w:val="subscript"/>
                <w:lang w:val="en-US" w:eastAsia="zh-CN"/>
              </w:rPr>
              <w:t>A</w:t>
            </w:r>
            <w:r>
              <w:rPr>
                <w:rFonts w:hint="default" w:ascii="Times New Roman" w:hAnsi="Times New Roman" w:cs="Times New Roman"/>
                <w:color w:val="000000"/>
                <w:sz w:val="24"/>
                <w:szCs w:val="24"/>
                <w:highlight w:val="none"/>
                <w:lang w:val="en-US" w:eastAsia="zh-CN"/>
              </w:rPr>
              <w:t>（r）=L</w:t>
            </w:r>
            <w:r>
              <w:rPr>
                <w:rFonts w:hint="default" w:ascii="Times New Roman" w:hAnsi="Times New Roman" w:cs="Times New Roman"/>
                <w:color w:val="000000"/>
                <w:sz w:val="24"/>
                <w:szCs w:val="24"/>
                <w:highlight w:val="none"/>
                <w:vertAlign w:val="subscript"/>
                <w:lang w:val="en-US" w:eastAsia="zh-CN"/>
              </w:rPr>
              <w:t>2</w:t>
            </w:r>
            <w:r>
              <w:rPr>
                <w:rFonts w:hint="default" w:ascii="Times New Roman" w:hAnsi="Times New Roman" w:cs="Times New Roman"/>
                <w:color w:val="000000"/>
                <w:sz w:val="24"/>
                <w:szCs w:val="24"/>
                <w:highlight w:val="none"/>
                <w:lang w:val="en-US" w:eastAsia="zh-CN"/>
              </w:rPr>
              <w:t>-20lg（r/na）（即按点声源处理）；</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（3）计算总声压级</w:t>
            </w:r>
          </w:p>
          <w:p>
            <w:pPr>
              <w:keepNext w:val="0"/>
              <w:keepLines w:val="0"/>
              <w:pageBreakBefore w:val="0"/>
              <w:kinsoku/>
              <w:wordWrap/>
              <w:overflowPunct/>
              <w:topLinePunct w:val="0"/>
              <w:autoSpaceDE/>
              <w:autoSpaceDN/>
              <w:bidi w:val="0"/>
              <w:adjustRightInd/>
              <w:spacing w:line="480" w:lineRule="exact"/>
              <w:ind w:left="0" w:leftChars="0" w:right="0" w:firstLine="480" w:firstLineChars="200"/>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①计算本工程各室外噪声源和各含噪声源厂房对各预测点噪声贡献值</w:t>
            </w:r>
          </w:p>
          <w:p>
            <w:pPr>
              <w:pStyle w:val="31"/>
              <w:keepNext w:val="0"/>
              <w:keepLines w:val="0"/>
              <w:pageBreakBefore w:val="0"/>
              <w:kinsoku/>
              <w:wordWrap/>
              <w:overflowPunct/>
              <w:topLinePunct w:val="0"/>
              <w:autoSpaceDE/>
              <w:autoSpaceDN/>
              <w:bidi w:val="0"/>
              <w:adjustRightInd/>
              <w:spacing w:after="0" w:line="480" w:lineRule="exact"/>
              <w:ind w:left="0" w:leftChars="0" w:right="0" w:firstLine="480" w:firstLineChars="200"/>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设第i个室外声源在预测点产生的A声级为L</w:t>
            </w:r>
            <w:r>
              <w:rPr>
                <w:rFonts w:hint="default" w:ascii="Times New Roman" w:hAnsi="Times New Roman" w:eastAsia="宋体" w:cs="Times New Roman"/>
                <w:color w:val="000000"/>
                <w:sz w:val="24"/>
                <w:szCs w:val="24"/>
                <w:highlight w:val="none"/>
                <w:vertAlign w:val="subscript"/>
                <w:lang w:val="en-US" w:eastAsia="zh-CN"/>
              </w:rPr>
              <w:t>Ai</w:t>
            </w:r>
            <w:r>
              <w:rPr>
                <w:rFonts w:hint="default" w:ascii="Times New Roman" w:hAnsi="Times New Roman" w:eastAsia="宋体" w:cs="Times New Roman"/>
                <w:color w:val="000000"/>
                <w:sz w:val="24"/>
                <w:szCs w:val="24"/>
                <w:highlight w:val="none"/>
                <w:lang w:val="en-US" w:eastAsia="zh-CN"/>
              </w:rPr>
              <w:t>，在T时间内该声源工作时间为t</w:t>
            </w:r>
            <w:r>
              <w:rPr>
                <w:rFonts w:hint="default" w:ascii="Times New Roman" w:hAnsi="Times New Roman" w:eastAsia="宋体" w:cs="Times New Roman"/>
                <w:color w:val="000000"/>
                <w:sz w:val="24"/>
                <w:szCs w:val="24"/>
                <w:highlight w:val="none"/>
                <w:vertAlign w:val="subscript"/>
                <w:lang w:val="en-US" w:eastAsia="zh-CN"/>
              </w:rPr>
              <w:t>i</w:t>
            </w:r>
            <w:r>
              <w:rPr>
                <w:rFonts w:hint="default" w:ascii="Times New Roman" w:hAnsi="Times New Roman" w:eastAsia="宋体" w:cs="Times New Roman"/>
                <w:color w:val="000000"/>
                <w:sz w:val="24"/>
                <w:szCs w:val="24"/>
                <w:highlight w:val="none"/>
                <w:lang w:val="en-US" w:eastAsia="zh-CN"/>
              </w:rPr>
              <w:t>；第j个等效室外声源在预测点产生的A声级为L</w:t>
            </w:r>
            <w:r>
              <w:rPr>
                <w:rFonts w:hint="default" w:ascii="Times New Roman" w:hAnsi="Times New Roman" w:eastAsia="宋体" w:cs="Times New Roman"/>
                <w:color w:val="000000"/>
                <w:sz w:val="24"/>
                <w:szCs w:val="24"/>
                <w:highlight w:val="none"/>
                <w:vertAlign w:val="subscript"/>
                <w:lang w:val="en-US" w:eastAsia="zh-CN"/>
              </w:rPr>
              <w:t>Aj</w:t>
            </w:r>
            <w:r>
              <w:rPr>
                <w:rFonts w:hint="default" w:ascii="Times New Roman" w:hAnsi="Times New Roman" w:eastAsia="宋体" w:cs="Times New Roman"/>
                <w:color w:val="000000"/>
                <w:sz w:val="24"/>
                <w:szCs w:val="24"/>
                <w:highlight w:val="none"/>
                <w:lang w:val="en-US" w:eastAsia="zh-CN"/>
              </w:rPr>
              <w:t>，在T时间内该声源工作时间为t</w:t>
            </w:r>
            <w:r>
              <w:rPr>
                <w:rFonts w:hint="default" w:ascii="Times New Roman" w:hAnsi="Times New Roman" w:eastAsia="宋体" w:cs="Times New Roman"/>
                <w:color w:val="000000"/>
                <w:sz w:val="24"/>
                <w:szCs w:val="24"/>
                <w:highlight w:val="none"/>
                <w:vertAlign w:val="subscript"/>
                <w:lang w:val="en-US" w:eastAsia="zh-CN"/>
              </w:rPr>
              <w:t>j</w:t>
            </w:r>
            <w:r>
              <w:rPr>
                <w:rFonts w:hint="default" w:ascii="Times New Roman" w:hAnsi="Times New Roman" w:eastAsia="宋体" w:cs="Times New Roman"/>
                <w:color w:val="000000"/>
                <w:sz w:val="24"/>
                <w:szCs w:val="24"/>
                <w:highlight w:val="none"/>
                <w:lang w:val="en-US" w:eastAsia="zh-CN"/>
              </w:rPr>
              <w:t>，则拟建工程声源对预测点产生的贡献值（L</w:t>
            </w:r>
            <w:r>
              <w:rPr>
                <w:rFonts w:hint="default" w:ascii="Times New Roman" w:hAnsi="Times New Roman" w:eastAsia="宋体" w:cs="Times New Roman"/>
                <w:color w:val="000000"/>
                <w:sz w:val="24"/>
                <w:szCs w:val="24"/>
                <w:highlight w:val="none"/>
                <w:vertAlign w:val="subscript"/>
                <w:lang w:val="en-US" w:eastAsia="zh-CN"/>
              </w:rPr>
              <w:t>eqg</w:t>
            </w:r>
            <w:r>
              <w:rPr>
                <w:rFonts w:hint="default" w:ascii="Times New Roman" w:hAnsi="Times New Roman" w:eastAsia="宋体" w:cs="Times New Roman"/>
                <w:color w:val="000000"/>
                <w:sz w:val="24"/>
                <w:szCs w:val="24"/>
                <w:highlight w:val="none"/>
                <w:lang w:val="en-US" w:eastAsia="zh-CN"/>
              </w:rPr>
              <w:t>）为：</w:t>
            </w:r>
          </w:p>
          <w:p>
            <w:pPr>
              <w:pStyle w:val="30"/>
              <w:keepNext w:val="0"/>
              <w:keepLines w:val="0"/>
              <w:pageBreakBefore w:val="0"/>
              <w:widowControl/>
              <w:kinsoku/>
              <w:wordWrap/>
              <w:overflowPunct/>
              <w:topLinePunct w:val="0"/>
              <w:autoSpaceDE/>
              <w:autoSpaceDN/>
              <w:bidi w:val="0"/>
              <w:adjustRightInd/>
              <w:snapToGrid w:val="0"/>
              <w:spacing w:before="0" w:after="0" w:line="240" w:lineRule="auto"/>
              <w:ind w:left="0" w:leftChars="0" w:right="0" w:firstLine="0" w:firstLineChars="0"/>
              <w:jc w:val="center"/>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drawing>
                <wp:inline distT="0" distB="0" distL="114300" distR="114300">
                  <wp:extent cx="3367405" cy="499110"/>
                  <wp:effectExtent l="0" t="0" r="4445" b="15240"/>
                  <wp:docPr id="1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
                          <pic:cNvPicPr>
                            <a:picLocks noChangeAspect="1"/>
                          </pic:cNvPicPr>
                        </pic:nvPicPr>
                        <pic:blipFill>
                          <a:blip r:embed="rId12"/>
                          <a:stretch>
                            <a:fillRect/>
                          </a:stretch>
                        </pic:blipFill>
                        <pic:spPr>
                          <a:xfrm>
                            <a:off x="0" y="0"/>
                            <a:ext cx="3367405" cy="49911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②预测点的噪声预测值</w:t>
            </w:r>
          </w:p>
          <w:p>
            <w:pPr>
              <w:pStyle w:val="31"/>
              <w:keepNext w:val="0"/>
              <w:keepLines w:val="0"/>
              <w:pageBreakBefore w:val="0"/>
              <w:widowControl w:val="0"/>
              <w:kinsoku/>
              <w:wordWrap/>
              <w:overflowPunct/>
              <w:topLinePunct w:val="0"/>
              <w:autoSpaceDE/>
              <w:autoSpaceDN/>
              <w:bidi w:val="0"/>
              <w:adjustRightInd/>
              <w:snapToGrid/>
              <w:spacing w:after="0" w:line="240" w:lineRule="auto"/>
              <w:ind w:left="0" w:leftChars="0" w:right="0" w:firstLine="0"/>
              <w:jc w:val="center"/>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drawing>
                <wp:inline distT="0" distB="0" distL="114300" distR="114300">
                  <wp:extent cx="2305050" cy="352425"/>
                  <wp:effectExtent l="0" t="0" r="0" b="9525"/>
                  <wp:docPr id="1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7"/>
                          <pic:cNvPicPr>
                            <a:picLocks noChangeAspect="1"/>
                          </pic:cNvPicPr>
                        </pic:nvPicPr>
                        <pic:blipFill>
                          <a:blip r:embed="rId13"/>
                          <a:stretch>
                            <a:fillRect/>
                          </a:stretch>
                        </pic:blipFill>
                        <pic:spPr>
                          <a:xfrm>
                            <a:off x="0" y="0"/>
                            <a:ext cx="2305050" cy="352425"/>
                          </a:xfrm>
                          <a:prstGeom prst="rect">
                            <a:avLst/>
                          </a:prstGeom>
                          <a:noFill/>
                          <a:ln>
                            <a:noFill/>
                          </a:ln>
                        </pic:spPr>
                      </pic:pic>
                    </a:graphicData>
                  </a:graphic>
                </wp:inline>
              </w:drawing>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式中：</w:t>
            </w:r>
          </w:p>
          <w:p>
            <w:pPr>
              <w:pStyle w:val="30"/>
              <w:keepNext w:val="0"/>
              <w:keepLines w:val="0"/>
              <w:pageBreakBefore w:val="0"/>
              <w:kinsoku/>
              <w:wordWrap/>
              <w:overflowPunct/>
              <w:topLinePunct w:val="0"/>
              <w:autoSpaceDE/>
              <w:autoSpaceDN/>
              <w:bidi w:val="0"/>
              <w:adjustRightInd/>
              <w:spacing w:before="0" w:after="0"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L</w:t>
            </w:r>
            <w:r>
              <w:rPr>
                <w:rFonts w:hint="default" w:ascii="Times New Roman" w:hAnsi="Times New Roman" w:cs="Times New Roman"/>
                <w:color w:val="000000"/>
                <w:sz w:val="24"/>
                <w:szCs w:val="24"/>
                <w:highlight w:val="none"/>
                <w:vertAlign w:val="subscript"/>
              </w:rPr>
              <w:t>eqg</w:t>
            </w:r>
            <w:r>
              <w:rPr>
                <w:rFonts w:hint="default" w:ascii="Times New Roman" w:hAnsi="Times New Roman" w:cs="Times New Roman"/>
                <w:color w:val="000000"/>
                <w:sz w:val="24"/>
                <w:szCs w:val="24"/>
                <w:highlight w:val="none"/>
              </w:rPr>
              <w:t>——建设项目声源在预测点的等效声级贡献值，dB（A）；</w:t>
            </w:r>
          </w:p>
          <w:p>
            <w:pPr>
              <w:keepNext w:val="0"/>
              <w:keepLines w:val="0"/>
              <w:pageBreakBefore w:val="0"/>
              <w:kinsoku/>
              <w:wordWrap/>
              <w:overflowPunct/>
              <w:topLinePunct w:val="0"/>
              <w:autoSpaceDE/>
              <w:autoSpaceDN/>
              <w:bidi w:val="0"/>
              <w:adjustRightInd/>
              <w:spacing w:line="480" w:lineRule="exact"/>
              <w:ind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L</w:t>
            </w:r>
            <w:r>
              <w:rPr>
                <w:rFonts w:hint="default" w:ascii="Times New Roman" w:hAnsi="Times New Roman" w:cs="Times New Roman"/>
                <w:color w:val="000000"/>
                <w:sz w:val="24"/>
                <w:szCs w:val="24"/>
                <w:highlight w:val="none"/>
                <w:vertAlign w:val="subscript"/>
                <w:lang w:val="en-US" w:eastAsia="zh-CN"/>
              </w:rPr>
              <w:t>eqb</w:t>
            </w:r>
            <w:r>
              <w:rPr>
                <w:rFonts w:hint="default" w:ascii="Times New Roman" w:hAnsi="Times New Roman" w:cs="Times New Roman"/>
                <w:color w:val="000000"/>
                <w:sz w:val="24"/>
                <w:szCs w:val="24"/>
                <w:highlight w:val="none"/>
                <w:lang w:val="en-US" w:eastAsia="zh-CN"/>
              </w:rPr>
              <w:t>——预测点的背景值，dB（A）。</w:t>
            </w:r>
          </w:p>
          <w:p>
            <w:pPr>
              <w:pStyle w:val="31"/>
              <w:pageBreakBefore w:val="0"/>
              <w:widowControl w:val="0"/>
              <w:numPr>
                <w:ilvl w:val="0"/>
                <w:numId w:val="0"/>
              </w:numPr>
              <w:kinsoku/>
              <w:wordWrap/>
              <w:overflowPunct/>
              <w:topLinePunct w:val="0"/>
              <w:autoSpaceDE/>
              <w:autoSpaceDN/>
              <w:bidi w:val="0"/>
              <w:adjustRightInd/>
              <w:spacing w:after="0" w:line="480" w:lineRule="exact"/>
              <w:ind w:leftChars="0" w:firstLine="480" w:firstLineChars="200"/>
              <w:textAlignment w:val="auto"/>
              <w:rPr>
                <w:rFonts w:hint="default" w:ascii="Times New Roman" w:hAnsi="Times New Roman" w:eastAsia="宋体" w:cs="Times New Roman"/>
                <w:snapToGrid w:val="0"/>
                <w:color w:val="000000"/>
                <w:kern w:val="0"/>
                <w:sz w:val="24"/>
                <w:szCs w:val="24"/>
                <w:highlight w:val="none"/>
                <w:lang w:val="en-US" w:eastAsia="zh-CN" w:bidi="ar-SA"/>
              </w:rPr>
            </w:pPr>
            <w:r>
              <w:rPr>
                <w:rFonts w:hint="default" w:ascii="Times New Roman" w:hAnsi="Times New Roman" w:eastAsia="宋体" w:cs="Times New Roman"/>
                <w:snapToGrid w:val="0"/>
                <w:color w:val="000000"/>
                <w:kern w:val="0"/>
                <w:sz w:val="24"/>
                <w:szCs w:val="24"/>
                <w:highlight w:val="none"/>
                <w:lang w:val="en-US" w:eastAsia="zh-CN" w:bidi="ar-SA"/>
              </w:rPr>
              <w:t>2、预测参数</w:t>
            </w:r>
          </w:p>
          <w:p>
            <w:pPr>
              <w:pStyle w:val="99"/>
              <w:spacing w:line="360" w:lineRule="auto"/>
              <w:ind w:firstLine="480"/>
              <w:rPr>
                <w:rFonts w:hint="default" w:ascii="Times New Roman" w:hAnsi="Times New Roman" w:cs="Times New Roman"/>
                <w:color w:val="000000"/>
                <w:szCs w:val="24"/>
                <w:highlight w:val="none"/>
              </w:rPr>
            </w:pPr>
            <w:r>
              <w:rPr>
                <w:rFonts w:hint="default" w:ascii="Times New Roman" w:hAnsi="Times New Roman" w:cs="Times New Roman"/>
                <w:color w:val="000000"/>
                <w:szCs w:val="24"/>
                <w:highlight w:val="none"/>
              </w:rPr>
              <w:t>类比同类设备产噪情况，确定本项目各噪声源参数见</w:t>
            </w:r>
            <w:r>
              <w:rPr>
                <w:rFonts w:hint="default" w:ascii="Times New Roman" w:hAnsi="Times New Roman" w:cs="Times New Roman"/>
                <w:color w:val="000000"/>
                <w:szCs w:val="24"/>
                <w:highlight w:val="none"/>
                <w:lang w:val="en-US"/>
              </w:rPr>
              <w:t>下表</w:t>
            </w:r>
            <w:r>
              <w:rPr>
                <w:rFonts w:hint="default" w:ascii="Times New Roman" w:hAnsi="Times New Roman" w:cs="Times New Roman"/>
                <w:color w:val="000000"/>
                <w:szCs w:val="24"/>
                <w:highlight w:val="none"/>
              </w:rPr>
              <w:t>。</w:t>
            </w:r>
          </w:p>
          <w:p>
            <w:pPr>
              <w:adjustRightInd w:val="0"/>
              <w:snapToGrid w:val="0"/>
              <w:jc w:val="center"/>
              <w:rPr>
                <w:rFonts w:hint="default" w:ascii="Times New Roman" w:hAnsi="Times New Roman" w:cs="Times New Roman"/>
                <w:b/>
                <w:color w:val="000000"/>
                <w:sz w:val="24"/>
                <w:highlight w:val="none"/>
              </w:rPr>
            </w:pPr>
            <w:r>
              <w:rPr>
                <w:rFonts w:hint="default" w:ascii="Times New Roman" w:hAnsi="Times New Roman" w:cs="Times New Roman"/>
                <w:b/>
                <w:color w:val="000000"/>
                <w:sz w:val="24"/>
                <w:highlight w:val="none"/>
              </w:rPr>
              <w:t>表4-</w:t>
            </w:r>
            <w:r>
              <w:rPr>
                <w:rFonts w:hint="default" w:ascii="Times New Roman" w:hAnsi="Times New Roman" w:cs="Times New Roman"/>
                <w:b/>
                <w:color w:val="000000"/>
                <w:sz w:val="24"/>
                <w:highlight w:val="none"/>
                <w:lang w:val="en-US" w:eastAsia="zh-CN"/>
              </w:rPr>
              <w:t>8</w:t>
            </w:r>
            <w:r>
              <w:rPr>
                <w:rFonts w:hint="default" w:ascii="Times New Roman" w:hAnsi="Times New Roman" w:cs="Times New Roman"/>
                <w:b/>
                <w:color w:val="000000"/>
                <w:sz w:val="24"/>
                <w:highlight w:val="none"/>
              </w:rPr>
              <w:t xml:space="preserve">  噪声源参数一览表（室内）</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9"/>
              <w:gridCol w:w="784"/>
              <w:gridCol w:w="385"/>
              <w:gridCol w:w="593"/>
              <w:gridCol w:w="755"/>
              <w:gridCol w:w="784"/>
              <w:gridCol w:w="770"/>
              <w:gridCol w:w="502"/>
              <w:gridCol w:w="1808"/>
              <w:gridCol w:w="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zh-CN"/>
                    </w:rPr>
                    <w:t>名称</w:t>
                  </w:r>
                </w:p>
              </w:tc>
              <w:tc>
                <w:tcPr>
                  <w:tcW w:w="473"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噪声源强dB(A)</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数量</w:t>
                  </w:r>
                </w:p>
              </w:tc>
              <w:tc>
                <w:tcPr>
                  <w:tcW w:w="357"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治理措施</w:t>
                  </w:r>
                </w:p>
              </w:tc>
              <w:tc>
                <w:tcPr>
                  <w:tcW w:w="455"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室内吸声量dB(A)</w:t>
                  </w:r>
                </w:p>
              </w:tc>
              <w:tc>
                <w:tcPr>
                  <w:tcW w:w="473"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建筑隔声量dB(A)</w:t>
                  </w:r>
                </w:p>
              </w:tc>
              <w:tc>
                <w:tcPr>
                  <w:tcW w:w="464"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治理后源强dB(A)</w:t>
                  </w:r>
                </w:p>
              </w:tc>
              <w:tc>
                <w:tcPr>
                  <w:tcW w:w="303"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运行时段</w:t>
                  </w:r>
                </w:p>
              </w:tc>
              <w:tc>
                <w:tcPr>
                  <w:tcW w:w="1090"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坐标位置</w:t>
                  </w:r>
                </w:p>
              </w:tc>
              <w:tc>
                <w:tcPr>
                  <w:tcW w:w="504"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到厂界障碍物数量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数控切割机</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75</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2</w:t>
                  </w:r>
                </w:p>
              </w:tc>
              <w:tc>
                <w:tcPr>
                  <w:tcW w:w="357"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低噪声设备、厂房隔声、基础减振</w:t>
                  </w:r>
                </w:p>
              </w:tc>
              <w:tc>
                <w:tcPr>
                  <w:tcW w:w="455"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w:t>
                  </w:r>
                </w:p>
              </w:tc>
              <w:tc>
                <w:tcPr>
                  <w:tcW w:w="473"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20</w:t>
                  </w: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50</w:t>
                  </w:r>
                </w:p>
              </w:tc>
              <w:tc>
                <w:tcPr>
                  <w:tcW w:w="303"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8h</w:t>
                  </w:r>
                </w:p>
              </w:tc>
              <w:tc>
                <w:tcPr>
                  <w:tcW w:w="1090"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120</w:t>
                  </w:r>
                  <w:r>
                    <w:rPr>
                      <w:rFonts w:hint="default" w:ascii="Times New Roman" w:hAnsi="Times New Roman" w:cs="Times New Roman"/>
                      <w:color w:val="000000"/>
                      <w:sz w:val="21"/>
                      <w:szCs w:val="21"/>
                      <w:highlight w:val="none"/>
                    </w:rPr>
                    <w:t>.76,</w:t>
                  </w:r>
                  <w:r>
                    <w:rPr>
                      <w:rFonts w:hint="default" w:ascii="Times New Roman" w:hAnsi="Times New Roman" w:cs="Times New Roman"/>
                      <w:color w:val="000000"/>
                      <w:sz w:val="21"/>
                      <w:szCs w:val="21"/>
                      <w:highlight w:val="none"/>
                      <w:lang w:val="en-US" w:eastAsia="zh-CN"/>
                    </w:rPr>
                    <w:t>108</w:t>
                  </w:r>
                  <w:r>
                    <w:rPr>
                      <w:rFonts w:hint="default" w:ascii="Times New Roman" w:hAnsi="Times New Roman" w:cs="Times New Roman"/>
                      <w:color w:val="000000"/>
                      <w:sz w:val="21"/>
                      <w:szCs w:val="21"/>
                      <w:highlight w:val="none"/>
                    </w:rPr>
                    <w:t>.63,1}</w:t>
                  </w:r>
                </w:p>
              </w:tc>
              <w:tc>
                <w:tcPr>
                  <w:tcW w:w="504"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置于车间内，东南西北均为厂房墙体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jc w:val="center"/>
              </w:trPr>
              <w:tc>
                <w:tcPr>
                  <w:tcW w:w="64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46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rPr>
                  </w:pPr>
                </w:p>
              </w:tc>
              <w:tc>
                <w:tcPr>
                  <w:tcW w:w="1090"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120.76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68</w:t>
                  </w:r>
                  <w:r>
                    <w:rPr>
                      <w:rFonts w:hint="default" w:ascii="Times New Roman" w:hAnsi="Times New Roman" w:cs="Times New Roman"/>
                      <w:color w:val="000000"/>
                      <w:sz w:val="21"/>
                      <w:szCs w:val="21"/>
                      <w:highlight w:val="none"/>
                    </w:rPr>
                    <w:t>.53,1}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数控剪板机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88</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数控折弯机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120.76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钢筋调直机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80</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120.76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90.12</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钢筋弯区机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70</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110.26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90.12</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钢筋切断机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111.26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90.12</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数控锯床</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60</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w:t>
                  </w:r>
                  <w:r>
                    <w:rPr>
                      <w:rFonts w:hint="default" w:ascii="Times New Roman" w:hAnsi="Times New Roman" w:cs="Times New Roman"/>
                      <w:color w:val="000000"/>
                      <w:sz w:val="21"/>
                      <w:szCs w:val="21"/>
                      <w:highlight w:val="none"/>
                    </w:rPr>
                    <w:t>13.15,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{-92.83,2.94,1}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二氧化碳焊机</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80</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4</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r>
                    <w:rPr>
                      <w:rFonts w:hint="default" w:ascii="Times New Roman" w:hAnsi="Times New Roman" w:cs="Times New Roman"/>
                      <w:color w:val="000000"/>
                      <w:sz w:val="21"/>
                      <w:szCs w:val="21"/>
                      <w:highlight w:val="none"/>
                      <w:lang w:val="en-US" w:eastAsia="zh-CN"/>
                    </w:rPr>
                    <w:t>08</w:t>
                  </w:r>
                  <w:r>
                    <w:rPr>
                      <w:rFonts w:hint="default" w:ascii="Times New Roman" w:hAnsi="Times New Roman" w:cs="Times New Roman"/>
                      <w:color w:val="000000"/>
                      <w:sz w:val="21"/>
                      <w:szCs w:val="21"/>
                      <w:highlight w:val="none"/>
                    </w:rPr>
                    <w:t>.17,</w:t>
                  </w:r>
                  <w:r>
                    <w:rPr>
                      <w:rFonts w:hint="default" w:ascii="Times New Roman" w:hAnsi="Times New Roman" w:cs="Times New Roman"/>
                      <w:color w:val="000000"/>
                      <w:sz w:val="21"/>
                      <w:szCs w:val="21"/>
                      <w:highlight w:val="none"/>
                      <w:lang w:val="en-US" w:eastAsia="zh-CN"/>
                    </w:rPr>
                    <w:t>108.63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{10</w:t>
                  </w:r>
                  <w:r>
                    <w:rPr>
                      <w:rFonts w:hint="default" w:ascii="Times New Roman" w:hAnsi="Times New Roman" w:cs="Times New Roman"/>
                      <w:color w:val="000000"/>
                      <w:sz w:val="21"/>
                      <w:szCs w:val="21"/>
                      <w:highlight w:val="none"/>
                      <w:lang w:val="en-US" w:eastAsia="zh-CN"/>
                    </w:rPr>
                    <w:t>6</w:t>
                  </w:r>
                  <w:r>
                    <w:rPr>
                      <w:rFonts w:hint="default" w:ascii="Times New Roman" w:hAnsi="Times New Roman" w:cs="Times New Roman"/>
                      <w:color w:val="000000"/>
                      <w:sz w:val="21"/>
                      <w:szCs w:val="21"/>
                      <w:highlight w:val="none"/>
                    </w:rPr>
                    <w:t>.05,</w:t>
                  </w:r>
                  <w:r>
                    <w:rPr>
                      <w:rFonts w:hint="default" w:ascii="Times New Roman" w:hAnsi="Times New Roman" w:cs="Times New Roman"/>
                      <w:color w:val="000000"/>
                      <w:sz w:val="21"/>
                      <w:szCs w:val="21"/>
                      <w:highlight w:val="none"/>
                      <w:lang w:val="en-US" w:eastAsia="zh-CN"/>
                    </w:rPr>
                    <w:t>108.63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r>
                    <w:rPr>
                      <w:rFonts w:hint="default" w:ascii="Times New Roman" w:hAnsi="Times New Roman" w:cs="Times New Roman"/>
                      <w:color w:val="000000"/>
                      <w:sz w:val="21"/>
                      <w:szCs w:val="21"/>
                      <w:highlight w:val="none"/>
                      <w:lang w:val="en-US" w:eastAsia="zh-CN"/>
                    </w:rPr>
                    <w:t>08</w:t>
                  </w:r>
                  <w:r>
                    <w:rPr>
                      <w:rFonts w:hint="default" w:ascii="Times New Roman" w:hAnsi="Times New Roman" w:cs="Times New Roman"/>
                      <w:color w:val="000000"/>
                      <w:sz w:val="21"/>
                      <w:szCs w:val="21"/>
                      <w:highlight w:val="none"/>
                    </w:rPr>
                    <w:t>.17,</w:t>
                  </w:r>
                  <w:r>
                    <w:rPr>
                      <w:rFonts w:hint="default" w:ascii="Times New Roman" w:hAnsi="Times New Roman" w:cs="Times New Roman"/>
                      <w:color w:val="000000"/>
                      <w:sz w:val="21"/>
                      <w:szCs w:val="21"/>
                      <w:highlight w:val="none"/>
                      <w:lang w:val="en-US" w:eastAsia="zh-CN"/>
                    </w:rPr>
                    <w:t>68.53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{10</w:t>
                  </w:r>
                  <w:r>
                    <w:rPr>
                      <w:rFonts w:hint="default" w:ascii="Times New Roman" w:hAnsi="Times New Roman" w:cs="Times New Roman"/>
                      <w:color w:val="000000"/>
                      <w:sz w:val="21"/>
                      <w:szCs w:val="21"/>
                      <w:highlight w:val="none"/>
                      <w:lang w:val="en-US" w:eastAsia="zh-CN"/>
                    </w:rPr>
                    <w:t>6</w:t>
                  </w:r>
                  <w:r>
                    <w:rPr>
                      <w:rFonts w:hint="default" w:ascii="Times New Roman" w:hAnsi="Times New Roman" w:cs="Times New Roman"/>
                      <w:color w:val="000000"/>
                      <w:sz w:val="21"/>
                      <w:szCs w:val="21"/>
                      <w:highlight w:val="none"/>
                    </w:rPr>
                    <w:t>.05,</w:t>
                  </w:r>
                  <w:r>
                    <w:rPr>
                      <w:rFonts w:hint="default" w:ascii="Times New Roman" w:hAnsi="Times New Roman" w:cs="Times New Roman"/>
                      <w:color w:val="000000"/>
                      <w:sz w:val="21"/>
                      <w:szCs w:val="21"/>
                      <w:highlight w:val="none"/>
                      <w:lang w:val="en-US" w:eastAsia="zh-CN"/>
                    </w:rPr>
                    <w:t>68.53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交流焊机</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80</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{10</w:t>
                  </w:r>
                  <w:r>
                    <w:rPr>
                      <w:rFonts w:hint="default" w:ascii="Times New Roman" w:hAnsi="Times New Roman" w:cs="Times New Roman"/>
                      <w:color w:val="000000"/>
                      <w:sz w:val="21"/>
                      <w:szCs w:val="21"/>
                      <w:highlight w:val="none"/>
                      <w:lang w:val="en-US" w:eastAsia="zh-CN"/>
                    </w:rPr>
                    <w:t>4</w:t>
                  </w:r>
                  <w:r>
                    <w:rPr>
                      <w:rFonts w:hint="default" w:ascii="Times New Roman" w:hAnsi="Times New Roman" w:cs="Times New Roman"/>
                      <w:color w:val="000000"/>
                      <w:sz w:val="21"/>
                      <w:szCs w:val="21"/>
                      <w:highlight w:val="none"/>
                    </w:rPr>
                    <w:t>.05,</w:t>
                  </w:r>
                  <w:r>
                    <w:rPr>
                      <w:rFonts w:hint="default" w:ascii="Times New Roman" w:hAnsi="Times New Roman" w:cs="Times New Roman"/>
                      <w:color w:val="000000"/>
                      <w:sz w:val="21"/>
                      <w:szCs w:val="21"/>
                      <w:highlight w:val="none"/>
                      <w:lang w:val="en-US" w:eastAsia="zh-CN"/>
                    </w:rPr>
                    <w:t>108.63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r>
                    <w:rPr>
                      <w:rFonts w:hint="default" w:ascii="Times New Roman" w:hAnsi="Times New Roman" w:cs="Times New Roman"/>
                      <w:color w:val="000000"/>
                      <w:sz w:val="21"/>
                      <w:szCs w:val="21"/>
                      <w:highlight w:val="none"/>
                      <w:lang w:val="en-US" w:eastAsia="zh-CN"/>
                    </w:rPr>
                    <w:t>03</w:t>
                  </w:r>
                  <w:r>
                    <w:rPr>
                      <w:rFonts w:hint="default" w:ascii="Times New Roman" w:hAnsi="Times New Roman" w:cs="Times New Roman"/>
                      <w:color w:val="000000"/>
                      <w:sz w:val="21"/>
                      <w:szCs w:val="21"/>
                      <w:highlight w:val="none"/>
                    </w:rPr>
                    <w:t>.17,</w:t>
                  </w:r>
                  <w:r>
                    <w:rPr>
                      <w:rFonts w:hint="default" w:ascii="Times New Roman" w:hAnsi="Times New Roman" w:cs="Times New Roman"/>
                      <w:color w:val="000000"/>
                      <w:sz w:val="21"/>
                      <w:szCs w:val="21"/>
                      <w:highlight w:val="none"/>
                      <w:lang w:val="en-US" w:eastAsia="zh-CN"/>
                    </w:rPr>
                    <w:t>68.53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焊接机器人</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75</w:t>
                  </w:r>
                </w:p>
              </w:tc>
              <w:tc>
                <w:tcPr>
                  <w:tcW w:w="232" w:type="pct"/>
                  <w:vMerge w:val="restar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{10</w:t>
                  </w:r>
                  <w:r>
                    <w:rPr>
                      <w:rFonts w:hint="default" w:ascii="Times New Roman" w:hAnsi="Times New Roman" w:cs="Times New Roman"/>
                      <w:color w:val="000000"/>
                      <w:sz w:val="21"/>
                      <w:szCs w:val="21"/>
                      <w:highlight w:val="none"/>
                      <w:lang w:val="en-US" w:eastAsia="zh-CN"/>
                    </w:rPr>
                    <w:t>2</w:t>
                  </w:r>
                  <w:r>
                    <w:rPr>
                      <w:rFonts w:hint="default" w:ascii="Times New Roman" w:hAnsi="Times New Roman" w:cs="Times New Roman"/>
                      <w:color w:val="000000"/>
                      <w:sz w:val="21"/>
                      <w:szCs w:val="21"/>
                      <w:highlight w:val="none"/>
                    </w:rPr>
                    <w:t>.05,</w:t>
                  </w:r>
                  <w:r>
                    <w:rPr>
                      <w:rFonts w:hint="default" w:ascii="Times New Roman" w:hAnsi="Times New Roman" w:cs="Times New Roman"/>
                      <w:color w:val="000000"/>
                      <w:sz w:val="21"/>
                      <w:szCs w:val="21"/>
                      <w:highlight w:val="none"/>
                      <w:lang w:val="en-US" w:eastAsia="zh-CN"/>
                    </w:rPr>
                    <w:t>108.63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bCs/>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r>
                    <w:rPr>
                      <w:rFonts w:hint="default" w:ascii="Times New Roman" w:hAnsi="Times New Roman" w:cs="Times New Roman"/>
                      <w:color w:val="000000"/>
                      <w:sz w:val="21"/>
                      <w:szCs w:val="21"/>
                      <w:highlight w:val="none"/>
                      <w:lang w:val="en-US" w:eastAsia="zh-CN"/>
                    </w:rPr>
                    <w:t>01</w:t>
                  </w:r>
                  <w:r>
                    <w:rPr>
                      <w:rFonts w:hint="default" w:ascii="Times New Roman" w:hAnsi="Times New Roman" w:cs="Times New Roman"/>
                      <w:color w:val="000000"/>
                      <w:sz w:val="21"/>
                      <w:szCs w:val="21"/>
                      <w:highlight w:val="none"/>
                    </w:rPr>
                    <w:t>.17,</w:t>
                  </w:r>
                  <w:r>
                    <w:rPr>
                      <w:rFonts w:hint="default" w:ascii="Times New Roman" w:hAnsi="Times New Roman" w:cs="Times New Roman"/>
                      <w:color w:val="000000"/>
                      <w:sz w:val="21"/>
                      <w:szCs w:val="21"/>
                      <w:highlight w:val="none"/>
                      <w:lang w:val="en-US" w:eastAsia="zh-CN"/>
                    </w:rPr>
                    <w:t>68.53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激光焊机</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80</w:t>
                  </w:r>
                </w:p>
              </w:tc>
              <w:tc>
                <w:tcPr>
                  <w:tcW w:w="232" w:type="pct"/>
                  <w:vMerge w:val="restar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{10</w:t>
                  </w:r>
                  <w:r>
                    <w:rPr>
                      <w:rFonts w:hint="default" w:ascii="Times New Roman" w:hAnsi="Times New Roman" w:cs="Times New Roman"/>
                      <w:color w:val="000000"/>
                      <w:sz w:val="21"/>
                      <w:szCs w:val="21"/>
                      <w:highlight w:val="none"/>
                      <w:lang w:val="en-US" w:eastAsia="zh-CN"/>
                    </w:rPr>
                    <w:t>0</w:t>
                  </w:r>
                  <w:r>
                    <w:rPr>
                      <w:rFonts w:hint="default" w:ascii="Times New Roman" w:hAnsi="Times New Roman" w:cs="Times New Roman"/>
                      <w:color w:val="000000"/>
                      <w:sz w:val="21"/>
                      <w:szCs w:val="21"/>
                      <w:highlight w:val="none"/>
                    </w:rPr>
                    <w:t>.05,</w:t>
                  </w:r>
                  <w:r>
                    <w:rPr>
                      <w:rFonts w:hint="default" w:ascii="Times New Roman" w:hAnsi="Times New Roman" w:cs="Times New Roman"/>
                      <w:color w:val="000000"/>
                      <w:sz w:val="21"/>
                      <w:szCs w:val="21"/>
                      <w:highlight w:val="none"/>
                      <w:lang w:val="en-US" w:eastAsia="zh-CN"/>
                    </w:rPr>
                    <w:t>108.63</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57"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5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6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0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99</w:t>
                  </w:r>
                  <w:r>
                    <w:rPr>
                      <w:rFonts w:hint="default" w:ascii="Times New Roman" w:hAnsi="Times New Roman" w:cs="Times New Roman"/>
                      <w:color w:val="000000"/>
                      <w:sz w:val="21"/>
                      <w:szCs w:val="21"/>
                      <w:highlight w:val="none"/>
                    </w:rPr>
                    <w:t>.17,</w:t>
                  </w:r>
                  <w:r>
                    <w:rPr>
                      <w:rFonts w:hint="default" w:ascii="Times New Roman" w:hAnsi="Times New Roman" w:cs="Times New Roman"/>
                      <w:color w:val="000000"/>
                      <w:sz w:val="21"/>
                      <w:szCs w:val="21"/>
                      <w:highlight w:val="none"/>
                      <w:lang w:val="en-US" w:eastAsia="zh-CN"/>
                    </w:rPr>
                    <w:t>68.53</w:t>
                  </w:r>
                  <w:r>
                    <w:rPr>
                      <w:rFonts w:hint="default" w:ascii="Times New Roman" w:hAnsi="Times New Roman" w:cs="Times New Roman"/>
                      <w:color w:val="000000"/>
                      <w:sz w:val="21"/>
                      <w:szCs w:val="21"/>
                      <w:highlight w:val="none"/>
                    </w:rPr>
                    <w:t>,1}</w:t>
                  </w:r>
                </w:p>
              </w:tc>
              <w:tc>
                <w:tcPr>
                  <w:tcW w:w="50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抛丸清理机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80</w:t>
                  </w:r>
                </w:p>
              </w:tc>
              <w:tc>
                <w:tcPr>
                  <w:tcW w:w="232"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55</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20.76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90.12</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龙门铣床</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85</w:t>
                  </w:r>
                </w:p>
              </w:tc>
              <w:tc>
                <w:tcPr>
                  <w:tcW w:w="232" w:type="pct"/>
                  <w:vMerge w:val="restar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88</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57"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5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6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0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21</w:t>
                  </w:r>
                  <w:r>
                    <w:rPr>
                      <w:rFonts w:hint="default" w:ascii="Times New Roman" w:hAnsi="Times New Roman" w:cs="Times New Roman"/>
                      <w:color w:val="000000"/>
                      <w:sz w:val="21"/>
                      <w:szCs w:val="21"/>
                      <w:highlight w:val="none"/>
                    </w:rPr>
                    <w:t>.3,</w:t>
                  </w:r>
                  <w:r>
                    <w:rPr>
                      <w:rFonts w:hint="default" w:ascii="Times New Roman" w:hAnsi="Times New Roman" w:cs="Times New Roman"/>
                      <w:color w:val="000000"/>
                      <w:sz w:val="21"/>
                      <w:szCs w:val="21"/>
                      <w:highlight w:val="none"/>
                      <w:lang w:val="en-US" w:eastAsia="zh-CN"/>
                    </w:rPr>
                    <w:t>66</w:t>
                  </w:r>
                  <w:r>
                    <w:rPr>
                      <w:rFonts w:hint="default" w:ascii="Times New Roman" w:hAnsi="Times New Roman" w:cs="Times New Roman"/>
                      <w:color w:val="000000"/>
                      <w:sz w:val="21"/>
                      <w:szCs w:val="21"/>
                      <w:highlight w:val="none"/>
                    </w:rPr>
                    <w:t>.07,1}</w:t>
                  </w:r>
                </w:p>
              </w:tc>
              <w:tc>
                <w:tcPr>
                  <w:tcW w:w="50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数控车床</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75</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104</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bCs/>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4</w:t>
                  </w:r>
                  <w:r>
                    <w:rPr>
                      <w:rFonts w:hint="default" w:ascii="Times New Roman" w:hAnsi="Times New Roman" w:cs="Times New Roman"/>
                      <w:color w:val="000000"/>
                      <w:sz w:val="21"/>
                      <w:szCs w:val="21"/>
                      <w:highlight w:val="none"/>
                    </w:rPr>
                    <w:t>2.94,1}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bCs/>
                      <w:color w:val="000000"/>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立式铣床</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75</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105</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pacing w:val="-17"/>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40.94,</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卧式铣床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105</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磨床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99</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立式车床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104</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数控镗床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38.94,</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车床</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43.94,</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57"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5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6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0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104</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数控磨床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42.5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三轴加工中心</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36.5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五轴加工中心</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5</w:t>
                  </w:r>
                  <w:r>
                    <w:rPr>
                      <w:rFonts w:hint="default" w:ascii="Times New Roman" w:hAnsi="Times New Roman" w:cs="Times New Roman"/>
                      <w:color w:val="000000"/>
                      <w:sz w:val="21"/>
                      <w:szCs w:val="21"/>
                      <w:highlight w:val="none"/>
                    </w:rPr>
                    <w:t>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38.5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三轴加工中心</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2</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37.5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57"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5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6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0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35.5</w:t>
                  </w:r>
                  <w:r>
                    <w:rPr>
                      <w:rFonts w:hint="default" w:ascii="Times New Roman" w:hAnsi="Times New Roman" w:cs="Times New Roman"/>
                      <w:color w:val="000000"/>
                      <w:sz w:val="21"/>
                      <w:szCs w:val="21"/>
                      <w:highlight w:val="none"/>
                    </w:rPr>
                    <w:t>,1}</w:t>
                  </w:r>
                </w:p>
              </w:tc>
              <w:tc>
                <w:tcPr>
                  <w:tcW w:w="50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摇臂钻床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shd w:val="clear" w:color="auto" w:fill="auto"/>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firstLineChars="0"/>
                    <w:jc w:val="center"/>
                    <w:textAlignment w:val="auto"/>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100</w:t>
                  </w:r>
                  <w:r>
                    <w:rPr>
                      <w:rFonts w:hint="default" w:ascii="Times New Roman" w:hAnsi="Times New Roman" w:cs="Times New Roman"/>
                      <w:color w:val="000000"/>
                      <w:sz w:val="21"/>
                      <w:szCs w:val="21"/>
                      <w:highlight w:val="none"/>
                    </w:rPr>
                    <w:t>.15,</w:t>
                  </w:r>
                  <w:r>
                    <w:rPr>
                      <w:rFonts w:hint="default" w:ascii="Times New Roman" w:hAnsi="Times New Roman" w:cs="Times New Roman"/>
                      <w:color w:val="000000"/>
                      <w:sz w:val="21"/>
                      <w:szCs w:val="21"/>
                      <w:highlight w:val="none"/>
                      <w:lang w:val="en-US" w:eastAsia="zh-CN"/>
                    </w:rPr>
                    <w:t>88.05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线切割机床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32</w:t>
                  </w:r>
                  <w:r>
                    <w:rPr>
                      <w:rFonts w:hint="default" w:ascii="Times New Roman" w:hAnsi="Times New Roman" w:cs="Times New Roman"/>
                      <w:color w:val="000000"/>
                      <w:sz w:val="21"/>
                      <w:szCs w:val="21"/>
                      <w:highlight w:val="none"/>
                    </w:rPr>
                    <w:t>.16,1}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cs="Times New Roman"/>
                      <w:color w:val="000000"/>
                      <w:spacing w:val="-17"/>
                      <w:sz w:val="21"/>
                      <w:szCs w:val="21"/>
                      <w:highlight w:val="none"/>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压力机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60</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自动攻丝机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55</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数控钻床</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42</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645" w:type="pct"/>
                  <w:vMerge w:val="restart"/>
                  <w:noWrap/>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t>空气压缩机</w:t>
                  </w:r>
                </w:p>
              </w:tc>
              <w:tc>
                <w:tcPr>
                  <w:tcW w:w="473"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85</w:t>
                  </w:r>
                </w:p>
              </w:tc>
              <w:tc>
                <w:tcPr>
                  <w:tcW w:w="232" w:type="pct"/>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3</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vMerge w:val="restar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65</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57"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5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46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30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65.5</w:t>
                  </w:r>
                  <w:r>
                    <w:rPr>
                      <w:rFonts w:hint="default" w:ascii="Times New Roman" w:hAnsi="Times New Roman" w:cs="Times New Roman"/>
                      <w:color w:val="000000"/>
                      <w:sz w:val="21"/>
                      <w:szCs w:val="21"/>
                      <w:highlight w:val="none"/>
                    </w:rPr>
                    <w:t>,1}</w:t>
                  </w:r>
                </w:p>
              </w:tc>
              <w:tc>
                <w:tcPr>
                  <w:tcW w:w="50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jc w:val="center"/>
              </w:trPr>
              <w:tc>
                <w:tcPr>
                  <w:tcW w:w="64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232"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57"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46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303"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85.5</w:t>
                  </w:r>
                  <w:r>
                    <w:rPr>
                      <w:rFonts w:hint="default" w:ascii="Times New Roman" w:hAnsi="Times New Roman" w:cs="Times New Roman"/>
                      <w:color w:val="000000"/>
                      <w:sz w:val="21"/>
                      <w:szCs w:val="21"/>
                      <w:highlight w:val="none"/>
                    </w:rPr>
                    <w:t>,1}</w:t>
                  </w:r>
                </w:p>
              </w:tc>
              <w:tc>
                <w:tcPr>
                  <w:tcW w:w="504" w:type="pct"/>
                  <w:vMerge w:val="continue"/>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自动压接机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122.36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12</w:t>
                  </w:r>
                  <w:r>
                    <w:rPr>
                      <w:rFonts w:hint="default" w:ascii="Times New Roman" w:hAnsi="Times New Roman" w:cs="Times New Roman"/>
                      <w:color w:val="000000"/>
                      <w:sz w:val="21"/>
                      <w:szCs w:val="21"/>
                      <w:highlight w:val="none"/>
                    </w:rPr>
                    <w:t>.05,1}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eastAsia="zh-CN"/>
                      <w14:textFill>
                        <w14:solidFill>
                          <w14:schemeClr w14:val="tx1"/>
                        </w14:solidFill>
                      </w14:textFill>
                    </w:rPr>
                  </w:pPr>
                  <w:r>
                    <w:rPr>
                      <w:rFonts w:hint="default" w:ascii="Times New Roman" w:hAnsi="Times New Roman" w:eastAsia="宋体" w:cs="Times New Roman"/>
                      <w:color w:val="000000" w:themeColor="text1"/>
                      <w:kern w:val="0"/>
                      <w:sz w:val="21"/>
                      <w:szCs w:val="21"/>
                      <w:lang w:eastAsia="zh-CN"/>
                      <w14:textFill>
                        <w14:solidFill>
                          <w14:schemeClr w14:val="tx1"/>
                        </w14:solidFill>
                      </w14:textFill>
                    </w:rPr>
                    <w:t>蒸汽发生器</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75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50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30.83</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108.5</w:t>
                  </w:r>
                  <w:r>
                    <w:rPr>
                      <w:rFonts w:hint="default" w:ascii="Times New Roman" w:hAnsi="Times New Roman" w:cs="Times New Roman"/>
                      <w:color w:val="000000"/>
                      <w:sz w:val="21"/>
                      <w:szCs w:val="21"/>
                      <w:highlight w:val="none"/>
                    </w:rPr>
                    <w:t>,1}</w:t>
                  </w:r>
                </w:p>
              </w:tc>
              <w:tc>
                <w:tcPr>
                  <w:tcW w:w="504"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645" w:type="pct"/>
                  <w:noWrap/>
                  <w:vAlign w:val="center"/>
                </w:tcPr>
                <w:p>
                  <w:pPr>
                    <w:keepNext w:val="0"/>
                    <w:keepLines w:val="0"/>
                    <w:pageBreakBefore w:val="0"/>
                    <w:widowControl/>
                    <w:kinsoku/>
                    <w:overflowPunct/>
                    <w:topLinePunct w:val="0"/>
                    <w:bidi w:val="0"/>
                    <w:jc w:val="center"/>
                    <w:rPr>
                      <w:rFonts w:hint="default" w:ascii="Times New Roman" w:hAnsi="Times New Roman" w:eastAsia="宋体" w:cs="Times New Roman"/>
                      <w:color w:val="000000" w:themeColor="text1"/>
                      <w:kern w:val="0"/>
                      <w:sz w:val="21"/>
                      <w:szCs w:val="21"/>
                      <w:lang w:val="en-US" w:eastAsia="zh-CN"/>
                      <w14:textFill>
                        <w14:solidFill>
                          <w14:schemeClr w14:val="tx1"/>
                        </w14:solidFill>
                      </w14:textFill>
                    </w:rPr>
                  </w:pPr>
                  <w:r>
                    <w:rPr>
                      <w:rFonts w:hint="default" w:ascii="Times New Roman" w:hAnsi="Times New Roman" w:cs="Times New Roman"/>
                      <w:color w:val="000000" w:themeColor="text1"/>
                      <w:kern w:val="0"/>
                      <w:sz w:val="21"/>
                      <w:szCs w:val="21"/>
                      <w:lang w:val="en-US" w:eastAsia="zh-CN"/>
                      <w14:textFill>
                        <w14:solidFill>
                          <w14:schemeClr w14:val="tx1"/>
                        </w14:solidFill>
                      </w14:textFill>
                    </w:rPr>
                    <w:t>风机</w:t>
                  </w:r>
                </w:p>
              </w:tc>
              <w:tc>
                <w:tcPr>
                  <w:tcW w:w="473"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85</w:t>
                  </w:r>
                </w:p>
              </w:tc>
              <w:tc>
                <w:tcPr>
                  <w:tcW w:w="232"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1</w:t>
                  </w:r>
                </w:p>
              </w:tc>
              <w:tc>
                <w:tcPr>
                  <w:tcW w:w="357"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55"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7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464" w:type="pct"/>
                  <w:noWrap/>
                  <w:vAlign w:val="center"/>
                </w:tcPr>
                <w:p>
                  <w:pPr>
                    <w:keepNext w:val="0"/>
                    <w:keepLines w:val="0"/>
                    <w:pageBreakBefore w:val="0"/>
                    <w:widowControl w:val="0"/>
                    <w:kinsoku/>
                    <w:wordWrap/>
                    <w:overflowPunct/>
                    <w:topLinePunct w:val="0"/>
                    <w:autoSpaceDE/>
                    <w:autoSpaceDN/>
                    <w:bidi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60</w:t>
                  </w:r>
                </w:p>
              </w:tc>
              <w:tc>
                <w:tcPr>
                  <w:tcW w:w="303" w:type="pct"/>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c>
                <w:tcPr>
                  <w:tcW w:w="1090" w:type="pct"/>
                  <w:noWrap/>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left="0" w:leftChars="0" w:right="0" w:rightChars="0" w:firstLine="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19.06</w:t>
                  </w: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90.12</w:t>
                  </w:r>
                  <w:r>
                    <w:rPr>
                      <w:rFonts w:hint="default" w:ascii="Times New Roman" w:hAnsi="Times New Roman" w:cs="Times New Roman"/>
                      <w:color w:val="000000"/>
                      <w:sz w:val="21"/>
                      <w:szCs w:val="21"/>
                      <w:highlight w:val="none"/>
                    </w:rPr>
                    <w:t>,1}</w:t>
                  </w:r>
                </w:p>
              </w:tc>
              <w:tc>
                <w:tcPr>
                  <w:tcW w:w="504" w:type="pc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10"/>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jc w:val="left"/>
                    <w:textAlignment w:val="auto"/>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rPr>
                    <w:t>（</w:t>
                  </w:r>
                  <w:r>
                    <w:rPr>
                      <w:rFonts w:hint="default" w:ascii="Times New Roman" w:hAnsi="Times New Roman" w:cs="Times New Roman"/>
                      <w:color w:val="000000"/>
                      <w:sz w:val="21"/>
                      <w:szCs w:val="21"/>
                      <w:highlight w:val="none"/>
                      <w:lang w:val="en-US" w:eastAsia="zh-CN"/>
                    </w:rPr>
                    <w:t>坐标原点位于厂区西南角，</w:t>
                  </w:r>
                  <w:r>
                    <w:rPr>
                      <w:rFonts w:hint="default" w:ascii="Times New Roman" w:hAnsi="Times New Roman" w:cs="Times New Roman"/>
                      <w:color w:val="000000"/>
                      <w:sz w:val="21"/>
                      <w:szCs w:val="21"/>
                      <w:highlight w:val="none"/>
                    </w:rPr>
                    <w:t>原点</w:t>
                  </w:r>
                  <w:r>
                    <w:rPr>
                      <w:rFonts w:hint="default" w:ascii="Times New Roman" w:hAnsi="Times New Roman" w:cs="Times New Roman"/>
                      <w:color w:val="000000"/>
                      <w:sz w:val="21"/>
                      <w:szCs w:val="21"/>
                      <w:highlight w:val="none"/>
                      <w:lang w:val="en-US" w:eastAsia="zh-CN"/>
                    </w:rPr>
                    <w:t>坐标</w:t>
                  </w:r>
                  <w:r>
                    <w:rPr>
                      <w:rFonts w:hint="default" w:ascii="Times New Roman" w:hAnsi="Times New Roman" w:cs="Times New Roman"/>
                      <w:color w:val="000000"/>
                      <w:sz w:val="21"/>
                      <w:szCs w:val="21"/>
                      <w:highlight w:val="none"/>
                    </w:rPr>
                    <w:t>：119°13′20.49770″,39°54′36.25867″）</w:t>
                  </w:r>
                  <w:r>
                    <w:rPr>
                      <w:rFonts w:hint="default" w:ascii="Times New Roman" w:hAnsi="Times New Roman" w:cs="Times New Roman"/>
                      <w:color w:val="000000"/>
                      <w:sz w:val="21"/>
                      <w:szCs w:val="21"/>
                      <w:highlight w:val="none"/>
                      <w:lang w:eastAsia="zh-CN"/>
                    </w:rPr>
                    <w:t>，</w:t>
                  </w:r>
                  <w:r>
                    <w:rPr>
                      <w:rFonts w:hint="default" w:ascii="Times New Roman" w:hAnsi="Times New Roman" w:cs="Times New Roman"/>
                      <w:color w:val="000000"/>
                      <w:sz w:val="21"/>
                      <w:szCs w:val="21"/>
                      <w:highlight w:val="none"/>
                      <w:lang w:bidi="ar"/>
                    </w:rPr>
                    <w:t>绿化带种植低矮灌木</w:t>
                  </w:r>
                  <w:r>
                    <w:rPr>
                      <w:rFonts w:hint="default" w:ascii="Times New Roman" w:hAnsi="Times New Roman" w:cs="Times New Roman"/>
                      <w:color w:val="000000"/>
                      <w:sz w:val="21"/>
                      <w:szCs w:val="21"/>
                      <w:highlight w:val="none"/>
                      <w:lang w:eastAsia="zh-CN" w:bidi="ar"/>
                    </w:rPr>
                    <w:t>，</w:t>
                  </w:r>
                  <w:r>
                    <w:rPr>
                      <w:rFonts w:hint="default" w:ascii="Times New Roman" w:hAnsi="Times New Roman" w:cs="Times New Roman"/>
                      <w:color w:val="000000"/>
                      <w:sz w:val="21"/>
                      <w:szCs w:val="21"/>
                      <w:highlight w:val="none"/>
                    </w:rPr>
                    <w:t>其余空地均为沥青混凝土道路</w:t>
                  </w:r>
                  <w:r>
                    <w:rPr>
                      <w:rFonts w:hint="default" w:ascii="Times New Roman" w:hAnsi="Times New Roman" w:cs="Times New Roman"/>
                      <w:color w:val="000000"/>
                      <w:sz w:val="21"/>
                      <w:szCs w:val="21"/>
                      <w:highlight w:val="none"/>
                      <w:lang w:eastAsia="zh-CN"/>
                    </w:rPr>
                    <w:t>。</w:t>
                  </w:r>
                </w:p>
              </w:tc>
            </w:tr>
          </w:tbl>
          <w:p>
            <w:pPr>
              <w:jc w:val="center"/>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表4-</w:t>
            </w:r>
            <w:r>
              <w:rPr>
                <w:rFonts w:hint="default" w:ascii="Times New Roman" w:hAnsi="Times New Roman" w:cs="Times New Roman"/>
                <w:b/>
                <w:bCs/>
                <w:color w:val="000000"/>
                <w:sz w:val="24"/>
                <w:highlight w:val="none"/>
                <w:lang w:val="en-US" w:eastAsia="zh-CN"/>
              </w:rPr>
              <w:t>9</w:t>
            </w:r>
            <w:r>
              <w:rPr>
                <w:rFonts w:hint="default" w:ascii="Times New Roman" w:hAnsi="Times New Roman" w:cs="Times New Roman"/>
                <w:b/>
                <w:bCs/>
                <w:color w:val="000000"/>
                <w:sz w:val="24"/>
                <w:highlight w:val="none"/>
              </w:rPr>
              <w:t xml:space="preserve"> 项目主要噪声污染源及污染防治措施（室外）</w:t>
            </w:r>
          </w:p>
          <w:tbl>
            <w:tblPr>
              <w:tblStyle w:val="32"/>
              <w:tblW w:w="82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437"/>
              <w:gridCol w:w="1589"/>
              <w:gridCol w:w="762"/>
              <w:gridCol w:w="691"/>
              <w:gridCol w:w="1813"/>
              <w:gridCol w:w="508"/>
              <w:gridCol w:w="806"/>
              <w:gridCol w:w="8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732"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声源名称</w:t>
                  </w:r>
                </w:p>
              </w:tc>
              <w:tc>
                <w:tcPr>
                  <w:tcW w:w="438"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数量</w:t>
                  </w:r>
                </w:p>
              </w:tc>
              <w:tc>
                <w:tcPr>
                  <w:tcW w:w="1597"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坐标位置</w:t>
                  </w:r>
                </w:p>
              </w:tc>
              <w:tc>
                <w:tcPr>
                  <w:tcW w:w="1459" w:type="dxa"/>
                  <w:gridSpan w:val="2"/>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噪声源强</w:t>
                  </w:r>
                </w:p>
              </w:tc>
              <w:tc>
                <w:tcPr>
                  <w:tcW w:w="1823"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声源控制措施</w:t>
                  </w:r>
                </w:p>
              </w:tc>
              <w:tc>
                <w:tcPr>
                  <w:tcW w:w="510"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运行时段</w:t>
                  </w:r>
                </w:p>
              </w:tc>
              <w:tc>
                <w:tcPr>
                  <w:tcW w:w="810"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降噪效果dB(A)</w:t>
                  </w:r>
                </w:p>
              </w:tc>
              <w:tc>
                <w:tcPr>
                  <w:tcW w:w="848" w:type="dxa"/>
                  <w:vMerge w:val="restart"/>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降噪后源强dB(A)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2"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c>
                <w:tcPr>
                  <w:tcW w:w="438"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c>
                <w:tcPr>
                  <w:tcW w:w="1597"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c>
                <w:tcPr>
                  <w:tcW w:w="765"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声压级dB(A)</w:t>
                  </w:r>
                </w:p>
              </w:tc>
              <w:tc>
                <w:tcPr>
                  <w:tcW w:w="694"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距声源距离m</w:t>
                  </w:r>
                </w:p>
              </w:tc>
              <w:tc>
                <w:tcPr>
                  <w:tcW w:w="1823"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c>
                <w:tcPr>
                  <w:tcW w:w="510"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c>
                <w:tcPr>
                  <w:tcW w:w="810"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c>
                <w:tcPr>
                  <w:tcW w:w="848" w:type="dxa"/>
                  <w:vMerge w:val="continue"/>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732"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bCs/>
                      <w:color w:val="000000"/>
                      <w:sz w:val="21"/>
                      <w:szCs w:val="21"/>
                      <w:highlight w:val="none"/>
                    </w:rPr>
                    <w:t>风机</w:t>
                  </w:r>
                </w:p>
              </w:tc>
              <w:tc>
                <w:tcPr>
                  <w:tcW w:w="438"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1597"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{5.23,</w:t>
                  </w:r>
                  <w:r>
                    <w:rPr>
                      <w:rFonts w:hint="default" w:ascii="Times New Roman" w:hAnsi="Times New Roman" w:cs="Times New Roman"/>
                      <w:color w:val="000000"/>
                      <w:sz w:val="21"/>
                      <w:szCs w:val="21"/>
                      <w:highlight w:val="none"/>
                      <w:lang w:val="en-US" w:eastAsia="zh-CN"/>
                    </w:rPr>
                    <w:t>108</w:t>
                  </w:r>
                  <w:r>
                    <w:rPr>
                      <w:rFonts w:hint="default" w:ascii="Times New Roman" w:hAnsi="Times New Roman" w:cs="Times New Roman"/>
                      <w:color w:val="000000"/>
                      <w:sz w:val="21"/>
                      <w:szCs w:val="21"/>
                      <w:highlight w:val="none"/>
                    </w:rPr>
                    <w:t>.38,1}</w:t>
                  </w:r>
                </w:p>
              </w:tc>
              <w:tc>
                <w:tcPr>
                  <w:tcW w:w="765"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80-95</w:t>
                  </w:r>
                </w:p>
              </w:tc>
              <w:tc>
                <w:tcPr>
                  <w:tcW w:w="694"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1</w:t>
                  </w:r>
                </w:p>
              </w:tc>
              <w:tc>
                <w:tcPr>
                  <w:tcW w:w="1823"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低噪声设备、基础减振</w:t>
                  </w:r>
                </w:p>
              </w:tc>
              <w:tc>
                <w:tcPr>
                  <w:tcW w:w="510"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lang w:val="en-US" w:eastAsia="zh-CN"/>
                    </w:rPr>
                    <w:t>8</w:t>
                  </w:r>
                  <w:r>
                    <w:rPr>
                      <w:rFonts w:hint="default" w:ascii="Times New Roman" w:hAnsi="Times New Roman" w:cs="Times New Roman"/>
                      <w:color w:val="000000"/>
                      <w:sz w:val="21"/>
                      <w:szCs w:val="21"/>
                      <w:highlight w:val="none"/>
                    </w:rPr>
                    <w:t>h</w:t>
                  </w:r>
                </w:p>
              </w:tc>
              <w:tc>
                <w:tcPr>
                  <w:tcW w:w="810"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25</w:t>
                  </w:r>
                </w:p>
              </w:tc>
              <w:tc>
                <w:tcPr>
                  <w:tcW w:w="848" w:type="dxa"/>
                  <w:noWrap/>
                  <w:vAlign w:val="center"/>
                </w:tcPr>
                <w:p>
                  <w:pPr>
                    <w:pStyle w:val="67"/>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firstLine="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50</w:t>
                  </w:r>
                </w:p>
              </w:tc>
            </w:tr>
          </w:tbl>
          <w:p>
            <w:pPr>
              <w:keepNext w:val="0"/>
              <w:keepLines w:val="0"/>
              <w:pageBreakBefore w:val="0"/>
              <w:widowControl w:val="0"/>
              <w:kinsoku/>
              <w:wordWrap/>
              <w:overflowPunct/>
              <w:topLinePunct w:val="0"/>
              <w:autoSpaceDE/>
              <w:autoSpaceDN/>
              <w:bidi w:val="0"/>
              <w:adjustRightInd/>
              <w:snapToGrid/>
              <w:spacing w:line="480" w:lineRule="exact"/>
              <w:ind w:right="0" w:firstLine="480" w:firstLineChars="200"/>
              <w:textAlignment w:val="auto"/>
              <w:rPr>
                <w:rFonts w:hint="default" w:ascii="Times New Roman" w:hAnsi="Times New Roman" w:eastAsia="宋体" w:cs="Times New Roman"/>
                <w:b/>
                <w:bCs/>
                <w:color w:val="000000"/>
                <w:sz w:val="24"/>
                <w:szCs w:val="24"/>
                <w:highlight w:val="none"/>
                <w:lang w:eastAsia="zh-CN"/>
              </w:rPr>
            </w:pPr>
            <w:r>
              <w:rPr>
                <w:rFonts w:hint="default" w:ascii="Times New Roman" w:hAnsi="Times New Roman" w:eastAsia="宋体" w:cs="Times New Roman"/>
                <w:color w:val="000000"/>
                <w:kern w:val="0"/>
                <w:sz w:val="24"/>
                <w:szCs w:val="24"/>
                <w:highlight w:val="none"/>
                <w:lang w:val="en-US" w:eastAsia="zh-CN" w:bidi="ar-SA"/>
              </w:rPr>
              <w:t>（2）基础数据</w:t>
            </w:r>
          </w:p>
          <w:p>
            <w:pPr>
              <w:pageBreakBefore w:val="0"/>
              <w:widowControl w:val="0"/>
              <w:kinsoku/>
              <w:wordWrap/>
              <w:overflowPunct/>
              <w:topLinePunct w:val="0"/>
              <w:autoSpaceDE w:val="0"/>
              <w:autoSpaceDN w:val="0"/>
              <w:bidi w:val="0"/>
              <w:snapToGrid w:val="0"/>
              <w:spacing w:line="480" w:lineRule="exact"/>
              <w:ind w:firstLine="480"/>
              <w:rPr>
                <w:rFonts w:hint="default" w:ascii="Times New Roman" w:hAnsi="Times New Roman" w:eastAsia="宋体" w:cs="Times New Roman"/>
                <w:b/>
                <w:bCs/>
                <w:color w:val="000000"/>
                <w:sz w:val="24"/>
                <w:szCs w:val="24"/>
                <w:highlight w:val="none"/>
              </w:rPr>
            </w:pPr>
            <w:r>
              <w:rPr>
                <w:rFonts w:hint="default" w:ascii="Times New Roman" w:hAnsi="Times New Roman" w:eastAsia="宋体" w:cs="Times New Roman"/>
                <w:color w:val="000000"/>
                <w:sz w:val="24"/>
                <w:szCs w:val="24"/>
                <w:highlight w:val="none"/>
                <w:lang w:val="en-US" w:eastAsia="zh-CN"/>
              </w:rPr>
              <w:t>项目噪声环境影响预测基础数据见</w:t>
            </w:r>
            <w:r>
              <w:rPr>
                <w:rFonts w:hint="default" w:ascii="Times New Roman" w:hAnsi="Times New Roman" w:cs="Times New Roman"/>
                <w:color w:val="000000"/>
                <w:sz w:val="24"/>
                <w:szCs w:val="24"/>
                <w:highlight w:val="none"/>
                <w:lang w:val="en-US" w:eastAsia="zh-CN"/>
              </w:rPr>
              <w:t>下表</w:t>
            </w:r>
            <w:r>
              <w:rPr>
                <w:rFonts w:hint="default" w:ascii="Times New Roman" w:hAnsi="Times New Roman" w:eastAsia="宋体" w:cs="Times New Roman"/>
                <w:color w:val="000000"/>
                <w:sz w:val="24"/>
                <w:szCs w:val="24"/>
                <w:highlight w:val="none"/>
              </w:rPr>
              <w:t>。</w:t>
            </w:r>
          </w:p>
          <w:p>
            <w:pPr>
              <w:pStyle w:val="30"/>
              <w:pageBreakBefore w:val="0"/>
              <w:kinsoku/>
              <w:wordWrap/>
              <w:overflowPunct/>
              <w:topLinePunct w:val="0"/>
              <w:bidi w:val="0"/>
              <w:snapToGrid/>
              <w:spacing w:before="0" w:after="0" w:line="480" w:lineRule="exact"/>
              <w:ind w:right="0" w:firstLine="0" w:firstLineChars="0"/>
              <w:jc w:val="center"/>
              <w:rPr>
                <w:rFonts w:hint="default" w:ascii="Times New Roman" w:hAnsi="Times New Roman" w:cs="Times New Roman"/>
                <w:b/>
                <w:bCs/>
                <w:color w:val="000000"/>
                <w:sz w:val="24"/>
                <w:szCs w:val="24"/>
                <w:highlight w:val="none"/>
                <w:lang w:eastAsia="zh-CN"/>
              </w:rPr>
            </w:pPr>
            <w:r>
              <w:rPr>
                <w:rFonts w:hint="default" w:ascii="Times New Roman" w:hAnsi="Times New Roman" w:cs="Times New Roman"/>
                <w:b/>
                <w:bCs/>
                <w:color w:val="000000"/>
                <w:sz w:val="24"/>
                <w:szCs w:val="24"/>
                <w:highlight w:val="none"/>
                <w:lang w:eastAsia="zh-CN"/>
              </w:rPr>
              <w:t>表</w:t>
            </w:r>
            <w:r>
              <w:rPr>
                <w:rFonts w:hint="default" w:ascii="Times New Roman" w:hAnsi="Times New Roman" w:cs="Times New Roman"/>
                <w:b/>
                <w:bCs/>
                <w:color w:val="000000"/>
                <w:sz w:val="24"/>
                <w:szCs w:val="24"/>
                <w:highlight w:val="none"/>
                <w:lang w:val="en-US" w:eastAsia="zh-CN"/>
              </w:rPr>
              <w:t>4-10</w:t>
            </w:r>
            <w:r>
              <w:rPr>
                <w:rFonts w:hint="default" w:ascii="Times New Roman" w:hAnsi="Times New Roman" w:cs="Times New Roman"/>
                <w:b/>
                <w:bCs/>
                <w:color w:val="000000"/>
                <w:sz w:val="24"/>
                <w:szCs w:val="24"/>
                <w:highlight w:val="none"/>
                <w:lang w:eastAsia="zh-CN"/>
              </w:rPr>
              <w:t xml:space="preserve"> 项目噪声环境影响预测基础数据表</w:t>
            </w:r>
          </w:p>
          <w:tbl>
            <w:tblPr>
              <w:tblStyle w:val="32"/>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051"/>
              <w:gridCol w:w="2019"/>
              <w:gridCol w:w="1660"/>
              <w:gridCol w:w="16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54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val="0"/>
                      <w:bCs/>
                      <w:color w:val="000000"/>
                      <w:sz w:val="21"/>
                      <w:szCs w:val="21"/>
                      <w:highlight w:val="none"/>
                    </w:rPr>
                  </w:pPr>
                  <w:r>
                    <w:rPr>
                      <w:rFonts w:hint="default" w:ascii="Times New Roman" w:hAnsi="Times New Roman" w:eastAsia="宋体" w:cs="Times New Roman"/>
                      <w:b w:val="0"/>
                      <w:bCs/>
                      <w:color w:val="000000"/>
                      <w:sz w:val="21"/>
                      <w:szCs w:val="21"/>
                      <w:highlight w:val="none"/>
                    </w:rPr>
                    <w:t>序号</w:t>
                  </w:r>
                </w:p>
              </w:tc>
              <w:tc>
                <w:tcPr>
                  <w:tcW w:w="1235"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val="0"/>
                      <w:bCs/>
                      <w:color w:val="000000"/>
                      <w:sz w:val="21"/>
                      <w:szCs w:val="21"/>
                      <w:highlight w:val="none"/>
                    </w:rPr>
                  </w:pPr>
                  <w:r>
                    <w:rPr>
                      <w:rFonts w:hint="default" w:ascii="Times New Roman" w:hAnsi="Times New Roman" w:eastAsia="宋体" w:cs="Times New Roman"/>
                      <w:b w:val="0"/>
                      <w:bCs/>
                      <w:color w:val="000000"/>
                      <w:sz w:val="21"/>
                      <w:szCs w:val="21"/>
                      <w:highlight w:val="none"/>
                    </w:rPr>
                    <w:t>名称</w:t>
                  </w:r>
                </w:p>
              </w:tc>
              <w:tc>
                <w:tcPr>
                  <w:tcW w:w="1216"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val="0"/>
                      <w:bCs/>
                      <w:color w:val="000000"/>
                      <w:sz w:val="21"/>
                      <w:szCs w:val="21"/>
                      <w:highlight w:val="none"/>
                    </w:rPr>
                  </w:pPr>
                  <w:r>
                    <w:rPr>
                      <w:rFonts w:hint="default" w:ascii="Times New Roman" w:hAnsi="Times New Roman" w:eastAsia="宋体" w:cs="Times New Roman"/>
                      <w:b w:val="0"/>
                      <w:bCs/>
                      <w:color w:val="000000"/>
                      <w:sz w:val="21"/>
                      <w:szCs w:val="21"/>
                      <w:highlight w:val="none"/>
                    </w:rPr>
                    <w:t>单位</w:t>
                  </w:r>
                </w:p>
              </w:tc>
              <w:tc>
                <w:tcPr>
                  <w:tcW w:w="100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val="0"/>
                      <w:bCs/>
                      <w:color w:val="000000"/>
                      <w:sz w:val="21"/>
                      <w:szCs w:val="21"/>
                      <w:highlight w:val="none"/>
                    </w:rPr>
                  </w:pPr>
                  <w:r>
                    <w:rPr>
                      <w:rFonts w:hint="default" w:ascii="Times New Roman" w:hAnsi="Times New Roman" w:eastAsia="宋体" w:cs="Times New Roman"/>
                      <w:b w:val="0"/>
                      <w:bCs/>
                      <w:color w:val="000000"/>
                      <w:sz w:val="21"/>
                      <w:szCs w:val="21"/>
                      <w:highlight w:val="none"/>
                    </w:rPr>
                    <w:t>数据</w:t>
                  </w:r>
                </w:p>
              </w:tc>
              <w:tc>
                <w:tcPr>
                  <w:tcW w:w="100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val="0"/>
                      <w:bCs/>
                      <w:color w:val="000000"/>
                      <w:sz w:val="21"/>
                      <w:szCs w:val="21"/>
                      <w:highlight w:val="none"/>
                    </w:rPr>
                  </w:pPr>
                  <w:r>
                    <w:rPr>
                      <w:rFonts w:hint="default" w:ascii="Times New Roman" w:hAnsi="Times New Roman" w:eastAsia="宋体" w:cs="Times New Roman"/>
                      <w:b w:val="0"/>
                      <w:bCs/>
                      <w:color w:val="000000"/>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54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1</w:t>
                  </w:r>
                </w:p>
              </w:tc>
              <w:tc>
                <w:tcPr>
                  <w:tcW w:w="123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年平均风速</w:t>
                  </w:r>
                </w:p>
              </w:tc>
              <w:tc>
                <w:tcPr>
                  <w:tcW w:w="1216"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m/s</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2</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54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val="en-US" w:eastAsia="zh-CN"/>
                    </w:rPr>
                    <w:t>2</w:t>
                  </w:r>
                </w:p>
              </w:tc>
              <w:tc>
                <w:tcPr>
                  <w:tcW w:w="123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年平均气温</w:t>
                  </w:r>
                </w:p>
              </w:tc>
              <w:tc>
                <w:tcPr>
                  <w:tcW w:w="1216"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20</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0" w:hRule="atLeast"/>
                <w:jc w:val="center"/>
              </w:trPr>
              <w:tc>
                <w:tcPr>
                  <w:tcW w:w="54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3</w:t>
                  </w:r>
                </w:p>
              </w:tc>
              <w:tc>
                <w:tcPr>
                  <w:tcW w:w="123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年平均相对湿度</w:t>
                  </w:r>
                </w:p>
              </w:tc>
              <w:tc>
                <w:tcPr>
                  <w:tcW w:w="1216"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50</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2" w:hRule="atLeast"/>
                <w:jc w:val="center"/>
              </w:trPr>
              <w:tc>
                <w:tcPr>
                  <w:tcW w:w="54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4</w:t>
                  </w:r>
                </w:p>
              </w:tc>
              <w:tc>
                <w:tcPr>
                  <w:tcW w:w="123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大气压强</w:t>
                  </w:r>
                </w:p>
              </w:tc>
              <w:tc>
                <w:tcPr>
                  <w:tcW w:w="1216"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atm</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rPr>
                  </w:pPr>
                  <w:r>
                    <w:rPr>
                      <w:rFonts w:hint="default" w:ascii="Times New Roman" w:hAnsi="Times New Roman" w:eastAsia="宋体" w:cs="Times New Roman"/>
                      <w:color w:val="000000"/>
                      <w:sz w:val="21"/>
                      <w:szCs w:val="21"/>
                      <w:highlight w:val="none"/>
                    </w:rPr>
                    <w:t>1</w:t>
                  </w:r>
                </w:p>
              </w:tc>
              <w:tc>
                <w:tcPr>
                  <w:tcW w:w="1000"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w:t>
                  </w:r>
                </w:p>
              </w:tc>
            </w:tr>
          </w:tbl>
          <w:p>
            <w:pPr>
              <w:pStyle w:val="99"/>
              <w:spacing w:line="360" w:lineRule="auto"/>
              <w:ind w:firstLine="480"/>
              <w:rPr>
                <w:rFonts w:hint="default" w:ascii="Times New Roman" w:hAnsi="Times New Roman" w:cs="Times New Roman"/>
                <w:color w:val="000000"/>
                <w:szCs w:val="24"/>
                <w:highlight w:val="none"/>
              </w:rPr>
            </w:pPr>
            <w:r>
              <w:rPr>
                <w:rFonts w:hint="default" w:ascii="Times New Roman" w:hAnsi="Times New Roman" w:cs="Times New Roman"/>
                <w:color w:val="000000"/>
                <w:szCs w:val="24"/>
                <w:highlight w:val="none"/>
              </w:rPr>
              <w:t>（</w:t>
            </w:r>
            <w:r>
              <w:rPr>
                <w:rFonts w:hint="default" w:ascii="Times New Roman" w:hAnsi="Times New Roman" w:cs="Times New Roman"/>
                <w:color w:val="000000"/>
                <w:szCs w:val="24"/>
                <w:highlight w:val="none"/>
                <w:lang w:val="en-US"/>
              </w:rPr>
              <w:t>3</w:t>
            </w:r>
            <w:r>
              <w:rPr>
                <w:rFonts w:hint="default" w:ascii="Times New Roman" w:hAnsi="Times New Roman" w:cs="Times New Roman"/>
                <w:color w:val="000000"/>
                <w:szCs w:val="24"/>
                <w:highlight w:val="none"/>
              </w:rPr>
              <w:t>）声环境预测结果分析</w:t>
            </w:r>
          </w:p>
          <w:p>
            <w:pPr>
              <w:pStyle w:val="99"/>
              <w:spacing w:line="360" w:lineRule="auto"/>
              <w:ind w:firstLine="480"/>
              <w:rPr>
                <w:rFonts w:hint="default" w:ascii="Times New Roman" w:hAnsi="Times New Roman" w:cs="Times New Roman"/>
                <w:color w:val="000000"/>
                <w:szCs w:val="24"/>
                <w:highlight w:val="none"/>
              </w:rPr>
            </w:pPr>
            <w:r>
              <w:rPr>
                <w:rFonts w:hint="default" w:ascii="Times New Roman" w:hAnsi="Times New Roman" w:cs="Times New Roman"/>
                <w:bCs/>
                <w:color w:val="000000"/>
                <w:szCs w:val="24"/>
                <w:highlight w:val="none"/>
              </w:rPr>
              <w:t>按照预测模式及选取参数，计算项目噪声源对四周厂界的噪声贡献值。</w:t>
            </w:r>
            <w:r>
              <w:rPr>
                <w:rFonts w:hint="default" w:ascii="Times New Roman" w:hAnsi="Times New Roman" w:cs="Times New Roman"/>
                <w:color w:val="000000"/>
                <w:szCs w:val="24"/>
                <w:highlight w:val="none"/>
              </w:rPr>
              <w:t>结果见</w:t>
            </w:r>
            <w:r>
              <w:rPr>
                <w:rFonts w:hint="default" w:ascii="Times New Roman" w:hAnsi="Times New Roman" w:cs="Times New Roman"/>
                <w:color w:val="000000"/>
                <w:szCs w:val="24"/>
                <w:highlight w:val="none"/>
                <w:lang w:val="en-US"/>
              </w:rPr>
              <w:t>下</w:t>
            </w:r>
            <w:r>
              <w:rPr>
                <w:rFonts w:hint="default" w:ascii="Times New Roman" w:hAnsi="Times New Roman" w:cs="Times New Roman"/>
                <w:color w:val="000000"/>
                <w:szCs w:val="24"/>
                <w:highlight w:val="none"/>
              </w:rPr>
              <w:t>表。</w:t>
            </w:r>
          </w:p>
          <w:p>
            <w:pPr>
              <w:adjustRightInd w:val="0"/>
              <w:snapToGrid w:val="0"/>
              <w:jc w:val="center"/>
              <w:rPr>
                <w:rFonts w:hint="default" w:ascii="Times New Roman" w:hAnsi="Times New Roman" w:cs="Times New Roman"/>
                <w:b/>
                <w:color w:val="000000"/>
                <w:sz w:val="24"/>
                <w:highlight w:val="none"/>
              </w:rPr>
            </w:pPr>
            <w:r>
              <w:rPr>
                <w:rFonts w:hint="default" w:ascii="Times New Roman" w:hAnsi="Times New Roman" w:cs="Times New Roman"/>
                <w:b/>
                <w:color w:val="000000"/>
                <w:sz w:val="24"/>
                <w:highlight w:val="none"/>
              </w:rPr>
              <w:t>表4-1</w:t>
            </w:r>
            <w:r>
              <w:rPr>
                <w:rFonts w:hint="default" w:ascii="Times New Roman" w:hAnsi="Times New Roman" w:cs="Times New Roman"/>
                <w:b/>
                <w:color w:val="000000"/>
                <w:sz w:val="24"/>
                <w:highlight w:val="none"/>
                <w:lang w:val="en-US" w:eastAsia="zh-CN"/>
              </w:rPr>
              <w:t>1</w:t>
            </w:r>
            <w:r>
              <w:rPr>
                <w:rFonts w:hint="default" w:ascii="Times New Roman" w:hAnsi="Times New Roman" w:cs="Times New Roman"/>
                <w:b/>
                <w:color w:val="000000"/>
                <w:sz w:val="24"/>
                <w:highlight w:val="none"/>
              </w:rPr>
              <w:t xml:space="preserve">  项目建成后厂界噪声预测结果一览表  单位：dB（A）</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8"/>
              <w:gridCol w:w="1409"/>
              <w:gridCol w:w="1496"/>
              <w:gridCol w:w="1375"/>
              <w:gridCol w:w="1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438" w:type="pct"/>
                  <w:vMerge w:val="restart"/>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项目</w:t>
                  </w:r>
                </w:p>
              </w:tc>
              <w:tc>
                <w:tcPr>
                  <w:tcW w:w="3561" w:type="pct"/>
                  <w:gridSpan w:val="4"/>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噪声预测值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438" w:type="pct"/>
                  <w:vMerge w:val="continue"/>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p>
              </w:tc>
              <w:tc>
                <w:tcPr>
                  <w:tcW w:w="849" w:type="pct"/>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东侧</w:t>
                  </w:r>
                </w:p>
              </w:tc>
              <w:tc>
                <w:tcPr>
                  <w:tcW w:w="901" w:type="pct"/>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西侧</w:t>
                  </w:r>
                </w:p>
              </w:tc>
              <w:tc>
                <w:tcPr>
                  <w:tcW w:w="828" w:type="pct"/>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南侧</w:t>
                  </w:r>
                </w:p>
              </w:tc>
              <w:tc>
                <w:tcPr>
                  <w:tcW w:w="982" w:type="pct"/>
                  <w:noWrap w:val="0"/>
                  <w:vAlign w:val="center"/>
                </w:tcPr>
                <w:p>
                  <w:pPr>
                    <w:pStyle w:val="100"/>
                    <w:snapToGrid w:val="0"/>
                    <w:spacing w:line="240" w:lineRule="auto"/>
                    <w:ind w:left="-105" w:leftChars="-50" w:right="-105" w:rightChars="-50"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北侧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438" w:type="pct"/>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预测结果</w:t>
                  </w:r>
                </w:p>
              </w:tc>
              <w:tc>
                <w:tcPr>
                  <w:tcW w:w="849" w:type="pct"/>
                  <w:noWrap w:val="0"/>
                  <w:vAlign w:val="center"/>
                </w:tcPr>
                <w:p>
                  <w:pPr>
                    <w:adjustRightInd w:val="0"/>
                    <w:snapToGrid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60.32</w:t>
                  </w:r>
                </w:p>
              </w:tc>
              <w:tc>
                <w:tcPr>
                  <w:tcW w:w="901" w:type="pct"/>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4</w:t>
                  </w:r>
                  <w:r>
                    <w:rPr>
                      <w:rFonts w:hint="default" w:ascii="Times New Roman" w:hAnsi="Times New Roman" w:cs="Times New Roman"/>
                      <w:color w:val="000000"/>
                      <w:szCs w:val="21"/>
                      <w:highlight w:val="none"/>
                    </w:rPr>
                    <w:t>7.53</w:t>
                  </w:r>
                </w:p>
              </w:tc>
              <w:tc>
                <w:tcPr>
                  <w:tcW w:w="828" w:type="pct"/>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4</w:t>
                  </w:r>
                  <w:r>
                    <w:rPr>
                      <w:rFonts w:hint="default" w:ascii="Times New Roman" w:hAnsi="Times New Roman" w:cs="Times New Roman"/>
                      <w:color w:val="000000"/>
                      <w:szCs w:val="21"/>
                      <w:highlight w:val="none"/>
                    </w:rPr>
                    <w:t>3.27</w:t>
                  </w:r>
                </w:p>
              </w:tc>
              <w:tc>
                <w:tcPr>
                  <w:tcW w:w="982" w:type="pct"/>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4</w:t>
                  </w:r>
                  <w:r>
                    <w:rPr>
                      <w:rFonts w:hint="default" w:ascii="Times New Roman" w:hAnsi="Times New Roman" w:cs="Times New Roman"/>
                      <w:color w:val="000000"/>
                      <w:szCs w:val="21"/>
                      <w:highlight w:val="none"/>
                    </w:rPr>
                    <w:t>6.56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438" w:type="pct"/>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标准限值</w:t>
                  </w:r>
                </w:p>
              </w:tc>
              <w:tc>
                <w:tcPr>
                  <w:tcW w:w="3561" w:type="pct"/>
                  <w:gridSpan w:val="4"/>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≤6</w:t>
                  </w:r>
                  <w:r>
                    <w:rPr>
                      <w:rFonts w:hint="default" w:ascii="Times New Roman" w:hAnsi="Times New Roman" w:cs="Times New Roman"/>
                      <w:color w:val="000000"/>
                      <w:szCs w:val="21"/>
                      <w:highlight w:val="none"/>
                      <w:lang w:val="en-US" w:eastAsia="zh-CN"/>
                    </w:rPr>
                    <w:t>5</w:t>
                  </w:r>
                  <w:r>
                    <w:rPr>
                      <w:rFonts w:hint="default" w:ascii="Times New Roman" w:hAnsi="Times New Roman" w:cs="Times New Roman"/>
                      <w:color w:val="000000"/>
                      <w:szCs w:val="21"/>
                      <w:highlight w:val="none"/>
                    </w:rPr>
                    <w:t>（昼间）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438" w:type="pct"/>
                  <w:noWrap w:val="0"/>
                  <w:vAlign w:val="center"/>
                </w:tcPr>
                <w:p>
                  <w:pPr>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评价结果</w:t>
                  </w:r>
                </w:p>
              </w:tc>
              <w:tc>
                <w:tcPr>
                  <w:tcW w:w="3561" w:type="pct"/>
                  <w:gridSpan w:val="4"/>
                  <w:noWrap w:val="0"/>
                  <w:vAlign w:val="center"/>
                </w:tcPr>
                <w:p>
                  <w:pPr>
                    <w:pStyle w:val="100"/>
                    <w:snapToGrid w:val="0"/>
                    <w:spacing w:line="240" w:lineRule="auto"/>
                    <w:ind w:firstLine="0"/>
                    <w:jc w:val="center"/>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达标</w:t>
                  </w:r>
                </w:p>
              </w:tc>
            </w:tr>
          </w:tbl>
          <w:p>
            <w:pPr>
              <w:pStyle w:val="16"/>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color w:val="000000"/>
                <w:sz w:val="24"/>
                <w:szCs w:val="24"/>
                <w:highlight w:val="none"/>
                <w:lang w:eastAsia="zh-CN"/>
              </w:rPr>
            </w:pPr>
            <w:r>
              <w:rPr>
                <w:rFonts w:hint="default" w:ascii="Times New Roman" w:hAnsi="Times New Roman" w:eastAsia="宋体" w:cs="Times New Roman"/>
                <w:color w:val="000000"/>
                <w:sz w:val="24"/>
                <w:szCs w:val="24"/>
                <w:highlight w:val="none"/>
              </w:rPr>
              <w:t>由上表可知，厂界噪声预测值的范围为昼间</w:t>
            </w:r>
            <w:r>
              <w:rPr>
                <w:rFonts w:hint="default" w:ascii="Times New Roman" w:hAnsi="Times New Roman" w:cs="Times New Roman"/>
                <w:color w:val="000000"/>
                <w:sz w:val="24"/>
                <w:szCs w:val="24"/>
                <w:highlight w:val="none"/>
                <w:lang w:val="en-US" w:eastAsia="zh-CN"/>
              </w:rPr>
              <w:t>43.27</w:t>
            </w:r>
            <w:r>
              <w:rPr>
                <w:rFonts w:hint="default" w:ascii="Times New Roman" w:hAnsi="Times New Roman" w:cs="Times New Roman"/>
                <w:color w:val="000000"/>
                <w:sz w:val="24"/>
                <w:szCs w:val="24"/>
                <w:highlight w:val="none"/>
                <w:lang w:val="en-US"/>
              </w:rPr>
              <w:t>~</w:t>
            </w:r>
            <w:r>
              <w:rPr>
                <w:rFonts w:hint="default" w:ascii="Times New Roman" w:hAnsi="Times New Roman" w:cs="Times New Roman"/>
                <w:color w:val="000000"/>
                <w:sz w:val="24"/>
                <w:szCs w:val="24"/>
                <w:highlight w:val="none"/>
                <w:lang w:val="en-US" w:eastAsia="zh-CN"/>
              </w:rPr>
              <w:t>60.32</w:t>
            </w:r>
            <w:r>
              <w:rPr>
                <w:rFonts w:hint="default" w:ascii="Times New Roman" w:hAnsi="Times New Roman" w:cs="Times New Roman"/>
                <w:color w:val="000000"/>
                <w:sz w:val="24"/>
                <w:szCs w:val="24"/>
                <w:highlight w:val="none"/>
              </w:rPr>
              <w:t>dB(A)</w:t>
            </w:r>
            <w:r>
              <w:rPr>
                <w:rFonts w:hint="default" w:ascii="Times New Roman" w:hAnsi="Times New Roman" w:eastAsia="宋体" w:cs="Times New Roman"/>
                <w:color w:val="000000"/>
                <w:sz w:val="24"/>
                <w:szCs w:val="24"/>
                <w:highlight w:val="none"/>
              </w:rPr>
              <w:t>，</w:t>
            </w:r>
            <w:r>
              <w:rPr>
                <w:rFonts w:hint="default" w:ascii="Times New Roman" w:hAnsi="Times New Roman" w:eastAsia="宋体" w:cs="Times New Roman"/>
                <w:color w:val="000000"/>
                <w:sz w:val="24"/>
                <w:szCs w:val="24"/>
                <w:highlight w:val="none"/>
                <w:lang w:val="en-US" w:eastAsia="zh-CN"/>
              </w:rPr>
              <w:t>夜</w:t>
            </w:r>
            <w:r>
              <w:rPr>
                <w:rFonts w:hint="default" w:ascii="Times New Roman" w:hAnsi="Times New Roman" w:eastAsia="宋体" w:cs="Times New Roman"/>
                <w:color w:val="000000"/>
                <w:sz w:val="24"/>
                <w:szCs w:val="24"/>
                <w:highlight w:val="none"/>
              </w:rPr>
              <w:t>间</w:t>
            </w:r>
            <w:r>
              <w:rPr>
                <w:rFonts w:hint="default" w:ascii="Times New Roman" w:hAnsi="Times New Roman" w:eastAsia="宋体" w:cs="Times New Roman"/>
                <w:color w:val="000000"/>
                <w:sz w:val="24"/>
                <w:szCs w:val="24"/>
                <w:highlight w:val="none"/>
                <w:lang w:val="en-US" w:eastAsia="zh-CN"/>
              </w:rPr>
              <w:t>不生产</w:t>
            </w:r>
            <w:r>
              <w:rPr>
                <w:rFonts w:hint="default" w:ascii="Times New Roman" w:hAnsi="Times New Roman" w:eastAsia="宋体" w:cs="Times New Roman"/>
                <w:color w:val="000000"/>
                <w:sz w:val="24"/>
                <w:szCs w:val="24"/>
                <w:highlight w:val="none"/>
              </w:rPr>
              <w:t>，经</w:t>
            </w:r>
            <w:r>
              <w:rPr>
                <w:rFonts w:hint="default" w:ascii="Times New Roman" w:hAnsi="Times New Roman" w:eastAsia="宋体" w:cs="Times New Roman"/>
                <w:color w:val="000000"/>
                <w:sz w:val="24"/>
                <w:szCs w:val="24"/>
                <w:highlight w:val="none"/>
                <w:lang w:eastAsia="zh-CN"/>
              </w:rPr>
              <w:t>基础减振、</w:t>
            </w:r>
            <w:r>
              <w:rPr>
                <w:rFonts w:hint="default" w:ascii="Times New Roman" w:hAnsi="Times New Roman" w:eastAsia="宋体" w:cs="Times New Roman"/>
                <w:color w:val="000000"/>
                <w:sz w:val="24"/>
                <w:szCs w:val="24"/>
                <w:highlight w:val="none"/>
              </w:rPr>
              <w:t>厂房隔声</w:t>
            </w:r>
            <w:r>
              <w:rPr>
                <w:rFonts w:hint="default" w:ascii="Times New Roman" w:hAnsi="Times New Roman" w:eastAsia="宋体" w:cs="Times New Roman"/>
                <w:color w:val="000000"/>
                <w:sz w:val="24"/>
                <w:szCs w:val="24"/>
                <w:highlight w:val="none"/>
                <w:lang w:val="en-US" w:eastAsia="zh-CN"/>
              </w:rPr>
              <w:t>、距离衰减</w:t>
            </w:r>
            <w:r>
              <w:rPr>
                <w:rFonts w:hint="default" w:ascii="Times New Roman" w:hAnsi="Times New Roman" w:eastAsia="宋体" w:cs="Times New Roman"/>
                <w:color w:val="000000"/>
                <w:sz w:val="24"/>
                <w:szCs w:val="24"/>
                <w:highlight w:val="none"/>
              </w:rPr>
              <w:t>等措施，厂界噪声值可满足《工业企业厂界环境噪声排放标准》（GB12348-2008）3类</w:t>
            </w:r>
            <w:r>
              <w:rPr>
                <w:rFonts w:hint="default" w:ascii="Times New Roman" w:hAnsi="Times New Roman" w:eastAsia="宋体" w:cs="Times New Roman"/>
                <w:snapToGrid w:val="0"/>
                <w:color w:val="000000"/>
                <w:kern w:val="0"/>
                <w:sz w:val="24"/>
                <w:szCs w:val="24"/>
                <w:highlight w:val="none"/>
                <w:shd w:val="clear" w:color="auto" w:fill="auto"/>
                <w:lang w:val="en-US" w:eastAsia="zh-CN" w:bidi="ar-SA"/>
              </w:rPr>
              <w:t>标准</w:t>
            </w:r>
            <w:r>
              <w:rPr>
                <w:rFonts w:hint="default" w:ascii="Times New Roman" w:hAnsi="Times New Roman" w:cs="Times New Roman"/>
                <w:snapToGrid w:val="0"/>
                <w:color w:val="000000"/>
                <w:kern w:val="0"/>
                <w:sz w:val="24"/>
                <w:szCs w:val="24"/>
                <w:highlight w:val="none"/>
                <w:shd w:val="clear" w:color="auto" w:fill="auto"/>
                <w:lang w:val="en-US" w:eastAsia="zh-CN" w:bidi="ar-SA"/>
              </w:rPr>
              <w:t>（</w:t>
            </w:r>
            <w:r>
              <w:rPr>
                <w:rFonts w:hint="default" w:ascii="Times New Roman" w:hAnsi="Times New Roman" w:eastAsia="宋体" w:cs="Times New Roman"/>
                <w:snapToGrid w:val="0"/>
                <w:color w:val="000000"/>
                <w:kern w:val="0"/>
                <w:sz w:val="24"/>
                <w:szCs w:val="24"/>
                <w:highlight w:val="none"/>
                <w:shd w:val="clear" w:color="auto" w:fill="auto"/>
                <w:lang w:val="en-US" w:eastAsia="zh-CN" w:bidi="ar-SA"/>
              </w:rPr>
              <w:t>昼间≤</w:t>
            </w:r>
            <w:r>
              <w:rPr>
                <w:rFonts w:hint="default" w:ascii="Times New Roman" w:hAnsi="Times New Roman" w:cs="Times New Roman"/>
                <w:snapToGrid w:val="0"/>
                <w:color w:val="000000"/>
                <w:kern w:val="0"/>
                <w:sz w:val="24"/>
                <w:szCs w:val="24"/>
                <w:highlight w:val="none"/>
                <w:shd w:val="clear" w:color="auto" w:fill="auto"/>
                <w:lang w:val="en-US" w:eastAsia="zh-CN" w:bidi="ar-SA"/>
              </w:rPr>
              <w:t>65</w:t>
            </w:r>
            <w:r>
              <w:rPr>
                <w:rFonts w:hint="default" w:ascii="Times New Roman" w:hAnsi="Times New Roman" w:eastAsia="宋体" w:cs="Times New Roman"/>
                <w:snapToGrid w:val="0"/>
                <w:color w:val="000000"/>
                <w:kern w:val="0"/>
                <w:sz w:val="24"/>
                <w:szCs w:val="24"/>
                <w:highlight w:val="none"/>
                <w:shd w:val="clear" w:color="auto" w:fill="auto"/>
                <w:lang w:val="en-US" w:eastAsia="zh-CN" w:bidi="ar-SA"/>
              </w:rPr>
              <w:t>dB（A）</w:t>
            </w:r>
            <w:r>
              <w:rPr>
                <w:rFonts w:hint="default" w:ascii="Times New Roman" w:hAnsi="Times New Roman" w:cs="Times New Roman"/>
                <w:snapToGrid w:val="0"/>
                <w:color w:val="000000"/>
                <w:kern w:val="0"/>
                <w:sz w:val="24"/>
                <w:szCs w:val="24"/>
                <w:highlight w:val="none"/>
                <w:shd w:val="clear" w:color="auto" w:fill="auto"/>
                <w:lang w:val="en-US" w:eastAsia="zh-CN" w:bidi="ar-SA"/>
              </w:rPr>
              <w:t>）要求，</w:t>
            </w:r>
            <w:r>
              <w:rPr>
                <w:rFonts w:hint="default" w:ascii="Times New Roman" w:hAnsi="Times New Roman" w:eastAsia="宋体" w:cs="Times New Roman"/>
                <w:b w:val="0"/>
                <w:bCs/>
                <w:color w:val="000000"/>
                <w:sz w:val="24"/>
                <w:szCs w:val="24"/>
                <w:highlight w:val="none"/>
                <w:lang w:eastAsia="zh-CN"/>
              </w:rPr>
              <w:t>对周围声环境影响较小。</w:t>
            </w:r>
          </w:p>
          <w:p>
            <w:pPr>
              <w:pStyle w:val="16"/>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color w:val="000000"/>
                <w:sz w:val="24"/>
                <w:szCs w:val="24"/>
                <w:highlight w:val="none"/>
                <w:lang w:val="en-US" w:eastAsia="zh-CN"/>
              </w:rPr>
            </w:pPr>
            <w:r>
              <w:rPr>
                <w:rFonts w:hint="default" w:ascii="Times New Roman" w:hAnsi="Times New Roman" w:eastAsia="宋体" w:cs="Times New Roman"/>
                <w:b w:val="0"/>
                <w:bCs/>
                <w:color w:val="000000"/>
                <w:sz w:val="24"/>
                <w:szCs w:val="24"/>
                <w:highlight w:val="none"/>
                <w:lang w:val="en-US" w:eastAsia="zh-CN"/>
              </w:rPr>
              <w:t>2、声环境检测计划</w:t>
            </w:r>
          </w:p>
          <w:p>
            <w:pPr>
              <w:pStyle w:val="16"/>
              <w:keepNext w:val="0"/>
              <w:keepLines w:val="0"/>
              <w:pageBreakBefore w:val="0"/>
              <w:widowControl w:val="0"/>
              <w:kinsoku/>
              <w:wordWrap/>
              <w:overflowPunct/>
              <w:topLinePunct w:val="0"/>
              <w:autoSpaceDE/>
              <w:autoSpaceDN/>
              <w:bidi w:val="0"/>
              <w:adjustRightInd/>
              <w:snapToGrid/>
              <w:spacing w:line="480" w:lineRule="exact"/>
              <w:ind w:firstLine="480" w:firstLineChars="200"/>
              <w:textAlignment w:val="auto"/>
              <w:rPr>
                <w:rFonts w:hint="default" w:ascii="Times New Roman" w:hAnsi="Times New Roman" w:eastAsia="宋体" w:cs="Times New Roman"/>
                <w:b w:val="0"/>
                <w:bCs/>
                <w:color w:val="000000"/>
                <w:sz w:val="24"/>
                <w:szCs w:val="24"/>
                <w:highlight w:val="none"/>
                <w:lang w:eastAsia="zh-CN"/>
              </w:rPr>
            </w:pPr>
            <w:r>
              <w:rPr>
                <w:rFonts w:hint="default" w:ascii="Times New Roman" w:hAnsi="Times New Roman" w:eastAsia="宋体" w:cs="Times New Roman"/>
                <w:b w:val="0"/>
                <w:bCs/>
                <w:color w:val="000000"/>
                <w:kern w:val="2"/>
                <w:sz w:val="24"/>
                <w:szCs w:val="24"/>
                <w:highlight w:val="none"/>
                <w:lang w:val="en-US" w:eastAsia="zh-CN" w:bidi="ar-SA"/>
              </w:rPr>
              <w:t>参照</w:t>
            </w:r>
            <w:r>
              <w:rPr>
                <w:rFonts w:hint="default" w:ascii="Times New Roman" w:hAnsi="Times New Roman" w:cs="Times New Roman"/>
                <w:color w:val="000000"/>
                <w:kern w:val="2"/>
                <w:sz w:val="24"/>
                <w:szCs w:val="24"/>
                <w:highlight w:val="none"/>
                <w:lang w:val="en-US" w:eastAsia="zh-CN" w:bidi="ar-SA"/>
              </w:rPr>
              <w:t>《排污许可证申请与核发技术规范 工业噪声》（HJ1301-2023）</w:t>
            </w:r>
            <w:r>
              <w:rPr>
                <w:rFonts w:hint="default" w:ascii="Times New Roman" w:hAnsi="Times New Roman" w:eastAsia="宋体" w:cs="Times New Roman"/>
                <w:b w:val="0"/>
                <w:bCs/>
                <w:color w:val="000000"/>
                <w:kern w:val="2"/>
                <w:sz w:val="24"/>
                <w:szCs w:val="24"/>
                <w:highlight w:val="none"/>
                <w:lang w:val="en-US" w:eastAsia="zh-CN" w:bidi="ar-SA"/>
              </w:rPr>
              <w:t>中的有关规定要求，针对本项目产排污特点，制定监测计划，具体内容见下表</w:t>
            </w:r>
            <w:r>
              <w:rPr>
                <w:rFonts w:hint="default" w:ascii="Times New Roman" w:hAnsi="Times New Roman" w:eastAsia="宋体" w:cs="Times New Roman"/>
                <w:b w:val="0"/>
                <w:bCs/>
                <w:color w:val="000000"/>
                <w:sz w:val="24"/>
                <w:szCs w:val="24"/>
                <w:highlight w:val="none"/>
                <w:lang w:eastAsia="zh-CN"/>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0"/>
              <w:jc w:val="center"/>
              <w:textAlignment w:val="auto"/>
              <w:rPr>
                <w:rFonts w:hint="default" w:ascii="Times New Roman" w:hAnsi="Times New Roman" w:cs="Times New Roman"/>
                <w:b/>
                <w:bCs/>
                <w:color w:val="000000"/>
                <w:sz w:val="24"/>
                <w:szCs w:val="24"/>
                <w:highlight w:val="none"/>
                <w:shd w:val="clear" w:color="auto" w:fill="auto"/>
              </w:rPr>
            </w:pPr>
            <w:r>
              <w:rPr>
                <w:rFonts w:hint="default" w:ascii="Times New Roman" w:hAnsi="Times New Roman" w:eastAsia="宋体" w:cs="Times New Roman"/>
                <w:b/>
                <w:bCs/>
                <w:color w:val="000000"/>
                <w:sz w:val="24"/>
                <w:szCs w:val="24"/>
                <w:highlight w:val="none"/>
              </w:rPr>
              <w:t>表</w:t>
            </w:r>
            <w:r>
              <w:rPr>
                <w:rFonts w:hint="default" w:ascii="Times New Roman" w:hAnsi="Times New Roman" w:eastAsia="宋体" w:cs="Times New Roman"/>
                <w:b/>
                <w:bCs/>
                <w:color w:val="000000"/>
                <w:sz w:val="24"/>
                <w:szCs w:val="24"/>
                <w:highlight w:val="none"/>
                <w:lang w:val="en-US" w:eastAsia="zh-CN"/>
              </w:rPr>
              <w:t>4-1</w:t>
            </w:r>
            <w:r>
              <w:rPr>
                <w:rFonts w:hint="default" w:ascii="Times New Roman" w:hAnsi="Times New Roman" w:cs="Times New Roman"/>
                <w:b/>
                <w:bCs/>
                <w:color w:val="000000"/>
                <w:sz w:val="24"/>
                <w:szCs w:val="24"/>
                <w:highlight w:val="none"/>
                <w:lang w:val="en-US" w:eastAsia="zh-CN"/>
              </w:rPr>
              <w:t>2</w:t>
            </w:r>
            <w:r>
              <w:rPr>
                <w:rFonts w:hint="default" w:ascii="Times New Roman" w:hAnsi="Times New Roman" w:eastAsia="宋体" w:cs="Times New Roman"/>
                <w:b/>
                <w:bCs/>
                <w:color w:val="000000"/>
                <w:sz w:val="24"/>
                <w:szCs w:val="24"/>
                <w:highlight w:val="none"/>
                <w:lang w:val="en-US" w:eastAsia="zh-CN"/>
              </w:rPr>
              <w:t xml:space="preserve"> </w:t>
            </w:r>
            <w:r>
              <w:rPr>
                <w:rFonts w:hint="default" w:ascii="Times New Roman" w:hAnsi="Times New Roman" w:eastAsia="宋体" w:cs="Times New Roman"/>
                <w:b/>
                <w:bCs/>
                <w:color w:val="000000"/>
                <w:sz w:val="24"/>
                <w:szCs w:val="24"/>
                <w:highlight w:val="none"/>
                <w:lang w:eastAsia="zh-CN"/>
              </w:rPr>
              <w:t>声环境</w:t>
            </w:r>
            <w:r>
              <w:rPr>
                <w:rFonts w:hint="default" w:ascii="Times New Roman" w:hAnsi="Times New Roman" w:eastAsia="宋体" w:cs="Times New Roman"/>
                <w:b/>
                <w:bCs/>
                <w:color w:val="000000"/>
                <w:sz w:val="24"/>
                <w:szCs w:val="24"/>
                <w:highlight w:val="none"/>
              </w:rPr>
              <w:t>监测计划一览表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3"/>
              <w:gridCol w:w="2236"/>
              <w:gridCol w:w="2090"/>
              <w:gridCol w:w="1860"/>
              <w:gridCol w:w="13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4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项目</w:t>
                  </w:r>
                </w:p>
              </w:tc>
              <w:tc>
                <w:tcPr>
                  <w:tcW w:w="13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监测点位</w:t>
                  </w:r>
                </w:p>
              </w:tc>
              <w:tc>
                <w:tcPr>
                  <w:tcW w:w="126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监测因子</w:t>
                  </w:r>
                </w:p>
              </w:tc>
              <w:tc>
                <w:tcPr>
                  <w:tcW w:w="112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取样位置</w:t>
                  </w:r>
                </w:p>
              </w:tc>
              <w:tc>
                <w:tcPr>
                  <w:tcW w:w="7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监测频率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4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噪声</w:t>
                  </w:r>
                </w:p>
              </w:tc>
              <w:tc>
                <w:tcPr>
                  <w:tcW w:w="13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厂界</w:t>
                  </w:r>
                </w:p>
              </w:tc>
              <w:tc>
                <w:tcPr>
                  <w:tcW w:w="126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等效连续A声级</w:t>
                  </w:r>
                </w:p>
              </w:tc>
              <w:tc>
                <w:tcPr>
                  <w:tcW w:w="1121"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厂界外1m</w:t>
                  </w:r>
                </w:p>
              </w:tc>
              <w:tc>
                <w:tcPr>
                  <w:tcW w:w="784"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cs="Times New Roman"/>
                      <w:color w:val="000000"/>
                      <w:highlight w:val="none"/>
                      <w:shd w:val="clear" w:color="auto" w:fill="auto"/>
                    </w:rPr>
                  </w:pPr>
                  <w:r>
                    <w:rPr>
                      <w:rFonts w:hint="default" w:ascii="Times New Roman" w:hAnsi="Times New Roman" w:cs="Times New Roman"/>
                      <w:color w:val="000000"/>
                      <w:highlight w:val="none"/>
                      <w:shd w:val="clear" w:color="auto" w:fill="auto"/>
                    </w:rPr>
                    <w:t>每季度一次</w:t>
                  </w:r>
                </w:p>
              </w:tc>
            </w:tr>
          </w:tbl>
          <w:p>
            <w:pPr>
              <w:pStyle w:val="99"/>
              <w:spacing w:line="354" w:lineRule="exact"/>
              <w:ind w:firstLine="482"/>
              <w:rPr>
                <w:rFonts w:hint="default" w:ascii="Times New Roman" w:hAnsi="Times New Roman" w:cs="Times New Roman"/>
                <w:b/>
                <w:bCs/>
                <w:color w:val="000000"/>
                <w:szCs w:val="24"/>
                <w:highlight w:val="none"/>
                <w:lang w:val="en-US"/>
              </w:rPr>
            </w:pPr>
            <w:r>
              <w:rPr>
                <w:rFonts w:hint="default" w:ascii="Times New Roman" w:hAnsi="Times New Roman" w:cs="Times New Roman"/>
                <w:b/>
                <w:bCs/>
                <w:color w:val="000000"/>
                <w:szCs w:val="24"/>
                <w:highlight w:val="none"/>
                <w:lang w:val="en-US"/>
              </w:rPr>
              <w:t>四、固体废物</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rPr>
              <w:t>本项目固体废物主要为</w:t>
            </w:r>
            <w:r>
              <w:rPr>
                <w:rFonts w:hint="default" w:ascii="Times New Roman" w:hAnsi="Times New Roman" w:eastAsia="宋体" w:cs="Times New Roman"/>
                <w:color w:val="000000"/>
                <w:sz w:val="24"/>
                <w:szCs w:val="24"/>
                <w:highlight w:val="none"/>
                <w:lang w:val="en-US" w:eastAsia="zh-CN"/>
              </w:rPr>
              <w:t>金属废料、废包装材料、除尘灰、</w:t>
            </w:r>
            <w:r>
              <w:rPr>
                <w:rFonts w:hint="default" w:ascii="Times New Roman" w:hAnsi="Times New Roman" w:cs="Times New Roman"/>
                <w:color w:val="000000"/>
                <w:sz w:val="24"/>
                <w:szCs w:val="24"/>
                <w:highlight w:val="none"/>
                <w:lang w:val="en-US" w:eastAsia="zh-CN"/>
              </w:rPr>
              <w:t>废切削液、</w:t>
            </w:r>
            <w:r>
              <w:rPr>
                <w:rFonts w:hint="default" w:ascii="Times New Roman" w:hAnsi="Times New Roman" w:eastAsia="宋体" w:cs="Times New Roman"/>
                <w:color w:val="000000"/>
                <w:sz w:val="24"/>
                <w:szCs w:val="24"/>
                <w:highlight w:val="none"/>
                <w:lang w:val="en-US" w:eastAsia="zh-CN"/>
              </w:rPr>
              <w:t>废</w:t>
            </w:r>
            <w:r>
              <w:rPr>
                <w:rFonts w:hint="default" w:ascii="Times New Roman" w:hAnsi="Times New Roman" w:cs="Times New Roman"/>
                <w:color w:val="000000"/>
                <w:sz w:val="24"/>
                <w:szCs w:val="24"/>
                <w:highlight w:val="none"/>
                <w:lang w:val="en-US" w:eastAsia="zh-CN"/>
              </w:rPr>
              <w:t>润滑</w:t>
            </w:r>
            <w:r>
              <w:rPr>
                <w:rFonts w:hint="default" w:ascii="Times New Roman" w:hAnsi="Times New Roman" w:eastAsia="宋体" w:cs="Times New Roman"/>
                <w:color w:val="000000"/>
                <w:sz w:val="24"/>
                <w:szCs w:val="24"/>
                <w:highlight w:val="none"/>
                <w:lang w:val="en-US" w:eastAsia="zh-CN"/>
              </w:rPr>
              <w:t>油、废液压油、废油桶、</w:t>
            </w:r>
            <w:r>
              <w:rPr>
                <w:rFonts w:hint="default" w:ascii="Times New Roman" w:hAnsi="Times New Roman" w:cs="Times New Roman"/>
                <w:color w:val="000000"/>
                <w:sz w:val="24"/>
                <w:szCs w:val="24"/>
                <w:highlight w:val="none"/>
                <w:lang w:val="en-US" w:eastAsia="zh-CN"/>
              </w:rPr>
              <w:t>废活性炭</w:t>
            </w:r>
            <w:r>
              <w:rPr>
                <w:rFonts w:hint="default" w:ascii="Times New Roman" w:hAnsi="Times New Roman" w:cs="Times New Roman"/>
                <w:snapToGrid w:val="0"/>
                <w:color w:val="000000"/>
                <w:kern w:val="0"/>
                <w:szCs w:val="24"/>
                <w:highlight w:val="none"/>
              </w:rPr>
              <w:t>、</w:t>
            </w:r>
            <w:r>
              <w:rPr>
                <w:rFonts w:hint="default" w:ascii="Times New Roman" w:hAnsi="Times New Roman" w:cs="Times New Roman"/>
                <w:snapToGrid w:val="0"/>
                <w:color w:val="000000"/>
                <w:kern w:val="0"/>
                <w:szCs w:val="24"/>
                <w:highlight w:val="none"/>
                <w:lang w:val="en-US"/>
              </w:rPr>
              <w:t>生活垃圾。</w:t>
            </w:r>
          </w:p>
          <w:p>
            <w:pPr>
              <w:pStyle w:val="99"/>
              <w:spacing w:line="360" w:lineRule="auto"/>
              <w:ind w:firstLine="482"/>
              <w:rPr>
                <w:rFonts w:hint="default" w:ascii="Times New Roman" w:hAnsi="Times New Roman" w:cs="Times New Roman"/>
                <w:b/>
                <w:bCs/>
                <w:snapToGrid w:val="0"/>
                <w:color w:val="000000"/>
                <w:kern w:val="0"/>
                <w:szCs w:val="24"/>
                <w:highlight w:val="none"/>
                <w:lang w:val="en-US"/>
              </w:rPr>
            </w:pPr>
            <w:r>
              <w:rPr>
                <w:rFonts w:hint="default" w:ascii="Times New Roman" w:hAnsi="Times New Roman" w:cs="Times New Roman"/>
                <w:b/>
                <w:bCs/>
                <w:snapToGrid w:val="0"/>
                <w:color w:val="000000"/>
                <w:kern w:val="0"/>
                <w:szCs w:val="24"/>
                <w:highlight w:val="none"/>
                <w:lang w:val="en-US"/>
              </w:rPr>
              <w:t>1、一般固废</w:t>
            </w:r>
          </w:p>
          <w:p>
            <w:pPr>
              <w:pStyle w:val="99"/>
              <w:spacing w:line="360" w:lineRule="auto"/>
              <w:ind w:firstLine="480"/>
              <w:rPr>
                <w:rFonts w:hint="default" w:ascii="Times New Roman" w:hAnsi="Times New Roman" w:eastAsia="宋体" w:cs="Times New Roman"/>
                <w:snapToGrid w:val="0"/>
                <w:color w:val="000000"/>
                <w:kern w:val="0"/>
                <w:szCs w:val="24"/>
                <w:highlight w:val="none"/>
                <w:lang w:val="en-US" w:eastAsia="zh-CN"/>
              </w:rPr>
            </w:pPr>
            <w:r>
              <w:rPr>
                <w:rFonts w:hint="default" w:ascii="Times New Roman" w:hAnsi="Times New Roman" w:cs="Times New Roman"/>
                <w:snapToGrid w:val="0"/>
                <w:color w:val="000000"/>
                <w:kern w:val="0"/>
                <w:szCs w:val="24"/>
                <w:highlight w:val="none"/>
                <w:lang w:val="en-US"/>
              </w:rPr>
              <w:t>（1）</w:t>
            </w:r>
            <w:r>
              <w:rPr>
                <w:rFonts w:hint="default" w:ascii="Times New Roman" w:hAnsi="Times New Roman" w:cs="Times New Roman"/>
                <w:snapToGrid w:val="0"/>
                <w:color w:val="000000"/>
                <w:kern w:val="0"/>
                <w:szCs w:val="24"/>
                <w:highlight w:val="none"/>
                <w:lang w:val="en-US" w:eastAsia="zh-CN"/>
              </w:rPr>
              <w:t>金属废料</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eastAsia="zh-CN"/>
              </w:rPr>
              <w:t>本</w:t>
            </w:r>
            <w:r>
              <w:rPr>
                <w:rFonts w:hint="default" w:ascii="Times New Roman" w:hAnsi="Times New Roman" w:cs="Times New Roman"/>
                <w:snapToGrid w:val="0"/>
                <w:color w:val="000000"/>
                <w:kern w:val="0"/>
                <w:szCs w:val="24"/>
                <w:highlight w:val="none"/>
                <w:lang w:val="en-US"/>
              </w:rPr>
              <w:t>项目</w:t>
            </w:r>
            <w:r>
              <w:rPr>
                <w:rFonts w:hint="default" w:ascii="Times New Roman" w:hAnsi="Times New Roman" w:cs="Times New Roman"/>
                <w:snapToGrid w:val="0"/>
                <w:color w:val="000000"/>
                <w:kern w:val="0"/>
                <w:szCs w:val="24"/>
                <w:highlight w:val="none"/>
                <w:lang w:val="en-US" w:eastAsia="zh-CN"/>
              </w:rPr>
              <w:t>下料过程会产生一些金属废料，产生量为0.988</w:t>
            </w:r>
            <w:r>
              <w:rPr>
                <w:rFonts w:hint="default" w:ascii="Times New Roman" w:hAnsi="Times New Roman" w:cs="Times New Roman"/>
                <w:snapToGrid w:val="0"/>
                <w:color w:val="000000"/>
                <w:kern w:val="0"/>
                <w:szCs w:val="24"/>
                <w:highlight w:val="none"/>
                <w:lang w:val="en-US"/>
              </w:rPr>
              <w:t>t/a，收集后定期外售。</w:t>
            </w:r>
          </w:p>
          <w:p>
            <w:pPr>
              <w:pStyle w:val="99"/>
              <w:spacing w:line="360" w:lineRule="auto"/>
              <w:ind w:firstLine="480"/>
              <w:rPr>
                <w:rFonts w:hint="default" w:ascii="Times New Roman" w:hAnsi="Times New Roman" w:eastAsia="宋体" w:cs="Times New Roman"/>
                <w:snapToGrid w:val="0"/>
                <w:color w:val="000000"/>
                <w:kern w:val="0"/>
                <w:szCs w:val="24"/>
                <w:highlight w:val="none"/>
                <w:lang w:val="en-US" w:eastAsia="zh-CN"/>
              </w:rPr>
            </w:pPr>
            <w:r>
              <w:rPr>
                <w:rFonts w:hint="default" w:ascii="Times New Roman" w:hAnsi="Times New Roman" w:cs="Times New Roman"/>
                <w:snapToGrid w:val="0"/>
                <w:color w:val="000000"/>
                <w:kern w:val="0"/>
                <w:szCs w:val="24"/>
                <w:highlight w:val="none"/>
                <w:lang w:val="en-US"/>
              </w:rPr>
              <w:t>（2）</w:t>
            </w:r>
            <w:r>
              <w:rPr>
                <w:rFonts w:hint="default" w:ascii="Times New Roman" w:hAnsi="Times New Roman" w:cs="Times New Roman"/>
                <w:snapToGrid w:val="0"/>
                <w:color w:val="000000"/>
                <w:kern w:val="0"/>
                <w:szCs w:val="24"/>
                <w:highlight w:val="none"/>
                <w:lang w:val="en-US" w:eastAsia="zh-CN"/>
              </w:rPr>
              <w:t>废包装材料</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本项目</w:t>
            </w:r>
            <w:r>
              <w:rPr>
                <w:rFonts w:hint="default" w:ascii="Times New Roman" w:hAnsi="Times New Roman" w:cs="Times New Roman"/>
                <w:snapToGrid w:val="0"/>
                <w:color w:val="000000"/>
                <w:kern w:val="0"/>
                <w:szCs w:val="24"/>
                <w:highlight w:val="none"/>
                <w:lang w:val="en-US" w:eastAsia="zh-CN"/>
              </w:rPr>
              <w:t>原辅材料</w:t>
            </w:r>
            <w:r>
              <w:rPr>
                <w:rFonts w:hint="default" w:ascii="Times New Roman" w:hAnsi="Times New Roman" w:cs="Times New Roman"/>
                <w:snapToGrid w:val="0"/>
                <w:color w:val="000000"/>
                <w:kern w:val="0"/>
                <w:szCs w:val="24"/>
                <w:highlight w:val="none"/>
                <w:lang w:val="en-US"/>
              </w:rPr>
              <w:t>包装过程产生</w:t>
            </w:r>
            <w:r>
              <w:rPr>
                <w:rFonts w:hint="default" w:ascii="Times New Roman" w:hAnsi="Times New Roman" w:cs="Times New Roman"/>
                <w:snapToGrid w:val="0"/>
                <w:color w:val="000000"/>
                <w:kern w:val="0"/>
                <w:szCs w:val="24"/>
                <w:highlight w:val="none"/>
                <w:lang w:val="en-US" w:eastAsia="zh-CN"/>
              </w:rPr>
              <w:t>的</w:t>
            </w:r>
            <w:r>
              <w:rPr>
                <w:rFonts w:hint="default" w:ascii="Times New Roman" w:hAnsi="Times New Roman" w:cs="Times New Roman"/>
                <w:snapToGrid w:val="0"/>
                <w:color w:val="000000"/>
                <w:kern w:val="0"/>
                <w:szCs w:val="24"/>
                <w:highlight w:val="none"/>
                <w:lang w:val="en-US"/>
              </w:rPr>
              <w:t>废包装</w:t>
            </w:r>
            <w:r>
              <w:rPr>
                <w:rFonts w:hint="default" w:ascii="Times New Roman" w:hAnsi="Times New Roman" w:cs="Times New Roman"/>
                <w:snapToGrid w:val="0"/>
                <w:color w:val="000000"/>
                <w:kern w:val="0"/>
                <w:szCs w:val="24"/>
                <w:highlight w:val="none"/>
                <w:lang w:val="en-US" w:eastAsia="zh-CN"/>
              </w:rPr>
              <w:t>材料</w:t>
            </w:r>
            <w:r>
              <w:rPr>
                <w:rFonts w:hint="default" w:ascii="Times New Roman" w:hAnsi="Times New Roman" w:cs="Times New Roman"/>
                <w:snapToGrid w:val="0"/>
                <w:color w:val="000000"/>
                <w:kern w:val="0"/>
                <w:szCs w:val="24"/>
                <w:highlight w:val="none"/>
                <w:lang w:val="en-US"/>
              </w:rPr>
              <w:t>，产生量为0.</w:t>
            </w:r>
            <w:r>
              <w:rPr>
                <w:rFonts w:hint="default" w:ascii="Times New Roman" w:hAnsi="Times New Roman" w:cs="Times New Roman"/>
                <w:snapToGrid w:val="0"/>
                <w:color w:val="000000"/>
                <w:kern w:val="0"/>
                <w:szCs w:val="24"/>
                <w:highlight w:val="none"/>
                <w:lang w:val="en-US" w:eastAsia="zh-CN"/>
              </w:rPr>
              <w:t>4</w:t>
            </w:r>
            <w:r>
              <w:rPr>
                <w:rFonts w:hint="default" w:ascii="Times New Roman" w:hAnsi="Times New Roman" w:cs="Times New Roman"/>
                <w:snapToGrid w:val="0"/>
                <w:color w:val="000000"/>
                <w:kern w:val="0"/>
                <w:szCs w:val="24"/>
                <w:highlight w:val="none"/>
                <w:lang w:val="en-US"/>
              </w:rPr>
              <w:t>t/a，收集后定期外售。</w:t>
            </w:r>
          </w:p>
          <w:p>
            <w:pPr>
              <w:pStyle w:val="99"/>
              <w:spacing w:line="360" w:lineRule="auto"/>
              <w:ind w:firstLine="480"/>
              <w:rPr>
                <w:rFonts w:hint="default" w:ascii="Times New Roman" w:hAnsi="Times New Roman" w:eastAsia="宋体" w:cs="Times New Roman"/>
                <w:snapToGrid w:val="0"/>
                <w:color w:val="000000"/>
                <w:kern w:val="0"/>
                <w:szCs w:val="24"/>
                <w:highlight w:val="none"/>
                <w:lang w:val="en-US" w:eastAsia="zh-CN"/>
              </w:rPr>
            </w:pPr>
            <w:r>
              <w:rPr>
                <w:rFonts w:hint="default" w:ascii="Times New Roman" w:hAnsi="Times New Roman" w:cs="Times New Roman"/>
                <w:snapToGrid w:val="0"/>
                <w:color w:val="000000"/>
                <w:kern w:val="0"/>
                <w:szCs w:val="24"/>
                <w:highlight w:val="none"/>
                <w:lang w:val="en-US"/>
              </w:rPr>
              <w:t>（3）</w:t>
            </w:r>
            <w:r>
              <w:rPr>
                <w:rFonts w:hint="default" w:ascii="Times New Roman" w:hAnsi="Times New Roman" w:cs="Times New Roman"/>
                <w:snapToGrid w:val="0"/>
                <w:color w:val="000000"/>
                <w:kern w:val="0"/>
                <w:szCs w:val="24"/>
                <w:highlight w:val="none"/>
                <w:lang w:val="en-US" w:eastAsia="zh-CN"/>
              </w:rPr>
              <w:t>除尘灰</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eastAsia="zh-CN"/>
              </w:rPr>
              <w:t>本</w:t>
            </w:r>
            <w:r>
              <w:rPr>
                <w:rFonts w:hint="default" w:ascii="Times New Roman" w:hAnsi="Times New Roman" w:cs="Times New Roman"/>
                <w:snapToGrid w:val="0"/>
                <w:color w:val="000000"/>
                <w:kern w:val="0"/>
                <w:szCs w:val="24"/>
                <w:highlight w:val="none"/>
                <w:lang w:val="en-US"/>
              </w:rPr>
              <w:t>项目</w:t>
            </w:r>
            <w:r>
              <w:rPr>
                <w:rFonts w:hint="default" w:ascii="Times New Roman" w:hAnsi="Times New Roman" w:cs="Times New Roman"/>
                <w:snapToGrid w:val="0"/>
                <w:color w:val="000000"/>
                <w:kern w:val="0"/>
                <w:szCs w:val="24"/>
                <w:highlight w:val="none"/>
                <w:lang w:val="en-US" w:eastAsia="zh-CN"/>
              </w:rPr>
              <w:t>抛丸过程除尘系统产生除尘灰，产生量约为2.17</w:t>
            </w:r>
            <w:r>
              <w:rPr>
                <w:rFonts w:hint="default" w:ascii="Times New Roman" w:hAnsi="Times New Roman" w:cs="Times New Roman"/>
                <w:snapToGrid w:val="0"/>
                <w:color w:val="000000"/>
                <w:kern w:val="0"/>
                <w:szCs w:val="24"/>
                <w:highlight w:val="none"/>
                <w:lang w:val="en-US"/>
              </w:rPr>
              <w:t>t/a，收集后定期外售。</w:t>
            </w:r>
          </w:p>
          <w:p>
            <w:pPr>
              <w:jc w:val="center"/>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表4-1</w:t>
            </w:r>
            <w:r>
              <w:rPr>
                <w:rFonts w:hint="default" w:ascii="Times New Roman" w:hAnsi="Times New Roman" w:cs="Times New Roman"/>
                <w:b/>
                <w:bCs/>
                <w:color w:val="000000"/>
                <w:sz w:val="24"/>
                <w:highlight w:val="none"/>
                <w:lang w:val="en-US" w:eastAsia="zh-CN"/>
              </w:rPr>
              <w:t>3</w:t>
            </w:r>
            <w:r>
              <w:rPr>
                <w:rFonts w:hint="default" w:ascii="Times New Roman" w:hAnsi="Times New Roman" w:cs="Times New Roman"/>
                <w:b/>
                <w:bCs/>
                <w:color w:val="000000"/>
                <w:sz w:val="24"/>
                <w:highlight w:val="none"/>
              </w:rPr>
              <w:t xml:space="preserve">  固体废物产生情况汇总表</w:t>
            </w:r>
          </w:p>
          <w:tbl>
            <w:tblPr>
              <w:tblStyle w:val="32"/>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2185"/>
              <w:gridCol w:w="1123"/>
              <w:gridCol w:w="1433"/>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431"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序号</w:t>
                  </w:r>
                </w:p>
              </w:tc>
              <w:tc>
                <w:tcPr>
                  <w:tcW w:w="1317"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类别</w:t>
                  </w:r>
                </w:p>
              </w:tc>
              <w:tc>
                <w:tcPr>
                  <w:tcW w:w="677"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产生量</w:t>
                  </w:r>
                </w:p>
              </w:tc>
              <w:tc>
                <w:tcPr>
                  <w:tcW w:w="864"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固废代码</w:t>
                  </w:r>
                </w:p>
              </w:tc>
              <w:tc>
                <w:tcPr>
                  <w:tcW w:w="1709"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处置方式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431"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1</w:t>
                  </w:r>
                </w:p>
              </w:tc>
              <w:tc>
                <w:tcPr>
                  <w:tcW w:w="1317" w:type="pct"/>
                  <w:noWrap w:val="0"/>
                  <w:vAlign w:val="center"/>
                </w:tcPr>
                <w:p>
                  <w:pPr>
                    <w:snapToGrid w:val="0"/>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lang w:val="en-US" w:eastAsia="zh-CN"/>
                    </w:rPr>
                    <w:t>金属废料</w:t>
                  </w:r>
                </w:p>
              </w:tc>
              <w:tc>
                <w:tcPr>
                  <w:tcW w:w="677"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0.988</w:t>
                  </w:r>
                  <w:r>
                    <w:rPr>
                      <w:rFonts w:hint="default" w:ascii="Times New Roman" w:hAnsi="Times New Roman" w:cs="Times New Roman"/>
                      <w:color w:val="000000"/>
                      <w:szCs w:val="21"/>
                      <w:highlight w:val="none"/>
                    </w:rPr>
                    <w:t>t/a</w:t>
                  </w:r>
                </w:p>
              </w:tc>
              <w:tc>
                <w:tcPr>
                  <w:tcW w:w="864" w:type="pct"/>
                  <w:noWrap w:val="0"/>
                  <w:vAlign w:val="center"/>
                </w:tcPr>
                <w:p>
                  <w:pPr>
                    <w:snapToGrid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rPr>
                    <w:t>900-099-S</w:t>
                  </w:r>
                  <w:r>
                    <w:rPr>
                      <w:rFonts w:hint="default" w:ascii="Times New Roman" w:hAnsi="Times New Roman" w:cs="Times New Roman"/>
                      <w:color w:val="000000"/>
                      <w:szCs w:val="21"/>
                      <w:highlight w:val="none"/>
                      <w:lang w:val="en-US" w:eastAsia="zh-CN"/>
                    </w:rPr>
                    <w:t>17</w:t>
                  </w:r>
                </w:p>
              </w:tc>
              <w:tc>
                <w:tcPr>
                  <w:tcW w:w="1709"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431"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2</w:t>
                  </w:r>
                </w:p>
              </w:tc>
              <w:tc>
                <w:tcPr>
                  <w:tcW w:w="1317" w:type="pct"/>
                  <w:noWrap w:val="0"/>
                  <w:vAlign w:val="center"/>
                </w:tcPr>
                <w:p>
                  <w:pPr>
                    <w:snapToGrid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rPr>
                    <w:t>废包装</w:t>
                  </w:r>
                  <w:r>
                    <w:rPr>
                      <w:rFonts w:hint="default" w:ascii="Times New Roman" w:hAnsi="Times New Roman" w:cs="Times New Roman"/>
                      <w:color w:val="000000"/>
                      <w:szCs w:val="21"/>
                      <w:highlight w:val="none"/>
                      <w:lang w:val="en-US" w:eastAsia="zh-CN"/>
                    </w:rPr>
                    <w:t>材料</w:t>
                  </w:r>
                </w:p>
              </w:tc>
              <w:tc>
                <w:tcPr>
                  <w:tcW w:w="677"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0.4</w:t>
                  </w:r>
                  <w:r>
                    <w:rPr>
                      <w:rFonts w:hint="default" w:ascii="Times New Roman" w:hAnsi="Times New Roman" w:cs="Times New Roman"/>
                      <w:color w:val="000000"/>
                      <w:szCs w:val="21"/>
                      <w:highlight w:val="none"/>
                    </w:rPr>
                    <w:t>t/a</w:t>
                  </w:r>
                </w:p>
              </w:tc>
              <w:tc>
                <w:tcPr>
                  <w:tcW w:w="864" w:type="pct"/>
                  <w:noWrap w:val="0"/>
                  <w:vAlign w:val="center"/>
                </w:tcPr>
                <w:p>
                  <w:pPr>
                    <w:snapToGrid w:val="0"/>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rPr>
                    <w:t>900-0</w:t>
                  </w:r>
                  <w:r>
                    <w:rPr>
                      <w:rFonts w:hint="default" w:ascii="Times New Roman" w:hAnsi="Times New Roman" w:cs="Times New Roman"/>
                      <w:color w:val="000000"/>
                      <w:szCs w:val="21"/>
                      <w:highlight w:val="none"/>
                      <w:lang w:val="en-US" w:eastAsia="zh-CN"/>
                    </w:rPr>
                    <w:t>03</w:t>
                  </w:r>
                  <w:r>
                    <w:rPr>
                      <w:rFonts w:hint="default" w:ascii="Times New Roman" w:hAnsi="Times New Roman" w:cs="Times New Roman"/>
                      <w:color w:val="000000"/>
                      <w:szCs w:val="21"/>
                      <w:highlight w:val="none"/>
                    </w:rPr>
                    <w:t>-S1</w:t>
                  </w:r>
                  <w:r>
                    <w:rPr>
                      <w:rFonts w:hint="default" w:ascii="Times New Roman" w:hAnsi="Times New Roman" w:cs="Times New Roman"/>
                      <w:color w:val="000000"/>
                      <w:szCs w:val="21"/>
                      <w:highlight w:val="none"/>
                      <w:lang w:val="en-US" w:eastAsia="zh-CN"/>
                    </w:rPr>
                    <w:t>7</w:t>
                  </w:r>
                </w:p>
              </w:tc>
              <w:tc>
                <w:tcPr>
                  <w:tcW w:w="1709"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431"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3</w:t>
                  </w:r>
                </w:p>
              </w:tc>
              <w:tc>
                <w:tcPr>
                  <w:tcW w:w="1317" w:type="pct"/>
                  <w:noWrap w:val="0"/>
                  <w:vAlign w:val="center"/>
                </w:tcPr>
                <w:p>
                  <w:pPr>
                    <w:snapToGrid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除尘灰</w:t>
                  </w:r>
                </w:p>
              </w:tc>
              <w:tc>
                <w:tcPr>
                  <w:tcW w:w="677"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2.17</w:t>
                  </w:r>
                  <w:r>
                    <w:rPr>
                      <w:rFonts w:hint="default" w:ascii="Times New Roman" w:hAnsi="Times New Roman" w:cs="Times New Roman"/>
                      <w:color w:val="000000"/>
                      <w:szCs w:val="21"/>
                      <w:highlight w:val="none"/>
                    </w:rPr>
                    <w:t>t/a</w:t>
                  </w:r>
                </w:p>
              </w:tc>
              <w:tc>
                <w:tcPr>
                  <w:tcW w:w="864" w:type="pct"/>
                  <w:noWrap w:val="0"/>
                  <w:vAlign w:val="center"/>
                </w:tcPr>
                <w:p>
                  <w:pPr>
                    <w:snapToGrid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rPr>
                    <w:t>900-099-S</w:t>
                  </w:r>
                  <w:r>
                    <w:rPr>
                      <w:rFonts w:hint="default" w:ascii="Times New Roman" w:hAnsi="Times New Roman" w:cs="Times New Roman"/>
                      <w:color w:val="000000"/>
                      <w:szCs w:val="21"/>
                      <w:highlight w:val="none"/>
                      <w:lang w:val="en-US" w:eastAsia="zh-CN"/>
                    </w:rPr>
                    <w:t>59</w:t>
                  </w:r>
                </w:p>
              </w:tc>
              <w:tc>
                <w:tcPr>
                  <w:tcW w:w="1709" w:type="pct"/>
                  <w:noWrap w:val="0"/>
                  <w:vAlign w:val="center"/>
                </w:tcPr>
                <w:p>
                  <w:pPr>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外售</w:t>
                  </w:r>
                </w:p>
              </w:tc>
            </w:tr>
          </w:tbl>
          <w:p>
            <w:pPr>
              <w:pStyle w:val="99"/>
              <w:spacing w:line="360" w:lineRule="auto"/>
              <w:ind w:firstLine="482"/>
              <w:rPr>
                <w:rFonts w:hint="default" w:ascii="Times New Roman" w:hAnsi="Times New Roman" w:cs="Times New Roman"/>
                <w:b/>
                <w:bCs/>
                <w:snapToGrid w:val="0"/>
                <w:color w:val="000000"/>
                <w:kern w:val="0"/>
                <w:szCs w:val="24"/>
                <w:highlight w:val="none"/>
                <w:lang w:val="en-US"/>
              </w:rPr>
            </w:pPr>
            <w:r>
              <w:rPr>
                <w:rFonts w:hint="default" w:ascii="Times New Roman" w:hAnsi="Times New Roman" w:cs="Times New Roman"/>
                <w:b/>
                <w:bCs/>
                <w:snapToGrid w:val="0"/>
                <w:color w:val="000000"/>
                <w:kern w:val="0"/>
                <w:szCs w:val="24"/>
                <w:highlight w:val="none"/>
                <w:lang w:val="en-US"/>
              </w:rPr>
              <w:t>一般工业固体废物管理要求</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排污单位应按照《中华人民共和国固体废物污染环境防治法》等相关法律法规要求，对工业固体废物采用防扬散、防流失、防渗漏或者其他防止污染环境的措施，不得擅自倾倒、堆放、丢弃、遗撒工业固体废物。</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污染防控技术应符合排污单位适用的污染物排放标准、污染控制标准、污染防治可行技术等相关标准和管理文件要求，工业固体废物进行综合利用。</w:t>
            </w:r>
          </w:p>
          <w:p>
            <w:pPr>
              <w:pStyle w:val="99"/>
              <w:spacing w:line="360" w:lineRule="auto"/>
              <w:ind w:firstLine="482"/>
              <w:rPr>
                <w:rFonts w:hint="default" w:ascii="Times New Roman" w:hAnsi="Times New Roman" w:cs="Times New Roman"/>
                <w:b/>
                <w:bCs/>
                <w:snapToGrid w:val="0"/>
                <w:color w:val="000000"/>
                <w:kern w:val="0"/>
                <w:szCs w:val="24"/>
                <w:highlight w:val="none"/>
                <w:lang w:val="en-US"/>
              </w:rPr>
            </w:pPr>
            <w:r>
              <w:rPr>
                <w:rFonts w:hint="default" w:ascii="Times New Roman" w:hAnsi="Times New Roman" w:cs="Times New Roman"/>
                <w:b/>
                <w:bCs/>
                <w:snapToGrid w:val="0"/>
                <w:color w:val="000000"/>
                <w:kern w:val="0"/>
                <w:szCs w:val="24"/>
                <w:highlight w:val="none"/>
                <w:lang w:val="en-US"/>
              </w:rPr>
              <w:t>一般工业固体废物自行贮存污染控制要求</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采用库房、包装工具（罐、桶、包装袋等）贮存一般工业固体废物的，贮存过程应满足相应防渗漏、防雨淋、防扬尘等环境保护要求；危险废物和生活垃圾不得进入一般工业固体废物贮存场及填埋场；不相容的一般工业固体废物应设置不同的分区进行贮存和填埋作业；贮存场应设置清晰、完整的一般工业固体废物标志牌等。</w:t>
            </w:r>
          </w:p>
          <w:p>
            <w:pPr>
              <w:pStyle w:val="99"/>
              <w:spacing w:line="360" w:lineRule="auto"/>
              <w:ind w:firstLine="482"/>
              <w:rPr>
                <w:rFonts w:hint="default" w:ascii="Times New Roman" w:hAnsi="Times New Roman" w:cs="Times New Roman"/>
                <w:b/>
                <w:bCs/>
                <w:snapToGrid w:val="0"/>
                <w:color w:val="000000"/>
                <w:kern w:val="0"/>
                <w:szCs w:val="24"/>
                <w:highlight w:val="none"/>
                <w:lang w:val="en-US"/>
              </w:rPr>
            </w:pPr>
            <w:r>
              <w:rPr>
                <w:rFonts w:hint="default" w:ascii="Times New Roman" w:hAnsi="Times New Roman" w:cs="Times New Roman"/>
                <w:b/>
                <w:bCs/>
                <w:snapToGrid w:val="0"/>
                <w:color w:val="000000"/>
                <w:kern w:val="0"/>
                <w:szCs w:val="24"/>
                <w:highlight w:val="none"/>
                <w:lang w:val="en-US"/>
              </w:rPr>
              <w:t>一般工业固体废物台账管理要求</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一般工业固体废物管理台账实施分级管理。记录固体废物的基础信息及流向信息。应当结合环境影响评价、排污许可等材料，根据实际生产运营情况记录固体废物产生信息，生产工艺发生重大变动等原因导致固体废物产生种类等发生变化的，按年填写；记录固体废物的产生、贮存、利用、处置数量和利用、处置方式等信息，按月填写；每一批次固体废物的出厂以及转移信息均应当如实记录，批次填写。</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产废单位填写台账记录表时，应当根据自身固体废物产生情况，选择对应的固体废物种类和代码，并根据固体废物种类确定固体废物的具体名称。</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鼓励产废单位采用国家建立的一般工业固体废物管理电子台账，简化数据填写、台账管理等工作。地方和企业自行开发的电子台账要实现与国家系统对接。建立电子台账的产废单位，可不再记录纸质台账。</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台账记录表各表单的负责人对记录信息的真实性、完整性和规范性负责。</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产废单位应当设立专人负责台账的管理与归档，一般工业固体废物管理台账保存期限不少于5年。</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鼓励有条件的产废单位在固体废物产生场所、贮存场所及磅秤位置等关键点位设置视频监控，提高台账记录信息的准确性。</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2、危险废物</w:t>
            </w:r>
          </w:p>
          <w:p>
            <w:pPr>
              <w:pStyle w:val="99"/>
              <w:spacing w:line="360" w:lineRule="auto"/>
              <w:ind w:firstLine="480"/>
              <w:rPr>
                <w:rFonts w:hint="default" w:ascii="Times New Roman" w:hAnsi="Times New Roman" w:cs="Times New Roman"/>
                <w:snapToGrid w:val="0"/>
                <w:color w:val="000000"/>
                <w:kern w:val="0"/>
                <w:szCs w:val="24"/>
                <w:highlight w:val="none"/>
                <w:lang w:val="en-US"/>
              </w:rPr>
            </w:pPr>
            <w:r>
              <w:rPr>
                <w:rFonts w:hint="default" w:ascii="Times New Roman" w:hAnsi="Times New Roman" w:cs="Times New Roman"/>
                <w:snapToGrid w:val="0"/>
                <w:color w:val="000000"/>
                <w:kern w:val="0"/>
                <w:szCs w:val="24"/>
                <w:highlight w:val="none"/>
                <w:lang w:val="en-US"/>
              </w:rPr>
              <w:t>本项目危险废物产生、贮存及处置情况见下表。</w:t>
            </w:r>
          </w:p>
          <w:p>
            <w:pPr>
              <w:keepNext w:val="0"/>
              <w:keepLines w:val="0"/>
              <w:pageBreakBefore w:val="0"/>
              <w:widowControl w:val="0"/>
              <w:kinsoku/>
              <w:wordWrap/>
              <w:overflowPunct/>
              <w:topLinePunct w:val="0"/>
              <w:autoSpaceDE/>
              <w:autoSpaceDN/>
              <w:bidi w:val="0"/>
              <w:adjustRightInd w:val="0"/>
              <w:snapToGrid w:val="0"/>
              <w:spacing w:before="157" w:beforeLines="50" w:line="360" w:lineRule="exact"/>
              <w:jc w:val="center"/>
              <w:textAlignment w:val="auto"/>
              <w:rPr>
                <w:rFonts w:hint="default" w:ascii="Times New Roman" w:hAnsi="Times New Roman" w:cs="Times New Roman"/>
                <w:b/>
                <w:color w:val="000000"/>
                <w:sz w:val="24"/>
                <w:highlight w:val="none"/>
              </w:rPr>
            </w:pPr>
            <w:r>
              <w:rPr>
                <w:rFonts w:hint="default" w:ascii="Times New Roman" w:hAnsi="Times New Roman" w:cs="Times New Roman"/>
                <w:b/>
                <w:color w:val="000000"/>
                <w:sz w:val="24"/>
                <w:highlight w:val="none"/>
              </w:rPr>
              <w:t>表4-1</w:t>
            </w:r>
            <w:r>
              <w:rPr>
                <w:rFonts w:hint="default" w:ascii="Times New Roman" w:hAnsi="Times New Roman" w:cs="Times New Roman"/>
                <w:b/>
                <w:color w:val="000000"/>
                <w:sz w:val="24"/>
                <w:highlight w:val="none"/>
                <w:lang w:val="en-US" w:eastAsia="zh-CN"/>
              </w:rPr>
              <w:t>4</w:t>
            </w:r>
            <w:r>
              <w:rPr>
                <w:rFonts w:hint="default" w:ascii="Times New Roman" w:hAnsi="Times New Roman" w:cs="Times New Roman"/>
                <w:b/>
                <w:color w:val="000000"/>
                <w:sz w:val="24"/>
                <w:highlight w:val="none"/>
              </w:rPr>
              <w:t xml:space="preserve">  危险废物产生情况一览表</w:t>
            </w:r>
          </w:p>
          <w:tbl>
            <w:tblPr>
              <w:tblStyle w:val="32"/>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9"/>
              <w:gridCol w:w="709"/>
              <w:gridCol w:w="746"/>
              <w:gridCol w:w="1151"/>
              <w:gridCol w:w="680"/>
              <w:gridCol w:w="1048"/>
              <w:gridCol w:w="821"/>
              <w:gridCol w:w="672"/>
              <w:gridCol w:w="662"/>
              <w:gridCol w:w="13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序号</w:t>
                  </w:r>
                </w:p>
              </w:tc>
              <w:tc>
                <w:tcPr>
                  <w:tcW w:w="428"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名称</w:t>
                  </w:r>
                </w:p>
              </w:tc>
              <w:tc>
                <w:tcPr>
                  <w:tcW w:w="450"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危险废物类别</w:t>
                  </w:r>
                </w:p>
              </w:tc>
              <w:tc>
                <w:tcPr>
                  <w:tcW w:w="694" w:type="pct"/>
                  <w:noWrap w:val="0"/>
                  <w:vAlign w:val="center"/>
                </w:tcPr>
                <w:p>
                  <w:pPr>
                    <w:topLinePunct/>
                    <w:adjustRightInd w:val="0"/>
                    <w:snapToGrid w:val="0"/>
                    <w:jc w:val="center"/>
                    <w:rPr>
                      <w:rFonts w:hint="default" w:ascii="Times New Roman" w:hAnsi="Times New Roman" w:cs="Times New Roman"/>
                      <w:b/>
                      <w:bCs/>
                      <w:color w:val="000000" w:themeColor="text1"/>
                      <w:kern w:val="0"/>
                      <w:szCs w:val="21"/>
                      <w:highlight w:val="none"/>
                      <w14:textFill>
                        <w14:solidFill>
                          <w14:schemeClr w14:val="tx1"/>
                        </w14:solidFill>
                      </w14:textFill>
                    </w:rPr>
                  </w:pPr>
                  <w:r>
                    <w:rPr>
                      <w:rFonts w:hint="default" w:ascii="Times New Roman" w:hAnsi="Times New Roman" w:cs="Times New Roman"/>
                      <w:b/>
                      <w:bCs/>
                      <w:color w:val="000000" w:themeColor="text1"/>
                      <w:kern w:val="0"/>
                      <w:szCs w:val="21"/>
                      <w:highlight w:val="none"/>
                      <w14:textFill>
                        <w14:solidFill>
                          <w14:schemeClr w14:val="tx1"/>
                        </w14:solidFill>
                      </w14:textFill>
                    </w:rPr>
                    <w:t>危险废物代码</w:t>
                  </w:r>
                </w:p>
              </w:tc>
              <w:tc>
                <w:tcPr>
                  <w:tcW w:w="410" w:type="pct"/>
                  <w:noWrap w:val="0"/>
                  <w:vAlign w:val="center"/>
                </w:tcPr>
                <w:p>
                  <w:pPr>
                    <w:topLinePunct/>
                    <w:adjustRightInd w:val="0"/>
                    <w:snapToGrid w:val="0"/>
                    <w:jc w:val="center"/>
                    <w:rPr>
                      <w:rFonts w:hint="default" w:ascii="Times New Roman" w:hAnsi="Times New Roman" w:cs="Times New Roman"/>
                      <w:b/>
                      <w:bCs/>
                      <w:color w:val="000000" w:themeColor="text1"/>
                      <w:kern w:val="0"/>
                      <w:szCs w:val="21"/>
                      <w:highlight w:val="none"/>
                      <w14:textFill>
                        <w14:solidFill>
                          <w14:schemeClr w14:val="tx1"/>
                        </w14:solidFill>
                      </w14:textFill>
                    </w:rPr>
                  </w:pPr>
                  <w:r>
                    <w:rPr>
                      <w:rFonts w:hint="default" w:ascii="Times New Roman" w:hAnsi="Times New Roman" w:cs="Times New Roman"/>
                      <w:b/>
                      <w:bCs/>
                      <w:color w:val="000000" w:themeColor="text1"/>
                      <w:kern w:val="0"/>
                      <w:szCs w:val="21"/>
                      <w:highlight w:val="none"/>
                      <w14:textFill>
                        <w14:solidFill>
                          <w14:schemeClr w14:val="tx1"/>
                        </w14:solidFill>
                      </w14:textFill>
                    </w:rPr>
                    <w:t>产生量</w:t>
                  </w:r>
                </w:p>
              </w:tc>
              <w:tc>
                <w:tcPr>
                  <w:tcW w:w="632" w:type="pct"/>
                  <w:noWrap w:val="0"/>
                  <w:vAlign w:val="center"/>
                </w:tcPr>
                <w:p>
                  <w:pPr>
                    <w:topLinePunct/>
                    <w:adjustRightInd w:val="0"/>
                    <w:snapToGrid w:val="0"/>
                    <w:jc w:val="center"/>
                    <w:rPr>
                      <w:rFonts w:hint="default" w:ascii="Times New Roman" w:hAnsi="Times New Roman" w:cs="Times New Roman"/>
                      <w:b/>
                      <w:bCs/>
                      <w:color w:val="000000" w:themeColor="text1"/>
                      <w:kern w:val="0"/>
                      <w:szCs w:val="21"/>
                      <w:highlight w:val="none"/>
                      <w14:textFill>
                        <w14:solidFill>
                          <w14:schemeClr w14:val="tx1"/>
                        </w14:solidFill>
                      </w14:textFill>
                    </w:rPr>
                  </w:pPr>
                  <w:r>
                    <w:rPr>
                      <w:rFonts w:hint="default" w:ascii="Times New Roman" w:hAnsi="Times New Roman" w:cs="Times New Roman"/>
                      <w:b/>
                      <w:bCs/>
                      <w:color w:val="000000" w:themeColor="text1"/>
                      <w:kern w:val="0"/>
                      <w:szCs w:val="21"/>
                      <w:highlight w:val="none"/>
                      <w14:textFill>
                        <w14:solidFill>
                          <w14:schemeClr w14:val="tx1"/>
                        </w14:solidFill>
                      </w14:textFill>
                    </w:rPr>
                    <w:t>产生工序及装置</w:t>
                  </w:r>
                </w:p>
              </w:tc>
              <w:tc>
                <w:tcPr>
                  <w:tcW w:w="495"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形态</w:t>
                  </w:r>
                </w:p>
              </w:tc>
              <w:tc>
                <w:tcPr>
                  <w:tcW w:w="405"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产废</w:t>
                  </w:r>
                </w:p>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周期</w:t>
                  </w:r>
                </w:p>
              </w:tc>
              <w:tc>
                <w:tcPr>
                  <w:tcW w:w="399"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危险特性</w:t>
                  </w:r>
                </w:p>
              </w:tc>
              <w:tc>
                <w:tcPr>
                  <w:tcW w:w="834" w:type="pct"/>
                  <w:noWrap w:val="0"/>
                  <w:vAlign w:val="center"/>
                </w:tcPr>
                <w:p>
                  <w:pPr>
                    <w:topLinePunct/>
                    <w:adjustRightInd w:val="0"/>
                    <w:snapToGrid w:val="0"/>
                    <w:jc w:val="center"/>
                    <w:rPr>
                      <w:rFonts w:hint="default" w:ascii="Times New Roman" w:hAnsi="Times New Roman" w:cs="Times New Roman"/>
                      <w:b/>
                      <w:bCs/>
                      <w:color w:val="000000"/>
                      <w:kern w:val="0"/>
                      <w:szCs w:val="21"/>
                      <w:highlight w:val="none"/>
                    </w:rPr>
                  </w:pPr>
                  <w:r>
                    <w:rPr>
                      <w:rFonts w:hint="default" w:ascii="Times New Roman" w:hAnsi="Times New Roman" w:cs="Times New Roman"/>
                      <w:b/>
                      <w:bCs/>
                      <w:color w:val="000000"/>
                      <w:kern w:val="0"/>
                      <w:szCs w:val="21"/>
                      <w:highlight w:val="none"/>
                    </w:rPr>
                    <w:t>污染防治措施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1</w:t>
                  </w:r>
                </w:p>
              </w:tc>
              <w:tc>
                <w:tcPr>
                  <w:tcW w:w="428" w:type="pct"/>
                  <w:noWrap w:val="0"/>
                  <w:vAlign w:val="center"/>
                </w:tcPr>
                <w:p>
                  <w:pPr>
                    <w:adjustRightInd w:val="0"/>
                    <w:snapToGrid w:val="0"/>
                    <w:ind w:left="-105" w:leftChars="-50" w:right="-105" w:rightChars="-5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 w:val="21"/>
                      <w:szCs w:val="21"/>
                      <w:highlight w:val="none"/>
                      <w:lang w:val="en-US" w:eastAsia="zh-CN"/>
                    </w:rPr>
                    <w:t>废切削液</w:t>
                  </w:r>
                </w:p>
              </w:tc>
              <w:tc>
                <w:tcPr>
                  <w:tcW w:w="45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spacing w:val="-6"/>
                      <w:kern w:val="0"/>
                      <w:szCs w:val="21"/>
                      <w:highlight w:val="none"/>
                    </w:rPr>
                  </w:pPr>
                  <w:r>
                    <w:rPr>
                      <w:rFonts w:hint="default" w:ascii="Times New Roman" w:hAnsi="Times New Roman" w:cs="Times New Roman"/>
                      <w:color w:val="000000"/>
                      <w:szCs w:val="21"/>
                      <w:highlight w:val="none"/>
                    </w:rPr>
                    <w:t>HW0</w:t>
                  </w:r>
                  <w:r>
                    <w:rPr>
                      <w:rFonts w:hint="default" w:ascii="Times New Roman" w:hAnsi="Times New Roman" w:cs="Times New Roman"/>
                      <w:color w:val="000000"/>
                      <w:szCs w:val="21"/>
                      <w:highlight w:val="none"/>
                      <w:lang w:val="en-US" w:eastAsia="zh-CN"/>
                    </w:rPr>
                    <w:t>9</w:t>
                  </w:r>
                </w:p>
              </w:tc>
              <w:tc>
                <w:tcPr>
                  <w:tcW w:w="694"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themeColor="text1"/>
                      <w:spacing w:val="-6"/>
                      <w:kern w:val="0"/>
                      <w:szCs w:val="21"/>
                      <w:highlight w:val="none"/>
                      <w14:textFill>
                        <w14:solidFill>
                          <w14:schemeClr w14:val="tx1"/>
                        </w14:solidFill>
                      </w14:textFill>
                    </w:rPr>
                  </w:pPr>
                  <w:r>
                    <w:rPr>
                      <w:rFonts w:hint="default" w:ascii="Times New Roman" w:hAnsi="Times New Roman" w:eastAsia="宋体" w:cs="Times New Roman"/>
                      <w:snapToGrid w:val="0"/>
                      <w:color w:val="000000" w:themeColor="text1"/>
                      <w:spacing w:val="0"/>
                      <w:w w:val="100"/>
                      <w:sz w:val="21"/>
                      <w:szCs w:val="21"/>
                      <w:highlight w:val="none"/>
                      <w:lang w:val="en-US" w:eastAsia="zh-CN"/>
                      <w14:textFill>
                        <w14:solidFill>
                          <w14:schemeClr w14:val="tx1"/>
                        </w14:solidFill>
                      </w14:textFill>
                    </w:rPr>
                    <w:t>900-</w:t>
                  </w:r>
                  <w:r>
                    <w:rPr>
                      <w:rFonts w:hint="default" w:ascii="Times New Roman" w:hAnsi="Times New Roman" w:cs="Times New Roman"/>
                      <w:snapToGrid w:val="0"/>
                      <w:color w:val="000000" w:themeColor="text1"/>
                      <w:spacing w:val="0"/>
                      <w:w w:val="100"/>
                      <w:sz w:val="21"/>
                      <w:szCs w:val="21"/>
                      <w:highlight w:val="none"/>
                      <w:lang w:val="en-US" w:eastAsia="zh-CN"/>
                      <w14:textFill>
                        <w14:solidFill>
                          <w14:schemeClr w14:val="tx1"/>
                        </w14:solidFill>
                      </w14:textFill>
                    </w:rPr>
                    <w:t>006</w:t>
                  </w:r>
                  <w:r>
                    <w:rPr>
                      <w:rFonts w:hint="default" w:ascii="Times New Roman" w:hAnsi="Times New Roman" w:eastAsia="宋体" w:cs="Times New Roman"/>
                      <w:snapToGrid w:val="0"/>
                      <w:color w:val="000000" w:themeColor="text1"/>
                      <w:spacing w:val="0"/>
                      <w:w w:val="100"/>
                      <w:sz w:val="21"/>
                      <w:szCs w:val="21"/>
                      <w:highlight w:val="none"/>
                      <w:lang w:val="en-US" w:eastAsia="zh-CN"/>
                      <w14:textFill>
                        <w14:solidFill>
                          <w14:schemeClr w14:val="tx1"/>
                        </w14:solidFill>
                      </w14:textFill>
                    </w:rPr>
                    <w:t>-0</w:t>
                  </w:r>
                  <w:r>
                    <w:rPr>
                      <w:rFonts w:hint="default" w:ascii="Times New Roman" w:hAnsi="Times New Roman" w:cs="Times New Roman"/>
                      <w:snapToGrid w:val="0"/>
                      <w:color w:val="000000" w:themeColor="text1"/>
                      <w:spacing w:val="0"/>
                      <w:w w:val="100"/>
                      <w:sz w:val="21"/>
                      <w:szCs w:val="21"/>
                      <w:highlight w:val="none"/>
                      <w:lang w:val="en-US" w:eastAsia="zh-CN"/>
                      <w14:textFill>
                        <w14:solidFill>
                          <w14:schemeClr w14:val="tx1"/>
                        </w14:solidFill>
                      </w14:textFill>
                    </w:rPr>
                    <w:t>9</w:t>
                  </w:r>
                </w:p>
              </w:tc>
              <w:tc>
                <w:tcPr>
                  <w:tcW w:w="410" w:type="pct"/>
                  <w:noWrap w:val="0"/>
                  <w:vAlign w:val="center"/>
                </w:tcPr>
                <w:p>
                  <w:pPr>
                    <w:spacing w:line="0" w:lineRule="atLeast"/>
                    <w:jc w:val="center"/>
                    <w:rPr>
                      <w:rFonts w:hint="default" w:ascii="Times New Roman" w:hAnsi="Times New Roman" w:cs="Times New Roman"/>
                      <w:color w:val="000000" w:themeColor="text1"/>
                      <w:spacing w:val="-6"/>
                      <w:kern w:val="0"/>
                      <w:szCs w:val="21"/>
                      <w:highlight w:val="none"/>
                      <w14:textFill>
                        <w14:solidFill>
                          <w14:schemeClr w14:val="tx1"/>
                        </w14:solidFill>
                      </w14:textFill>
                    </w:rPr>
                  </w:pPr>
                  <w:r>
                    <w:rPr>
                      <w:rFonts w:hint="default" w:ascii="Times New Roman" w:hAnsi="Times New Roman" w:cs="Times New Roman"/>
                      <w:color w:val="000000" w:themeColor="text1"/>
                      <w:spacing w:val="-6"/>
                      <w:kern w:val="0"/>
                      <w:szCs w:val="21"/>
                      <w:highlight w:val="none"/>
                      <w14:textFill>
                        <w14:solidFill>
                          <w14:schemeClr w14:val="tx1"/>
                        </w14:solidFill>
                      </w14:textFill>
                    </w:rPr>
                    <w:t>0.</w:t>
                  </w:r>
                  <w:r>
                    <w:rPr>
                      <w:rFonts w:hint="default" w:ascii="Times New Roman" w:hAnsi="Times New Roman" w:cs="Times New Roman"/>
                      <w:color w:val="000000" w:themeColor="text1"/>
                      <w:spacing w:val="-6"/>
                      <w:kern w:val="0"/>
                      <w:szCs w:val="21"/>
                      <w:highlight w:val="none"/>
                      <w:lang w:val="en-US" w:eastAsia="zh-CN"/>
                      <w14:textFill>
                        <w14:solidFill>
                          <w14:schemeClr w14:val="tx1"/>
                        </w14:solidFill>
                      </w14:textFill>
                    </w:rPr>
                    <w:t>1</w:t>
                  </w:r>
                  <w:r>
                    <w:rPr>
                      <w:rFonts w:hint="default" w:ascii="Times New Roman" w:hAnsi="Times New Roman" w:cs="Times New Roman"/>
                      <w:color w:val="000000" w:themeColor="text1"/>
                      <w:spacing w:val="-6"/>
                      <w:kern w:val="0"/>
                      <w:szCs w:val="21"/>
                      <w:highlight w:val="none"/>
                      <w14:textFill>
                        <w14:solidFill>
                          <w14:schemeClr w14:val="tx1"/>
                        </w14:solidFill>
                      </w14:textFill>
                    </w:rPr>
                    <w:t>t</w:t>
                  </w:r>
                </w:p>
              </w:tc>
              <w:tc>
                <w:tcPr>
                  <w:tcW w:w="632" w:type="pct"/>
                  <w:noWrap w:val="0"/>
                  <w:vAlign w:val="center"/>
                </w:tcPr>
                <w:p>
                  <w:pPr>
                    <w:topLinePunct/>
                    <w:adjustRightInd w:val="0"/>
                    <w:snapToGrid w:val="0"/>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Cs w:val="21"/>
                      <w:highlight w:val="none"/>
                      <w:lang w:val="en-US" w:eastAsia="zh-CN"/>
                      <w14:textFill>
                        <w14:solidFill>
                          <w14:schemeClr w14:val="tx1"/>
                        </w14:solidFill>
                      </w14:textFill>
                    </w:rPr>
                    <w:t>机加</w:t>
                  </w:r>
                </w:p>
              </w:tc>
              <w:tc>
                <w:tcPr>
                  <w:tcW w:w="495"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szCs w:val="21"/>
                      <w:highlight w:val="none"/>
                    </w:rPr>
                    <w:t>液态</w:t>
                  </w:r>
                </w:p>
              </w:tc>
              <w:tc>
                <w:tcPr>
                  <w:tcW w:w="405" w:type="pct"/>
                  <w:vMerge w:val="restar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一年</w:t>
                  </w:r>
                </w:p>
              </w:tc>
              <w:tc>
                <w:tcPr>
                  <w:tcW w:w="399"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T</w:t>
                  </w:r>
                </w:p>
              </w:tc>
              <w:tc>
                <w:tcPr>
                  <w:tcW w:w="834" w:type="pct"/>
                  <w:vMerge w:val="restar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危废暂存间内暂存，定期交由有资质的危废处置单位处置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2</w:t>
                  </w:r>
                </w:p>
              </w:tc>
              <w:tc>
                <w:tcPr>
                  <w:tcW w:w="428" w:type="pct"/>
                  <w:noWrap w:val="0"/>
                  <w:vAlign w:val="center"/>
                </w:tcPr>
                <w:p>
                  <w:pPr>
                    <w:bidi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2"/>
                      <w:sz w:val="21"/>
                      <w:szCs w:val="24"/>
                      <w:highlight w:val="none"/>
                      <w:lang w:val="en-US" w:eastAsia="zh-CN" w:bidi="ar-SA"/>
                    </w:rPr>
                    <w:t>废润滑油</w:t>
                  </w:r>
                </w:p>
              </w:tc>
              <w:tc>
                <w:tcPr>
                  <w:tcW w:w="45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spacing w:val="-6"/>
                      <w:kern w:val="0"/>
                      <w:szCs w:val="21"/>
                      <w:highlight w:val="none"/>
                    </w:rPr>
                  </w:pPr>
                  <w:r>
                    <w:rPr>
                      <w:rFonts w:hint="default" w:ascii="Times New Roman" w:hAnsi="Times New Roman" w:cs="Times New Roman"/>
                      <w:color w:val="000000"/>
                      <w:szCs w:val="21"/>
                      <w:highlight w:val="none"/>
                    </w:rPr>
                    <w:t>HW08</w:t>
                  </w:r>
                </w:p>
              </w:tc>
              <w:tc>
                <w:tcPr>
                  <w:tcW w:w="694"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snapToGrid w:val="0"/>
                      <w:color w:val="000000" w:themeColor="text1"/>
                      <w:spacing w:val="-6"/>
                      <w:kern w:val="0"/>
                      <w:highlight w:val="none"/>
                      <w14:textFill>
                        <w14:solidFill>
                          <w14:schemeClr w14:val="tx1"/>
                        </w14:solidFill>
                      </w14:textFill>
                    </w:rPr>
                  </w:pPr>
                  <w:r>
                    <w:rPr>
                      <w:rFonts w:hint="default" w:ascii="Times New Roman" w:hAnsi="Times New Roman" w:eastAsia="宋体" w:cs="Times New Roman"/>
                      <w:snapToGrid w:val="0"/>
                      <w:color w:val="000000" w:themeColor="text1"/>
                      <w:spacing w:val="0"/>
                      <w:w w:val="100"/>
                      <w:sz w:val="21"/>
                      <w:szCs w:val="21"/>
                      <w:highlight w:val="none"/>
                      <w14:textFill>
                        <w14:solidFill>
                          <w14:schemeClr w14:val="tx1"/>
                        </w14:solidFill>
                      </w14:textFill>
                    </w:rPr>
                    <w:t>900-217-08</w:t>
                  </w:r>
                </w:p>
              </w:tc>
              <w:tc>
                <w:tcPr>
                  <w:tcW w:w="410" w:type="pct"/>
                  <w:noWrap w:val="0"/>
                  <w:vAlign w:val="center"/>
                </w:tcPr>
                <w:p>
                  <w:pPr>
                    <w:spacing w:line="0" w:lineRule="atLeast"/>
                    <w:jc w:val="center"/>
                    <w:rPr>
                      <w:rFonts w:hint="default" w:ascii="Times New Roman" w:hAnsi="Times New Roman" w:cs="Times New Roman"/>
                      <w:color w:val="000000" w:themeColor="text1"/>
                      <w:spacing w:val="-6"/>
                      <w:kern w:val="0"/>
                      <w:szCs w:val="21"/>
                      <w:highlight w:val="none"/>
                      <w14:textFill>
                        <w14:solidFill>
                          <w14:schemeClr w14:val="tx1"/>
                        </w14:solidFill>
                      </w14:textFill>
                    </w:rPr>
                  </w:pPr>
                  <w:r>
                    <w:rPr>
                      <w:rFonts w:hint="default" w:ascii="Times New Roman" w:hAnsi="Times New Roman" w:cs="Times New Roman"/>
                      <w:color w:val="000000" w:themeColor="text1"/>
                      <w:spacing w:val="-6"/>
                      <w:kern w:val="0"/>
                      <w:szCs w:val="21"/>
                      <w:highlight w:val="none"/>
                      <w14:textFill>
                        <w14:solidFill>
                          <w14:schemeClr w14:val="tx1"/>
                        </w14:solidFill>
                      </w14:textFill>
                    </w:rPr>
                    <w:t>0.</w:t>
                  </w:r>
                  <w:r>
                    <w:rPr>
                      <w:rFonts w:hint="default" w:ascii="Times New Roman" w:hAnsi="Times New Roman" w:cs="Times New Roman"/>
                      <w:color w:val="000000" w:themeColor="text1"/>
                      <w:spacing w:val="-6"/>
                      <w:kern w:val="0"/>
                      <w:szCs w:val="21"/>
                      <w:highlight w:val="none"/>
                      <w:lang w:val="en-US" w:eastAsia="zh-CN"/>
                      <w14:textFill>
                        <w14:solidFill>
                          <w14:schemeClr w14:val="tx1"/>
                        </w14:solidFill>
                      </w14:textFill>
                    </w:rPr>
                    <w:t>2</w:t>
                  </w:r>
                  <w:r>
                    <w:rPr>
                      <w:rFonts w:hint="default" w:ascii="Times New Roman" w:hAnsi="Times New Roman" w:cs="Times New Roman"/>
                      <w:color w:val="000000" w:themeColor="text1"/>
                      <w:spacing w:val="-6"/>
                      <w:kern w:val="0"/>
                      <w:szCs w:val="21"/>
                      <w:highlight w:val="none"/>
                      <w14:textFill>
                        <w14:solidFill>
                          <w14:schemeClr w14:val="tx1"/>
                        </w14:solidFill>
                      </w14:textFill>
                    </w:rPr>
                    <w:t>t</w:t>
                  </w:r>
                </w:p>
              </w:tc>
              <w:tc>
                <w:tcPr>
                  <w:tcW w:w="632" w:type="pct"/>
                  <w:vMerge w:val="restart"/>
                  <w:noWrap w:val="0"/>
                  <w:vAlign w:val="center"/>
                </w:tcPr>
                <w:p>
                  <w:pPr>
                    <w:topLinePunct/>
                    <w:adjustRightInd w:val="0"/>
                    <w:snapToGrid w:val="0"/>
                    <w:jc w:val="center"/>
                    <w:rPr>
                      <w:rFonts w:hint="default" w:ascii="Times New Roman" w:hAnsi="Times New Roman" w:cs="Times New Roman"/>
                      <w:color w:val="000000" w:themeColor="text1"/>
                      <w:kern w:val="0"/>
                      <w:szCs w:val="21"/>
                      <w:highlight w:val="none"/>
                      <w14:textFill>
                        <w14:solidFill>
                          <w14:schemeClr w14:val="tx1"/>
                        </w14:solidFill>
                      </w14:textFill>
                    </w:rPr>
                  </w:pPr>
                  <w:r>
                    <w:rPr>
                      <w:rFonts w:hint="default" w:ascii="Times New Roman" w:hAnsi="Times New Roman" w:cs="Times New Roman"/>
                      <w:color w:val="000000" w:themeColor="text1"/>
                      <w:kern w:val="0"/>
                      <w:szCs w:val="21"/>
                      <w:highlight w:val="none"/>
                      <w14:textFill>
                        <w14:solidFill>
                          <w14:schemeClr w14:val="tx1"/>
                        </w14:solidFill>
                      </w14:textFill>
                    </w:rPr>
                    <w:t>设备检修</w:t>
                  </w:r>
                </w:p>
              </w:tc>
              <w:tc>
                <w:tcPr>
                  <w:tcW w:w="495" w:type="pc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液态</w:t>
                  </w:r>
                </w:p>
              </w:tc>
              <w:tc>
                <w:tcPr>
                  <w:tcW w:w="405"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c>
                <w:tcPr>
                  <w:tcW w:w="399"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T，I</w:t>
                  </w:r>
                </w:p>
              </w:tc>
              <w:tc>
                <w:tcPr>
                  <w:tcW w:w="834"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eastAsia="宋体" w:cs="Times New Roman"/>
                      <w:color w:val="000000"/>
                      <w:kern w:val="0"/>
                      <w:szCs w:val="21"/>
                      <w:highlight w:val="none"/>
                      <w:lang w:val="en-US" w:eastAsia="zh-CN"/>
                    </w:rPr>
                  </w:pPr>
                  <w:r>
                    <w:rPr>
                      <w:rFonts w:hint="default" w:ascii="Times New Roman" w:hAnsi="Times New Roman" w:cs="Times New Roman"/>
                      <w:color w:val="000000"/>
                      <w:kern w:val="0"/>
                      <w:szCs w:val="21"/>
                      <w:highlight w:val="none"/>
                      <w:lang w:val="en-US" w:eastAsia="zh-CN"/>
                    </w:rPr>
                    <w:t>3</w:t>
                  </w:r>
                </w:p>
              </w:tc>
              <w:tc>
                <w:tcPr>
                  <w:tcW w:w="428" w:type="pct"/>
                  <w:noWrap w:val="0"/>
                  <w:vAlign w:val="center"/>
                </w:tcPr>
                <w:p>
                  <w:pPr>
                    <w:bidi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2"/>
                      <w:sz w:val="21"/>
                      <w:szCs w:val="24"/>
                      <w:highlight w:val="none"/>
                      <w:lang w:val="en-US" w:eastAsia="zh-CN" w:bidi="ar-SA"/>
                    </w:rPr>
                    <w:t>废液压油</w:t>
                  </w:r>
                </w:p>
              </w:tc>
              <w:tc>
                <w:tcPr>
                  <w:tcW w:w="45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spacing w:val="-6"/>
                      <w:kern w:val="0"/>
                      <w:szCs w:val="21"/>
                      <w:highlight w:val="none"/>
                    </w:rPr>
                  </w:pPr>
                  <w:r>
                    <w:rPr>
                      <w:rFonts w:hint="default" w:ascii="Times New Roman" w:hAnsi="Times New Roman" w:cs="Times New Roman"/>
                      <w:color w:val="000000"/>
                      <w:szCs w:val="21"/>
                      <w:highlight w:val="none"/>
                    </w:rPr>
                    <w:t>HW08</w:t>
                  </w:r>
                </w:p>
              </w:tc>
              <w:tc>
                <w:tcPr>
                  <w:tcW w:w="694"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snapToGrid w:val="0"/>
                      <w:color w:val="000000" w:themeColor="text1"/>
                      <w:spacing w:val="-6"/>
                      <w:kern w:val="0"/>
                      <w:highlight w:val="none"/>
                      <w14:textFill>
                        <w14:solidFill>
                          <w14:schemeClr w14:val="tx1"/>
                        </w14:solidFill>
                      </w14:textFill>
                    </w:rPr>
                  </w:pPr>
                  <w:r>
                    <w:rPr>
                      <w:rFonts w:hint="default" w:ascii="Times New Roman" w:hAnsi="Times New Roman" w:eastAsia="宋体" w:cs="Times New Roman"/>
                      <w:snapToGrid w:val="0"/>
                      <w:color w:val="000000" w:themeColor="text1"/>
                      <w:spacing w:val="0"/>
                      <w:w w:val="100"/>
                      <w:sz w:val="21"/>
                      <w:szCs w:val="21"/>
                      <w:highlight w:val="none"/>
                      <w14:textFill>
                        <w14:solidFill>
                          <w14:schemeClr w14:val="tx1"/>
                        </w14:solidFill>
                      </w14:textFill>
                    </w:rPr>
                    <w:t>900-218-08</w:t>
                  </w:r>
                </w:p>
              </w:tc>
              <w:tc>
                <w:tcPr>
                  <w:tcW w:w="410" w:type="pct"/>
                  <w:noWrap w:val="0"/>
                  <w:vAlign w:val="center"/>
                </w:tcPr>
                <w:p>
                  <w:pPr>
                    <w:spacing w:line="0" w:lineRule="atLeast"/>
                    <w:jc w:val="center"/>
                    <w:rPr>
                      <w:rFonts w:hint="default" w:ascii="Times New Roman" w:hAnsi="Times New Roman" w:eastAsia="宋体" w:cs="Times New Roman"/>
                      <w:color w:val="000000" w:themeColor="text1"/>
                      <w:spacing w:val="-6"/>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spacing w:val="-6"/>
                      <w:kern w:val="0"/>
                      <w:szCs w:val="21"/>
                      <w:highlight w:val="none"/>
                      <w:lang w:val="en-US" w:eastAsia="zh-CN"/>
                      <w14:textFill>
                        <w14:solidFill>
                          <w14:schemeClr w14:val="tx1"/>
                        </w14:solidFill>
                      </w14:textFill>
                    </w:rPr>
                    <w:t>0.1t</w:t>
                  </w:r>
                </w:p>
              </w:tc>
              <w:tc>
                <w:tcPr>
                  <w:tcW w:w="632" w:type="pct"/>
                  <w:vMerge w:val="continue"/>
                  <w:noWrap w:val="0"/>
                  <w:vAlign w:val="center"/>
                </w:tcPr>
                <w:p>
                  <w:pPr>
                    <w:topLinePunct/>
                    <w:adjustRightInd w:val="0"/>
                    <w:snapToGrid w:val="0"/>
                    <w:jc w:val="center"/>
                    <w:rPr>
                      <w:rFonts w:hint="default" w:ascii="Times New Roman" w:hAnsi="Times New Roman" w:cs="Times New Roman"/>
                      <w:color w:val="000000" w:themeColor="text1"/>
                      <w:kern w:val="0"/>
                      <w:szCs w:val="21"/>
                      <w:highlight w:val="none"/>
                      <w14:textFill>
                        <w14:solidFill>
                          <w14:schemeClr w14:val="tx1"/>
                        </w14:solidFill>
                      </w14:textFill>
                    </w:rPr>
                  </w:pPr>
                </w:p>
              </w:tc>
              <w:tc>
                <w:tcPr>
                  <w:tcW w:w="495" w:type="pc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val="en-US" w:eastAsia="zh-CN"/>
                    </w:rPr>
                    <w:t>液态</w:t>
                  </w:r>
                </w:p>
              </w:tc>
              <w:tc>
                <w:tcPr>
                  <w:tcW w:w="405"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c>
                <w:tcPr>
                  <w:tcW w:w="399"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T，I</w:t>
                  </w:r>
                </w:p>
              </w:tc>
              <w:tc>
                <w:tcPr>
                  <w:tcW w:w="834"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eastAsia="宋体" w:cs="Times New Roman"/>
                      <w:color w:val="000000"/>
                      <w:kern w:val="0"/>
                      <w:szCs w:val="21"/>
                      <w:highlight w:val="none"/>
                      <w:lang w:val="en-US" w:eastAsia="zh-CN"/>
                    </w:rPr>
                  </w:pPr>
                  <w:r>
                    <w:rPr>
                      <w:rFonts w:hint="default" w:ascii="Times New Roman" w:hAnsi="Times New Roman" w:cs="Times New Roman"/>
                      <w:color w:val="000000"/>
                      <w:kern w:val="0"/>
                      <w:szCs w:val="21"/>
                      <w:highlight w:val="none"/>
                      <w:lang w:val="en-US" w:eastAsia="zh-CN"/>
                    </w:rPr>
                    <w:t>4</w:t>
                  </w:r>
                </w:p>
              </w:tc>
              <w:tc>
                <w:tcPr>
                  <w:tcW w:w="428" w:type="pct"/>
                  <w:noWrap w:val="0"/>
                  <w:vAlign w:val="center"/>
                </w:tcPr>
                <w:p>
                  <w:pPr>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2"/>
                      <w:sz w:val="21"/>
                      <w:szCs w:val="24"/>
                      <w:highlight w:val="none"/>
                      <w:lang w:val="en-US" w:eastAsia="zh-CN" w:bidi="ar-SA"/>
                    </w:rPr>
                    <w:t>废油桶</w:t>
                  </w:r>
                </w:p>
              </w:tc>
              <w:tc>
                <w:tcPr>
                  <w:tcW w:w="45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spacing w:val="-6"/>
                      <w:kern w:val="0"/>
                      <w:szCs w:val="21"/>
                      <w:highlight w:val="none"/>
                    </w:rPr>
                  </w:pPr>
                  <w:r>
                    <w:rPr>
                      <w:rFonts w:hint="default" w:ascii="Times New Roman" w:hAnsi="Times New Roman" w:cs="Times New Roman"/>
                      <w:color w:val="000000"/>
                      <w:szCs w:val="21"/>
                      <w:highlight w:val="none"/>
                    </w:rPr>
                    <w:t>HW08</w:t>
                  </w:r>
                </w:p>
              </w:tc>
              <w:tc>
                <w:tcPr>
                  <w:tcW w:w="694"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snapToGrid w:val="0"/>
                      <w:color w:val="000000" w:themeColor="text1"/>
                      <w:spacing w:val="-6"/>
                      <w:kern w:val="0"/>
                      <w:highlight w:val="none"/>
                      <w14:textFill>
                        <w14:solidFill>
                          <w14:schemeClr w14:val="tx1"/>
                        </w14:solidFill>
                      </w14:textFill>
                    </w:rPr>
                  </w:pPr>
                  <w:r>
                    <w:rPr>
                      <w:rFonts w:hint="default" w:ascii="Times New Roman" w:hAnsi="Times New Roman" w:eastAsia="宋体" w:cs="Times New Roman"/>
                      <w:snapToGrid w:val="0"/>
                      <w:color w:val="000000" w:themeColor="text1"/>
                      <w:spacing w:val="0"/>
                      <w:w w:val="100"/>
                      <w:sz w:val="21"/>
                      <w:szCs w:val="21"/>
                      <w:highlight w:val="none"/>
                      <w:lang w:val="en-US" w:eastAsia="zh-CN"/>
                      <w14:textFill>
                        <w14:solidFill>
                          <w14:schemeClr w14:val="tx1"/>
                        </w14:solidFill>
                      </w14:textFill>
                    </w:rPr>
                    <w:t>900-249-08</w:t>
                  </w:r>
                </w:p>
              </w:tc>
              <w:tc>
                <w:tcPr>
                  <w:tcW w:w="410" w:type="pct"/>
                  <w:noWrap w:val="0"/>
                  <w:vAlign w:val="center"/>
                </w:tcPr>
                <w:p>
                  <w:pPr>
                    <w:spacing w:line="0" w:lineRule="atLeast"/>
                    <w:jc w:val="center"/>
                    <w:rPr>
                      <w:rFonts w:hint="default" w:ascii="Times New Roman" w:hAnsi="Times New Roman" w:eastAsia="宋体" w:cs="Times New Roman"/>
                      <w:color w:val="000000" w:themeColor="text1"/>
                      <w:spacing w:val="-6"/>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spacing w:val="-6"/>
                      <w:kern w:val="0"/>
                      <w:szCs w:val="21"/>
                      <w:highlight w:val="none"/>
                      <w:lang w:val="en-US" w:eastAsia="zh-CN"/>
                      <w14:textFill>
                        <w14:solidFill>
                          <w14:schemeClr w14:val="tx1"/>
                        </w14:solidFill>
                      </w14:textFill>
                    </w:rPr>
                    <w:t>0.1t</w:t>
                  </w:r>
                </w:p>
              </w:tc>
              <w:tc>
                <w:tcPr>
                  <w:tcW w:w="632" w:type="pct"/>
                  <w:vMerge w:val="continue"/>
                  <w:noWrap w:val="0"/>
                  <w:vAlign w:val="center"/>
                </w:tcPr>
                <w:p>
                  <w:pPr>
                    <w:topLinePunct/>
                    <w:adjustRightInd w:val="0"/>
                    <w:snapToGrid w:val="0"/>
                    <w:jc w:val="center"/>
                    <w:rPr>
                      <w:rFonts w:hint="default" w:ascii="Times New Roman" w:hAnsi="Times New Roman" w:cs="Times New Roman"/>
                      <w:color w:val="000000" w:themeColor="text1"/>
                      <w:kern w:val="0"/>
                      <w:szCs w:val="21"/>
                      <w:highlight w:val="none"/>
                      <w14:textFill>
                        <w14:solidFill>
                          <w14:schemeClr w14:val="tx1"/>
                        </w14:solidFill>
                      </w14:textFill>
                    </w:rPr>
                  </w:pPr>
                </w:p>
              </w:tc>
              <w:tc>
                <w:tcPr>
                  <w:tcW w:w="495" w:type="pc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固态</w:t>
                  </w:r>
                </w:p>
              </w:tc>
              <w:tc>
                <w:tcPr>
                  <w:tcW w:w="405"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c>
                <w:tcPr>
                  <w:tcW w:w="399"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T，I</w:t>
                  </w:r>
                </w:p>
              </w:tc>
              <w:tc>
                <w:tcPr>
                  <w:tcW w:w="834"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eastAsia="宋体" w:cs="Times New Roman"/>
                      <w:color w:val="000000"/>
                      <w:kern w:val="0"/>
                      <w:szCs w:val="21"/>
                      <w:highlight w:val="none"/>
                      <w:lang w:val="en-US" w:eastAsia="zh-CN"/>
                    </w:rPr>
                  </w:pPr>
                  <w:r>
                    <w:rPr>
                      <w:rFonts w:hint="default" w:ascii="Times New Roman" w:hAnsi="Times New Roman" w:cs="Times New Roman"/>
                      <w:color w:val="000000"/>
                      <w:kern w:val="0"/>
                      <w:szCs w:val="21"/>
                      <w:highlight w:val="none"/>
                      <w:lang w:val="en-US" w:eastAsia="zh-CN"/>
                    </w:rPr>
                    <w:t>5</w:t>
                  </w:r>
                </w:p>
              </w:tc>
              <w:tc>
                <w:tcPr>
                  <w:tcW w:w="428" w:type="pct"/>
                  <w:noWrap w:val="0"/>
                  <w:vAlign w:val="center"/>
                </w:tcPr>
                <w:p>
                  <w:pPr>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sz w:val="21"/>
                      <w:szCs w:val="21"/>
                      <w:highlight w:val="none"/>
                      <w:vertAlign w:val="baseline"/>
                      <w:lang w:val="en-US" w:eastAsia="zh-CN"/>
                    </w:rPr>
                    <w:t>废活性炭</w:t>
                  </w:r>
                </w:p>
              </w:tc>
              <w:tc>
                <w:tcPr>
                  <w:tcW w:w="45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spacing w:val="-6"/>
                      <w:kern w:val="0"/>
                      <w:szCs w:val="21"/>
                      <w:highlight w:val="none"/>
                    </w:rPr>
                  </w:pPr>
                  <w:r>
                    <w:rPr>
                      <w:rFonts w:hint="default" w:ascii="Times New Roman" w:hAnsi="Times New Roman" w:cs="Times New Roman"/>
                      <w:color w:val="000000"/>
                      <w:sz w:val="21"/>
                      <w:szCs w:val="21"/>
                      <w:highlight w:val="none"/>
                      <w:lang w:val="en-US" w:eastAsia="zh-CN"/>
                    </w:rPr>
                    <w:t>HW49</w:t>
                  </w:r>
                </w:p>
              </w:tc>
              <w:tc>
                <w:tcPr>
                  <w:tcW w:w="694"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snapToGrid w:val="0"/>
                      <w:color w:val="000000" w:themeColor="text1"/>
                      <w:spacing w:val="-6"/>
                      <w:kern w:val="0"/>
                      <w:highlight w:val="none"/>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lang w:val="en-US" w:eastAsia="zh-CN"/>
                      <w14:textFill>
                        <w14:solidFill>
                          <w14:schemeClr w14:val="tx1"/>
                        </w14:solidFill>
                      </w14:textFill>
                    </w:rPr>
                    <w:t>900-039-49</w:t>
                  </w:r>
                </w:p>
              </w:tc>
              <w:tc>
                <w:tcPr>
                  <w:tcW w:w="410" w:type="pct"/>
                  <w:noWrap w:val="0"/>
                  <w:vAlign w:val="center"/>
                </w:tcPr>
                <w:p>
                  <w:pPr>
                    <w:spacing w:line="0" w:lineRule="atLeast"/>
                    <w:jc w:val="center"/>
                    <w:rPr>
                      <w:rFonts w:hint="default" w:ascii="Times New Roman" w:hAnsi="Times New Roman" w:eastAsia="宋体" w:cs="Times New Roman"/>
                      <w:color w:val="000000" w:themeColor="text1"/>
                      <w:spacing w:val="-6"/>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spacing w:val="-6"/>
                      <w:kern w:val="0"/>
                      <w:szCs w:val="21"/>
                      <w:highlight w:val="none"/>
                      <w:lang w:val="en-US" w:eastAsia="zh-CN"/>
                      <w14:textFill>
                        <w14:solidFill>
                          <w14:schemeClr w14:val="tx1"/>
                        </w14:solidFill>
                      </w14:textFill>
                    </w:rPr>
                    <w:t>0.2t</w:t>
                  </w:r>
                </w:p>
              </w:tc>
              <w:tc>
                <w:tcPr>
                  <w:tcW w:w="632" w:type="pct"/>
                  <w:noWrap w:val="0"/>
                  <w:vAlign w:val="center"/>
                </w:tcPr>
                <w:p>
                  <w:pPr>
                    <w:topLinePunct/>
                    <w:adjustRightInd w:val="0"/>
                    <w:snapToGrid w:val="0"/>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Cs w:val="21"/>
                      <w:highlight w:val="none"/>
                      <w:lang w:val="en-US" w:eastAsia="zh-CN"/>
                      <w14:textFill>
                        <w14:solidFill>
                          <w14:schemeClr w14:val="tx1"/>
                        </w14:solidFill>
                      </w14:textFill>
                    </w:rPr>
                    <w:t>喷漆房废气处理</w:t>
                  </w:r>
                </w:p>
              </w:tc>
              <w:tc>
                <w:tcPr>
                  <w:tcW w:w="495" w:type="pc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固态</w:t>
                  </w:r>
                </w:p>
              </w:tc>
              <w:tc>
                <w:tcPr>
                  <w:tcW w:w="405"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c>
                <w:tcPr>
                  <w:tcW w:w="399" w:type="pct"/>
                  <w:noWrap w:val="0"/>
                  <w:vAlign w:val="center"/>
                </w:tcPr>
                <w:p>
                  <w:pPr>
                    <w:topLinePunct/>
                    <w:adjustRightInd w:val="0"/>
                    <w:snapToGrid w:val="0"/>
                    <w:jc w:val="center"/>
                    <w:rPr>
                      <w:rFonts w:hint="default" w:ascii="Times New Roman" w:hAnsi="Times New Roman" w:eastAsia="宋体" w:cs="Times New Roman"/>
                      <w:color w:val="000000"/>
                      <w:kern w:val="0"/>
                      <w:szCs w:val="21"/>
                      <w:highlight w:val="none"/>
                      <w:lang w:val="en-US" w:eastAsia="zh-CN"/>
                    </w:rPr>
                  </w:pPr>
                  <w:r>
                    <w:rPr>
                      <w:rFonts w:hint="default" w:ascii="Times New Roman" w:hAnsi="Times New Roman" w:cs="Times New Roman"/>
                      <w:color w:val="000000"/>
                      <w:kern w:val="0"/>
                      <w:szCs w:val="21"/>
                      <w:highlight w:val="none"/>
                      <w:lang w:val="en-US" w:eastAsia="zh-CN"/>
                    </w:rPr>
                    <w:t>T</w:t>
                  </w:r>
                </w:p>
              </w:tc>
              <w:tc>
                <w:tcPr>
                  <w:tcW w:w="834"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47" w:type="pct"/>
                  <w:noWrap w:val="0"/>
                  <w:vAlign w:val="center"/>
                </w:tcPr>
                <w:p>
                  <w:pPr>
                    <w:topLinePunct/>
                    <w:adjustRightInd w:val="0"/>
                    <w:snapToGrid w:val="0"/>
                    <w:jc w:val="center"/>
                    <w:rPr>
                      <w:rFonts w:hint="default" w:ascii="Times New Roman" w:hAnsi="Times New Roman" w:eastAsia="宋体" w:cs="Times New Roman"/>
                      <w:color w:val="000000"/>
                      <w:kern w:val="0"/>
                      <w:szCs w:val="21"/>
                      <w:highlight w:val="none"/>
                      <w:lang w:val="en-US" w:eastAsia="zh-CN"/>
                    </w:rPr>
                  </w:pPr>
                  <w:r>
                    <w:rPr>
                      <w:rFonts w:hint="default" w:ascii="Times New Roman" w:hAnsi="Times New Roman" w:cs="Times New Roman"/>
                      <w:color w:val="000000"/>
                      <w:kern w:val="0"/>
                      <w:szCs w:val="21"/>
                      <w:highlight w:val="none"/>
                      <w:lang w:val="en-US" w:eastAsia="zh-CN"/>
                    </w:rPr>
                    <w:t>6</w:t>
                  </w:r>
                </w:p>
              </w:tc>
              <w:tc>
                <w:tcPr>
                  <w:tcW w:w="428" w:type="pct"/>
                  <w:noWrap w:val="0"/>
                  <w:vAlign w:val="center"/>
                </w:tcPr>
                <w:p>
                  <w:pPr>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sz w:val="21"/>
                      <w:szCs w:val="21"/>
                      <w:highlight w:val="none"/>
                      <w:vertAlign w:val="baseline"/>
                      <w:lang w:val="en-US" w:eastAsia="zh-CN"/>
                    </w:rPr>
                    <w:t>漆渣</w:t>
                  </w:r>
                </w:p>
              </w:tc>
              <w:tc>
                <w:tcPr>
                  <w:tcW w:w="45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spacing w:val="-6"/>
                      <w:kern w:val="0"/>
                      <w:szCs w:val="21"/>
                      <w:highlight w:val="none"/>
                    </w:rPr>
                  </w:pPr>
                  <w:r>
                    <w:rPr>
                      <w:rFonts w:hint="default" w:ascii="Times New Roman" w:hAnsi="Times New Roman" w:cs="Times New Roman"/>
                      <w:color w:val="000000"/>
                      <w:sz w:val="21"/>
                      <w:szCs w:val="21"/>
                      <w:highlight w:val="none"/>
                      <w:lang w:val="en-US" w:eastAsia="zh-CN"/>
                    </w:rPr>
                    <w:t>HW12</w:t>
                  </w:r>
                </w:p>
              </w:tc>
              <w:tc>
                <w:tcPr>
                  <w:tcW w:w="694"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snapToGrid w:val="0"/>
                      <w:color w:val="000000" w:themeColor="text1"/>
                      <w:spacing w:val="-6"/>
                      <w:kern w:val="0"/>
                      <w:highlight w:val="none"/>
                      <w14:textFill>
                        <w14:solidFill>
                          <w14:schemeClr w14:val="tx1"/>
                        </w14:solidFill>
                      </w14:textFill>
                    </w:rPr>
                  </w:pPr>
                  <w:r>
                    <w:rPr>
                      <w:rFonts w:hint="default" w:ascii="Times New Roman" w:hAnsi="Times New Roman" w:eastAsia="宋体" w:cs="Times New Roman"/>
                      <w:snapToGrid w:val="0"/>
                      <w:color w:val="000000" w:themeColor="text1"/>
                      <w:sz w:val="21"/>
                      <w:szCs w:val="21"/>
                      <w:highlight w:val="none"/>
                      <w:lang w:val="en-US" w:eastAsia="zh-CN"/>
                      <w14:textFill>
                        <w14:solidFill>
                          <w14:schemeClr w14:val="tx1"/>
                        </w14:solidFill>
                      </w14:textFill>
                    </w:rPr>
                    <w:t>900-</w:t>
                  </w:r>
                  <w:r>
                    <w:rPr>
                      <w:rFonts w:hint="default" w:ascii="Times New Roman" w:hAnsi="Times New Roman" w:cs="Times New Roman"/>
                      <w:snapToGrid w:val="0"/>
                      <w:color w:val="000000" w:themeColor="text1"/>
                      <w:sz w:val="21"/>
                      <w:szCs w:val="21"/>
                      <w:highlight w:val="none"/>
                      <w:lang w:val="en-US" w:eastAsia="zh-CN"/>
                      <w14:textFill>
                        <w14:solidFill>
                          <w14:schemeClr w14:val="tx1"/>
                        </w14:solidFill>
                      </w14:textFill>
                    </w:rPr>
                    <w:t>252</w:t>
                  </w:r>
                  <w:r>
                    <w:rPr>
                      <w:rFonts w:hint="default" w:ascii="Times New Roman" w:hAnsi="Times New Roman" w:eastAsia="宋体" w:cs="Times New Roman"/>
                      <w:snapToGrid w:val="0"/>
                      <w:color w:val="000000" w:themeColor="text1"/>
                      <w:sz w:val="21"/>
                      <w:szCs w:val="21"/>
                      <w:highlight w:val="none"/>
                      <w:lang w:val="en-US" w:eastAsia="zh-CN"/>
                      <w14:textFill>
                        <w14:solidFill>
                          <w14:schemeClr w14:val="tx1"/>
                        </w14:solidFill>
                      </w14:textFill>
                    </w:rPr>
                    <w:t>-</w:t>
                  </w:r>
                  <w:r>
                    <w:rPr>
                      <w:rFonts w:hint="default" w:ascii="Times New Roman" w:hAnsi="Times New Roman" w:cs="Times New Roman"/>
                      <w:snapToGrid w:val="0"/>
                      <w:color w:val="000000" w:themeColor="text1"/>
                      <w:sz w:val="21"/>
                      <w:szCs w:val="21"/>
                      <w:highlight w:val="none"/>
                      <w:lang w:val="en-US" w:eastAsia="zh-CN"/>
                      <w14:textFill>
                        <w14:solidFill>
                          <w14:schemeClr w14:val="tx1"/>
                        </w14:solidFill>
                      </w14:textFill>
                    </w:rPr>
                    <w:t>12</w:t>
                  </w:r>
                </w:p>
              </w:tc>
              <w:tc>
                <w:tcPr>
                  <w:tcW w:w="410" w:type="pct"/>
                  <w:noWrap w:val="0"/>
                  <w:vAlign w:val="center"/>
                </w:tcPr>
                <w:p>
                  <w:pPr>
                    <w:spacing w:line="0" w:lineRule="atLeast"/>
                    <w:jc w:val="center"/>
                    <w:rPr>
                      <w:rFonts w:hint="default" w:ascii="Times New Roman" w:hAnsi="Times New Roman" w:eastAsia="宋体" w:cs="Times New Roman"/>
                      <w:color w:val="000000" w:themeColor="text1"/>
                      <w:spacing w:val="-6"/>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spacing w:val="-6"/>
                      <w:kern w:val="0"/>
                      <w:szCs w:val="21"/>
                      <w:highlight w:val="none"/>
                      <w:lang w:val="en-US" w:eastAsia="zh-CN"/>
                      <w14:textFill>
                        <w14:solidFill>
                          <w14:schemeClr w14:val="tx1"/>
                        </w14:solidFill>
                      </w14:textFill>
                    </w:rPr>
                    <w:t>0.02t</w:t>
                  </w:r>
                </w:p>
              </w:tc>
              <w:tc>
                <w:tcPr>
                  <w:tcW w:w="632" w:type="pct"/>
                  <w:noWrap w:val="0"/>
                  <w:vAlign w:val="center"/>
                </w:tcPr>
                <w:p>
                  <w:pPr>
                    <w:topLinePunct/>
                    <w:adjustRightInd w:val="0"/>
                    <w:snapToGrid w:val="0"/>
                    <w:jc w:val="center"/>
                    <w:rPr>
                      <w:rFonts w:hint="default" w:ascii="Times New Roman" w:hAnsi="Times New Roman" w:eastAsia="宋体" w:cs="Times New Roman"/>
                      <w:color w:val="000000" w:themeColor="text1"/>
                      <w:kern w:val="0"/>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0"/>
                      <w:szCs w:val="21"/>
                      <w:highlight w:val="none"/>
                      <w:lang w:val="en-US" w:eastAsia="zh-CN"/>
                      <w14:textFill>
                        <w14:solidFill>
                          <w14:schemeClr w14:val="tx1"/>
                        </w14:solidFill>
                      </w14:textFill>
                    </w:rPr>
                    <w:t>喷漆房</w:t>
                  </w:r>
                </w:p>
              </w:tc>
              <w:tc>
                <w:tcPr>
                  <w:tcW w:w="495" w:type="pct"/>
                  <w:noWrap w:val="0"/>
                  <w:vAlign w:val="center"/>
                </w:tcPr>
                <w:p>
                  <w:pPr>
                    <w:topLinePunct/>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固态</w:t>
                  </w:r>
                </w:p>
              </w:tc>
              <w:tc>
                <w:tcPr>
                  <w:tcW w:w="405"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c>
                <w:tcPr>
                  <w:tcW w:w="399" w:type="pct"/>
                  <w:noWrap w:val="0"/>
                  <w:vAlign w:val="center"/>
                </w:tcPr>
                <w:p>
                  <w:pPr>
                    <w:topLinePunct/>
                    <w:adjustRightInd w:val="0"/>
                    <w:snapToGrid w:val="0"/>
                    <w:jc w:val="center"/>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T，I</w:t>
                  </w:r>
                </w:p>
              </w:tc>
              <w:tc>
                <w:tcPr>
                  <w:tcW w:w="834" w:type="pct"/>
                  <w:vMerge w:val="continue"/>
                  <w:noWrap w:val="0"/>
                  <w:vAlign w:val="center"/>
                </w:tcPr>
                <w:p>
                  <w:pPr>
                    <w:topLinePunct/>
                    <w:adjustRightInd w:val="0"/>
                    <w:snapToGrid w:val="0"/>
                    <w:jc w:val="center"/>
                    <w:rPr>
                      <w:rFonts w:hint="default" w:ascii="Times New Roman" w:hAnsi="Times New Roman" w:cs="Times New Roman"/>
                      <w:color w:val="00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5000" w:type="pct"/>
                  <w:gridSpan w:val="10"/>
                  <w:noWrap w:val="0"/>
                  <w:vAlign w:val="center"/>
                </w:tcPr>
                <w:p>
                  <w:pPr>
                    <w:topLinePunct/>
                    <w:adjustRightInd w:val="0"/>
                    <w:snapToGrid w:val="0"/>
                    <w:rPr>
                      <w:rFonts w:hint="default" w:ascii="Times New Roman" w:hAnsi="Times New Roman" w:cs="Times New Roman"/>
                      <w:color w:val="000000"/>
                      <w:kern w:val="0"/>
                      <w:szCs w:val="21"/>
                      <w:highlight w:val="none"/>
                    </w:rPr>
                  </w:pPr>
                  <w:r>
                    <w:rPr>
                      <w:rFonts w:hint="default" w:ascii="Times New Roman" w:hAnsi="Times New Roman" w:cs="Times New Roman"/>
                      <w:color w:val="000000"/>
                      <w:kern w:val="0"/>
                      <w:szCs w:val="21"/>
                      <w:highlight w:val="none"/>
                    </w:rPr>
                    <w:t>注：T毒性；I易燃性</w:t>
                  </w:r>
                </w:p>
              </w:tc>
            </w:tr>
          </w:tbl>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（3）危废贮存场所环境影响分析</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1）选址可行性分析</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根据危废产生情况拟在</w:t>
            </w:r>
            <w:r>
              <w:rPr>
                <w:rFonts w:hint="default" w:ascii="Times New Roman" w:hAnsi="Times New Roman" w:cs="Times New Roman"/>
                <w:color w:val="000000"/>
                <w:sz w:val="24"/>
                <w:highlight w:val="none"/>
                <w:lang w:val="en-US" w:eastAsia="zh-CN"/>
              </w:rPr>
              <w:t>厂区生产车间西</w:t>
            </w:r>
            <w:r>
              <w:rPr>
                <w:rFonts w:hint="default" w:ascii="Times New Roman" w:hAnsi="Times New Roman" w:cs="Times New Roman"/>
                <w:color w:val="000000"/>
                <w:sz w:val="24"/>
                <w:highlight w:val="none"/>
              </w:rPr>
              <w:t>侧设置</w:t>
            </w:r>
            <w:r>
              <w:rPr>
                <w:rFonts w:hint="default" w:ascii="Times New Roman" w:hAnsi="Times New Roman" w:cs="Times New Roman"/>
                <w:color w:val="000000"/>
                <w:kern w:val="0"/>
                <w:sz w:val="24"/>
                <w:highlight w:val="none"/>
              </w:rPr>
              <w:t>危废间1座，</w:t>
            </w:r>
            <w:r>
              <w:rPr>
                <w:rFonts w:hint="default" w:ascii="Times New Roman" w:hAnsi="Times New Roman" w:cs="Times New Roman"/>
                <w:color w:val="000000"/>
                <w:sz w:val="24"/>
                <w:highlight w:val="none"/>
              </w:rPr>
              <w:t>占地面积</w:t>
            </w:r>
            <w:r>
              <w:rPr>
                <w:rFonts w:hint="default" w:ascii="Times New Roman" w:hAnsi="Times New Roman" w:cs="Times New Roman"/>
                <w:color w:val="000000"/>
                <w:sz w:val="24"/>
                <w:highlight w:val="none"/>
                <w:lang w:val="en-US" w:eastAsia="zh-CN"/>
              </w:rPr>
              <w:t>20</w:t>
            </w:r>
            <w:r>
              <w:rPr>
                <w:rFonts w:hint="default" w:ascii="Times New Roman" w:hAnsi="Times New Roman" w:cs="Times New Roman"/>
                <w:color w:val="000000"/>
                <w:sz w:val="24"/>
                <w:highlight w:val="none"/>
              </w:rPr>
              <w:t>m</w:t>
            </w:r>
            <w:r>
              <w:rPr>
                <w:rFonts w:hint="default" w:ascii="Times New Roman" w:hAnsi="Times New Roman" w:cs="Times New Roman"/>
                <w:color w:val="000000"/>
                <w:sz w:val="24"/>
                <w:highlight w:val="none"/>
                <w:vertAlign w:val="superscript"/>
              </w:rPr>
              <w:t>2</w:t>
            </w:r>
            <w:r>
              <w:rPr>
                <w:rFonts w:hint="default" w:ascii="Times New Roman" w:hAnsi="Times New Roman" w:cs="Times New Roman"/>
                <w:color w:val="000000"/>
                <w:sz w:val="24"/>
                <w:highlight w:val="none"/>
              </w:rPr>
              <w:t>，有利于危险废物的收集、内部转运的便利性；危废暂存间选址位于厂区下风向，地质结构稳定，基本位于厂区最低地势危险废物不易扩散，底部高于地下水最高水位。另外，危废暂存间不位于溶洞区或易遭受严重自然灾害如洪水、滑坡、泥石流、潮汐等影响的地区；危废暂存间建在易燃、易爆等危险品车间、仓库防护区域以外，居民区下风向。</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综上所述，本项目危废暂存间选址可行。</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2）危废间建设污染防治措施</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根据《危险废物贮存污染控制标准》（GB18597-2023），项目危废间应按以下要求进行建设：</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a危废间根据危险废物的形态、物理化学性质、包装形式和污染物迁移途径，采取必要的防风、防晒、防雨、防漏、防渗、防腐以及其他环境污染防治措施，做到不露天堆放危险废物。</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b危废间根据危险废物的类别、数量、形态、物理化学性质和污染防治等要求设置必要的贮存分区，避免不相容的危险废物接触、混合。</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c危废间及内部贮存分区内地面、墙面裙脚、堵截泄漏的围堰、接触危险废物的隔板和墙体等采用坚固的材料建造，表面无裂缝。</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d危废间内地面与裙脚应采取表面防渗措施；表面防渗材料应与所接触的物料或污染物相容，采用抗渗混凝土+高密度聚乙烯膜做防渗层。贮存的危险废物直接接触地面的，应进行基础防渗，防渗层2 mm厚高密度聚乙烯膜等人工防渗材料（渗透系数不大于10</w:t>
            </w:r>
            <w:r>
              <w:rPr>
                <w:rFonts w:hint="default" w:ascii="Times New Roman" w:hAnsi="Times New Roman" w:cs="Times New Roman"/>
                <w:color w:val="000000"/>
                <w:sz w:val="24"/>
                <w:highlight w:val="none"/>
                <w:vertAlign w:val="superscript"/>
              </w:rPr>
              <w:t xml:space="preserve">-10 </w:t>
            </w:r>
            <w:r>
              <w:rPr>
                <w:rFonts w:hint="default" w:ascii="Times New Roman" w:hAnsi="Times New Roman" w:cs="Times New Roman"/>
                <w:color w:val="000000"/>
                <w:sz w:val="24"/>
                <w:highlight w:val="none"/>
              </w:rPr>
              <w:t>cm/s）。</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e危废间内采用相同的防渗、防腐工艺（包括防渗、防腐结构或材料），防渗、防腐材料应覆盖所有可能与废物及其渗滤液、渗漏液等接触的构筑物表面。</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f危废间内通过贮存分区的方式贮存液态危险废物，危废间内设置液体泄漏堵截设施，堵截设施最小容积不低于对应贮存区域最大液态废物容器容积。</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3）危废间内危废容器和包装物污染控制措施</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a危险废物容器和包装物材质、内衬应与盛装的危险废物相容。</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b针对不同类别、形态、物理化学性质的危险废物，其容器和包装物应满足相应的防渗、防漏、防腐和强度等要求。</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c硬质容器和包装物及其支护结构堆叠码放时不应有明显变形，无破损泄漏。</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d柔性容器和包装物堆叠码放时应封口严密，无破损泄漏。</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e使用容器盛装液态、半固态危险废物时，容器内部应留有适当的空间，以适应因温度变化等可能 引发的收缩和膨胀，防止其导致容器渗漏或永久变形。</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f容器必须粘贴专用标签，标明所盛危险废物名称、类别、数量等信息；应当使用符合标准的容器盛装危险废物，且容器必须完好无损。</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g容器和包装物外表面应保持清洁。</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4）危废间运行环境管理措施</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a危险废物存入危废间前应对危险废物类别和特性与危险废物标签等危险废物识别标志的一致性进行核验，不一致的或类别、特性不明的不应存入。</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b定期检查危险废物的贮存状况，及时清理贮存设施地面，更换破损泄漏的危险废物贮存容器和包装物，保证堆存危险废物的防雨、防风、防扬尘等设施功能完好。</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c作业设备及车辆等结束作业离开危废间时，应对其残留的危险废物进行清理，清理的废物应收集处理。</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d危废间暂存危废期间，应按国家有关标准和规定建立危险废物管理台账并保存。</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e企业应建立危废间环境管理制度、管理人员岗位职责制度、设施运行操作制度、人员岗位培训制度等。</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f企业应依据国家土壤和地下水污染防治的有关规定，结合危废间特点建立土壤和地下水污染隐患排查制度，并定期开展隐患排查；发现隐患应及时采取措施消除隐患，并建立档案。</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g企业应建立贮存设施全部档案，包括设计、施工、验收、运行、监测和环境应急等，并按国家有关档案管理的法律法规进行整理和归档。</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5）危废厂内转运过程污染防治措施</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危险废物在厂内由产生点收集转运至危废间污染防治措施如下：</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a危险废物从设备产生后，随即收集装入专业容器内，密封后用推车人工运至危废间内暂存。</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b危险废物由产生点至危废间的运输过程，应严格按照《危险废物收集贮存运输技术规范》的要求进行。</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c危险废物在厂区内部转运应综合考虑厂区的实际情况确定转运路线，尽量避开办公区和生活区。</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d危险废物内部转运作业采用专用的工具，危险废物内部转运应填写《危险废物厂内转运记录表》。</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e危险废物内部转运结束后，对转运路线进行检查和清理，确保无危险废物遗失在转运路线上；危险废物内部转运规程中出现危险废物散落的情况，应立即收集清理至专用容器内，防止其影响的进一步扩大。</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废间位于厂区内，项目产生的危险废物经封闭容器收集后通过厂区道路运至危废间，危险废物运输过程中全部采用封闭容器储存，运输道路较短，由人工推车运输，且路线不经过办公区等人员密集区，转运结束后及时对转运路线进行检查和清理，确保无危险废物散落或泄漏在转运路线上。危险废物运输过程中全部采用封闭容器储存，正常情况下不会发生散落或泄漏，且厂区道路均进行了硬化，不会对环境产生明显影响。</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6）危险废物台账要求</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危险废物产生后盛放至容器和包装物的，应按每个容器和包装物进行记录；特殊情形更换周期较长，每次更换时记录频次。</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产生环节，应记录产生批次编码、产生时间、危险废物名称、危险废物类别、危险废物代码、产生量、计量单位、容器/包装编码、容器/包装类型、容器/包装数量、产生危险废物设施编码、产生部门经办人、去向等。</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入危废间环节，应记录入危废间批次编码、入危废间时间、容器/包装编码、容器/包装类型、容器/包装数量、危险废物名称、危险废物类别、危险废物代码、入危废间量、计量单位、贮存设施编码、贮存设施类型、运送部门经办人、贮存部门经办人、产生批次编码等。</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出危废间环节，应记录出危废间批次编码、出危废间时间、容器/包装编码、容器/包装类型、容器/包装数量、危险废物名称、危险废物类别、危险废物代码、出危废间量、计量单位、贮存设施编码、贮存设施类型、出库部门经办人、运送部门经办人、入危废间批次编码、去向等。</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委外利用/处置环节，应记录委外利用/处置批次编码、出厂时间、容器/包装编码、容器/包装类型、容器/包装数量、危险废物名称、危险废物类别、危险废物代码、委外利用/处置量、计量单位、利用/处置方式、接收单位类型、利用/处置单位名称、许可证编码/出口核准通知单编号、产生批次编码/出库批次编码等。</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危险废物台账保存时间原则上应存档10年以上。</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3、生活垃圾</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本项目劳动定</w:t>
            </w:r>
            <w:r>
              <w:rPr>
                <w:rFonts w:hint="default" w:ascii="Times New Roman" w:hAnsi="Times New Roman" w:cs="Times New Roman"/>
                <w:color w:val="000000"/>
                <w:sz w:val="24"/>
                <w:highlight w:val="none"/>
                <w:lang w:val="en-US" w:eastAsia="zh-CN"/>
              </w:rPr>
              <w:t>6</w:t>
            </w:r>
            <w:r>
              <w:rPr>
                <w:rFonts w:hint="default" w:ascii="Times New Roman" w:hAnsi="Times New Roman" w:cs="Times New Roman"/>
                <w:color w:val="000000"/>
                <w:sz w:val="24"/>
                <w:highlight w:val="none"/>
              </w:rPr>
              <w:t>0人，生活垃圾按0.6kg/d·人计算，生活垃圾产生量为</w:t>
            </w:r>
            <w:r>
              <w:rPr>
                <w:rFonts w:hint="default" w:ascii="Times New Roman" w:hAnsi="Times New Roman" w:cs="Times New Roman"/>
                <w:color w:val="000000"/>
                <w:sz w:val="24"/>
                <w:highlight w:val="none"/>
                <w:lang w:val="en-US" w:eastAsia="zh-CN"/>
              </w:rPr>
              <w:t>10.8</w:t>
            </w:r>
            <w:r>
              <w:rPr>
                <w:rFonts w:hint="default" w:ascii="Times New Roman" w:hAnsi="Times New Roman" w:cs="Times New Roman"/>
                <w:color w:val="000000"/>
                <w:sz w:val="24"/>
                <w:highlight w:val="none"/>
              </w:rPr>
              <w:t>t/a，分类收集后定期由环卫部门清运。</w:t>
            </w:r>
          </w:p>
          <w:p>
            <w:pPr>
              <w:spacing w:line="360" w:lineRule="auto"/>
              <w:ind w:firstLine="482" w:firstLineChars="200"/>
              <w:rPr>
                <w:rFonts w:hint="default" w:ascii="Times New Roman" w:hAnsi="Times New Roman" w:cs="Times New Roman"/>
                <w:b/>
                <w:bCs/>
                <w:color w:val="000000"/>
                <w:sz w:val="24"/>
                <w:highlight w:val="none"/>
              </w:rPr>
            </w:pPr>
            <w:r>
              <w:rPr>
                <w:rFonts w:hint="default" w:ascii="Times New Roman" w:hAnsi="Times New Roman" w:cs="Times New Roman"/>
                <w:b/>
                <w:bCs/>
                <w:color w:val="000000"/>
                <w:sz w:val="24"/>
                <w:highlight w:val="none"/>
              </w:rPr>
              <w:t>4、综述</w:t>
            </w:r>
          </w:p>
          <w:p>
            <w:pPr>
              <w:spacing w:line="360" w:lineRule="auto"/>
              <w:ind w:firstLine="480" w:firstLineChars="200"/>
              <w:rPr>
                <w:rFonts w:hint="default" w:ascii="Times New Roman" w:hAnsi="Times New Roman" w:cs="Times New Roman"/>
                <w:color w:val="000000"/>
                <w:sz w:val="24"/>
                <w:highlight w:val="none"/>
              </w:rPr>
            </w:pPr>
            <w:r>
              <w:rPr>
                <w:rFonts w:hint="default" w:ascii="Times New Roman" w:hAnsi="Times New Roman" w:cs="Times New Roman"/>
                <w:color w:val="000000"/>
                <w:sz w:val="24"/>
                <w:highlight w:val="none"/>
              </w:rPr>
              <w:t>综上所述，企业在项目建成后落实上述固废处理措施，做到及时清运，则固废不会对环境造成较大影响。项目所有固体废物均得到了合理处置，对周围环境影响较小。</w:t>
            </w:r>
          </w:p>
          <w:p>
            <w:pPr>
              <w:pStyle w:val="99"/>
              <w:spacing w:line="360" w:lineRule="auto"/>
              <w:ind w:firstLine="482"/>
              <w:rPr>
                <w:rFonts w:hint="default" w:ascii="Times New Roman" w:hAnsi="Times New Roman" w:cs="Times New Roman"/>
                <w:b/>
                <w:bCs/>
                <w:snapToGrid w:val="0"/>
                <w:color w:val="000000"/>
                <w:kern w:val="0"/>
                <w:szCs w:val="24"/>
                <w:highlight w:val="none"/>
                <w:lang w:val="en-US"/>
              </w:rPr>
            </w:pPr>
            <w:r>
              <w:rPr>
                <w:rFonts w:hint="default" w:ascii="Times New Roman" w:hAnsi="Times New Roman" w:cs="Times New Roman"/>
                <w:b/>
                <w:bCs/>
                <w:snapToGrid w:val="0"/>
                <w:color w:val="000000"/>
                <w:kern w:val="0"/>
                <w:szCs w:val="24"/>
                <w:highlight w:val="none"/>
                <w:lang w:val="en-US"/>
              </w:rPr>
              <w:t>五、</w:t>
            </w:r>
            <w:r>
              <w:rPr>
                <w:rFonts w:hint="default" w:ascii="Times New Roman" w:hAnsi="Times New Roman" w:cs="Times New Roman"/>
                <w:b/>
                <w:bCs/>
                <w:color w:val="000000"/>
                <w:szCs w:val="24"/>
                <w:highlight w:val="none"/>
                <w:lang w:val="en-US"/>
              </w:rPr>
              <w:t>地下水、</w:t>
            </w:r>
            <w:r>
              <w:rPr>
                <w:rFonts w:hint="default" w:ascii="Times New Roman" w:hAnsi="Times New Roman" w:cs="Times New Roman"/>
                <w:b/>
                <w:bCs/>
                <w:snapToGrid w:val="0"/>
                <w:color w:val="000000"/>
                <w:kern w:val="0"/>
                <w:szCs w:val="24"/>
                <w:highlight w:val="none"/>
                <w:lang w:val="en-US"/>
              </w:rPr>
              <w:t>土壤</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1、地下水</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为加强对地下水的保护，避免废水的跑、冒、滴、漏和非正常排放对地下水造成污染影响，根据《环境影响评价技术导则 地下水环境》（HJ610-2016），结合厂区可能泄漏至地面区域污染物的性质和生产单元的构筑方式以及包气带防护性能，将厂区划分为重点防渗区、一般防渗区和简单防渗区。</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地下水污染防治措施</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（1）源头控制措施</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①项目应对产生的废水进行合理的治理，使用先进工艺，良好的管道和设备，尽可能从源头上减少废水污染来源及排放量。</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②严格按照国家及地方相关规范要求，对污水处理站、管道、各类水池、危废暂存间等构筑物采取相应措施，以防止和降低污染物的跑、冒、滴、漏，将污染物泄漏的环境风险事故降低到最低程度。</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（2）分区防渗控制措施</w:t>
            </w:r>
          </w:p>
          <w:p>
            <w:pPr>
              <w:pStyle w:val="99"/>
              <w:spacing w:line="360" w:lineRule="auto"/>
              <w:ind w:firstLine="480"/>
              <w:rPr>
                <w:rFonts w:hint="default" w:ascii="Times New Roman" w:hAnsi="Times New Roman" w:cs="Times New Roman"/>
                <w:color w:val="000000"/>
                <w:szCs w:val="24"/>
                <w:highlight w:val="none"/>
                <w:lang w:val="en-US"/>
              </w:rPr>
            </w:pPr>
            <w:r>
              <w:rPr>
                <w:rFonts w:hint="default" w:ascii="Times New Roman" w:hAnsi="Times New Roman" w:cs="Times New Roman"/>
                <w:color w:val="000000"/>
                <w:szCs w:val="24"/>
                <w:highlight w:val="none"/>
                <w:lang w:val="en-US"/>
              </w:rPr>
              <w:t>本项目防渗设计满足《环境影响评价技术导则 地下水环境》（HJ610-2016）防渗要求，项目涉及的防渗区域分为重点污染防治区、一般污染防治区和非污染防治区，采取不同区域的地面防渗方案。本项目采取的厂区分区防渗措施见下表。</w:t>
            </w:r>
          </w:p>
          <w:p>
            <w:pPr>
              <w:adjustRightInd w:val="0"/>
              <w:snapToGrid w:val="0"/>
              <w:spacing w:line="360" w:lineRule="exact"/>
              <w:jc w:val="center"/>
              <w:rPr>
                <w:rFonts w:hint="default" w:ascii="Times New Roman" w:hAnsi="Times New Roman" w:cs="Times New Roman"/>
                <w:b/>
                <w:color w:val="000000"/>
                <w:sz w:val="24"/>
                <w:highlight w:val="none"/>
              </w:rPr>
            </w:pPr>
            <w:r>
              <w:rPr>
                <w:rFonts w:hint="default" w:ascii="Times New Roman" w:hAnsi="Times New Roman" w:cs="Times New Roman"/>
                <w:b/>
                <w:color w:val="000000"/>
                <w:sz w:val="24"/>
                <w:highlight w:val="none"/>
              </w:rPr>
              <w:t>表4-1</w:t>
            </w:r>
            <w:r>
              <w:rPr>
                <w:rFonts w:hint="default" w:ascii="Times New Roman" w:hAnsi="Times New Roman" w:cs="Times New Roman"/>
                <w:b/>
                <w:color w:val="000000"/>
                <w:sz w:val="24"/>
                <w:highlight w:val="none"/>
                <w:lang w:val="en-US" w:eastAsia="zh-CN"/>
              </w:rPr>
              <w:t>5</w:t>
            </w:r>
            <w:r>
              <w:rPr>
                <w:rFonts w:hint="default" w:ascii="Times New Roman" w:hAnsi="Times New Roman" w:cs="Times New Roman"/>
                <w:b/>
                <w:color w:val="000000"/>
                <w:sz w:val="24"/>
                <w:highlight w:val="none"/>
              </w:rPr>
              <w:t xml:space="preserve">  防渗分区一览表</w:t>
            </w:r>
          </w:p>
          <w:tbl>
            <w:tblPr>
              <w:tblStyle w:val="32"/>
              <w:tblW w:w="839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8"/>
              <w:gridCol w:w="1075"/>
              <w:gridCol w:w="1800"/>
              <w:gridCol w:w="4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78" w:type="dxa"/>
                  <w:noWrap w:val="0"/>
                  <w:vAlign w:val="center"/>
                </w:tcPr>
                <w:p>
                  <w:pPr>
                    <w:jc w:val="center"/>
                    <w:rPr>
                      <w:rFonts w:hint="default" w:ascii="Times New Roman" w:hAnsi="Times New Roman" w:cs="Times New Roman"/>
                      <w:b/>
                      <w:color w:val="000000"/>
                      <w:szCs w:val="21"/>
                      <w:highlight w:val="none"/>
                    </w:rPr>
                  </w:pPr>
                  <w:r>
                    <w:rPr>
                      <w:rFonts w:hint="default" w:ascii="Times New Roman" w:hAnsi="Times New Roman" w:cs="Times New Roman"/>
                      <w:b/>
                      <w:color w:val="000000"/>
                      <w:szCs w:val="21"/>
                      <w:highlight w:val="none"/>
                    </w:rPr>
                    <w:t>序号</w:t>
                  </w:r>
                </w:p>
              </w:tc>
              <w:tc>
                <w:tcPr>
                  <w:tcW w:w="1075" w:type="dxa"/>
                  <w:noWrap w:val="0"/>
                  <w:vAlign w:val="center"/>
                </w:tcPr>
                <w:p>
                  <w:pPr>
                    <w:jc w:val="center"/>
                    <w:rPr>
                      <w:rFonts w:hint="default" w:ascii="Times New Roman" w:hAnsi="Times New Roman" w:cs="Times New Roman"/>
                      <w:b/>
                      <w:color w:val="000000"/>
                      <w:szCs w:val="21"/>
                      <w:highlight w:val="none"/>
                    </w:rPr>
                  </w:pPr>
                  <w:r>
                    <w:rPr>
                      <w:rFonts w:hint="default" w:ascii="Times New Roman" w:hAnsi="Times New Roman" w:cs="Times New Roman"/>
                      <w:b/>
                      <w:color w:val="000000"/>
                      <w:szCs w:val="21"/>
                      <w:highlight w:val="none"/>
                    </w:rPr>
                    <w:t>防渗分区</w:t>
                  </w:r>
                </w:p>
              </w:tc>
              <w:tc>
                <w:tcPr>
                  <w:tcW w:w="1800" w:type="dxa"/>
                  <w:noWrap w:val="0"/>
                  <w:vAlign w:val="center"/>
                </w:tcPr>
                <w:p>
                  <w:pPr>
                    <w:jc w:val="center"/>
                    <w:rPr>
                      <w:rFonts w:hint="default" w:ascii="Times New Roman" w:hAnsi="Times New Roman" w:cs="Times New Roman"/>
                      <w:b/>
                      <w:color w:val="000000"/>
                      <w:szCs w:val="21"/>
                      <w:highlight w:val="none"/>
                    </w:rPr>
                  </w:pPr>
                  <w:r>
                    <w:rPr>
                      <w:rFonts w:hint="default" w:ascii="Times New Roman" w:hAnsi="Times New Roman" w:cs="Times New Roman"/>
                      <w:b/>
                      <w:color w:val="000000"/>
                      <w:szCs w:val="21"/>
                      <w:highlight w:val="none"/>
                    </w:rPr>
                    <w:t>单元</w:t>
                  </w:r>
                </w:p>
              </w:tc>
              <w:tc>
                <w:tcPr>
                  <w:tcW w:w="4846" w:type="dxa"/>
                  <w:noWrap w:val="0"/>
                  <w:vAlign w:val="center"/>
                </w:tcPr>
                <w:p>
                  <w:pPr>
                    <w:jc w:val="center"/>
                    <w:rPr>
                      <w:rFonts w:hint="default" w:ascii="Times New Roman" w:hAnsi="Times New Roman" w:cs="Times New Roman"/>
                      <w:b/>
                      <w:color w:val="000000"/>
                      <w:szCs w:val="21"/>
                      <w:highlight w:val="none"/>
                    </w:rPr>
                  </w:pPr>
                  <w:r>
                    <w:rPr>
                      <w:rFonts w:hint="default" w:ascii="Times New Roman" w:hAnsi="Times New Roman" w:cs="Times New Roman"/>
                      <w:b/>
                      <w:color w:val="000000"/>
                      <w:szCs w:val="21"/>
                      <w:highlight w:val="none"/>
                    </w:rPr>
                    <w:t>防渗技术要求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678" w:type="dxa"/>
                  <w:noWrap w:val="0"/>
                  <w:vAlign w:val="center"/>
                </w:tcPr>
                <w:p>
                  <w:pPr>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1</w:t>
                  </w:r>
                </w:p>
              </w:tc>
              <w:tc>
                <w:tcPr>
                  <w:tcW w:w="1075" w:type="dxa"/>
                  <w:noWrap w:val="0"/>
                  <w:vAlign w:val="center"/>
                </w:tcPr>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重点</w:t>
                  </w:r>
                </w:p>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防渗区</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vertAlign w:val="baseline"/>
                      <w:lang w:val="en-US" w:eastAsia="zh-CN"/>
                      <w14:textFill>
                        <w14:solidFill>
                          <w14:schemeClr w14:val="tx1"/>
                        </w14:solidFill>
                      </w14:textFill>
                    </w:rPr>
                    <w:t>危险废物暂存间</w:t>
                  </w:r>
                </w:p>
              </w:tc>
              <w:tc>
                <w:tcPr>
                  <w:tcW w:w="4846" w:type="dxa"/>
                  <w:noWrap w:val="0"/>
                  <w:vAlign w:val="center"/>
                </w:tcPr>
                <w:p>
                  <w:pPr>
                    <w:jc w:val="center"/>
                    <w:rPr>
                      <w:rFonts w:hint="default" w:ascii="Times New Roman" w:hAnsi="Times New Roman" w:cs="Times New Roman"/>
                      <w:bCs/>
                      <w:color w:val="000000"/>
                      <w:szCs w:val="21"/>
                      <w:highlight w:val="none"/>
                    </w:rPr>
                  </w:pPr>
                  <w:r>
                    <w:rPr>
                      <w:rFonts w:hint="default" w:ascii="Times New Roman" w:hAnsi="Times New Roman" w:cs="Times New Roman"/>
                      <w:color w:val="000000"/>
                      <w:szCs w:val="21"/>
                      <w:highlight w:val="none"/>
                    </w:rPr>
                    <w:t>池底、池壁进行防渗处理，防渗层的防渗性能为等效黏土防渗层Mb≥6.0m，K≤1×10</w:t>
                  </w:r>
                  <w:r>
                    <w:rPr>
                      <w:rFonts w:hint="default" w:ascii="Times New Roman" w:hAnsi="Times New Roman" w:cs="Times New Roman"/>
                      <w:color w:val="000000"/>
                      <w:szCs w:val="21"/>
                      <w:highlight w:val="none"/>
                      <w:vertAlign w:val="superscript"/>
                    </w:rPr>
                    <w:t>-7</w:t>
                  </w:r>
                  <w:r>
                    <w:rPr>
                      <w:rFonts w:hint="default" w:ascii="Times New Roman" w:hAnsi="Times New Roman" w:cs="Times New Roman"/>
                      <w:color w:val="000000"/>
                      <w:szCs w:val="21"/>
                      <w:highlight w:val="none"/>
                    </w:rPr>
                    <w:t>cm/s；危废暂存间防渗性能参照GB18598执行，渗透系数≤10</w:t>
                  </w:r>
                  <w:r>
                    <w:rPr>
                      <w:rFonts w:hint="default" w:ascii="Times New Roman" w:hAnsi="Times New Roman" w:cs="Times New Roman"/>
                      <w:color w:val="000000"/>
                      <w:szCs w:val="21"/>
                      <w:highlight w:val="none"/>
                      <w:vertAlign w:val="superscript"/>
                    </w:rPr>
                    <w:t>-10</w:t>
                  </w:r>
                  <w:r>
                    <w:rPr>
                      <w:rFonts w:hint="default" w:ascii="Times New Roman" w:hAnsi="Times New Roman" w:cs="Times New Roman"/>
                      <w:color w:val="000000"/>
                      <w:szCs w:val="21"/>
                      <w:highlight w:val="none"/>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78" w:type="dxa"/>
                  <w:noWrap w:val="0"/>
                  <w:vAlign w:val="center"/>
                </w:tcPr>
                <w:p>
                  <w:pPr>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2</w:t>
                  </w:r>
                </w:p>
              </w:tc>
              <w:tc>
                <w:tcPr>
                  <w:tcW w:w="1075" w:type="dxa"/>
                  <w:noWrap w:val="0"/>
                  <w:vAlign w:val="center"/>
                </w:tcPr>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一般</w:t>
                  </w:r>
                </w:p>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防渗区</w:t>
                  </w:r>
                </w:p>
              </w:tc>
              <w:tc>
                <w:tcPr>
                  <w:tcW w:w="1800"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生产车间（除危险废物暂存间其他区域）</w:t>
                  </w:r>
                </w:p>
              </w:tc>
              <w:tc>
                <w:tcPr>
                  <w:tcW w:w="4846" w:type="dxa"/>
                  <w:noWrap w:val="0"/>
                  <w:vAlign w:val="center"/>
                </w:tcPr>
                <w:p>
                  <w:pPr>
                    <w:jc w:val="center"/>
                    <w:rPr>
                      <w:rFonts w:hint="default" w:ascii="Times New Roman" w:hAnsi="Times New Roman" w:cs="Times New Roman"/>
                      <w:bCs/>
                      <w:color w:val="000000"/>
                      <w:szCs w:val="21"/>
                      <w:highlight w:val="none"/>
                    </w:rPr>
                  </w:pPr>
                  <w:r>
                    <w:rPr>
                      <w:rFonts w:hint="default" w:ascii="Times New Roman" w:hAnsi="Times New Roman" w:cs="Times New Roman"/>
                      <w:color w:val="000000"/>
                      <w:szCs w:val="21"/>
                      <w:highlight w:val="none"/>
                    </w:rPr>
                    <w:t>防渗层的防渗性能为等效黏土防渗层Mb≥1.5m，K≤1×10</w:t>
                  </w:r>
                  <w:r>
                    <w:rPr>
                      <w:rFonts w:hint="default" w:ascii="Times New Roman" w:hAnsi="Times New Roman" w:cs="Times New Roman"/>
                      <w:color w:val="000000"/>
                      <w:szCs w:val="21"/>
                      <w:highlight w:val="none"/>
                      <w:vertAlign w:val="superscript"/>
                    </w:rPr>
                    <w:t>-7</w:t>
                  </w:r>
                  <w:r>
                    <w:rPr>
                      <w:rFonts w:hint="default" w:ascii="Times New Roman" w:hAnsi="Times New Roman" w:cs="Times New Roman"/>
                      <w:color w:val="000000"/>
                      <w:szCs w:val="21"/>
                      <w:highlight w:val="none"/>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678" w:type="dxa"/>
                  <w:noWrap w:val="0"/>
                  <w:vAlign w:val="center"/>
                </w:tcPr>
                <w:p>
                  <w:pPr>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3</w:t>
                  </w:r>
                </w:p>
              </w:tc>
              <w:tc>
                <w:tcPr>
                  <w:tcW w:w="1075" w:type="dxa"/>
                  <w:noWrap w:val="0"/>
                  <w:vAlign w:val="center"/>
                </w:tcPr>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简单</w:t>
                  </w:r>
                </w:p>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bCs/>
                      <w:color w:val="000000" w:themeColor="text1"/>
                      <w:szCs w:val="21"/>
                      <w:highlight w:val="none"/>
                      <w14:textFill>
                        <w14:solidFill>
                          <w14:schemeClr w14:val="tx1"/>
                        </w14:solidFill>
                      </w14:textFill>
                    </w:rPr>
                    <w:t>防渗区</w:t>
                  </w:r>
                </w:p>
              </w:tc>
              <w:tc>
                <w:tcPr>
                  <w:tcW w:w="1800" w:type="dxa"/>
                  <w:noWrap w:val="0"/>
                  <w:vAlign w:val="center"/>
                </w:tcPr>
                <w:p>
                  <w:pPr>
                    <w:jc w:val="center"/>
                    <w:rPr>
                      <w:rFonts w:hint="default" w:ascii="Times New Roman" w:hAnsi="Times New Roman" w:cs="Times New Roman"/>
                      <w:bCs/>
                      <w:color w:val="000000" w:themeColor="text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办公室、门卫室、库房、食堂</w:t>
                  </w:r>
                  <w:r>
                    <w:rPr>
                      <w:rFonts w:hint="default" w:ascii="Times New Roman" w:hAnsi="Times New Roman" w:cs="Times New Roman"/>
                      <w:bCs/>
                      <w:color w:val="000000" w:themeColor="text1"/>
                      <w:szCs w:val="21"/>
                      <w:highlight w:val="none"/>
                      <w14:textFill>
                        <w14:solidFill>
                          <w14:schemeClr w14:val="tx1"/>
                        </w14:solidFill>
                      </w14:textFill>
                    </w:rPr>
                    <w:t>、厂区道路等</w:t>
                  </w:r>
                </w:p>
              </w:tc>
              <w:tc>
                <w:tcPr>
                  <w:tcW w:w="4846" w:type="dxa"/>
                  <w:noWrap w:val="0"/>
                  <w:vAlign w:val="center"/>
                </w:tcPr>
                <w:p>
                  <w:pPr>
                    <w:jc w:val="center"/>
                    <w:rPr>
                      <w:rFonts w:hint="default" w:ascii="Times New Roman" w:hAnsi="Times New Roman" w:cs="Times New Roman"/>
                      <w:bCs/>
                      <w:color w:val="000000"/>
                      <w:szCs w:val="21"/>
                      <w:highlight w:val="none"/>
                    </w:rPr>
                  </w:pPr>
                  <w:r>
                    <w:rPr>
                      <w:rFonts w:hint="default" w:ascii="Times New Roman" w:hAnsi="Times New Roman" w:cs="Times New Roman"/>
                      <w:bCs/>
                      <w:color w:val="000000"/>
                      <w:szCs w:val="21"/>
                      <w:highlight w:val="none"/>
                    </w:rPr>
                    <w:t>地基原土夯实，地面水泥硬化</w:t>
                  </w:r>
                </w:p>
              </w:tc>
            </w:tr>
          </w:tbl>
          <w:p>
            <w:pPr>
              <w:pStyle w:val="99"/>
              <w:spacing w:line="360" w:lineRule="auto"/>
              <w:ind w:firstLine="480"/>
              <w:rPr>
                <w:rFonts w:hint="default" w:ascii="Times New Roman" w:hAnsi="Times New Roman" w:cs="Times New Roman"/>
                <w:snapToGrid w:val="0"/>
                <w:color w:val="000000"/>
                <w:kern w:val="0"/>
                <w:sz w:val="24"/>
                <w:szCs w:val="24"/>
                <w:highlight w:val="none"/>
                <w:lang w:val="en-US"/>
              </w:rPr>
            </w:pPr>
            <w:r>
              <w:rPr>
                <w:rFonts w:hint="default" w:ascii="Times New Roman" w:hAnsi="Times New Roman" w:cs="Times New Roman"/>
                <w:snapToGrid w:val="0"/>
                <w:color w:val="000000"/>
                <w:kern w:val="0"/>
                <w:sz w:val="24"/>
                <w:szCs w:val="24"/>
                <w:highlight w:val="none"/>
                <w:lang w:val="en-US"/>
              </w:rPr>
              <w:t>2、土壤</w:t>
            </w:r>
          </w:p>
          <w:p>
            <w:pPr>
              <w:pStyle w:val="99"/>
              <w:spacing w:line="360" w:lineRule="auto"/>
              <w:ind w:firstLine="480"/>
              <w:rPr>
                <w:rFonts w:hint="default" w:ascii="Times New Roman" w:hAnsi="Times New Roman" w:cs="Times New Roman"/>
                <w:snapToGrid w:val="0"/>
                <w:color w:val="000000"/>
                <w:kern w:val="0"/>
                <w:sz w:val="24"/>
                <w:szCs w:val="24"/>
                <w:highlight w:val="none"/>
                <w:lang w:val="en-US"/>
              </w:rPr>
            </w:pPr>
            <w:r>
              <w:rPr>
                <w:rFonts w:hint="default" w:ascii="Times New Roman" w:hAnsi="Times New Roman" w:cs="Times New Roman"/>
                <w:snapToGrid w:val="0"/>
                <w:color w:val="000000"/>
                <w:kern w:val="0"/>
                <w:sz w:val="24"/>
                <w:szCs w:val="24"/>
                <w:highlight w:val="none"/>
                <w:lang w:val="en-US"/>
              </w:rPr>
              <w:t>为减小项目对土壤的污染，应采取以下防治措施：</w:t>
            </w:r>
          </w:p>
          <w:p>
            <w:pPr>
              <w:pStyle w:val="99"/>
              <w:spacing w:line="360" w:lineRule="auto"/>
              <w:ind w:firstLine="480"/>
              <w:rPr>
                <w:rFonts w:hint="default" w:ascii="Times New Roman" w:hAnsi="Times New Roman" w:cs="Times New Roman"/>
                <w:snapToGrid w:val="0"/>
                <w:color w:val="000000"/>
                <w:kern w:val="0"/>
                <w:sz w:val="24"/>
                <w:szCs w:val="24"/>
                <w:highlight w:val="none"/>
                <w:lang w:val="en-US"/>
              </w:rPr>
            </w:pPr>
            <w:r>
              <w:rPr>
                <w:rFonts w:hint="default" w:ascii="Times New Roman" w:hAnsi="Times New Roman" w:cs="Times New Roman"/>
                <w:snapToGrid w:val="0"/>
                <w:color w:val="000000"/>
                <w:kern w:val="0"/>
                <w:sz w:val="24"/>
                <w:szCs w:val="24"/>
                <w:highlight w:val="none"/>
                <w:lang w:val="en-US"/>
              </w:rPr>
              <w:t>1、加强厂区占地范围内绿化措施，以种植具有较强吸附能力的植物为主；</w:t>
            </w:r>
          </w:p>
          <w:p>
            <w:pPr>
              <w:pStyle w:val="99"/>
              <w:spacing w:line="360" w:lineRule="auto"/>
              <w:ind w:firstLine="480"/>
              <w:rPr>
                <w:rFonts w:hint="default" w:ascii="Times New Roman" w:hAnsi="Times New Roman" w:cs="Times New Roman"/>
                <w:snapToGrid w:val="0"/>
                <w:color w:val="000000"/>
                <w:kern w:val="0"/>
                <w:sz w:val="24"/>
                <w:szCs w:val="24"/>
                <w:highlight w:val="none"/>
                <w:lang w:val="en-US"/>
              </w:rPr>
            </w:pPr>
            <w:r>
              <w:rPr>
                <w:rFonts w:hint="default" w:ascii="Times New Roman" w:hAnsi="Times New Roman" w:cs="Times New Roman"/>
                <w:snapToGrid w:val="0"/>
                <w:color w:val="000000"/>
                <w:kern w:val="0"/>
                <w:sz w:val="24"/>
                <w:szCs w:val="24"/>
                <w:highlight w:val="none"/>
                <w:lang w:val="en-US"/>
              </w:rPr>
              <w:t>2、按照相关要求做好分区防渗措施：污水处理站各池体及危废间等做重点防渗，生产车间等做一般防渗，办公楼、厂区道路等做简单防渗。</w:t>
            </w:r>
          </w:p>
          <w:p>
            <w:pPr>
              <w:pStyle w:val="99"/>
              <w:spacing w:line="360" w:lineRule="auto"/>
              <w:ind w:firstLine="480"/>
              <w:rPr>
                <w:rFonts w:hint="default" w:ascii="Times New Roman" w:hAnsi="Times New Roman" w:eastAsia="宋体" w:cs="Times New Roman"/>
                <w:color w:val="000000"/>
                <w:sz w:val="24"/>
                <w:szCs w:val="24"/>
                <w:highlight w:val="none"/>
              </w:rPr>
            </w:pPr>
            <w:r>
              <w:rPr>
                <w:rFonts w:hint="default" w:ascii="Times New Roman" w:hAnsi="Times New Roman" w:cs="Times New Roman"/>
                <w:snapToGrid w:val="0"/>
                <w:color w:val="000000"/>
                <w:kern w:val="0"/>
                <w:sz w:val="24"/>
                <w:szCs w:val="24"/>
                <w:highlight w:val="none"/>
                <w:lang w:val="en-US"/>
              </w:rPr>
              <w:t>因此，本项目在做好分区防渗措施后不会对土壤环境产生明显影响。</w:t>
            </w:r>
          </w:p>
          <w:p>
            <w:pPr>
              <w:pStyle w:val="49"/>
              <w:keepNext w:val="0"/>
              <w:keepLines w:val="0"/>
              <w:pageBreakBefore w:val="0"/>
              <w:widowControl w:val="0"/>
              <w:kinsoku/>
              <w:wordWrap/>
              <w:overflowPunct/>
              <w:topLinePunct w:val="0"/>
              <w:autoSpaceDE/>
              <w:autoSpaceDN/>
              <w:bidi w:val="0"/>
              <w:adjustRightInd w:val="0"/>
              <w:snapToGrid w:val="0"/>
              <w:spacing w:afterLines="0" w:line="480" w:lineRule="exact"/>
              <w:ind w:left="0" w:leftChars="0" w:right="0" w:firstLine="0" w:firstLineChars="0"/>
              <w:textAlignment w:val="auto"/>
              <w:rPr>
                <w:rFonts w:hint="default" w:ascii="Times New Roman" w:hAnsi="Times New Roman" w:eastAsia="宋体" w:cs="Times New Roman"/>
                <w:b w:val="0"/>
                <w:bCs w:val="0"/>
                <w:color w:val="000000"/>
                <w:kern w:val="0"/>
                <w:sz w:val="24"/>
                <w:szCs w:val="24"/>
                <w:highlight w:val="none"/>
                <w:lang w:val="en-US" w:eastAsia="zh-CN" w:bidi="ar"/>
              </w:rPr>
            </w:pPr>
            <w:r>
              <w:rPr>
                <w:rFonts w:hint="default" w:ascii="Times New Roman" w:hAnsi="Times New Roman" w:eastAsia="宋体" w:cs="Times New Roman"/>
                <w:b w:val="0"/>
                <w:bCs w:val="0"/>
                <w:color w:val="000000"/>
                <w:spacing w:val="0"/>
                <w:sz w:val="24"/>
                <w:szCs w:val="24"/>
                <w:highlight w:val="none"/>
                <w:lang w:val="en-US" w:eastAsia="zh-CN"/>
              </w:rPr>
              <w:t>六、环境风险分析</w:t>
            </w:r>
          </w:p>
          <w:p>
            <w:pPr>
              <w:pStyle w:val="30"/>
              <w:keepNext w:val="0"/>
              <w:keepLines w:val="0"/>
              <w:pageBreakBefore w:val="0"/>
              <w:widowControl/>
              <w:numPr>
                <w:ilvl w:val="0"/>
                <w:numId w:val="0"/>
              </w:numPr>
              <w:kinsoku/>
              <w:wordWrap/>
              <w:overflowPunct/>
              <w:topLinePunct w:val="0"/>
              <w:autoSpaceDE/>
              <w:autoSpaceDN/>
              <w:bidi w:val="0"/>
              <w:adjustRightInd/>
              <w:snapToGrid w:val="0"/>
              <w:spacing w:before="0" w:beforeLines="0" w:beforeAutospacing="0" w:after="0" w:afterLines="0" w:afterAutospacing="0" w:line="480" w:lineRule="exact"/>
              <w:ind w:left="0" w:leftChars="0" w:right="0" w:righ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1、风险识别</w:t>
            </w:r>
          </w:p>
          <w:p>
            <w:pPr>
              <w:keepNext w:val="0"/>
              <w:keepLines w:val="0"/>
              <w:pageBreakBefore w:val="0"/>
              <w:tabs>
                <w:tab w:val="left" w:pos="1440"/>
                <w:tab w:val="left" w:pos="1800"/>
              </w:tabs>
              <w:kinsoku/>
              <w:wordWrap/>
              <w:overflowPunct/>
              <w:topLinePunct w:val="0"/>
              <w:autoSpaceDE/>
              <w:autoSpaceDN/>
              <w:bidi w:val="0"/>
              <w:adjustRightInd w:val="0"/>
              <w:snapToGrid w:val="0"/>
              <w:spacing w:line="480" w:lineRule="exact"/>
              <w:ind w:left="0" w:right="0" w:firstLine="48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根据《建设项目环境风险评价技术导则》（HJ 169-2018）及其附录，环境风险评价的环境敏感性确定环境风险潜势，确定评价工作等级。对照《建设项目环境风险评价技术导则》（HJ 169-2018），本项目不构成重大危险源，本项目所使用辅助材料等具有可燃、有毒有害等特性在生产、贮运使用以及废物处置过程中，有泄漏进入环境风险，对生产环境和人身健康造成危害。</w:t>
            </w:r>
          </w:p>
          <w:p>
            <w:pPr>
              <w:keepNext w:val="0"/>
              <w:keepLines w:val="0"/>
              <w:pageBreakBefore w:val="0"/>
              <w:widowControl w:val="0"/>
              <w:numPr>
                <w:ilvl w:val="0"/>
                <w:numId w:val="0"/>
              </w:numPr>
              <w:tabs>
                <w:tab w:val="left" w:pos="1440"/>
                <w:tab w:val="left" w:pos="1800"/>
              </w:tabs>
              <w:kinsoku/>
              <w:wordWrap/>
              <w:overflowPunct/>
              <w:topLinePunct w:val="0"/>
              <w:autoSpaceDE/>
              <w:autoSpaceDN/>
              <w:bidi w:val="0"/>
              <w:adjustRightInd w:val="0"/>
              <w:snapToGrid w:val="0"/>
              <w:spacing w:line="480" w:lineRule="exact"/>
              <w:ind w:left="0" w:leftChars="0" w:right="0"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1</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rPr>
              <w:t>物质危险性辨识</w:t>
            </w:r>
          </w:p>
          <w:p>
            <w:pPr>
              <w:keepNext w:val="0"/>
              <w:keepLines w:val="0"/>
              <w:pageBreakBefore w:val="0"/>
              <w:kinsoku/>
              <w:wordWrap/>
              <w:overflowPunct/>
              <w:topLinePunct w:val="0"/>
              <w:autoSpaceDE/>
              <w:autoSpaceDN/>
              <w:bidi w:val="0"/>
              <w:spacing w:line="480" w:lineRule="exact"/>
              <w:ind w:left="0" w:right="0" w:firstLine="480" w:firstLineChars="200"/>
              <w:textAlignment w:val="auto"/>
              <w:rPr>
                <w:rFonts w:hint="default" w:ascii="Times New Roman" w:hAnsi="Times New Roman" w:cs="Times New Roman"/>
                <w:b/>
                <w:bCs/>
                <w:color w:val="000000" w:themeColor="text1"/>
                <w:sz w:val="24"/>
                <w:szCs w:val="24"/>
                <w:highlight w:val="none"/>
                <w14:textFill>
                  <w14:solidFill>
                    <w14:schemeClr w14:val="tx1"/>
                  </w14:solidFill>
                </w14:textFill>
              </w:rPr>
            </w:pPr>
            <w:r>
              <w:rPr>
                <w:rFonts w:hint="default" w:ascii="Times New Roman" w:hAnsi="Times New Roman" w:cs="Times New Roman"/>
                <w:color w:val="000000"/>
                <w:sz w:val="24"/>
                <w:szCs w:val="24"/>
                <w:highlight w:val="none"/>
              </w:rPr>
              <w:t>根据《建</w:t>
            </w:r>
            <w:r>
              <w:rPr>
                <w:rFonts w:hint="default" w:ascii="Times New Roman" w:hAnsi="Times New Roman" w:cs="Times New Roman"/>
                <w:color w:val="000000" w:themeColor="text1"/>
                <w:sz w:val="24"/>
                <w:szCs w:val="24"/>
                <w:highlight w:val="none"/>
                <w14:textFill>
                  <w14:solidFill>
                    <w14:schemeClr w14:val="tx1"/>
                  </w14:solidFill>
                </w14:textFill>
              </w:rPr>
              <w:t>设项目环境风险评价技术导则》（HJ 169-2018）判定，危险物质在厂界内的最大存在总量与其临界量的比值（Q），见下表所示。</w:t>
            </w:r>
          </w:p>
          <w:p>
            <w:pPr>
              <w:keepNext w:val="0"/>
              <w:keepLines w:val="0"/>
              <w:pageBreakBefore w:val="0"/>
              <w:kinsoku/>
              <w:wordWrap/>
              <w:overflowPunct/>
              <w:topLinePunct w:val="0"/>
              <w:autoSpaceDE/>
              <w:autoSpaceDN/>
              <w:bidi w:val="0"/>
              <w:spacing w:line="480" w:lineRule="exact"/>
              <w:ind w:left="0" w:right="0" w:firstLine="482" w:firstLineChars="200"/>
              <w:jc w:val="center"/>
              <w:textAlignment w:val="auto"/>
              <w:rPr>
                <w:rFonts w:hint="default" w:ascii="Times New Roman" w:hAnsi="Times New Roman" w:cs="Times New Roman"/>
                <w:b/>
                <w:bCs/>
                <w:color w:val="000000" w:themeColor="text1"/>
                <w:sz w:val="24"/>
                <w:szCs w:val="24"/>
                <w:highlight w:val="none"/>
                <w14:textFill>
                  <w14:solidFill>
                    <w14:schemeClr w14:val="tx1"/>
                  </w14:solidFill>
                </w14:textFill>
              </w:rPr>
            </w:pPr>
            <w:r>
              <w:rPr>
                <w:rFonts w:hint="default" w:ascii="Times New Roman" w:hAnsi="Times New Roman" w:cs="Times New Roman"/>
                <w:b/>
                <w:bCs/>
                <w:color w:val="000000" w:themeColor="text1"/>
                <w:sz w:val="24"/>
                <w:szCs w:val="24"/>
                <w:highlight w:val="none"/>
                <w14:textFill>
                  <w14:solidFill>
                    <w14:schemeClr w14:val="tx1"/>
                  </w14:solidFill>
                </w14:textFill>
              </w:rPr>
              <w:t>表</w:t>
            </w:r>
            <w:r>
              <w:rPr>
                <w:rFonts w:hint="default" w:ascii="Times New Roman" w:hAnsi="Times New Roman" w:cs="Times New Roman"/>
                <w:b/>
                <w:bCs/>
                <w:color w:val="000000" w:themeColor="text1"/>
                <w:sz w:val="24"/>
                <w:szCs w:val="24"/>
                <w:highlight w:val="none"/>
                <w:lang w:val="en-US" w:eastAsia="zh-CN"/>
                <w14:textFill>
                  <w14:solidFill>
                    <w14:schemeClr w14:val="tx1"/>
                  </w14:solidFill>
                </w14:textFill>
              </w:rPr>
              <w:t>4-16</w:t>
            </w:r>
            <w:r>
              <w:rPr>
                <w:rFonts w:hint="default" w:ascii="Times New Roman" w:hAnsi="Times New Roman" w:cs="Times New Roman"/>
                <w:b/>
                <w:bCs/>
                <w:color w:val="000000" w:themeColor="text1"/>
                <w:sz w:val="24"/>
                <w:szCs w:val="24"/>
                <w:highlight w:val="none"/>
                <w14:textFill>
                  <w14:solidFill>
                    <w14:schemeClr w14:val="tx1"/>
                  </w14:solidFill>
                </w14:textFill>
              </w:rPr>
              <w:t xml:space="preserve"> 风险物质最大暂存量及临界量比值</w:t>
            </w:r>
          </w:p>
          <w:tbl>
            <w:tblPr>
              <w:tblStyle w:val="32"/>
              <w:tblW w:w="498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7"/>
              <w:gridCol w:w="1800"/>
              <w:gridCol w:w="1679"/>
              <w:gridCol w:w="1633"/>
              <w:gridCol w:w="1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947"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名称</w:t>
                  </w:r>
                </w:p>
              </w:tc>
              <w:tc>
                <w:tcPr>
                  <w:tcW w:w="1088"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最大暂存量t</w:t>
                  </w:r>
                </w:p>
              </w:tc>
              <w:tc>
                <w:tcPr>
                  <w:tcW w:w="1015"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临界量t</w:t>
                  </w:r>
                </w:p>
              </w:tc>
              <w:tc>
                <w:tcPr>
                  <w:tcW w:w="987"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qn/Qn</w:t>
                  </w:r>
                </w:p>
              </w:tc>
              <w:tc>
                <w:tcPr>
                  <w:tcW w:w="961"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b w:val="0"/>
                      <w:bCs w:val="0"/>
                      <w:color w:val="000000" w:themeColor="text1"/>
                      <w:sz w:val="21"/>
                      <w:szCs w:val="21"/>
                      <w:highlight w:val="none"/>
                      <w14:textFill>
                        <w14:solidFill>
                          <w14:schemeClr w14:val="tx1"/>
                        </w14:solidFill>
                      </w14:textFill>
                    </w:rPr>
                    <w:t>Q值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947" w:type="pct"/>
                  <w:tcBorders>
                    <w:tl2br w:val="nil"/>
                    <w:tr2bl w:val="nil"/>
                  </w:tcBorders>
                  <w:noWrap w:val="0"/>
                  <w:vAlign w:val="center"/>
                </w:tcPr>
                <w:p>
                  <w:pPr>
                    <w:jc w:val="center"/>
                    <w:rPr>
                      <w:rFonts w:hint="default" w:ascii="Times New Roman" w:hAnsi="Times New Roman" w:cs="Times New Roman"/>
                      <w:b w:val="0"/>
                      <w:bCs w:val="0"/>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切削液</w:t>
                  </w:r>
                </w:p>
              </w:tc>
              <w:tc>
                <w:tcPr>
                  <w:tcW w:w="1088"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0.5</w:t>
                  </w:r>
                </w:p>
              </w:tc>
              <w:tc>
                <w:tcPr>
                  <w:tcW w:w="1015"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0.01</w:t>
                  </w:r>
                </w:p>
              </w:tc>
              <w:tc>
                <w:tcPr>
                  <w:tcW w:w="961"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947" w:type="pct"/>
                  <w:tcBorders>
                    <w:tl2br w:val="nil"/>
                    <w:tr2bl w:val="nil"/>
                  </w:tcBorders>
                  <w:noWrap w:val="0"/>
                  <w:vAlign w:val="center"/>
                </w:tcPr>
                <w:p>
                  <w:pPr>
                    <w:bidi w:val="0"/>
                    <w:jc w:val="center"/>
                    <w:rPr>
                      <w:rFonts w:hint="default" w:ascii="Times New Roman" w:hAnsi="Times New Roman" w:cs="Times New Roman"/>
                      <w:b w:val="0"/>
                      <w:bCs w:val="0"/>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4"/>
                      <w:highlight w:val="none"/>
                      <w:lang w:val="en-US" w:eastAsia="zh-CN" w:bidi="ar-SA"/>
                      <w14:textFill>
                        <w14:solidFill>
                          <w14:schemeClr w14:val="tx1"/>
                        </w14:solidFill>
                      </w14:textFill>
                    </w:rPr>
                    <w:t>润滑油</w:t>
                  </w:r>
                </w:p>
              </w:tc>
              <w:tc>
                <w:tcPr>
                  <w:tcW w:w="1088"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0.5</w:t>
                  </w:r>
                </w:p>
              </w:tc>
              <w:tc>
                <w:tcPr>
                  <w:tcW w:w="1015"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0.01</w:t>
                  </w:r>
                </w:p>
              </w:tc>
              <w:tc>
                <w:tcPr>
                  <w:tcW w:w="961"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947" w:type="pct"/>
                  <w:tcBorders>
                    <w:tl2br w:val="nil"/>
                    <w:tr2bl w:val="nil"/>
                  </w:tcBorders>
                  <w:noWrap w:val="0"/>
                  <w:vAlign w:val="center"/>
                </w:tcPr>
                <w:p>
                  <w:pPr>
                    <w:bidi w:val="0"/>
                    <w:jc w:val="center"/>
                    <w:rPr>
                      <w:rFonts w:hint="default" w:ascii="Times New Roman" w:hAnsi="Times New Roman" w:cs="Times New Roman"/>
                      <w:b w:val="0"/>
                      <w:bCs w:val="0"/>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4"/>
                      <w:highlight w:val="none"/>
                      <w:lang w:val="en-US" w:eastAsia="zh-CN" w:bidi="ar-SA"/>
                      <w14:textFill>
                        <w14:solidFill>
                          <w14:schemeClr w14:val="tx1"/>
                        </w14:solidFill>
                      </w14:textFill>
                    </w:rPr>
                    <w:t>液压油</w:t>
                  </w:r>
                </w:p>
              </w:tc>
              <w:tc>
                <w:tcPr>
                  <w:tcW w:w="1088"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0.3</w:t>
                  </w:r>
                </w:p>
              </w:tc>
              <w:tc>
                <w:tcPr>
                  <w:tcW w:w="1015"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0.006</w:t>
                  </w:r>
                </w:p>
              </w:tc>
              <w:tc>
                <w:tcPr>
                  <w:tcW w:w="961" w:type="pct"/>
                  <w:tcBorders>
                    <w:tl2br w:val="nil"/>
                    <w:tr2bl w:val="nil"/>
                  </w:tcBorders>
                  <w:noWrap w:val="0"/>
                  <w:vAlign w:val="center"/>
                </w:tcPr>
                <w:p>
                  <w:pPr>
                    <w:jc w:val="center"/>
                    <w:rPr>
                      <w:rFonts w:hint="default" w:ascii="Times New Roman" w:hAnsi="Times New Roman" w:eastAsia="宋体" w:cs="Times New Roman"/>
                      <w:b w:val="0"/>
                      <w:bCs w:val="0"/>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b w:val="0"/>
                      <w:bCs w:val="0"/>
                      <w:color w:val="000000" w:themeColor="text1"/>
                      <w:sz w:val="21"/>
                      <w:szCs w:val="21"/>
                      <w:highlight w:val="none"/>
                      <w:lang w:val="en-US" w:eastAsia="zh-CN"/>
                      <w14:textFill>
                        <w14:solidFill>
                          <w14:schemeClr w14:val="tx1"/>
                        </w14:solidFill>
                      </w14:textFill>
                    </w:rPr>
                    <w:t>0.006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947" w:type="pct"/>
                  <w:tcBorders>
                    <w:tl2br w:val="nil"/>
                    <w:tr2bl w:val="nil"/>
                  </w:tcBorders>
                  <w:noWrap w:val="0"/>
                  <w:vAlign w:val="center"/>
                </w:tcPr>
                <w:p>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废切削液</w:t>
                  </w:r>
                </w:p>
              </w:tc>
              <w:tc>
                <w:tcPr>
                  <w:tcW w:w="1088"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snapToGrid w:val="0"/>
                      <w:color w:val="000000" w:themeColor="text1"/>
                      <w:spacing w:val="0"/>
                      <w:w w:val="100"/>
                      <w:sz w:val="21"/>
                      <w:szCs w:val="21"/>
                      <w:highlight w:val="none"/>
                      <w:lang w:val="en-US" w:eastAsia="zh-CN"/>
                      <w14:textFill>
                        <w14:solidFill>
                          <w14:schemeClr w14:val="tx1"/>
                        </w14:solidFill>
                      </w14:textFill>
                    </w:rPr>
                    <w:t>0.2</w:t>
                  </w:r>
                </w:p>
              </w:tc>
              <w:tc>
                <w:tcPr>
                  <w:tcW w:w="1015"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b/>
                      <w:bCs/>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0.004</w:t>
                  </w:r>
                </w:p>
              </w:tc>
              <w:tc>
                <w:tcPr>
                  <w:tcW w:w="961"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b/>
                      <w:bCs/>
                      <w:color w:val="000000" w:themeColor="text1"/>
                      <w:sz w:val="21"/>
                      <w:szCs w:val="21"/>
                      <w:highlight w:val="none"/>
                      <w:lang w:val="en-US"/>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947" w:type="pct"/>
                  <w:tcBorders>
                    <w:tl2br w:val="nil"/>
                    <w:tr2bl w:val="nil"/>
                  </w:tcBorders>
                  <w:noWrap w:val="0"/>
                  <w:vAlign w:val="center"/>
                </w:tcPr>
                <w:p>
                  <w:pPr>
                    <w:bidi w:val="0"/>
                    <w:jc w:val="center"/>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kern w:val="2"/>
                      <w:sz w:val="21"/>
                      <w:szCs w:val="24"/>
                      <w:highlight w:val="none"/>
                      <w:lang w:val="en-US" w:eastAsia="zh-CN" w:bidi="ar-SA"/>
                      <w14:textFill>
                        <w14:solidFill>
                          <w14:schemeClr w14:val="tx1"/>
                        </w14:solidFill>
                      </w14:textFill>
                    </w:rPr>
                    <w:t>废润滑油</w:t>
                  </w:r>
                </w:p>
              </w:tc>
              <w:tc>
                <w:tcPr>
                  <w:tcW w:w="1088"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snapToGrid w:val="0"/>
                      <w:color w:val="000000" w:themeColor="text1"/>
                      <w:spacing w:val="0"/>
                      <w:w w:val="100"/>
                      <w:sz w:val="21"/>
                      <w:szCs w:val="21"/>
                      <w:highlight w:val="none"/>
                      <w:lang w:val="en-US" w:eastAsia="zh-CN"/>
                      <w14:textFill>
                        <w14:solidFill>
                          <w14:schemeClr w14:val="tx1"/>
                        </w14:solidFill>
                      </w14:textFill>
                    </w:rPr>
                    <w:t>0.</w:t>
                  </w:r>
                  <w:r>
                    <w:rPr>
                      <w:rFonts w:hint="default" w:ascii="Times New Roman" w:hAnsi="Times New Roman" w:cs="Times New Roman"/>
                      <w:snapToGrid w:val="0"/>
                      <w:color w:val="000000" w:themeColor="text1"/>
                      <w:spacing w:val="0"/>
                      <w:w w:val="100"/>
                      <w:sz w:val="21"/>
                      <w:szCs w:val="21"/>
                      <w:highlight w:val="none"/>
                      <w:lang w:val="en-US" w:eastAsia="zh-CN"/>
                      <w14:textFill>
                        <w14:solidFill>
                          <w14:schemeClr w14:val="tx1"/>
                        </w14:solidFill>
                      </w14:textFill>
                    </w:rPr>
                    <w:t>2</w:t>
                  </w:r>
                </w:p>
              </w:tc>
              <w:tc>
                <w:tcPr>
                  <w:tcW w:w="1015"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0.004</w:t>
                  </w:r>
                </w:p>
              </w:tc>
              <w:tc>
                <w:tcPr>
                  <w:tcW w:w="961"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947" w:type="pct"/>
                  <w:tcBorders>
                    <w:tl2br w:val="nil"/>
                    <w:tr2bl w:val="nil"/>
                  </w:tcBorders>
                  <w:noWrap w:val="0"/>
                  <w:vAlign w:val="center"/>
                </w:tcPr>
                <w:p>
                  <w:pPr>
                    <w:bidi w:val="0"/>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kern w:val="2"/>
                      <w:sz w:val="21"/>
                      <w:szCs w:val="24"/>
                      <w:highlight w:val="none"/>
                      <w:lang w:val="en-US" w:eastAsia="zh-CN" w:bidi="ar-SA"/>
                      <w14:textFill>
                        <w14:solidFill>
                          <w14:schemeClr w14:val="tx1"/>
                        </w14:solidFill>
                      </w14:textFill>
                    </w:rPr>
                    <w:t>废液压油</w:t>
                  </w:r>
                </w:p>
              </w:tc>
              <w:tc>
                <w:tcPr>
                  <w:tcW w:w="1088"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0.1</w:t>
                  </w:r>
                </w:p>
              </w:tc>
              <w:tc>
                <w:tcPr>
                  <w:tcW w:w="1015"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w:t>
                  </w:r>
                  <w:r>
                    <w:rPr>
                      <w:rFonts w:hint="default" w:ascii="Times New Roman" w:hAnsi="Times New Roman" w:cs="Times New Roman"/>
                      <w:i w:val="0"/>
                      <w:iCs w:val="0"/>
                      <w:color w:val="000000" w:themeColor="text1"/>
                      <w:kern w:val="0"/>
                      <w:sz w:val="22"/>
                      <w:szCs w:val="22"/>
                      <w:u w:val="none"/>
                      <w:lang w:val="en-US" w:eastAsia="zh-CN" w:bidi="ar"/>
                      <w14:textFill>
                        <w14:solidFill>
                          <w14:schemeClr w14:val="tx1"/>
                        </w14:solidFill>
                      </w14:textFill>
                    </w:rPr>
                    <w:t>2</w:t>
                  </w:r>
                </w:p>
              </w:tc>
              <w:tc>
                <w:tcPr>
                  <w:tcW w:w="961"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w:t>
                  </w:r>
                  <w:r>
                    <w:rPr>
                      <w:rFonts w:hint="default" w:ascii="Times New Roman" w:hAnsi="Times New Roman" w:cs="Times New Roman"/>
                      <w:i w:val="0"/>
                      <w:iCs w:val="0"/>
                      <w:color w:val="000000" w:themeColor="text1"/>
                      <w:kern w:val="0"/>
                      <w:sz w:val="22"/>
                      <w:szCs w:val="22"/>
                      <w:u w:val="none"/>
                      <w:lang w:val="en-US" w:eastAsia="zh-CN" w:bidi="ar"/>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947"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kern w:val="2"/>
                      <w:sz w:val="21"/>
                      <w:szCs w:val="24"/>
                      <w:highlight w:val="none"/>
                      <w:lang w:val="en-US" w:eastAsia="zh-CN" w:bidi="ar-SA"/>
                      <w14:textFill>
                        <w14:solidFill>
                          <w14:schemeClr w14:val="tx1"/>
                        </w14:solidFill>
                      </w14:textFill>
                    </w:rPr>
                    <w:t>废油桶</w:t>
                  </w:r>
                </w:p>
              </w:tc>
              <w:tc>
                <w:tcPr>
                  <w:tcW w:w="1088" w:type="pct"/>
                  <w:tcBorders>
                    <w:tl2br w:val="nil"/>
                    <w:tr2bl w:val="nil"/>
                  </w:tcBorders>
                  <w:shd w:val="clear" w:color="auto" w:fill="auto"/>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0.1</w:t>
                  </w:r>
                </w:p>
              </w:tc>
              <w:tc>
                <w:tcPr>
                  <w:tcW w:w="1015" w:type="pct"/>
                  <w:tcBorders>
                    <w:tl2br w:val="nil"/>
                    <w:tr2bl w:val="nil"/>
                  </w:tcBorders>
                  <w:shd w:val="clear" w:color="auto" w:fill="auto"/>
                  <w:noWrap w:val="0"/>
                  <w:vAlign w:val="center"/>
                </w:tcPr>
                <w:p>
                  <w:pPr>
                    <w:jc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2"/>
                      <w:sz w:val="21"/>
                      <w:szCs w:val="21"/>
                      <w:highlight w:val="none"/>
                      <w:lang w:val="en-US" w:eastAsia="zh-CN" w:bidi="ar-SA"/>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w:t>
                  </w:r>
                  <w:r>
                    <w:rPr>
                      <w:rFonts w:hint="default" w:ascii="Times New Roman" w:hAnsi="Times New Roman" w:cs="Times New Roman"/>
                      <w:i w:val="0"/>
                      <w:iCs w:val="0"/>
                      <w:color w:val="000000" w:themeColor="text1"/>
                      <w:kern w:val="0"/>
                      <w:sz w:val="22"/>
                      <w:szCs w:val="22"/>
                      <w:u w:val="none"/>
                      <w:lang w:val="en-US" w:eastAsia="zh-CN" w:bidi="ar"/>
                      <w14:textFill>
                        <w14:solidFill>
                          <w14:schemeClr w14:val="tx1"/>
                        </w14:solidFill>
                      </w14:textFill>
                    </w:rPr>
                    <w:t>2</w:t>
                  </w:r>
                </w:p>
              </w:tc>
              <w:tc>
                <w:tcPr>
                  <w:tcW w:w="961" w:type="pct"/>
                  <w:tcBorders>
                    <w:tl2br w:val="nil"/>
                    <w:tr2bl w:val="nil"/>
                  </w:tcBorders>
                  <w:shd w:val="clear" w:color="auto" w:fill="auto"/>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eastAsia="宋体" w:cs="Times New Roman"/>
                      <w:i w:val="0"/>
                      <w:iCs w:val="0"/>
                      <w:color w:val="000000" w:themeColor="text1"/>
                      <w:kern w:val="0"/>
                      <w:sz w:val="22"/>
                      <w:szCs w:val="22"/>
                      <w:u w:val="none"/>
                      <w:lang w:val="en-US" w:eastAsia="zh-CN" w:bidi="ar"/>
                      <w14:textFill>
                        <w14:solidFill>
                          <w14:schemeClr w14:val="tx1"/>
                        </w14:solidFill>
                      </w14:textFill>
                    </w:rPr>
                    <w:t>0.00</w:t>
                  </w:r>
                  <w:r>
                    <w:rPr>
                      <w:rFonts w:hint="default" w:ascii="Times New Roman" w:hAnsi="Times New Roman" w:cs="Times New Roman"/>
                      <w:i w:val="0"/>
                      <w:iCs w:val="0"/>
                      <w:color w:val="000000" w:themeColor="text1"/>
                      <w:kern w:val="0"/>
                      <w:sz w:val="22"/>
                      <w:szCs w:val="22"/>
                      <w:u w:val="none"/>
                      <w:lang w:val="en-US" w:eastAsia="zh-CN" w:bidi="ar"/>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947"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废活性炭</w:t>
                  </w:r>
                </w:p>
              </w:tc>
              <w:tc>
                <w:tcPr>
                  <w:tcW w:w="1088"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0.2</w:t>
                  </w:r>
                </w:p>
              </w:tc>
              <w:tc>
                <w:tcPr>
                  <w:tcW w:w="1015"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0.004</w:t>
                  </w:r>
                </w:p>
              </w:tc>
              <w:tc>
                <w:tcPr>
                  <w:tcW w:w="961"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947"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漆渣</w:t>
                  </w:r>
                </w:p>
              </w:tc>
              <w:tc>
                <w:tcPr>
                  <w:tcW w:w="1088" w:type="pct"/>
                  <w:tcBorders>
                    <w:tl2br w:val="nil"/>
                    <w:tr2bl w:val="nil"/>
                  </w:tcBorders>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0.02</w:t>
                  </w:r>
                </w:p>
              </w:tc>
              <w:tc>
                <w:tcPr>
                  <w:tcW w:w="1015" w:type="pct"/>
                  <w:tcBorders>
                    <w:tl2br w:val="nil"/>
                    <w:tr2bl w:val="nil"/>
                  </w:tcBorders>
                  <w:noWrap w:val="0"/>
                  <w:vAlign w:val="center"/>
                </w:tcPr>
                <w:p>
                  <w:pPr>
                    <w:jc w:val="center"/>
                    <w:rPr>
                      <w:rFonts w:hint="default" w:ascii="Times New Roman" w:hAnsi="Times New Roman"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50</w:t>
                  </w:r>
                </w:p>
              </w:tc>
              <w:tc>
                <w:tcPr>
                  <w:tcW w:w="987"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0.0004</w:t>
                  </w:r>
                </w:p>
              </w:tc>
              <w:tc>
                <w:tcPr>
                  <w:tcW w:w="961" w:type="pct"/>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pPr>
                  <w:r>
                    <w:rPr>
                      <w:rFonts w:hint="default" w:ascii="Times New Roman" w:hAnsi="Times New Roman" w:cs="Times New Roman"/>
                      <w:color w:val="000000" w:themeColor="text1"/>
                      <w:kern w:val="0"/>
                      <w:sz w:val="21"/>
                      <w:szCs w:val="21"/>
                      <w:highlight w:val="none"/>
                      <w:lang w:val="en-US" w:eastAsia="zh-CN" w:bidi="ar"/>
                      <w14:textFill>
                        <w14:solidFill>
                          <w14:schemeClr w14:val="tx1"/>
                        </w14:solidFill>
                      </w14:textFill>
                    </w:rPr>
                    <w:t>0.0004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947" w:type="pct"/>
                  <w:tcBorders>
                    <w:tl2br w:val="nil"/>
                    <w:tr2bl w:val="nil"/>
                  </w:tcBorders>
                  <w:noWrap w:val="0"/>
                  <w:vAlign w:val="center"/>
                </w:tcPr>
                <w:p>
                  <w:pPr>
                    <w:jc w:val="center"/>
                    <w:rPr>
                      <w:rFonts w:hint="default" w:ascii="Times New Roman" w:hAnsi="Times New Roman" w:eastAsia="宋体" w:cs="Times New Roman"/>
                      <w:color w:val="000000" w:themeColor="text1"/>
                      <w:sz w:val="21"/>
                      <w:szCs w:val="21"/>
                      <w:highlight w:val="none"/>
                      <w:lang w:val="en-US"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合计</w:t>
                  </w:r>
                </w:p>
              </w:tc>
              <w:tc>
                <w:tcPr>
                  <w:tcW w:w="4052" w:type="pct"/>
                  <w:gridSpan w:val="4"/>
                  <w:tcBorders>
                    <w:tl2br w:val="nil"/>
                    <w:tr2bl w:val="nil"/>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themeColor="text1"/>
                      <w:kern w:val="2"/>
                      <w:sz w:val="21"/>
                      <w:szCs w:val="21"/>
                      <w:u w:val="none"/>
                      <w:lang w:val="en-US" w:eastAsia="zh-CN" w:bidi="ar-SA"/>
                      <w14:textFill>
                        <w14:solidFill>
                          <w14:schemeClr w14:val="tx1"/>
                        </w14:solidFill>
                      </w14:textFill>
                    </w:rPr>
                  </w:pPr>
                  <w:r>
                    <w:rPr>
                      <w:rFonts w:hint="default" w:ascii="Times New Roman" w:hAnsi="Times New Roman" w:cs="Times New Roman"/>
                      <w:i w:val="0"/>
                      <w:iCs w:val="0"/>
                      <w:color w:val="000000" w:themeColor="text1"/>
                      <w:kern w:val="2"/>
                      <w:sz w:val="21"/>
                      <w:szCs w:val="21"/>
                      <w:u w:val="none"/>
                      <w:lang w:val="en-US" w:eastAsia="zh-CN" w:bidi="ar-SA"/>
                      <w14:textFill>
                        <w14:solidFill>
                          <w14:schemeClr w14:val="tx1"/>
                        </w14:solidFill>
                      </w14:textFill>
                    </w:rPr>
                    <w:t>0.0424</w:t>
                  </w:r>
                </w:p>
              </w:tc>
            </w:tr>
          </w:tbl>
          <w:p>
            <w:pPr>
              <w:keepNext w:val="0"/>
              <w:keepLines w:val="0"/>
              <w:pageBreakBefore w:val="0"/>
              <w:widowControl w:val="0"/>
              <w:kinsoku/>
              <w:wordWrap/>
              <w:overflowPunct/>
              <w:topLinePunct w:val="0"/>
              <w:autoSpaceDE/>
              <w:autoSpaceDN/>
              <w:bidi w:val="0"/>
              <w:spacing w:line="480" w:lineRule="exact"/>
              <w:ind w:left="0" w:firstLine="480" w:firstLineChars="200"/>
              <w:rPr>
                <w:rFonts w:hint="default" w:ascii="Times New Roman" w:hAnsi="Times New Roman" w:cs="Times New Roman"/>
                <w:color w:val="000000"/>
                <w:sz w:val="24"/>
                <w:szCs w:val="24"/>
                <w:highlight w:val="none"/>
              </w:rPr>
            </w:pPr>
            <w:r>
              <w:rPr>
                <w:rFonts w:hint="default" w:ascii="Times New Roman" w:hAnsi="Times New Roman" w:cs="Times New Roman"/>
                <w:color w:val="000000" w:themeColor="text1"/>
                <w:sz w:val="24"/>
                <w:szCs w:val="24"/>
                <w:highlight w:val="none"/>
                <w14:textFill>
                  <w14:solidFill>
                    <w14:schemeClr w14:val="tx1"/>
                  </w14:solidFill>
                </w14:textFill>
              </w:rPr>
              <w:t>上述计算结果，Q=</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0.0424</w:t>
            </w:r>
            <w:r>
              <w:rPr>
                <w:rFonts w:hint="default" w:ascii="Times New Roman" w:hAnsi="Times New Roman" w:cs="Times New Roman"/>
                <w:color w:val="000000" w:themeColor="text1"/>
                <w:sz w:val="24"/>
                <w:szCs w:val="24"/>
                <w:highlight w:val="none"/>
                <w14:textFill>
                  <w14:solidFill>
                    <w14:schemeClr w14:val="tx1"/>
                  </w14:solidFill>
                </w14:textFill>
              </w:rPr>
              <w:t>＜1，根据《建设项目环境风险评价技术导则》（HJ169-2018）附录C中</w:t>
            </w:r>
            <w:r>
              <w:rPr>
                <w:rFonts w:hint="default" w:ascii="Times New Roman" w:hAnsi="Times New Roman" w:cs="Times New Roman"/>
                <w:color w:val="000000" w:themeColor="text1"/>
                <w:sz w:val="24"/>
                <w:szCs w:val="24"/>
                <w:highlight w:val="none"/>
                <w:lang w:eastAsia="zh-CN"/>
                <w14:textFill>
                  <w14:solidFill>
                    <w14:schemeClr w14:val="tx1"/>
                  </w14:solidFill>
                </w14:textFill>
              </w:rPr>
              <w:t>“</w:t>
            </w:r>
            <w:r>
              <w:rPr>
                <w:rFonts w:hint="default" w:ascii="Times New Roman" w:hAnsi="Times New Roman" w:cs="Times New Roman"/>
                <w:color w:val="000000" w:themeColor="text1"/>
                <w:sz w:val="24"/>
                <w:szCs w:val="24"/>
                <w:highlight w:val="none"/>
                <w14:textFill>
                  <w14:solidFill>
                    <w14:schemeClr w14:val="tx1"/>
                  </w14:solidFill>
                </w14:textFill>
              </w:rPr>
              <w:t>当Q＜1时，该项目环境风险潜势为Ⅰ</w:t>
            </w:r>
            <w:r>
              <w:rPr>
                <w:rFonts w:hint="default" w:ascii="Times New Roman" w:hAnsi="Times New Roman" w:cs="Times New Roman"/>
                <w:color w:val="000000" w:themeColor="text1"/>
                <w:sz w:val="24"/>
                <w:szCs w:val="24"/>
                <w:highlight w:val="none"/>
                <w:lang w:eastAsia="zh-CN"/>
                <w14:textFill>
                  <w14:solidFill>
                    <w14:schemeClr w14:val="tx1"/>
                  </w14:solidFill>
                </w14:textFill>
              </w:rPr>
              <w:t>”</w:t>
            </w:r>
            <w:r>
              <w:rPr>
                <w:rFonts w:hint="default" w:ascii="Times New Roman" w:hAnsi="Times New Roman" w:cs="Times New Roman"/>
                <w:color w:val="000000" w:themeColor="text1"/>
                <w:sz w:val="24"/>
                <w:szCs w:val="24"/>
                <w:highlight w:val="none"/>
                <w14:textFill>
                  <w14:solidFill>
                    <w14:schemeClr w14:val="tx1"/>
                  </w14:solidFill>
                </w14:textFill>
              </w:rPr>
              <w:t>，本项目环境风险潜势为Ⅰ，只做简要分析</w:t>
            </w:r>
            <w:r>
              <w:rPr>
                <w:rFonts w:hint="default" w:ascii="Times New Roman" w:hAnsi="Times New Roman" w:cs="Times New Roman"/>
                <w:color w:val="000000"/>
                <w:sz w:val="24"/>
                <w:szCs w:val="24"/>
                <w:highlight w:val="none"/>
              </w:rPr>
              <w:t>。</w:t>
            </w:r>
          </w:p>
          <w:p>
            <w:pPr>
              <w:keepNext w:val="0"/>
              <w:keepLines w:val="0"/>
              <w:pageBreakBefore w:val="0"/>
              <w:widowControl w:val="0"/>
              <w:numPr>
                <w:ilvl w:val="0"/>
                <w:numId w:val="0"/>
              </w:numPr>
              <w:kinsoku/>
              <w:wordWrap/>
              <w:overflowPunct/>
              <w:topLinePunct w:val="0"/>
              <w:autoSpaceDE/>
              <w:autoSpaceDN/>
              <w:bidi w:val="0"/>
              <w:spacing w:line="480" w:lineRule="exact"/>
              <w:ind w:left="360" w:leftChars="0"/>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lang w:val="en-US" w:eastAsia="zh-CN"/>
              </w:rPr>
              <w:t>2</w:t>
            </w:r>
            <w:r>
              <w:rPr>
                <w:rFonts w:hint="default" w:ascii="Times New Roman" w:hAnsi="Times New Roman" w:cs="Times New Roman"/>
                <w:color w:val="000000"/>
                <w:sz w:val="24"/>
                <w:szCs w:val="24"/>
                <w:highlight w:val="none"/>
                <w:lang w:eastAsia="zh-CN"/>
              </w:rPr>
              <w:t>）</w:t>
            </w:r>
            <w:r>
              <w:rPr>
                <w:rFonts w:hint="default" w:ascii="Times New Roman" w:hAnsi="Times New Roman" w:cs="Times New Roman"/>
                <w:color w:val="000000"/>
                <w:sz w:val="24"/>
                <w:szCs w:val="24"/>
                <w:highlight w:val="none"/>
              </w:rPr>
              <w:t>本项目主要风险防范措施</w:t>
            </w:r>
          </w:p>
          <w:p>
            <w:pPr>
              <w:keepNext w:val="0"/>
              <w:keepLines w:val="0"/>
              <w:pageBreakBefore w:val="0"/>
              <w:widowControl w:val="0"/>
              <w:kinsoku/>
              <w:wordWrap/>
              <w:overflowPunct/>
              <w:topLinePunct w:val="0"/>
              <w:autoSpaceDE/>
              <w:autoSpaceDN/>
              <w:bidi w:val="0"/>
              <w:spacing w:line="480" w:lineRule="exact"/>
              <w:ind w:left="0" w:firstLine="480" w:firstLineChars="200"/>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本项目风险源主要涉及</w:t>
            </w:r>
            <w:r>
              <w:rPr>
                <w:rFonts w:hint="default" w:ascii="Times New Roman" w:hAnsi="Times New Roman" w:cs="Times New Roman"/>
                <w:color w:val="000000"/>
                <w:sz w:val="24"/>
                <w:szCs w:val="24"/>
                <w:highlight w:val="none"/>
                <w:vertAlign w:val="baseline"/>
                <w:lang w:val="en-US" w:eastAsia="zh-CN"/>
              </w:rPr>
              <w:t>危险废物暂存间的废切削液、废润滑油、废液压油、废油桶、废活性炭、漆渣</w:t>
            </w:r>
            <w:r>
              <w:rPr>
                <w:rFonts w:hint="default" w:ascii="Times New Roman" w:hAnsi="Times New Roman" w:cs="Times New Roman"/>
                <w:color w:val="000000"/>
                <w:sz w:val="24"/>
                <w:szCs w:val="24"/>
                <w:highlight w:val="none"/>
              </w:rPr>
              <w:t>，具体措施见下表。</w:t>
            </w:r>
          </w:p>
          <w:p>
            <w:pPr>
              <w:keepNext w:val="0"/>
              <w:keepLines w:val="0"/>
              <w:pageBreakBefore w:val="0"/>
              <w:widowControl w:val="0"/>
              <w:kinsoku/>
              <w:wordWrap/>
              <w:overflowPunct/>
              <w:topLinePunct w:val="0"/>
              <w:autoSpaceDE/>
              <w:autoSpaceDN/>
              <w:bidi w:val="0"/>
              <w:adjustRightInd w:val="0"/>
              <w:snapToGrid w:val="0"/>
              <w:spacing w:line="480" w:lineRule="exact"/>
              <w:ind w:left="0"/>
              <w:jc w:val="center"/>
              <w:textAlignment w:val="baseline"/>
              <w:rPr>
                <w:rFonts w:hint="default" w:ascii="Times New Roman" w:hAnsi="Times New Roman" w:cs="Times New Roman"/>
                <w:b/>
                <w:color w:val="000000"/>
                <w:sz w:val="24"/>
                <w:szCs w:val="24"/>
                <w:highlight w:val="none"/>
              </w:rPr>
            </w:pPr>
            <w:r>
              <w:rPr>
                <w:rFonts w:hint="default" w:ascii="Times New Roman" w:hAnsi="Times New Roman" w:cs="Times New Roman"/>
                <w:b/>
                <w:bCs/>
                <w:color w:val="000000"/>
                <w:sz w:val="24"/>
                <w:szCs w:val="24"/>
                <w:highlight w:val="none"/>
              </w:rPr>
              <w:t>表</w:t>
            </w:r>
            <w:r>
              <w:rPr>
                <w:rFonts w:hint="default" w:ascii="Times New Roman" w:hAnsi="Times New Roman" w:cs="Times New Roman"/>
                <w:b/>
                <w:bCs/>
                <w:color w:val="000000"/>
                <w:sz w:val="24"/>
                <w:szCs w:val="24"/>
                <w:highlight w:val="none"/>
                <w:lang w:val="en-US" w:eastAsia="zh-CN"/>
              </w:rPr>
              <w:t>4-17</w:t>
            </w:r>
            <w:r>
              <w:rPr>
                <w:rFonts w:hint="default" w:ascii="Times New Roman" w:hAnsi="Times New Roman" w:cs="Times New Roman"/>
                <w:b/>
                <w:bCs/>
                <w:color w:val="000000"/>
                <w:sz w:val="24"/>
                <w:szCs w:val="24"/>
                <w:highlight w:val="none"/>
              </w:rPr>
              <w:t xml:space="preserve"> 建设项目环境风险简单分析内容表</w:t>
            </w:r>
          </w:p>
          <w:tbl>
            <w:tblPr>
              <w:tblStyle w:val="3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31"/>
              <w:gridCol w:w="1102"/>
              <w:gridCol w:w="1851"/>
              <w:gridCol w:w="1036"/>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4" w:hRule="atLeast"/>
                <w:jc w:val="center"/>
              </w:trPr>
              <w:tc>
                <w:tcPr>
                  <w:tcW w:w="11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建设项目名称</w:t>
                  </w:r>
                </w:p>
              </w:tc>
              <w:tc>
                <w:tcPr>
                  <w:tcW w:w="3835" w:type="pct"/>
                  <w:gridSpan w:val="4"/>
                  <w:tcBorders>
                    <w:tl2br w:val="nil"/>
                    <w:tr2bl w:val="nil"/>
                  </w:tcBorders>
                  <w:noWrap w:val="0"/>
                  <w:vAlign w:val="center"/>
                </w:tcPr>
                <w:p>
                  <w:pPr>
                    <w:adjustRightInd w:val="0"/>
                    <w:jc w:val="center"/>
                    <w:textAlignment w:val="baseline"/>
                    <w:rPr>
                      <w:rFonts w:hint="default" w:ascii="Times New Roman" w:hAnsi="Times New Roman" w:eastAsia="宋体" w:cs="Times New Roman"/>
                      <w:color w:val="000000"/>
                      <w:sz w:val="21"/>
                      <w:szCs w:val="21"/>
                      <w:highlight w:val="none"/>
                      <w:lang w:eastAsia="zh-CN"/>
                    </w:rPr>
                  </w:pPr>
                  <w:r>
                    <w:rPr>
                      <w:rFonts w:hint="default" w:ascii="Times New Roman" w:hAnsi="Times New Roman" w:cs="Times New Roman"/>
                      <w:color w:val="000000"/>
                      <w:sz w:val="21"/>
                      <w:szCs w:val="21"/>
                      <w:highlight w:val="none"/>
                      <w:lang w:eastAsia="zh-CN"/>
                    </w:rPr>
                    <w:t>智能机器人研发生产基地项目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1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建设地点</w:t>
                  </w:r>
                </w:p>
              </w:tc>
              <w:tc>
                <w:tcPr>
                  <w:tcW w:w="6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（河北）省</w:t>
                  </w:r>
                </w:p>
              </w:tc>
              <w:tc>
                <w:tcPr>
                  <w:tcW w:w="1115"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（秦皇岛）市</w:t>
                  </w:r>
                </w:p>
              </w:tc>
              <w:tc>
                <w:tcPr>
                  <w:tcW w:w="624" w:type="pct"/>
                  <w:tcBorders>
                    <w:tl2br w:val="nil"/>
                    <w:tr2bl w:val="nil"/>
                  </w:tcBorders>
                  <w:noWrap w:val="0"/>
                  <w:vAlign w:val="center"/>
                </w:tcPr>
                <w:p>
                  <w:pPr>
                    <w:adjustRightInd w:val="0"/>
                    <w:jc w:val="center"/>
                    <w:textAlignment w:val="baseline"/>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w:t>
                  </w:r>
                  <w:r>
                    <w:rPr>
                      <w:rFonts w:hint="default" w:ascii="Times New Roman" w:hAnsi="Times New Roman" w:cs="Times New Roman"/>
                      <w:color w:val="000000" w:themeColor="text1"/>
                      <w:sz w:val="21"/>
                      <w:szCs w:val="21"/>
                      <w:highlight w:val="none"/>
                      <w:lang w:eastAsia="zh-CN"/>
                      <w14:textFill>
                        <w14:solidFill>
                          <w14:schemeClr w14:val="tx1"/>
                        </w14:solidFill>
                      </w14:textFill>
                    </w:rPr>
                    <w:t>抚宁</w:t>
                  </w:r>
                  <w:r>
                    <w:rPr>
                      <w:rFonts w:hint="default" w:ascii="Times New Roman" w:hAnsi="Times New Roman" w:cs="Times New Roman"/>
                      <w:color w:val="000000" w:themeColor="text1"/>
                      <w:sz w:val="21"/>
                      <w:szCs w:val="21"/>
                      <w:highlight w:val="none"/>
                      <w14:textFill>
                        <w14:solidFill>
                          <w14:schemeClr w14:val="tx1"/>
                        </w14:solidFill>
                      </w14:textFill>
                    </w:rPr>
                    <w:t>）</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区</w:t>
                  </w:r>
                </w:p>
              </w:tc>
              <w:tc>
                <w:tcPr>
                  <w:tcW w:w="1430"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lang w:val="en-US"/>
                      <w14:textFill>
                        <w14:solidFill>
                          <w14:schemeClr w14:val="tx1"/>
                        </w14:solidFill>
                      </w14:textFill>
                    </w:rPr>
                  </w:pPr>
                  <w:r>
                    <w:rPr>
                      <w:rFonts w:hint="default" w:ascii="Times New Roman" w:hAnsi="Times New Roman" w:cs="Times New Roman"/>
                      <w:color w:val="000000" w:themeColor="text1"/>
                      <w:sz w:val="21"/>
                      <w:szCs w:val="21"/>
                      <w:highlight w:val="none"/>
                      <w:lang w:eastAsia="zh-CN"/>
                      <w14:textFill>
                        <w14:solidFill>
                          <w14:schemeClr w14:val="tx1"/>
                        </w14:solidFill>
                      </w14:textFill>
                    </w:rPr>
                    <w:t>抚宁经济开发区北区三抚路西侧，环城北路北侧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1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地理坐标</w:t>
                  </w:r>
                </w:p>
              </w:tc>
              <w:tc>
                <w:tcPr>
                  <w:tcW w:w="6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经度</w:t>
                  </w:r>
                </w:p>
              </w:tc>
              <w:tc>
                <w:tcPr>
                  <w:tcW w:w="1115"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119°13′23.00840″</w:t>
                  </w:r>
                </w:p>
              </w:tc>
              <w:tc>
                <w:tcPr>
                  <w:tcW w:w="62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纬度</w:t>
                  </w:r>
                </w:p>
              </w:tc>
              <w:tc>
                <w:tcPr>
                  <w:tcW w:w="1430"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39°54′38.94275″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1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主要危险物质及分布</w:t>
                  </w:r>
                </w:p>
              </w:tc>
              <w:tc>
                <w:tcPr>
                  <w:tcW w:w="3835" w:type="pct"/>
                  <w:gridSpan w:val="4"/>
                  <w:tcBorders>
                    <w:tl2br w:val="nil"/>
                    <w:tr2bl w:val="nil"/>
                  </w:tcBorders>
                  <w:noWrap w:val="0"/>
                  <w:vAlign w:val="center"/>
                </w:tcPr>
                <w:p>
                  <w:pPr>
                    <w:adjustRightInd w:val="0"/>
                    <w:textAlignment w:val="baseline"/>
                    <w:rPr>
                      <w:rFonts w:hint="default" w:ascii="Times New Roman" w:hAnsi="Times New Roman" w:eastAsia="宋体" w:cs="Times New Roman"/>
                      <w:color w:val="000000" w:themeColor="text1"/>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本项目的风险物质为</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废切削液、废润滑油、废液压油、废油桶、废活性炭、漆渣</w:t>
                  </w:r>
                  <w:r>
                    <w:rPr>
                      <w:rFonts w:hint="default" w:ascii="Times New Roman" w:hAnsi="Times New Roman" w:cs="Times New Roman"/>
                      <w:color w:val="000000" w:themeColor="text1"/>
                      <w:sz w:val="21"/>
                      <w:szCs w:val="21"/>
                      <w:highlight w:val="none"/>
                      <w14:textFill>
                        <w14:solidFill>
                          <w14:schemeClr w14:val="tx1"/>
                        </w14:solidFill>
                      </w14:textFill>
                    </w:rPr>
                    <w:t>储存于</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危险废物暂存间</w:t>
                  </w:r>
                  <w:r>
                    <w:rPr>
                      <w:rFonts w:hint="default" w:ascii="Times New Roman" w:hAnsi="Times New Roman" w:cs="Times New Roman"/>
                      <w:color w:val="000000" w:themeColor="text1"/>
                      <w:sz w:val="21"/>
                      <w:szCs w:val="21"/>
                      <w:highlight w:val="none"/>
                      <w14:textFill>
                        <w14:solidFill>
                          <w14:schemeClr w14:val="tx1"/>
                        </w14:solidFill>
                      </w14:textFill>
                    </w:rPr>
                    <w:t>内</w:t>
                  </w:r>
                  <w:r>
                    <w:rPr>
                      <w:rFonts w:hint="default" w:ascii="Times New Roman" w:hAnsi="Times New Roman" w:cs="Times New Roman"/>
                      <w:color w:val="000000" w:themeColor="text1"/>
                      <w:sz w:val="21"/>
                      <w:szCs w:val="21"/>
                      <w:highlight w:val="none"/>
                      <w:lang w:eastAsia="zh-CN"/>
                      <w14:textFill>
                        <w14:solidFill>
                          <w14:schemeClr w14:val="tx1"/>
                        </w14:solidFill>
                      </w14:textFill>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1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环境影响途径及危害后果（大气、地表水、地下水等）</w:t>
                  </w:r>
                </w:p>
              </w:tc>
              <w:tc>
                <w:tcPr>
                  <w:tcW w:w="3835" w:type="pct"/>
                  <w:gridSpan w:val="4"/>
                  <w:tcBorders>
                    <w:tl2br w:val="nil"/>
                    <w:tr2bl w:val="nil"/>
                  </w:tcBorders>
                  <w:noWrap w:val="0"/>
                  <w:vAlign w:val="center"/>
                </w:tcPr>
                <w:p>
                  <w:pPr>
                    <w:adjustRightInd w:val="0"/>
                    <w:textAlignment w:val="baseline"/>
                    <w:rPr>
                      <w:rFonts w:hint="default" w:ascii="Times New Roman" w:hAnsi="Times New Roman" w:cs="Times New Roman"/>
                      <w:color w:val="000000" w:themeColor="text1"/>
                      <w:sz w:val="21"/>
                      <w:szCs w:val="21"/>
                      <w:highlight w:val="none"/>
                      <w14:textFill>
                        <w14:solidFill>
                          <w14:schemeClr w14:val="tx1"/>
                        </w14:solidFill>
                      </w14:textFill>
                    </w:rPr>
                  </w:pPr>
                  <w:r>
                    <w:rPr>
                      <w:rFonts w:hint="default" w:ascii="Times New Roman" w:hAnsi="Times New Roman" w:cs="Times New Roman"/>
                      <w:color w:val="000000" w:themeColor="text1"/>
                      <w:sz w:val="21"/>
                      <w:szCs w:val="21"/>
                      <w:highlight w:val="none"/>
                      <w14:textFill>
                        <w14:solidFill>
                          <w14:schemeClr w14:val="tx1"/>
                        </w14:solidFill>
                      </w14:textFill>
                    </w:rPr>
                    <w:t>根据本项目的特点和危险物质的特性，本项目的环境事故风险为</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废切削液、废润滑油、废液压油、废油桶、废活性炭、漆渣</w:t>
                  </w:r>
                  <w:r>
                    <w:rPr>
                      <w:rFonts w:hint="default" w:ascii="Times New Roman" w:hAnsi="Times New Roman" w:cs="Times New Roman"/>
                      <w:color w:val="000000" w:themeColor="text1"/>
                      <w:sz w:val="21"/>
                      <w:szCs w:val="21"/>
                      <w:highlight w:val="none"/>
                      <w14:textFill>
                        <w14:solidFill>
                          <w14:schemeClr w14:val="tx1"/>
                        </w14:solidFill>
                      </w14:textFill>
                    </w:rPr>
                    <w:t>遇明火燃烧及</w:t>
                  </w: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废切削液、废润滑油、废液压油、废油桶、废活性炭、漆渣</w:t>
                  </w:r>
                  <w:r>
                    <w:rPr>
                      <w:rFonts w:hint="default" w:ascii="Times New Roman" w:hAnsi="Times New Roman" w:cs="Times New Roman"/>
                      <w:color w:val="000000" w:themeColor="text1"/>
                      <w:sz w:val="21"/>
                      <w:szCs w:val="21"/>
                      <w:highlight w:val="none"/>
                      <w14:textFill>
                        <w14:solidFill>
                          <w14:schemeClr w14:val="tx1"/>
                        </w14:solidFill>
                      </w14:textFill>
                    </w:rPr>
                    <w:t>的包装容器破损泄漏对所在建筑物、大气、地表水及地下水造成影响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9" w:hRule="atLeast"/>
                <w:jc w:val="center"/>
              </w:trPr>
              <w:tc>
                <w:tcPr>
                  <w:tcW w:w="1164" w:type="pct"/>
                  <w:tcBorders>
                    <w:tl2br w:val="nil"/>
                    <w:tr2bl w:val="nil"/>
                  </w:tcBorders>
                  <w:noWrap w:val="0"/>
                  <w:vAlign w:val="center"/>
                </w:tcPr>
                <w:p>
                  <w:pPr>
                    <w:adjustRightInd w:val="0"/>
                    <w:jc w:val="center"/>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风险防范措施要求</w:t>
                  </w:r>
                </w:p>
              </w:tc>
              <w:tc>
                <w:tcPr>
                  <w:tcW w:w="3835" w:type="pct"/>
                  <w:gridSpan w:val="4"/>
                  <w:tcBorders>
                    <w:tl2br w:val="nil"/>
                    <w:tr2bl w:val="nil"/>
                  </w:tcBorders>
                  <w:noWrap w:val="0"/>
                  <w:vAlign w:val="center"/>
                </w:tcPr>
                <w:p>
                  <w:pPr>
                    <w:snapToGrid w:val="0"/>
                    <w:contextualSpacing/>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①</w:t>
                  </w:r>
                  <w:r>
                    <w:rPr>
                      <w:rFonts w:hint="default" w:ascii="Times New Roman" w:hAnsi="Times New Roman" w:cs="Times New Roman"/>
                      <w:color w:val="000000"/>
                      <w:sz w:val="21"/>
                      <w:szCs w:val="21"/>
                      <w:highlight w:val="none"/>
                      <w:lang w:eastAsia="zh-CN"/>
                    </w:rPr>
                    <w:t>危险废物暂存间</w:t>
                  </w:r>
                  <w:r>
                    <w:rPr>
                      <w:rFonts w:hint="default" w:ascii="Times New Roman" w:hAnsi="Times New Roman" w:cs="Times New Roman"/>
                      <w:color w:val="000000"/>
                      <w:sz w:val="21"/>
                      <w:szCs w:val="21"/>
                      <w:highlight w:val="none"/>
                    </w:rPr>
                    <w:t>地面做耐腐蚀硬化、防渗漏处理，且表面无裂隙，所使用的材料要与危险废物相容；②危险物质应选择防腐、防渗、防磕碰、密封严密的容器进行贮存和运输，存储于阴凉、通风良好的车间内，远离火种、热源，应有专门人员看管；③严格按照防火规范相关要求进行原材料存放区的布置，需设置干粉灭火器、消火栓等；④项目应配备较好的设备和相应的抢险设施、储存区有防扬散、防流失、防渗漏等防治措施并参照国家标准GB18597-20</w:t>
                  </w:r>
                  <w:r>
                    <w:rPr>
                      <w:rFonts w:hint="default" w:ascii="Times New Roman" w:hAnsi="Times New Roman" w:cs="Times New Roman"/>
                      <w:color w:val="000000"/>
                      <w:sz w:val="21"/>
                      <w:szCs w:val="21"/>
                      <w:highlight w:val="none"/>
                      <w:lang w:val="en-US" w:eastAsia="zh-CN"/>
                    </w:rPr>
                    <w:t>23</w:t>
                  </w:r>
                  <w:r>
                    <w:rPr>
                      <w:rFonts w:hint="default" w:ascii="Times New Roman" w:hAnsi="Times New Roman" w:cs="Times New Roman"/>
                      <w:color w:val="000000"/>
                      <w:sz w:val="21"/>
                      <w:szCs w:val="21"/>
                      <w:highlight w:val="none"/>
                    </w:rPr>
                    <w:t>《危险废物贮存污染控制标准》和HJ2025-2012《危险废物收集贮存运输技术规范》的要求进行设计。当发生事故时，为不使事故扩大，防止二次灾害的发生，要求及时抢险抢修，必须对各种险情进行事故前预测，保证抢险队伍的素质，遇险时应及时与当地消防部门取得联系，以获得有力支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1164" w:type="pct"/>
                  <w:tcBorders>
                    <w:tl2br w:val="nil"/>
                    <w:tr2bl w:val="nil"/>
                  </w:tcBorders>
                  <w:noWrap w:val="0"/>
                  <w:vAlign w:val="center"/>
                </w:tcPr>
                <w:p>
                  <w:pPr>
                    <w:adjustRightInd w:val="0"/>
                    <w:ind w:firstLine="420" w:firstLineChars="20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填表说明</w:t>
                  </w:r>
                </w:p>
              </w:tc>
              <w:tc>
                <w:tcPr>
                  <w:tcW w:w="3835" w:type="pct"/>
                  <w:gridSpan w:val="4"/>
                  <w:tcBorders>
                    <w:tl2br w:val="nil"/>
                    <w:tr2bl w:val="nil"/>
                  </w:tcBorders>
                  <w:noWrap w:val="0"/>
                  <w:vAlign w:val="center"/>
                </w:tcPr>
                <w:p>
                  <w:pPr>
                    <w:adjustRightInd w:val="0"/>
                    <w:ind w:firstLine="420" w:firstLineChars="200"/>
                    <w:textAlignment w:val="baseline"/>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主要结论为</w:t>
                  </w:r>
                  <w:r>
                    <w:rPr>
                      <w:rFonts w:hint="default" w:ascii="Times New Roman" w:hAnsi="Times New Roman" w:cs="Times New Roman"/>
                      <w:color w:val="000000"/>
                      <w:sz w:val="21"/>
                      <w:szCs w:val="21"/>
                      <w:highlight w:val="none"/>
                      <w:lang w:eastAsia="zh-CN"/>
                    </w:rPr>
                    <w:t>：</w:t>
                  </w:r>
                  <w:r>
                    <w:rPr>
                      <w:rFonts w:hint="default" w:ascii="Times New Roman" w:hAnsi="Times New Roman" w:cs="Times New Roman"/>
                      <w:color w:val="000000"/>
                      <w:sz w:val="21"/>
                      <w:szCs w:val="21"/>
                      <w:highlight w:val="none"/>
                    </w:rPr>
                    <w:t>本项目风险物质为</w:t>
                  </w:r>
                  <w:r>
                    <w:rPr>
                      <w:rFonts w:hint="default" w:ascii="Times New Roman" w:hAnsi="Times New Roman" w:cs="Times New Roman"/>
                      <w:color w:val="000000"/>
                      <w:sz w:val="21"/>
                      <w:szCs w:val="21"/>
                      <w:highlight w:val="none"/>
                      <w:lang w:val="en-US" w:eastAsia="zh-CN"/>
                    </w:rPr>
                    <w:t>含油废屑、废机油、废液压油、废油桶</w:t>
                  </w:r>
                  <w:r>
                    <w:rPr>
                      <w:rFonts w:hint="default" w:ascii="Times New Roman" w:hAnsi="Times New Roman" w:cs="Times New Roman"/>
                      <w:color w:val="000000"/>
                      <w:sz w:val="21"/>
                      <w:szCs w:val="21"/>
                      <w:highlight w:val="none"/>
                    </w:rPr>
                    <w:t>。上述风险物质存储量较小，预计渗漏及火灾事故的发生不会对周边环境产生显著不利影响。在认真落实本报告提出的各项风险防范和应急措施后，本项目的风险处于可接受的水平。</w:t>
                  </w:r>
                </w:p>
              </w:tc>
            </w:tr>
          </w:tbl>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textAlignment w:val="bottom"/>
              <w:rPr>
                <w:rFonts w:hint="default" w:ascii="Times New Roman" w:hAnsi="Times New Roman" w:cs="Times New Roman"/>
                <w:bCs/>
                <w:color w:val="000000"/>
                <w:sz w:val="24"/>
                <w:szCs w:val="24"/>
                <w:highlight w:val="none"/>
                <w:lang w:val="en-US" w:eastAsia="zh-CN"/>
              </w:rPr>
            </w:pPr>
            <w:r>
              <w:rPr>
                <w:rFonts w:hint="default" w:ascii="Times New Roman" w:hAnsi="Times New Roman" w:eastAsia="宋体" w:cs="Times New Roman"/>
                <w:color w:val="000000"/>
                <w:sz w:val="24"/>
                <w:szCs w:val="24"/>
                <w:highlight w:val="none"/>
                <w:lang w:val="en-US" w:eastAsia="zh-CN"/>
              </w:rPr>
              <w:t>针对本项目生产特点，项目需做好各项污染物防治措施，同时对各</w:t>
            </w:r>
            <w:r>
              <w:rPr>
                <w:rFonts w:hint="default" w:ascii="Times New Roman" w:hAnsi="Times New Roman" w:eastAsia="宋体" w:cs="Times New Roman"/>
                <w:color w:val="000000"/>
                <w:sz w:val="24"/>
                <w:szCs w:val="24"/>
                <w:highlight w:val="none"/>
              </w:rPr>
              <w:t>风险物质</w:t>
            </w:r>
            <w:r>
              <w:rPr>
                <w:rFonts w:hint="default" w:ascii="Times New Roman" w:hAnsi="Times New Roman" w:eastAsia="宋体" w:cs="Times New Roman"/>
                <w:color w:val="000000"/>
                <w:sz w:val="24"/>
                <w:szCs w:val="24"/>
                <w:highlight w:val="none"/>
                <w:lang w:val="en-US" w:eastAsia="zh-CN"/>
              </w:rPr>
              <w:t>分类存放，项目生产风险较小，不会对周围环境造成太大影响。</w:t>
            </w:r>
          </w:p>
          <w:p>
            <w:pPr>
              <w:keepNext w:val="0"/>
              <w:keepLines w:val="0"/>
              <w:pageBreakBefore w:val="0"/>
              <w:widowControl w:val="0"/>
              <w:suppressAutoHyphens/>
              <w:kinsoku/>
              <w:wordWrap/>
              <w:overflowPunct/>
              <w:topLinePunct w:val="0"/>
              <w:autoSpaceDE/>
              <w:autoSpaceDN/>
              <w:bidi w:val="0"/>
              <w:adjustRightInd w:val="0"/>
              <w:snapToGrid w:val="0"/>
              <w:spacing w:afterLines="0" w:line="480" w:lineRule="exact"/>
              <w:ind w:left="0" w:leftChars="0" w:firstLine="0" w:firstLineChars="0"/>
              <w:jc w:val="both"/>
              <w:textAlignment w:val="auto"/>
              <w:rPr>
                <w:rFonts w:hint="default" w:ascii="Times New Roman" w:hAnsi="Times New Roman" w:eastAsia="宋体" w:cs="Times New Roman"/>
                <w:b/>
                <w:bCs/>
                <w:color w:val="000000"/>
                <w:spacing w:val="0"/>
                <w:sz w:val="24"/>
                <w:szCs w:val="24"/>
                <w:highlight w:val="none"/>
                <w:lang w:val="en-US" w:eastAsia="zh-CN" w:bidi="ar-SA"/>
              </w:rPr>
            </w:pPr>
            <w:r>
              <w:rPr>
                <w:rFonts w:hint="default" w:ascii="Times New Roman" w:hAnsi="Times New Roman" w:eastAsia="宋体" w:cs="Times New Roman"/>
                <w:b/>
                <w:bCs/>
                <w:color w:val="000000"/>
                <w:spacing w:val="0"/>
                <w:sz w:val="24"/>
                <w:szCs w:val="24"/>
                <w:highlight w:val="none"/>
                <w:lang w:val="en-US" w:eastAsia="zh-CN" w:bidi="ar-SA"/>
              </w:rPr>
              <w:t>七、碳排放影响分析评价</w:t>
            </w:r>
          </w:p>
          <w:p>
            <w:pPr>
              <w:keepNext w:val="0"/>
              <w:keepLines w:val="0"/>
              <w:pageBreakBefore w:val="0"/>
              <w:widowControl w:val="0"/>
              <w:kinsoku/>
              <w:wordWrap/>
              <w:overflowPunct/>
              <w:topLinePunct w:val="0"/>
              <w:autoSpaceDE/>
              <w:autoSpaceDN/>
              <w:bidi w:val="0"/>
              <w:adjustRightInd w:val="0"/>
              <w:snapToGrid w:val="0"/>
              <w:spacing w:line="480" w:lineRule="exact"/>
              <w:ind w:right="0" w:firstLine="480" w:firstLineChars="200"/>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国家发展改革委、国家统计局、生态环境部印发《关于加快建立统一规范的碳排放统计核算体系实施方案》的通知发改环资〔2022〕622号中提出，碳排放统计核算是做好碳达峰碳中和工作的重要基础，是制定政策、推动工作、开展考核、谈判履约的重要依据</w:t>
            </w:r>
            <w:r>
              <w:rPr>
                <w:rFonts w:hint="default" w:ascii="Times New Roman" w:hAnsi="Times New Roman" w:eastAsia="宋体" w:cs="Times New Roman"/>
                <w:b w:val="0"/>
                <w:bCs w:val="0"/>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right="0" w:firstLine="480" w:firstLineChars="200"/>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根据</w:t>
            </w:r>
            <w:r>
              <w:rPr>
                <w:rFonts w:hint="default" w:ascii="Times New Roman" w:hAnsi="Times New Roman" w:eastAsia="宋体" w:cs="Times New Roman"/>
                <w:b w:val="0"/>
                <w:bCs w:val="0"/>
                <w:color w:val="000000"/>
                <w:sz w:val="24"/>
                <w:szCs w:val="24"/>
                <w:highlight w:val="none"/>
              </w:rPr>
              <w:t>《</w:t>
            </w:r>
            <w:r>
              <w:rPr>
                <w:rFonts w:hint="default" w:ascii="Times New Roman" w:hAnsi="Times New Roman" w:eastAsia="宋体" w:cs="Times New Roman"/>
                <w:b w:val="0"/>
                <w:bCs w:val="0"/>
                <w:color w:val="000000"/>
                <w:sz w:val="24"/>
                <w:szCs w:val="24"/>
                <w:highlight w:val="none"/>
                <w:lang w:val="en-US" w:eastAsia="zh-CN"/>
              </w:rPr>
              <w:t>秦皇岛市深入打好污染防治攻坚战实施方案</w:t>
            </w:r>
            <w:r>
              <w:rPr>
                <w:rFonts w:hint="default" w:ascii="Times New Roman" w:hAnsi="Times New Roman" w:eastAsia="宋体" w:cs="Times New Roman"/>
                <w:b w:val="0"/>
                <w:bCs w:val="0"/>
                <w:color w:val="000000"/>
                <w:sz w:val="24"/>
                <w:szCs w:val="24"/>
                <w:highlight w:val="none"/>
              </w:rPr>
              <w:t>》</w:t>
            </w:r>
            <w:r>
              <w:rPr>
                <w:rFonts w:hint="default" w:ascii="Times New Roman" w:hAnsi="Times New Roman" w:eastAsia="宋体" w:cs="Times New Roman"/>
                <w:b w:val="0"/>
                <w:bCs w:val="0"/>
                <w:color w:val="000000"/>
                <w:sz w:val="24"/>
                <w:szCs w:val="24"/>
                <w:highlight w:val="none"/>
                <w:lang w:eastAsia="zh-CN"/>
              </w:rPr>
              <w:t>中提出的：</w:t>
            </w:r>
            <w:r>
              <w:rPr>
                <w:rFonts w:hint="default" w:ascii="Times New Roman" w:hAnsi="Times New Roman" w:eastAsia="宋体" w:cs="Times New Roman"/>
                <w:b w:val="0"/>
                <w:bCs w:val="0"/>
                <w:color w:val="000000"/>
                <w:sz w:val="24"/>
                <w:szCs w:val="24"/>
                <w:highlight w:val="none"/>
                <w:lang w:val="en-US" w:eastAsia="zh-CN"/>
              </w:rPr>
              <w:t>将温室气体纳入环评管理，在环评文件中增加碳排放评价内容，以及</w:t>
            </w:r>
            <w:r>
              <w:rPr>
                <w:rFonts w:hint="default" w:ascii="Times New Roman" w:hAnsi="Times New Roman" w:eastAsia="宋体" w:cs="Times New Roman"/>
                <w:b w:val="0"/>
                <w:bCs w:val="0"/>
                <w:color w:val="000000"/>
                <w:sz w:val="24"/>
                <w:szCs w:val="24"/>
                <w:highlight w:val="none"/>
              </w:rPr>
              <w:t>《</w:t>
            </w:r>
            <w:r>
              <w:rPr>
                <w:rFonts w:hint="default" w:ascii="Times New Roman" w:hAnsi="Times New Roman" w:eastAsia="宋体" w:cs="Times New Roman"/>
                <w:b w:val="0"/>
                <w:bCs w:val="0"/>
                <w:color w:val="000000"/>
                <w:sz w:val="24"/>
                <w:szCs w:val="24"/>
                <w:highlight w:val="none"/>
                <w:lang w:val="en-US" w:eastAsia="zh-CN"/>
              </w:rPr>
              <w:t>河北省人民政府关于印发河北省碳达峰实施方案的通知</w:t>
            </w:r>
            <w:r>
              <w:rPr>
                <w:rFonts w:hint="default" w:ascii="Times New Roman" w:hAnsi="Times New Roman" w:eastAsia="宋体" w:cs="Times New Roman"/>
                <w:b w:val="0"/>
                <w:bCs w:val="0"/>
                <w:color w:val="000000"/>
                <w:sz w:val="24"/>
                <w:szCs w:val="24"/>
                <w:highlight w:val="none"/>
              </w:rPr>
              <w:t>》</w:t>
            </w:r>
            <w:r>
              <w:rPr>
                <w:rFonts w:hint="default" w:ascii="Times New Roman" w:hAnsi="Times New Roman" w:eastAsia="宋体" w:cs="Times New Roman"/>
                <w:b w:val="0"/>
                <w:bCs w:val="0"/>
                <w:color w:val="000000"/>
                <w:sz w:val="24"/>
                <w:szCs w:val="24"/>
                <w:highlight w:val="none"/>
                <w:lang w:eastAsia="zh-CN"/>
              </w:rPr>
              <w:t>（</w:t>
            </w:r>
            <w:r>
              <w:rPr>
                <w:rFonts w:hint="default" w:ascii="Times New Roman" w:hAnsi="Times New Roman" w:eastAsia="宋体" w:cs="Times New Roman"/>
                <w:b w:val="0"/>
                <w:bCs w:val="0"/>
                <w:color w:val="000000"/>
                <w:sz w:val="24"/>
                <w:szCs w:val="24"/>
                <w:highlight w:val="none"/>
                <w:lang w:val="en-US" w:eastAsia="zh-CN"/>
              </w:rPr>
              <w:t>冀政发[2022]3号）等</w:t>
            </w:r>
            <w:r>
              <w:rPr>
                <w:rFonts w:hint="default" w:ascii="Times New Roman" w:hAnsi="Times New Roman" w:eastAsia="宋体" w:cs="Times New Roman"/>
                <w:b w:val="0"/>
                <w:bCs w:val="0"/>
                <w:color w:val="000000"/>
                <w:sz w:val="24"/>
                <w:szCs w:val="24"/>
                <w:highlight w:val="none"/>
              </w:rPr>
              <w:t>相关</w:t>
            </w:r>
            <w:r>
              <w:rPr>
                <w:rFonts w:hint="default" w:ascii="Times New Roman" w:hAnsi="Times New Roman" w:eastAsia="宋体" w:cs="Times New Roman"/>
                <w:b w:val="0"/>
                <w:bCs w:val="0"/>
                <w:color w:val="000000"/>
                <w:sz w:val="24"/>
                <w:szCs w:val="24"/>
                <w:highlight w:val="none"/>
                <w:lang w:val="en-US" w:eastAsia="zh-CN"/>
              </w:rPr>
              <w:t>文件中</w:t>
            </w:r>
            <w:r>
              <w:rPr>
                <w:rFonts w:hint="default" w:ascii="Times New Roman" w:hAnsi="Times New Roman" w:eastAsia="宋体" w:cs="Times New Roman"/>
                <w:b w:val="0"/>
                <w:bCs w:val="0"/>
                <w:color w:val="000000"/>
                <w:sz w:val="24"/>
                <w:szCs w:val="24"/>
                <w:highlight w:val="none"/>
              </w:rPr>
              <w:t>贯彻落实</w:t>
            </w:r>
            <w:r>
              <w:rPr>
                <w:rFonts w:hint="default" w:ascii="Times New Roman" w:hAnsi="Times New Roman" w:eastAsia="宋体" w:cs="Times New Roman"/>
                <w:b w:val="0"/>
                <w:bCs w:val="0"/>
                <w:color w:val="000000"/>
                <w:sz w:val="24"/>
                <w:szCs w:val="24"/>
                <w:highlight w:val="none"/>
                <w:lang w:eastAsia="zh-CN"/>
              </w:rPr>
              <w:t>国家</w:t>
            </w:r>
            <w:r>
              <w:rPr>
                <w:rFonts w:hint="default" w:ascii="Times New Roman" w:hAnsi="Times New Roman" w:eastAsia="宋体" w:cs="Times New Roman"/>
                <w:b w:val="0"/>
                <w:bCs w:val="0"/>
                <w:color w:val="000000"/>
                <w:sz w:val="24"/>
                <w:szCs w:val="24"/>
                <w:highlight w:val="none"/>
              </w:rPr>
              <w:t>“碳达峰、碳中和”决策部署和文件精神</w:t>
            </w:r>
            <w:r>
              <w:rPr>
                <w:rFonts w:hint="default" w:ascii="Times New Roman" w:hAnsi="Times New Roman" w:eastAsia="宋体" w:cs="Times New Roman"/>
                <w:b w:val="0"/>
                <w:bCs w:val="0"/>
                <w:color w:val="000000"/>
                <w:sz w:val="24"/>
                <w:szCs w:val="24"/>
                <w:highlight w:val="none"/>
                <w:lang w:eastAsia="zh-CN"/>
              </w:rPr>
              <w:t>，</w:t>
            </w:r>
            <w:r>
              <w:rPr>
                <w:rFonts w:hint="default" w:ascii="Times New Roman" w:hAnsi="Times New Roman" w:eastAsia="宋体" w:cs="Times New Roman"/>
                <w:b w:val="0"/>
                <w:bCs w:val="0"/>
                <w:color w:val="000000"/>
                <w:sz w:val="24"/>
                <w:szCs w:val="24"/>
                <w:highlight w:val="none"/>
              </w:rPr>
              <w:t>进行了本项目碳排放评价，如下：</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1、</w:t>
            </w:r>
            <w:r>
              <w:rPr>
                <w:rFonts w:hint="default" w:ascii="Times New Roman" w:hAnsi="Times New Roman" w:eastAsia="宋体" w:cs="Times New Roman"/>
                <w:b w:val="0"/>
                <w:bCs w:val="0"/>
                <w:color w:val="000000"/>
                <w:sz w:val="24"/>
                <w:szCs w:val="24"/>
                <w:highlight w:val="none"/>
              </w:rPr>
              <w:t>政策符合性分析</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rPr>
              <w:t>本项目不属于碳排放相关要求中提到的“重点行业”，但为响应国家和地方政策要求，参照《重点行业建设项目碳排放环境影响评价试点技术指南（试行）》进行本次评价，符合政策要求。</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2、</w:t>
            </w:r>
            <w:r>
              <w:rPr>
                <w:rFonts w:hint="default" w:ascii="Times New Roman" w:hAnsi="Times New Roman" w:eastAsia="宋体" w:cs="Times New Roman"/>
                <w:b w:val="0"/>
                <w:bCs w:val="0"/>
                <w:color w:val="000000"/>
                <w:sz w:val="24"/>
                <w:szCs w:val="24"/>
                <w:highlight w:val="none"/>
              </w:rPr>
              <w:t>工程分析</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rPr>
              <w:t>根据前述工程分析可知，本项目</w:t>
            </w:r>
            <w:r>
              <w:rPr>
                <w:rFonts w:hint="default" w:ascii="Times New Roman" w:hAnsi="Times New Roman" w:cs="Times New Roman"/>
                <w:b w:val="0"/>
                <w:bCs w:val="0"/>
                <w:color w:val="000000"/>
                <w:sz w:val="24"/>
                <w:szCs w:val="24"/>
                <w:highlight w:val="none"/>
                <w:lang w:val="en-US" w:eastAsia="zh-CN"/>
              </w:rPr>
              <w:t>运行过程使用电能</w:t>
            </w:r>
            <w:r>
              <w:rPr>
                <w:rFonts w:hint="default" w:ascii="Times New Roman" w:hAnsi="Times New Roman" w:eastAsia="宋体" w:cs="Times New Roman"/>
                <w:b w:val="0"/>
                <w:bCs w:val="0"/>
                <w:color w:val="000000"/>
                <w:sz w:val="24"/>
                <w:szCs w:val="24"/>
                <w:highlight w:val="none"/>
                <w:lang w:eastAsia="zh-CN"/>
              </w:rPr>
              <w:t>，</w:t>
            </w:r>
            <w:r>
              <w:rPr>
                <w:rFonts w:hint="default" w:ascii="Times New Roman" w:hAnsi="Times New Roman" w:eastAsia="宋体" w:cs="Times New Roman"/>
                <w:b w:val="0"/>
                <w:bCs w:val="0"/>
                <w:color w:val="000000"/>
                <w:sz w:val="24"/>
                <w:szCs w:val="24"/>
                <w:highlight w:val="none"/>
              </w:rPr>
              <w:t>识别本项目的碳排放节点为净购入电力。</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3、</w:t>
            </w:r>
            <w:r>
              <w:rPr>
                <w:rFonts w:hint="default" w:ascii="Times New Roman" w:hAnsi="Times New Roman" w:eastAsia="宋体" w:cs="Times New Roman"/>
                <w:b w:val="0"/>
                <w:bCs w:val="0"/>
                <w:color w:val="000000"/>
                <w:sz w:val="24"/>
                <w:szCs w:val="24"/>
                <w:highlight w:val="none"/>
              </w:rPr>
              <w:t>核算边界</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rPr>
              <w:t>本次核算边界定位本项目自身，温室气体排放源为净购入电力。</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4、</w:t>
            </w:r>
            <w:r>
              <w:rPr>
                <w:rFonts w:hint="default" w:ascii="Times New Roman" w:hAnsi="Times New Roman" w:eastAsia="宋体" w:cs="Times New Roman"/>
                <w:b w:val="0"/>
                <w:bCs w:val="0"/>
                <w:color w:val="000000"/>
                <w:sz w:val="24"/>
                <w:szCs w:val="24"/>
                <w:highlight w:val="none"/>
              </w:rPr>
              <w:t>碳排放绩效核算</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rPr>
              <w:t>核算边界内，净购入电力所对应的碳排放，核算公式如下：</w:t>
            </w:r>
          </w:p>
          <w:p>
            <w:pPr>
              <w:keepNext w:val="0"/>
              <w:keepLines w:val="0"/>
              <w:pageBreakBefore w:val="0"/>
              <w:widowControl w:val="0"/>
              <w:kinsoku/>
              <w:wordWrap/>
              <w:overflowPunct/>
              <w:topLinePunct w:val="0"/>
              <w:autoSpaceDE/>
              <w:autoSpaceDN/>
              <w:bidi w:val="0"/>
              <w:adjustRightInd w:val="0"/>
              <w:snapToGrid w:val="0"/>
              <w:spacing w:line="240" w:lineRule="auto"/>
              <w:ind w:firstLine="0" w:firstLineChars="0"/>
              <w:jc w:val="center"/>
              <w:textAlignment w:val="auto"/>
              <w:rPr>
                <w:rFonts w:hint="default" w:ascii="Times New Roman" w:hAnsi="Times New Roman" w:eastAsia="宋体" w:cs="Times New Roman"/>
                <w:b w:val="0"/>
                <w:bCs w:val="0"/>
                <w:color w:val="000000"/>
                <w:sz w:val="24"/>
                <w:szCs w:val="24"/>
                <w:highlight w:val="none"/>
              </w:rPr>
            </w:pPr>
            <m:oMathPara>
              <m:oMath>
                <m:sSub>
                  <m:sSubPr>
                    <m:ctrlPr>
                      <w:rPr>
                        <w:rFonts w:hint="default" w:ascii="Cambria Math" w:hAnsi="Cambria Math" w:eastAsia="宋体" w:cs="Times New Roman"/>
                        <w:b w:val="0"/>
                        <w:i/>
                        <w:color w:val="000000"/>
                        <w:sz w:val="24"/>
                        <w:szCs w:val="24"/>
                        <w:highlight w:val="none"/>
                      </w:rPr>
                    </m:ctrlPr>
                  </m:sSubPr>
                  <m:e>
                    <m:r>
                      <w:rPr>
                        <w:rFonts w:hint="default" w:ascii="Cambria Math" w:hAnsi="Cambria Math" w:eastAsia="宋体" w:cs="Times New Roman"/>
                        <w:color w:val="000000"/>
                        <w:sz w:val="24"/>
                        <w:szCs w:val="24"/>
                        <w:highlight w:val="none"/>
                      </w:rPr>
                      <m:t>E</m:t>
                    </m:r>
                    <m:ctrlPr>
                      <w:rPr>
                        <w:rFonts w:hint="default" w:ascii="Cambria Math" w:hAnsi="Cambria Math" w:eastAsia="宋体" w:cs="Times New Roman"/>
                        <w:b w:val="0"/>
                        <w:i/>
                        <w:color w:val="000000"/>
                        <w:sz w:val="24"/>
                        <w:szCs w:val="24"/>
                        <w:highlight w:val="none"/>
                      </w:rPr>
                    </m:ctrlPr>
                  </m:e>
                  <m:sub>
                    <m:r>
                      <w:rPr>
                        <w:rFonts w:hint="default" w:ascii="Cambria Math" w:hAnsi="Cambria Math" w:eastAsia="宋体" w:cs="Times New Roman"/>
                        <w:color w:val="000000"/>
                        <w:sz w:val="24"/>
                        <w:szCs w:val="24"/>
                        <w:highlight w:val="none"/>
                      </w:rPr>
                      <m:t>购入电</m:t>
                    </m:r>
                    <m:ctrlPr>
                      <w:rPr>
                        <w:rFonts w:hint="default" w:ascii="Cambria Math" w:hAnsi="Cambria Math" w:eastAsia="宋体" w:cs="Times New Roman"/>
                        <w:b w:val="0"/>
                        <w:i/>
                        <w:color w:val="000000"/>
                        <w:sz w:val="24"/>
                        <w:szCs w:val="24"/>
                        <w:highlight w:val="none"/>
                      </w:rPr>
                    </m:ctrlPr>
                  </m:sub>
                </m:sSub>
                <m:r>
                  <w:rPr>
                    <w:rFonts w:hint="default" w:ascii="Cambria Math" w:hAnsi="Cambria Math" w:eastAsia="宋体" w:cs="Times New Roman"/>
                    <w:color w:val="000000"/>
                    <w:sz w:val="24"/>
                    <w:szCs w:val="24"/>
                    <w:highlight w:val="none"/>
                  </w:rPr>
                  <m:t>=</m:t>
                </m:r>
                <m:sSub>
                  <m:sSubPr>
                    <m:ctrlPr>
                      <w:rPr>
                        <w:rFonts w:hint="default" w:ascii="Cambria Math" w:hAnsi="Cambria Math" w:eastAsia="宋体" w:cs="Times New Roman"/>
                        <w:b w:val="0"/>
                        <w:i/>
                        <w:color w:val="000000"/>
                        <w:sz w:val="24"/>
                        <w:szCs w:val="24"/>
                        <w:highlight w:val="none"/>
                      </w:rPr>
                    </m:ctrlPr>
                  </m:sSubPr>
                  <m:e>
                    <m:r>
                      <w:rPr>
                        <w:rFonts w:hint="default" w:ascii="Cambria Math" w:hAnsi="Cambria Math" w:eastAsia="宋体" w:cs="Times New Roman"/>
                        <w:color w:val="000000"/>
                        <w:sz w:val="24"/>
                        <w:szCs w:val="24"/>
                        <w:highlight w:val="none"/>
                      </w:rPr>
                      <m:t>AD</m:t>
                    </m:r>
                    <m:ctrlPr>
                      <w:rPr>
                        <w:rFonts w:hint="default" w:ascii="Cambria Math" w:hAnsi="Cambria Math" w:eastAsia="宋体" w:cs="Times New Roman"/>
                        <w:b w:val="0"/>
                        <w:i/>
                        <w:color w:val="000000"/>
                        <w:sz w:val="24"/>
                        <w:szCs w:val="24"/>
                        <w:highlight w:val="none"/>
                      </w:rPr>
                    </m:ctrlPr>
                  </m:e>
                  <m:sub>
                    <m:r>
                      <w:rPr>
                        <w:rFonts w:hint="default" w:ascii="Cambria Math" w:hAnsi="Cambria Math" w:eastAsia="宋体" w:cs="Times New Roman"/>
                        <w:color w:val="000000"/>
                        <w:sz w:val="24"/>
                        <w:szCs w:val="24"/>
                        <w:highlight w:val="none"/>
                      </w:rPr>
                      <m:t>购入电</m:t>
                    </m:r>
                    <m:ctrlPr>
                      <w:rPr>
                        <w:rFonts w:hint="default" w:ascii="Cambria Math" w:hAnsi="Cambria Math" w:eastAsia="宋体" w:cs="Times New Roman"/>
                        <w:b w:val="0"/>
                        <w:i/>
                        <w:color w:val="000000"/>
                        <w:sz w:val="24"/>
                        <w:szCs w:val="24"/>
                        <w:highlight w:val="none"/>
                      </w:rPr>
                    </m:ctrlPr>
                  </m:sub>
                </m:sSub>
                <m:r>
                  <w:rPr>
                    <w:rFonts w:hint="default" w:ascii="Cambria Math" w:hAnsi="Cambria Math" w:eastAsia="宋体" w:cs="Times New Roman"/>
                    <w:color w:val="000000"/>
                    <w:sz w:val="24"/>
                    <w:szCs w:val="24"/>
                    <w:highlight w:val="none"/>
                  </w:rPr>
                  <m:t>×</m:t>
                </m:r>
                <m:sSub>
                  <m:sSubPr>
                    <m:ctrlPr>
                      <w:rPr>
                        <w:rFonts w:hint="default" w:ascii="Cambria Math" w:hAnsi="Cambria Math" w:eastAsia="宋体" w:cs="Times New Roman"/>
                        <w:b w:val="0"/>
                        <w:i/>
                        <w:color w:val="000000"/>
                        <w:sz w:val="24"/>
                        <w:szCs w:val="24"/>
                        <w:highlight w:val="none"/>
                      </w:rPr>
                    </m:ctrlPr>
                  </m:sSubPr>
                  <m:e>
                    <m:r>
                      <w:rPr>
                        <w:rFonts w:hint="default" w:ascii="Cambria Math" w:hAnsi="Cambria Math" w:eastAsia="宋体" w:cs="Times New Roman"/>
                        <w:color w:val="000000"/>
                        <w:sz w:val="24"/>
                        <w:szCs w:val="24"/>
                        <w:highlight w:val="none"/>
                      </w:rPr>
                      <m:t>EF</m:t>
                    </m:r>
                    <m:ctrlPr>
                      <w:rPr>
                        <w:rFonts w:hint="default" w:ascii="Cambria Math" w:hAnsi="Cambria Math" w:eastAsia="宋体" w:cs="Times New Roman"/>
                        <w:b w:val="0"/>
                        <w:i/>
                        <w:color w:val="000000"/>
                        <w:sz w:val="24"/>
                        <w:szCs w:val="24"/>
                        <w:highlight w:val="none"/>
                      </w:rPr>
                    </m:ctrlPr>
                  </m:e>
                  <m:sub>
                    <m:r>
                      <w:rPr>
                        <w:rFonts w:hint="default" w:ascii="Cambria Math" w:hAnsi="Cambria Math" w:eastAsia="宋体" w:cs="Times New Roman"/>
                        <w:color w:val="000000"/>
                        <w:sz w:val="24"/>
                        <w:szCs w:val="24"/>
                        <w:highlight w:val="none"/>
                      </w:rPr>
                      <m:t>电</m:t>
                    </m:r>
                    <m:ctrlPr>
                      <w:rPr>
                        <w:rFonts w:hint="default" w:ascii="Cambria Math" w:hAnsi="Cambria Math" w:eastAsia="宋体" w:cs="Times New Roman"/>
                        <w:b w:val="0"/>
                        <w:i/>
                        <w:color w:val="000000"/>
                        <w:sz w:val="24"/>
                        <w:szCs w:val="24"/>
                        <w:highlight w:val="none"/>
                      </w:rPr>
                    </m:ctrlPr>
                  </m:sub>
                </m:sSub>
              </m:oMath>
            </m:oMathPara>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center"/>
              <w:textAlignment w:val="auto"/>
              <w:rPr>
                <w:rFonts w:hint="default" w:ascii="Times New Roman" w:hAnsi="Times New Roman" w:eastAsia="宋体" w:cs="Times New Roman"/>
                <w:b w:val="0"/>
                <w:bCs w:val="0"/>
                <w:color w:val="000000"/>
                <w:sz w:val="24"/>
                <w:szCs w:val="24"/>
                <w:highlight w:val="none"/>
              </w:rPr>
            </w:pPr>
            <m:oMath>
              <m:sSub>
                <m:sSubPr>
                  <m:ctrlPr>
                    <w:rPr>
                      <w:rFonts w:hint="default" w:ascii="Cambria Math" w:hAnsi="Cambria Math" w:eastAsia="宋体" w:cs="Times New Roman"/>
                      <w:b w:val="0"/>
                      <w:i/>
                      <w:color w:val="0C0C0C"/>
                      <w:sz w:val="24"/>
                      <w:szCs w:val="24"/>
                      <w:highlight w:val="none"/>
                    </w:rPr>
                  </m:ctrlPr>
                </m:sSubPr>
                <m:e>
                  <m:r>
                    <w:rPr>
                      <w:rFonts w:hint="default" w:ascii="Cambria Math" w:hAnsi="Cambria Math" w:eastAsia="宋体" w:cs="Times New Roman"/>
                      <w:color w:val="0C0C0C"/>
                      <w:sz w:val="24"/>
                      <w:szCs w:val="24"/>
                      <w:highlight w:val="none"/>
                    </w:rPr>
                    <m:t>E</m:t>
                  </m:r>
                  <m:ctrlPr>
                    <w:rPr>
                      <w:rFonts w:hint="default" w:ascii="Cambria Math" w:hAnsi="Cambria Math" w:eastAsia="宋体" w:cs="Times New Roman"/>
                      <w:b w:val="0"/>
                      <w:i/>
                      <w:color w:val="0C0C0C"/>
                      <w:sz w:val="24"/>
                      <w:szCs w:val="24"/>
                      <w:highlight w:val="none"/>
                    </w:rPr>
                  </m:ctrlPr>
                </m:e>
                <m:sub>
                  <m:r>
                    <w:rPr>
                      <w:rFonts w:hint="default" w:ascii="Cambria Math" w:hAnsi="Cambria Math" w:eastAsia="宋体" w:cs="Times New Roman"/>
                      <w:color w:val="0C0C0C"/>
                      <w:sz w:val="24"/>
                      <w:szCs w:val="24"/>
                      <w:highlight w:val="none"/>
                    </w:rPr>
                    <m:t>购入电</m:t>
                  </m:r>
                  <m:ctrlPr>
                    <w:rPr>
                      <w:rFonts w:hint="default" w:ascii="Cambria Math" w:hAnsi="Cambria Math" w:eastAsia="宋体" w:cs="Times New Roman"/>
                      <w:b w:val="0"/>
                      <w:i/>
                      <w:color w:val="0C0C0C"/>
                      <w:sz w:val="24"/>
                      <w:szCs w:val="24"/>
                      <w:highlight w:val="none"/>
                    </w:rPr>
                  </m:ctrlPr>
                </m:sub>
              </m:sSub>
            </m:oMath>
            <w:r>
              <w:rPr>
                <w:rFonts w:hint="default" w:ascii="Times New Roman" w:hAnsi="Times New Roman" w:eastAsia="宋体" w:cs="Times New Roman"/>
                <w:b w:val="0"/>
                <w:bCs w:val="0"/>
                <w:color w:val="000000"/>
                <w:sz w:val="24"/>
                <w:szCs w:val="24"/>
                <w:highlight w:val="none"/>
              </w:rPr>
              <w:t>——购入的电力所产生的二氧化碳排放，单位为吨二氧化碳（</w:t>
            </w:r>
            <w:r>
              <w:rPr>
                <w:rFonts w:hint="default" w:ascii="Times New Roman" w:hAnsi="Times New Roman" w:eastAsia="宋体" w:cs="Times New Roman"/>
                <w:b w:val="0"/>
                <w:bCs w:val="0"/>
                <w:color w:val="000000"/>
                <w:sz w:val="24"/>
                <w:szCs w:val="24"/>
                <w:highlight w:val="none"/>
                <w:lang w:val="en-US" w:eastAsia="zh-CN"/>
              </w:rPr>
              <w:t xml:space="preserve">t </w:t>
            </w:r>
            <w:r>
              <w:rPr>
                <w:rFonts w:hint="default" w:ascii="Times New Roman" w:hAnsi="Times New Roman" w:eastAsia="宋体" w:cs="Times New Roman"/>
                <w:b w:val="0"/>
                <w:bCs w:val="0"/>
                <w:color w:val="000000"/>
                <w:sz w:val="24"/>
                <w:szCs w:val="24"/>
                <w:highlight w:val="none"/>
                <w:vertAlign w:val="baseline"/>
              </w:rPr>
              <w:t>CO</w:t>
            </w:r>
            <w:r>
              <w:rPr>
                <w:rFonts w:hint="default" w:ascii="Times New Roman" w:hAnsi="Times New Roman" w:eastAsia="宋体" w:cs="Times New Roman"/>
                <w:b w:val="0"/>
                <w:bCs w:val="0"/>
                <w:color w:val="000000"/>
                <w:sz w:val="24"/>
                <w:szCs w:val="24"/>
                <w:highlight w:val="none"/>
                <w:vertAlign w:val="subscript"/>
                <w:lang w:val="en-US" w:eastAsia="zh-CN"/>
              </w:rPr>
              <w:t>2</w:t>
            </w:r>
            <w:r>
              <w:rPr>
                <w:rFonts w:hint="default" w:ascii="Times New Roman" w:hAnsi="Times New Roman" w:eastAsia="宋体" w:cs="Times New Roman"/>
                <w:b w:val="0"/>
                <w:bCs w:val="0"/>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m:oMath>
              <m:sSub>
                <m:sSubPr>
                  <m:ctrlPr>
                    <w:rPr>
                      <w:rFonts w:hint="default" w:ascii="Cambria Math" w:hAnsi="Cambria Math" w:eastAsia="宋体" w:cs="Times New Roman"/>
                      <w:b w:val="0"/>
                      <w:i/>
                      <w:color w:val="0C0C0C"/>
                      <w:sz w:val="24"/>
                      <w:szCs w:val="24"/>
                      <w:highlight w:val="none"/>
                    </w:rPr>
                  </m:ctrlPr>
                </m:sSubPr>
                <m:e>
                  <m:r>
                    <w:rPr>
                      <w:rFonts w:hint="default" w:ascii="Cambria Math" w:hAnsi="Cambria Math" w:eastAsia="宋体" w:cs="Times New Roman"/>
                      <w:color w:val="0C0C0C"/>
                      <w:sz w:val="24"/>
                      <w:szCs w:val="24"/>
                      <w:highlight w:val="none"/>
                    </w:rPr>
                    <m:t>AD</m:t>
                  </m:r>
                  <m:ctrlPr>
                    <w:rPr>
                      <w:rFonts w:hint="default" w:ascii="Cambria Math" w:hAnsi="Cambria Math" w:eastAsia="宋体" w:cs="Times New Roman"/>
                      <w:b w:val="0"/>
                      <w:i/>
                      <w:color w:val="0C0C0C"/>
                      <w:sz w:val="24"/>
                      <w:szCs w:val="24"/>
                      <w:highlight w:val="none"/>
                    </w:rPr>
                  </m:ctrlPr>
                </m:e>
                <m:sub>
                  <m:r>
                    <w:rPr>
                      <w:rFonts w:hint="default" w:ascii="Cambria Math" w:hAnsi="Cambria Math" w:eastAsia="宋体" w:cs="Times New Roman"/>
                      <w:color w:val="0C0C0C"/>
                      <w:sz w:val="24"/>
                      <w:szCs w:val="24"/>
                      <w:highlight w:val="none"/>
                    </w:rPr>
                    <m:t>购入电</m:t>
                  </m:r>
                  <m:ctrlPr>
                    <w:rPr>
                      <w:rFonts w:hint="default" w:ascii="Cambria Math" w:hAnsi="Cambria Math" w:eastAsia="宋体" w:cs="Times New Roman"/>
                      <w:b w:val="0"/>
                      <w:i/>
                      <w:color w:val="0C0C0C"/>
                      <w:sz w:val="24"/>
                      <w:szCs w:val="24"/>
                      <w:highlight w:val="none"/>
                    </w:rPr>
                  </m:ctrlPr>
                </m:sub>
              </m:sSub>
            </m:oMath>
            <w:r>
              <w:rPr>
                <w:rFonts w:hint="default" w:ascii="Times New Roman" w:hAnsi="Times New Roman" w:eastAsia="宋体" w:cs="Times New Roman"/>
                <w:b w:val="0"/>
                <w:bCs w:val="0"/>
                <w:color w:val="000000"/>
                <w:sz w:val="24"/>
                <w:szCs w:val="24"/>
                <w:highlight w:val="none"/>
              </w:rPr>
              <w:t>——购入的电力量，单位为兆瓦时（MWh）；</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m:oMath>
              <m:sSub>
                <m:sSubPr>
                  <m:ctrlPr>
                    <w:rPr>
                      <w:rFonts w:hint="default" w:ascii="Cambria Math" w:hAnsi="Cambria Math" w:eastAsia="宋体" w:cs="Times New Roman"/>
                      <w:b w:val="0"/>
                      <w:i/>
                      <w:color w:val="0C0C0C"/>
                      <w:sz w:val="24"/>
                      <w:szCs w:val="24"/>
                      <w:highlight w:val="none"/>
                    </w:rPr>
                  </m:ctrlPr>
                </m:sSubPr>
                <m:e>
                  <m:r>
                    <w:rPr>
                      <w:rFonts w:hint="default" w:ascii="Cambria Math" w:hAnsi="Cambria Math" w:eastAsia="宋体" w:cs="Times New Roman"/>
                      <w:color w:val="0C0C0C"/>
                      <w:sz w:val="24"/>
                      <w:szCs w:val="24"/>
                      <w:highlight w:val="none"/>
                    </w:rPr>
                    <m:t>EF</m:t>
                  </m:r>
                  <m:ctrlPr>
                    <w:rPr>
                      <w:rFonts w:hint="default" w:ascii="Cambria Math" w:hAnsi="Cambria Math" w:eastAsia="宋体" w:cs="Times New Roman"/>
                      <w:b w:val="0"/>
                      <w:i/>
                      <w:color w:val="0C0C0C"/>
                      <w:sz w:val="24"/>
                      <w:szCs w:val="24"/>
                      <w:highlight w:val="none"/>
                    </w:rPr>
                  </m:ctrlPr>
                </m:e>
                <m:sub>
                  <m:r>
                    <w:rPr>
                      <w:rFonts w:hint="default" w:ascii="Cambria Math" w:hAnsi="Cambria Math" w:eastAsia="宋体" w:cs="Times New Roman"/>
                      <w:color w:val="0C0C0C"/>
                      <w:sz w:val="24"/>
                      <w:szCs w:val="24"/>
                      <w:highlight w:val="none"/>
                    </w:rPr>
                    <m:t>电</m:t>
                  </m:r>
                  <m:ctrlPr>
                    <w:rPr>
                      <w:rFonts w:hint="default" w:ascii="Cambria Math" w:hAnsi="Cambria Math" w:eastAsia="宋体" w:cs="Times New Roman"/>
                      <w:b w:val="0"/>
                      <w:i/>
                      <w:color w:val="0C0C0C"/>
                      <w:sz w:val="24"/>
                      <w:szCs w:val="24"/>
                      <w:highlight w:val="none"/>
                    </w:rPr>
                  </m:ctrlPr>
                </m:sub>
              </m:sSub>
            </m:oMath>
            <w:r>
              <w:rPr>
                <w:rFonts w:hint="default" w:ascii="Times New Roman" w:hAnsi="Times New Roman" w:eastAsia="宋体" w:cs="Times New Roman"/>
                <w:b w:val="0"/>
                <w:bCs w:val="0"/>
                <w:color w:val="000000"/>
                <w:sz w:val="24"/>
                <w:szCs w:val="24"/>
                <w:highlight w:val="none"/>
              </w:rPr>
              <w:t>——电力生产排放因子，为</w:t>
            </w:r>
            <w:r>
              <w:rPr>
                <w:rFonts w:hint="default" w:ascii="Times New Roman" w:hAnsi="Times New Roman" w:cs="Times New Roman"/>
                <w:b w:val="0"/>
                <w:bCs w:val="0"/>
                <w:color w:val="000000"/>
                <w:sz w:val="24"/>
                <w:szCs w:val="24"/>
                <w:highlight w:val="none"/>
                <w:lang w:val="en-US" w:eastAsia="zh-CN"/>
              </w:rPr>
              <w:t>0.7252</w:t>
            </w:r>
            <w:r>
              <w:rPr>
                <w:rFonts w:hint="default" w:ascii="Times New Roman" w:hAnsi="Times New Roman" w:eastAsia="微软雅黑" w:cs="Times New Roman"/>
                <w:b w:val="0"/>
                <w:bCs w:val="0"/>
                <w:i w:val="0"/>
                <w:iCs w:val="0"/>
                <w:caps w:val="0"/>
                <w:color w:val="000000"/>
                <w:spacing w:val="0"/>
                <w:kern w:val="0"/>
                <w:sz w:val="24"/>
                <w:szCs w:val="24"/>
                <w:highlight w:val="none"/>
                <w:lang w:val="en-US" w:eastAsia="zh-CN" w:bidi="ar"/>
              </w:rPr>
              <w:t>kg CO</w:t>
            </w:r>
            <w:r>
              <w:rPr>
                <w:rFonts w:hint="default" w:ascii="Times New Roman" w:hAnsi="Times New Roman" w:eastAsia="微软雅黑" w:cs="Times New Roman"/>
                <w:b w:val="0"/>
                <w:bCs w:val="0"/>
                <w:i w:val="0"/>
                <w:iCs w:val="0"/>
                <w:caps w:val="0"/>
                <w:color w:val="000000"/>
                <w:spacing w:val="0"/>
                <w:kern w:val="0"/>
                <w:sz w:val="24"/>
                <w:szCs w:val="24"/>
                <w:highlight w:val="none"/>
                <w:vertAlign w:val="subscript"/>
                <w:lang w:val="en-US" w:eastAsia="zh-CN" w:bidi="ar"/>
              </w:rPr>
              <w:t>2</w:t>
            </w:r>
            <w:r>
              <w:rPr>
                <w:rFonts w:hint="default" w:ascii="Times New Roman" w:hAnsi="Times New Roman" w:eastAsia="微软雅黑" w:cs="Times New Roman"/>
                <w:b w:val="0"/>
                <w:bCs w:val="0"/>
                <w:i w:val="0"/>
                <w:iCs w:val="0"/>
                <w:caps w:val="0"/>
                <w:color w:val="000000"/>
                <w:spacing w:val="0"/>
                <w:kern w:val="0"/>
                <w:sz w:val="24"/>
                <w:szCs w:val="24"/>
                <w:highlight w:val="none"/>
                <w:lang w:val="en-US" w:eastAsia="zh-CN" w:bidi="ar"/>
              </w:rPr>
              <w:t>/kWh。</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eastAsia="zh-CN"/>
              </w:rPr>
              <w:t>项目用电量</w:t>
            </w:r>
            <w:r>
              <w:rPr>
                <w:rFonts w:hint="default" w:ascii="Times New Roman" w:hAnsi="Times New Roman" w:cs="Times New Roman"/>
                <w:b w:val="0"/>
                <w:bCs w:val="0"/>
                <w:color w:val="000000"/>
                <w:sz w:val="24"/>
                <w:szCs w:val="24"/>
                <w:highlight w:val="none"/>
                <w:lang w:val="en-US" w:eastAsia="zh-CN"/>
              </w:rPr>
              <w:t>为60</w:t>
            </w:r>
            <w:r>
              <w:rPr>
                <w:rFonts w:hint="default" w:ascii="Times New Roman" w:hAnsi="Times New Roman" w:eastAsia="宋体" w:cs="Times New Roman"/>
                <w:b w:val="0"/>
                <w:bCs w:val="0"/>
                <w:color w:val="000000"/>
                <w:sz w:val="24"/>
                <w:szCs w:val="24"/>
                <w:highlight w:val="none"/>
                <w:lang w:val="en-US" w:eastAsia="zh-CN"/>
              </w:rPr>
              <w:t>万</w:t>
            </w:r>
            <w:r>
              <w:rPr>
                <w:rFonts w:hint="default" w:ascii="Times New Roman" w:hAnsi="Times New Roman" w:eastAsia="宋体" w:cs="Times New Roman"/>
                <w:b w:val="0"/>
                <w:bCs w:val="0"/>
                <w:color w:val="000000"/>
                <w:sz w:val="24"/>
                <w:szCs w:val="24"/>
                <w:highlight w:val="none"/>
              </w:rPr>
              <w:t>kW·h/a，</w:t>
            </w:r>
            <w:r>
              <w:rPr>
                <w:rFonts w:hint="default" w:ascii="Times New Roman" w:hAnsi="Times New Roman" w:eastAsia="宋体" w:cs="Times New Roman"/>
                <w:b w:val="0"/>
                <w:bCs w:val="0"/>
                <w:color w:val="000000"/>
                <w:sz w:val="24"/>
                <w:szCs w:val="24"/>
                <w:highlight w:val="none"/>
                <w:lang w:val="en-US" w:eastAsia="zh-CN"/>
              </w:rPr>
              <w:t>净调入电力消耗碳排放量435.12tCO</w:t>
            </w:r>
            <w:r>
              <w:rPr>
                <w:rFonts w:hint="default" w:ascii="Times New Roman" w:hAnsi="Times New Roman" w:eastAsia="宋体" w:cs="Times New Roman"/>
                <w:b w:val="0"/>
                <w:bCs w:val="0"/>
                <w:color w:val="000000"/>
                <w:sz w:val="24"/>
                <w:szCs w:val="24"/>
                <w:highlight w:val="none"/>
                <w:vertAlign w:val="subscript"/>
                <w:lang w:val="en-US" w:eastAsia="zh-CN"/>
              </w:rPr>
              <w:t>2</w:t>
            </w:r>
            <w:r>
              <w:rPr>
                <w:rFonts w:hint="default" w:ascii="Times New Roman" w:hAnsi="Times New Roman" w:eastAsia="宋体" w:cs="Times New Roman"/>
                <w:b w:val="0"/>
                <w:bCs w:val="0"/>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5、</w:t>
            </w:r>
            <w:r>
              <w:rPr>
                <w:rFonts w:hint="default" w:ascii="Times New Roman" w:hAnsi="Times New Roman" w:eastAsia="宋体" w:cs="Times New Roman"/>
                <w:b w:val="0"/>
                <w:bCs w:val="0"/>
                <w:color w:val="000000"/>
                <w:sz w:val="24"/>
                <w:szCs w:val="24"/>
                <w:highlight w:val="none"/>
              </w:rPr>
              <w:t>碳排放管理与监测计划</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rPr>
              <w:t>本项目主要通过设备选型</w:t>
            </w:r>
            <w:r>
              <w:rPr>
                <w:rFonts w:hint="default" w:ascii="Times New Roman" w:hAnsi="Times New Roman" w:eastAsia="宋体" w:cs="Times New Roman"/>
                <w:b w:val="0"/>
                <w:bCs w:val="0"/>
                <w:color w:val="000000"/>
                <w:sz w:val="24"/>
                <w:szCs w:val="24"/>
                <w:highlight w:val="none"/>
                <w:lang w:eastAsia="zh-CN"/>
              </w:rPr>
              <w:t>、</w:t>
            </w:r>
            <w:r>
              <w:rPr>
                <w:rFonts w:hint="default" w:ascii="Times New Roman" w:hAnsi="Times New Roman" w:eastAsia="宋体" w:cs="Times New Roman"/>
                <w:b w:val="0"/>
                <w:bCs w:val="0"/>
                <w:color w:val="000000"/>
                <w:sz w:val="24"/>
                <w:szCs w:val="24"/>
                <w:highlight w:val="none"/>
              </w:rPr>
              <w:t>加强设备日常维护，并按班次记录用电量等参数的监测计划，作为生产绩效考核指标，严格日常管理，使其保存良好使用状态等管理方式进行减排。</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rPr>
            </w:pPr>
            <w:r>
              <w:rPr>
                <w:rFonts w:hint="default" w:ascii="Times New Roman" w:hAnsi="Times New Roman" w:eastAsia="宋体" w:cs="Times New Roman"/>
                <w:b w:val="0"/>
                <w:bCs w:val="0"/>
                <w:color w:val="000000"/>
                <w:sz w:val="24"/>
                <w:szCs w:val="24"/>
                <w:highlight w:val="none"/>
                <w:lang w:val="en-US" w:eastAsia="zh-CN"/>
              </w:rPr>
              <w:t>6、</w:t>
            </w:r>
            <w:r>
              <w:rPr>
                <w:rFonts w:hint="default" w:ascii="Times New Roman" w:hAnsi="Times New Roman" w:eastAsia="宋体" w:cs="Times New Roman"/>
                <w:b w:val="0"/>
                <w:bCs w:val="0"/>
                <w:color w:val="000000"/>
                <w:sz w:val="24"/>
                <w:szCs w:val="24"/>
                <w:highlight w:val="none"/>
              </w:rPr>
              <w:t>碳排放环境影响评价结论</w:t>
            </w:r>
          </w:p>
          <w:p>
            <w:pPr>
              <w:keepNext w:val="0"/>
              <w:keepLines w:val="0"/>
              <w:pageBreakBefore w:val="0"/>
              <w:widowControl w:val="0"/>
              <w:kinsoku/>
              <w:wordWrap/>
              <w:overflowPunct/>
              <w:topLinePunct w:val="0"/>
              <w:autoSpaceDE/>
              <w:autoSpaceDN/>
              <w:bidi w:val="0"/>
              <w:adjustRightInd w:val="0"/>
              <w:snapToGrid w:val="0"/>
              <w:spacing w:line="460" w:lineRule="exact"/>
              <w:ind w:firstLine="480" w:firstLineChars="200"/>
              <w:jc w:val="left"/>
              <w:textAlignment w:val="auto"/>
              <w:rPr>
                <w:rFonts w:hint="default" w:ascii="Times New Roman" w:hAnsi="Times New Roman" w:eastAsia="宋体" w:cs="Times New Roman"/>
                <w:bCs/>
                <w:color w:val="000000"/>
                <w:sz w:val="24"/>
                <w:szCs w:val="24"/>
                <w:highlight w:val="none"/>
              </w:rPr>
            </w:pPr>
            <w:r>
              <w:rPr>
                <w:rFonts w:hint="default" w:ascii="Times New Roman" w:hAnsi="Times New Roman" w:eastAsia="宋体" w:cs="Times New Roman"/>
                <w:b w:val="0"/>
                <w:bCs w:val="0"/>
                <w:color w:val="000000"/>
                <w:sz w:val="24"/>
                <w:szCs w:val="24"/>
                <w:highlight w:val="none"/>
              </w:rPr>
              <w:t>项目建设符合碳排放相关政策</w:t>
            </w:r>
            <w:r>
              <w:rPr>
                <w:rFonts w:hint="default" w:ascii="Times New Roman" w:hAnsi="Times New Roman" w:eastAsia="宋体" w:cs="Times New Roman"/>
                <w:bCs/>
                <w:color w:val="000000"/>
                <w:sz w:val="24"/>
                <w:szCs w:val="24"/>
                <w:highlight w:val="none"/>
              </w:rPr>
              <w:t>要求，在</w:t>
            </w:r>
            <w:r>
              <w:rPr>
                <w:rFonts w:hint="default" w:ascii="Times New Roman" w:hAnsi="Times New Roman" w:eastAsia="宋体" w:cs="Times New Roman"/>
                <w:bCs/>
                <w:color w:val="000000"/>
                <w:sz w:val="24"/>
                <w:szCs w:val="24"/>
                <w:highlight w:val="none"/>
                <w:lang w:eastAsia="zh-CN"/>
              </w:rPr>
              <w:t>耗电设备</w:t>
            </w:r>
            <w:r>
              <w:rPr>
                <w:rFonts w:hint="default" w:ascii="Times New Roman" w:hAnsi="Times New Roman" w:eastAsia="宋体" w:cs="Times New Roman"/>
                <w:bCs/>
                <w:color w:val="000000"/>
                <w:sz w:val="24"/>
                <w:szCs w:val="24"/>
                <w:highlight w:val="none"/>
              </w:rPr>
              <w:t>等方面落实减排理念，并通过加强日常管理，逐步降低碳排放水平。</w:t>
            </w:r>
          </w:p>
          <w:p>
            <w:pPr>
              <w:keepNext w:val="0"/>
              <w:keepLines w:val="0"/>
              <w:pageBreakBefore w:val="0"/>
              <w:widowControl w:val="0"/>
              <w:tabs>
                <w:tab w:val="left" w:pos="1440"/>
                <w:tab w:val="left" w:pos="1800"/>
              </w:tabs>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bCs/>
                <w:color w:val="000000"/>
                <w:sz w:val="24"/>
                <w:szCs w:val="24"/>
                <w:highlight w:val="none"/>
                <w:lang w:eastAsia="zh-CN"/>
              </w:rPr>
            </w:pPr>
            <w:r>
              <w:rPr>
                <w:rFonts w:hint="default" w:ascii="Times New Roman" w:hAnsi="Times New Roman" w:eastAsia="宋体" w:cs="Times New Roman"/>
                <w:bCs/>
                <w:color w:val="000000"/>
                <w:sz w:val="24"/>
                <w:szCs w:val="24"/>
                <w:highlight w:val="none"/>
                <w:lang w:eastAsia="zh-CN"/>
              </w:rPr>
              <w:t>综合分析，项目建设符合碳排放管理要求。</w:t>
            </w:r>
          </w:p>
          <w:p>
            <w:pPr>
              <w:spacing w:line="360" w:lineRule="auto"/>
              <w:rPr>
                <w:rFonts w:hint="default" w:ascii="Times New Roman" w:hAnsi="Times New Roman" w:eastAsia="宋体" w:cs="Times New Roman"/>
                <w:b/>
                <w:bCs/>
                <w:color w:val="000000"/>
                <w:sz w:val="24"/>
                <w:szCs w:val="24"/>
                <w:highlight w:val="none"/>
                <w:lang w:val="en-US" w:eastAsia="zh-CN"/>
              </w:rPr>
            </w:pPr>
            <w:r>
              <w:rPr>
                <w:rFonts w:hint="default" w:ascii="Times New Roman" w:hAnsi="Times New Roman" w:cs="Times New Roman"/>
                <w:b/>
                <w:bCs/>
                <w:color w:val="000000"/>
                <w:sz w:val="24"/>
                <w:szCs w:val="24"/>
                <w:highlight w:val="none"/>
                <w:lang w:val="en-US" w:eastAsia="zh-CN"/>
              </w:rPr>
              <w:t>八</w:t>
            </w:r>
            <w:r>
              <w:rPr>
                <w:rFonts w:hint="default" w:ascii="Times New Roman" w:hAnsi="Times New Roman" w:eastAsia="宋体" w:cs="Times New Roman"/>
                <w:b/>
                <w:bCs/>
                <w:color w:val="000000"/>
                <w:sz w:val="24"/>
                <w:szCs w:val="24"/>
                <w:highlight w:val="none"/>
                <w:lang w:val="en-US" w:eastAsia="zh-CN"/>
              </w:rPr>
              <w:t>、排污口规范化</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根据原国家环保总局下发《关于开展排放口规范化整治工作的通知》（环发[1999]24号）的要求，各废气、废水、固废、噪声等排放口需要进行规范化。</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（1）污染源排放口要遵循便于采集样品、便于监测计量、便于日常监督管理的原则，严格按排放口规范化整治要求进行。</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（2）污染源排放口必须按照国家颁布的有关污染物强制性排放标准的要求，监测点位处设置监测平台，设置排放口标志牌。</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3）建立规范化排污口档案，内容包括排污单位名称，排污口性质及编号，排污口的地理位置（GPS定位经纬度），排污口所排放的主要污染物种类、数量、浓度及排放去向，立标情况，设施运行及日常现场监督检查记录等有关资料和记录，同时上报抚宁区分局建档以便统一管理。</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（4）各排放口设置标志牌如下：</w:t>
            </w:r>
          </w:p>
          <w:p>
            <w:pPr>
              <w:pStyle w:val="5"/>
              <w:spacing w:line="240" w:lineRule="auto"/>
              <w:ind w:firstLine="482" w:firstLineChars="200"/>
              <w:jc w:val="center"/>
              <w:rPr>
                <w:rFonts w:hint="default" w:ascii="Times New Roman" w:hAnsi="Times New Roman" w:eastAsia="宋体" w:cs="Times New Roman"/>
                <w:b/>
                <w:bCs w:val="0"/>
                <w:color w:val="000000"/>
                <w:kern w:val="2"/>
                <w:sz w:val="24"/>
                <w:szCs w:val="24"/>
                <w:highlight w:val="none"/>
                <w:lang w:val="en-US" w:eastAsia="zh-CN" w:bidi="ar-SA"/>
              </w:rPr>
            </w:pPr>
            <w:r>
              <w:rPr>
                <w:rFonts w:hint="default" w:ascii="Times New Roman" w:hAnsi="Times New Roman" w:eastAsia="宋体" w:cs="Times New Roman"/>
                <w:b/>
                <w:bCs w:val="0"/>
                <w:color w:val="000000"/>
                <w:kern w:val="2"/>
                <w:sz w:val="24"/>
                <w:szCs w:val="24"/>
                <w:highlight w:val="none"/>
                <w:lang w:val="en-US" w:eastAsia="zh-CN" w:bidi="ar-SA"/>
              </w:rPr>
              <w:t>表4-1</w:t>
            </w:r>
            <w:r>
              <w:rPr>
                <w:rFonts w:hint="default" w:ascii="Times New Roman" w:hAnsi="Times New Roman" w:cs="Times New Roman"/>
                <w:b/>
                <w:bCs w:val="0"/>
                <w:color w:val="000000"/>
                <w:kern w:val="2"/>
                <w:sz w:val="24"/>
                <w:szCs w:val="24"/>
                <w:highlight w:val="none"/>
                <w:lang w:val="en-US" w:eastAsia="zh-CN" w:bidi="ar-SA"/>
              </w:rPr>
              <w:t>8</w:t>
            </w:r>
            <w:r>
              <w:rPr>
                <w:rFonts w:hint="default" w:ascii="Times New Roman" w:hAnsi="Times New Roman" w:eastAsia="宋体" w:cs="Times New Roman"/>
                <w:b/>
                <w:bCs w:val="0"/>
                <w:color w:val="000000"/>
                <w:kern w:val="2"/>
                <w:sz w:val="24"/>
                <w:szCs w:val="24"/>
                <w:highlight w:val="none"/>
                <w:lang w:val="en-US" w:eastAsia="zh-CN" w:bidi="ar-SA"/>
              </w:rPr>
              <w:t xml:space="preserve">  环境保护图形标志的形状及颜色表</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978"/>
              <w:gridCol w:w="2367"/>
              <w:gridCol w:w="1977"/>
              <w:gridCol w:w="1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20" w:hRule="atLeast"/>
                <w:jc w:val="center"/>
              </w:trPr>
              <w:tc>
                <w:tcPr>
                  <w:tcW w:w="1998"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标志名称</w:t>
                  </w:r>
                </w:p>
              </w:tc>
              <w:tc>
                <w:tcPr>
                  <w:tcW w:w="2392"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形状</w:t>
                  </w:r>
                </w:p>
              </w:tc>
              <w:tc>
                <w:tcPr>
                  <w:tcW w:w="199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背景颜色</w:t>
                  </w:r>
                </w:p>
              </w:tc>
              <w:tc>
                <w:tcPr>
                  <w:tcW w:w="199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图形颜色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90" w:hRule="atLeast"/>
                <w:jc w:val="center"/>
              </w:trPr>
              <w:tc>
                <w:tcPr>
                  <w:tcW w:w="1998"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警告标志</w:t>
                  </w:r>
                </w:p>
              </w:tc>
              <w:tc>
                <w:tcPr>
                  <w:tcW w:w="2392"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三角形边框</w:t>
                  </w:r>
                </w:p>
              </w:tc>
              <w:tc>
                <w:tcPr>
                  <w:tcW w:w="199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黄色</w:t>
                  </w:r>
                </w:p>
              </w:tc>
              <w:tc>
                <w:tcPr>
                  <w:tcW w:w="199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黑色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70" w:hRule="atLeast"/>
                <w:jc w:val="center"/>
              </w:trPr>
              <w:tc>
                <w:tcPr>
                  <w:tcW w:w="1998"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提示标志</w:t>
                  </w:r>
                </w:p>
              </w:tc>
              <w:tc>
                <w:tcPr>
                  <w:tcW w:w="2392"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正方形边框</w:t>
                  </w:r>
                </w:p>
              </w:tc>
              <w:tc>
                <w:tcPr>
                  <w:tcW w:w="199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绿色</w:t>
                  </w:r>
                </w:p>
              </w:tc>
              <w:tc>
                <w:tcPr>
                  <w:tcW w:w="199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textAlignment w:val="auto"/>
                    <w:rPr>
                      <w:rFonts w:hint="default" w:ascii="Times New Roman" w:hAnsi="Times New Roman" w:cs="Times New Roman"/>
                      <w:bCs/>
                      <w:snapToGrid w:val="0"/>
                      <w:color w:val="000000"/>
                      <w:kern w:val="0"/>
                      <w:sz w:val="21"/>
                      <w:szCs w:val="21"/>
                      <w:highlight w:val="none"/>
                      <w:lang w:eastAsia="zh-CN"/>
                    </w:rPr>
                  </w:pPr>
                  <w:r>
                    <w:rPr>
                      <w:rFonts w:hint="default" w:ascii="Times New Roman" w:hAnsi="Times New Roman" w:cs="Times New Roman"/>
                      <w:bCs/>
                      <w:snapToGrid w:val="0"/>
                      <w:color w:val="000000"/>
                      <w:kern w:val="0"/>
                      <w:sz w:val="21"/>
                      <w:szCs w:val="21"/>
                      <w:highlight w:val="none"/>
                      <w:lang w:eastAsia="zh-CN"/>
                    </w:rPr>
                    <w:t>白色</w:t>
                  </w:r>
                </w:p>
              </w:tc>
            </w:tr>
          </w:tbl>
          <w:p>
            <w:pPr>
              <w:pStyle w:val="5"/>
              <w:spacing w:line="240" w:lineRule="auto"/>
              <w:ind w:firstLine="482" w:firstLineChars="200"/>
              <w:jc w:val="center"/>
              <w:rPr>
                <w:rFonts w:hint="default" w:ascii="Times New Roman" w:hAnsi="Times New Roman" w:eastAsia="宋体" w:cs="Times New Roman"/>
                <w:b/>
                <w:bCs w:val="0"/>
                <w:color w:val="000000"/>
                <w:kern w:val="2"/>
                <w:sz w:val="24"/>
                <w:szCs w:val="24"/>
                <w:highlight w:val="none"/>
                <w:lang w:val="en-US" w:eastAsia="zh-CN" w:bidi="ar-SA"/>
              </w:rPr>
            </w:pPr>
            <w:r>
              <w:rPr>
                <w:rFonts w:hint="default" w:ascii="Times New Roman" w:hAnsi="Times New Roman" w:eastAsia="宋体" w:cs="Times New Roman"/>
                <w:b/>
                <w:bCs w:val="0"/>
                <w:color w:val="000000"/>
                <w:kern w:val="2"/>
                <w:sz w:val="24"/>
                <w:szCs w:val="24"/>
                <w:highlight w:val="none"/>
                <w:lang w:val="en-US" w:eastAsia="zh-CN" w:bidi="ar-SA"/>
              </w:rPr>
              <w:t>表4-1</w:t>
            </w:r>
            <w:r>
              <w:rPr>
                <w:rFonts w:hint="default" w:ascii="Times New Roman" w:hAnsi="Times New Roman" w:cs="Times New Roman"/>
                <w:b/>
                <w:bCs w:val="0"/>
                <w:color w:val="000000"/>
                <w:kern w:val="2"/>
                <w:sz w:val="24"/>
                <w:szCs w:val="24"/>
                <w:highlight w:val="none"/>
                <w:lang w:val="en-US" w:eastAsia="zh-CN" w:bidi="ar-SA"/>
              </w:rPr>
              <w:t>9</w:t>
            </w:r>
            <w:r>
              <w:rPr>
                <w:rFonts w:hint="default" w:ascii="Times New Roman" w:hAnsi="Times New Roman" w:eastAsia="宋体" w:cs="Times New Roman"/>
                <w:b/>
                <w:bCs w:val="0"/>
                <w:color w:val="000000"/>
                <w:kern w:val="2"/>
                <w:sz w:val="24"/>
                <w:szCs w:val="24"/>
                <w:highlight w:val="none"/>
                <w:lang w:val="en-US" w:eastAsia="zh-CN" w:bidi="ar-SA"/>
              </w:rPr>
              <w:t xml:space="preserve">   环境保护图形符号一览表</w:t>
            </w:r>
          </w:p>
          <w:tbl>
            <w:tblPr>
              <w:tblStyle w:val="32"/>
              <w:tblpPr w:leftFromText="180" w:rightFromText="180" w:vertAnchor="text" w:horzAnchor="page" w:tblpX="126" w:tblpY="92"/>
              <w:tblOverlap w:val="never"/>
              <w:tblW w:w="5000"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57" w:type="dxa"/>
                <w:left w:w="108" w:type="dxa"/>
                <w:bottom w:w="0" w:type="dxa"/>
                <w:right w:w="108" w:type="dxa"/>
              </w:tblCellMar>
            </w:tblPr>
            <w:tblGrid>
              <w:gridCol w:w="1507"/>
              <w:gridCol w:w="1165"/>
              <w:gridCol w:w="2300"/>
              <w:gridCol w:w="3327"/>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57" w:type="dxa"/>
                  <w:left w:w="108" w:type="dxa"/>
                  <w:bottom w:w="0" w:type="dxa"/>
                  <w:right w:w="108" w:type="dxa"/>
                </w:tblCellMar>
              </w:tblPrEx>
              <w:trPr>
                <w:trHeight w:val="289" w:hRule="atLeast"/>
              </w:trPr>
              <w:tc>
                <w:tcPr>
                  <w:tcW w:w="1524"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排放口名称</w:t>
                  </w:r>
                </w:p>
              </w:tc>
              <w:tc>
                <w:tcPr>
                  <w:tcW w:w="117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编号示例</w:t>
                  </w:r>
                </w:p>
              </w:tc>
              <w:tc>
                <w:tcPr>
                  <w:tcW w:w="2330"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图形标志</w:t>
                  </w:r>
                </w:p>
              </w:tc>
              <w:tc>
                <w:tcPr>
                  <w:tcW w:w="3373"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要求</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57" w:type="dxa"/>
                  <w:left w:w="108" w:type="dxa"/>
                  <w:bottom w:w="0" w:type="dxa"/>
                  <w:right w:w="108" w:type="dxa"/>
                </w:tblCellMar>
              </w:tblPrEx>
              <w:trPr>
                <w:trHeight w:val="1041" w:hRule="atLeast"/>
              </w:trPr>
              <w:tc>
                <w:tcPr>
                  <w:tcW w:w="1524"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eastAsia="宋体" w:cs="Times New Roman"/>
                      <w:bCs/>
                      <w:snapToGrid w:val="0"/>
                      <w:color w:val="000000"/>
                      <w:kern w:val="0"/>
                      <w:sz w:val="21"/>
                      <w:szCs w:val="21"/>
                      <w:highlight w:val="none"/>
                      <w:lang w:val="en-US" w:eastAsia="zh-CN" w:bidi="ar-SA"/>
                    </w:rPr>
                  </w:pPr>
                  <w:r>
                    <w:rPr>
                      <w:rFonts w:hint="default" w:ascii="Times New Roman" w:hAnsi="Times New Roman" w:cs="Times New Roman"/>
                      <w:bCs/>
                      <w:snapToGrid w:val="0"/>
                      <w:color w:val="000000"/>
                      <w:kern w:val="0"/>
                      <w:sz w:val="21"/>
                      <w:szCs w:val="21"/>
                      <w:highlight w:val="none"/>
                      <w:lang w:val="en-US" w:eastAsia="zh-CN"/>
                    </w:rPr>
                    <w:t>废气排放口</w:t>
                  </w:r>
                </w:p>
              </w:tc>
              <w:tc>
                <w:tcPr>
                  <w:tcW w:w="117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eastAsia="宋体" w:cs="Times New Roman"/>
                      <w:bCs/>
                      <w:snapToGrid w:val="0"/>
                      <w:color w:val="000000"/>
                      <w:kern w:val="0"/>
                      <w:sz w:val="21"/>
                      <w:szCs w:val="21"/>
                      <w:highlight w:val="none"/>
                      <w:lang w:val="en-US" w:eastAsia="zh-CN" w:bidi="ar-SA"/>
                    </w:rPr>
                  </w:pPr>
                  <w:r>
                    <w:rPr>
                      <w:rFonts w:hint="default" w:ascii="Times New Roman" w:hAnsi="Times New Roman" w:cs="Times New Roman"/>
                      <w:bCs/>
                      <w:snapToGrid w:val="0"/>
                      <w:color w:val="000000"/>
                      <w:kern w:val="0"/>
                      <w:sz w:val="21"/>
                      <w:szCs w:val="21"/>
                      <w:highlight w:val="none"/>
                      <w:lang w:val="en-US" w:eastAsia="zh-CN"/>
                    </w:rPr>
                    <w:t>FQ-01</w:t>
                  </w:r>
                </w:p>
              </w:tc>
              <w:tc>
                <w:tcPr>
                  <w:tcW w:w="2330"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lang w:val="en-US" w:eastAsia="zh-CN" w:bidi="ar-SA"/>
                    </w:rPr>
                  </w:pPr>
                  <w:r>
                    <w:rPr>
                      <w:rFonts w:hint="default" w:ascii="Times New Roman" w:hAnsi="Times New Roman" w:cs="Times New Roman"/>
                      <w:color w:val="000000"/>
                      <w:sz w:val="21"/>
                      <w:szCs w:val="21"/>
                      <w:highlight w:val="none"/>
                    </w:rPr>
                    <w:drawing>
                      <wp:inline distT="0" distB="0" distL="114300" distR="114300">
                        <wp:extent cx="812165" cy="701040"/>
                        <wp:effectExtent l="0" t="0" r="6985" b="3810"/>
                        <wp:docPr id="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
                                <pic:cNvPicPr>
                                  <a:picLocks noChangeAspect="1"/>
                                </pic:cNvPicPr>
                              </pic:nvPicPr>
                              <pic:blipFill>
                                <a:blip r:embed="rId14"/>
                                <a:stretch>
                                  <a:fillRect/>
                                </a:stretch>
                              </pic:blipFill>
                              <pic:spPr>
                                <a:xfrm>
                                  <a:off x="0" y="0"/>
                                  <a:ext cx="812165" cy="701040"/>
                                </a:xfrm>
                                <a:prstGeom prst="rect">
                                  <a:avLst/>
                                </a:prstGeom>
                                <a:noFill/>
                                <a:ln>
                                  <a:noFill/>
                                </a:ln>
                              </pic:spPr>
                            </pic:pic>
                          </a:graphicData>
                        </a:graphic>
                      </wp:inline>
                    </w:drawing>
                  </w:r>
                </w:p>
              </w:tc>
              <w:tc>
                <w:tcPr>
                  <w:tcW w:w="3373" w:type="dxa"/>
                  <w:vMerge w:val="restart"/>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辅助标志内容：</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（1）排放口标志名称；</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（2）单位名称；</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（3）编号；</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（4）污染物种类。</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辅助标志字型：黑体字</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标志牌尺寸：</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（1）提示标志：480×300mm；</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jc w:val="left"/>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（2）警告标志：边长420mm</w:t>
                  </w:r>
                </w:p>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标志牌材料：1.5mm-2mm冷轧钢板，表面采用搪瓷或反光贴膜</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57" w:type="dxa"/>
                  <w:left w:w="108" w:type="dxa"/>
                  <w:bottom w:w="0" w:type="dxa"/>
                  <w:right w:w="108" w:type="dxa"/>
                </w:tblCellMar>
              </w:tblPrEx>
              <w:trPr>
                <w:trHeight w:val="1041" w:hRule="atLeast"/>
              </w:trPr>
              <w:tc>
                <w:tcPr>
                  <w:tcW w:w="1524"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auto"/>
                    <w:ind w:firstLine="0" w:firstLineChars="0"/>
                    <w:textAlignment w:val="auto"/>
                    <w:rPr>
                      <w:rFonts w:hint="default" w:ascii="Times New Roman" w:hAnsi="Times New Roman" w:cs="Times New Roman"/>
                      <w:bCs/>
                      <w:snapToGrid w:val="0"/>
                      <w:color w:val="000000"/>
                      <w:kern w:val="0"/>
                      <w:sz w:val="21"/>
                      <w:szCs w:val="21"/>
                      <w:highlight w:val="none"/>
                      <w:lang w:val="en-US" w:eastAsia="zh-CN"/>
                    </w:rPr>
                  </w:pPr>
                  <w:r>
                    <w:rPr>
                      <w:rFonts w:hint="default" w:ascii="Times New Roman" w:hAnsi="Times New Roman" w:cs="Times New Roman"/>
                      <w:bCs/>
                      <w:snapToGrid w:val="0"/>
                      <w:color w:val="000000"/>
                      <w:kern w:val="0"/>
                      <w:sz w:val="21"/>
                      <w:szCs w:val="21"/>
                      <w:highlight w:val="none"/>
                    </w:rPr>
                    <w:t>废水排放口</w:t>
                  </w:r>
                </w:p>
              </w:tc>
              <w:tc>
                <w:tcPr>
                  <w:tcW w:w="117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auto"/>
                    <w:ind w:firstLine="0" w:firstLineChars="0"/>
                    <w:textAlignment w:val="auto"/>
                    <w:rPr>
                      <w:rFonts w:hint="default" w:ascii="Times New Roman" w:hAnsi="Times New Roman" w:cs="Times New Roman"/>
                      <w:bCs/>
                      <w:snapToGrid w:val="0"/>
                      <w:color w:val="000000"/>
                      <w:kern w:val="0"/>
                      <w:sz w:val="21"/>
                      <w:szCs w:val="21"/>
                      <w:highlight w:val="none"/>
                      <w:lang w:val="en-US" w:eastAsia="zh-CN"/>
                    </w:rPr>
                  </w:pPr>
                  <w:r>
                    <w:rPr>
                      <w:rFonts w:hint="default" w:ascii="Times New Roman" w:hAnsi="Times New Roman" w:cs="Times New Roman"/>
                      <w:bCs/>
                      <w:snapToGrid w:val="0"/>
                      <w:color w:val="000000"/>
                      <w:kern w:val="0"/>
                      <w:sz w:val="21"/>
                      <w:szCs w:val="21"/>
                      <w:highlight w:val="none"/>
                    </w:rPr>
                    <w:t>FS-01</w:t>
                  </w:r>
                </w:p>
              </w:tc>
              <w:tc>
                <w:tcPr>
                  <w:tcW w:w="2330"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before="0" w:beforeLines="0" w:after="0" w:afterLines="0" w:line="240" w:lineRule="auto"/>
                    <w:ind w:firstLine="0" w:firstLineChars="0"/>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drawing>
                      <wp:inline distT="0" distB="0" distL="114300" distR="114300">
                        <wp:extent cx="805815" cy="770890"/>
                        <wp:effectExtent l="0" t="0" r="13335" b="1016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15"/>
                                <a:stretch>
                                  <a:fillRect/>
                                </a:stretch>
                              </pic:blipFill>
                              <pic:spPr>
                                <a:xfrm>
                                  <a:off x="0" y="0"/>
                                  <a:ext cx="805815" cy="770890"/>
                                </a:xfrm>
                                <a:prstGeom prst="rect">
                                  <a:avLst/>
                                </a:prstGeom>
                                <a:noFill/>
                                <a:ln>
                                  <a:noFill/>
                                </a:ln>
                              </pic:spPr>
                            </pic:pic>
                          </a:graphicData>
                        </a:graphic>
                      </wp:inline>
                    </w:drawing>
                  </w:r>
                </w:p>
              </w:tc>
              <w:tc>
                <w:tcPr>
                  <w:tcW w:w="3373" w:type="dxa"/>
                  <w:vMerge w:val="continue"/>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57" w:type="dxa"/>
                  <w:left w:w="108" w:type="dxa"/>
                  <w:bottom w:w="0" w:type="dxa"/>
                  <w:right w:w="108" w:type="dxa"/>
                </w:tblCellMar>
              </w:tblPrEx>
              <w:trPr>
                <w:trHeight w:val="340" w:hRule="atLeast"/>
              </w:trPr>
              <w:tc>
                <w:tcPr>
                  <w:tcW w:w="1524"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lang w:val="en-US" w:eastAsia="zh-CN" w:bidi="ar-SA"/>
                    </w:rPr>
                  </w:pPr>
                  <w:r>
                    <w:rPr>
                      <w:rFonts w:hint="default" w:ascii="Times New Roman" w:hAnsi="Times New Roman" w:cs="Times New Roman"/>
                      <w:bCs/>
                      <w:snapToGrid w:val="0"/>
                      <w:color w:val="000000"/>
                      <w:kern w:val="0"/>
                      <w:sz w:val="21"/>
                      <w:szCs w:val="21"/>
                      <w:highlight w:val="none"/>
                    </w:rPr>
                    <w:t>噪声</w:t>
                  </w:r>
                  <w:r>
                    <w:rPr>
                      <w:rFonts w:hint="default" w:ascii="Times New Roman" w:hAnsi="Times New Roman" w:cs="Times New Roman"/>
                      <w:bCs/>
                      <w:snapToGrid w:val="0"/>
                      <w:color w:val="000000"/>
                      <w:kern w:val="0"/>
                      <w:sz w:val="21"/>
                      <w:szCs w:val="21"/>
                      <w:highlight w:val="none"/>
                      <w:lang w:eastAsia="zh-CN"/>
                    </w:rPr>
                    <w:t>排放</w:t>
                  </w:r>
                  <w:r>
                    <w:rPr>
                      <w:rFonts w:hint="default" w:ascii="Times New Roman" w:hAnsi="Times New Roman" w:cs="Times New Roman"/>
                      <w:bCs/>
                      <w:snapToGrid w:val="0"/>
                      <w:color w:val="000000"/>
                      <w:kern w:val="0"/>
                      <w:sz w:val="21"/>
                      <w:szCs w:val="21"/>
                      <w:highlight w:val="none"/>
                    </w:rPr>
                    <w:t>源</w:t>
                  </w:r>
                </w:p>
              </w:tc>
              <w:tc>
                <w:tcPr>
                  <w:tcW w:w="117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lang w:val="en-US" w:eastAsia="zh-CN" w:bidi="ar-SA"/>
                    </w:rPr>
                  </w:pPr>
                  <w:r>
                    <w:rPr>
                      <w:rFonts w:hint="default" w:ascii="Times New Roman" w:hAnsi="Times New Roman" w:cs="Times New Roman"/>
                      <w:bCs/>
                      <w:snapToGrid w:val="0"/>
                      <w:color w:val="000000"/>
                      <w:kern w:val="0"/>
                      <w:sz w:val="21"/>
                      <w:szCs w:val="21"/>
                      <w:highlight w:val="none"/>
                    </w:rPr>
                    <w:t>ZS-01</w:t>
                  </w:r>
                </w:p>
              </w:tc>
              <w:tc>
                <w:tcPr>
                  <w:tcW w:w="2330"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lang w:val="en-US" w:eastAsia="zh-CN" w:bidi="ar-SA"/>
                    </w:rPr>
                  </w:pPr>
                  <w:r>
                    <w:rPr>
                      <w:rFonts w:hint="default" w:ascii="Times New Roman" w:hAnsi="Times New Roman" w:cs="Times New Roman"/>
                      <w:bCs/>
                      <w:snapToGrid w:val="0"/>
                      <w:color w:val="000000"/>
                      <w:kern w:val="0"/>
                      <w:sz w:val="21"/>
                      <w:szCs w:val="21"/>
                      <w:highlight w:val="none"/>
                      <w:u w:val="none"/>
                    </w:rPr>
                    <w:drawing>
                      <wp:inline distT="0" distB="0" distL="114300" distR="114300">
                        <wp:extent cx="825500" cy="825500"/>
                        <wp:effectExtent l="0" t="0" r="12700" b="12700"/>
                        <wp:docPr id="23" name="图片 2">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17"/>
                                <a:stretch>
                                  <a:fillRect/>
                                </a:stretch>
                              </pic:blipFill>
                              <pic:spPr>
                                <a:xfrm>
                                  <a:off x="0" y="0"/>
                                  <a:ext cx="825500" cy="825500"/>
                                </a:xfrm>
                                <a:prstGeom prst="rect">
                                  <a:avLst/>
                                </a:prstGeom>
                                <a:noFill/>
                                <a:ln>
                                  <a:noFill/>
                                </a:ln>
                              </pic:spPr>
                            </pic:pic>
                          </a:graphicData>
                        </a:graphic>
                      </wp:inline>
                    </w:drawing>
                  </w:r>
                </w:p>
              </w:tc>
              <w:tc>
                <w:tcPr>
                  <w:tcW w:w="3373" w:type="dxa"/>
                  <w:vMerge w:val="continue"/>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57" w:type="dxa"/>
                  <w:left w:w="108" w:type="dxa"/>
                  <w:bottom w:w="0" w:type="dxa"/>
                  <w:right w:w="108" w:type="dxa"/>
                </w:tblCellMar>
              </w:tblPrEx>
              <w:trPr>
                <w:trHeight w:val="915" w:hRule="atLeast"/>
              </w:trPr>
              <w:tc>
                <w:tcPr>
                  <w:tcW w:w="1524"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一般固体废物</w:t>
                  </w:r>
                </w:p>
              </w:tc>
              <w:tc>
                <w:tcPr>
                  <w:tcW w:w="1177"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r>
                    <w:rPr>
                      <w:rFonts w:hint="default" w:ascii="Times New Roman" w:hAnsi="Times New Roman" w:cs="Times New Roman"/>
                      <w:bCs/>
                      <w:snapToGrid w:val="0"/>
                      <w:color w:val="000000"/>
                      <w:kern w:val="0"/>
                      <w:sz w:val="21"/>
                      <w:szCs w:val="21"/>
                      <w:highlight w:val="none"/>
                    </w:rPr>
                    <w:t>GF-01</w:t>
                  </w:r>
                </w:p>
              </w:tc>
              <w:tc>
                <w:tcPr>
                  <w:tcW w:w="2330" w:type="dxa"/>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
                      <w:bCs w:val="0"/>
                      <w:snapToGrid w:val="0"/>
                      <w:color w:val="000000"/>
                      <w:kern w:val="0"/>
                      <w:sz w:val="21"/>
                      <w:szCs w:val="21"/>
                      <w:highlight w:val="none"/>
                    </w:rPr>
                  </w:pPr>
                  <w:r>
                    <w:rPr>
                      <w:rFonts w:hint="default" w:ascii="Times New Roman" w:hAnsi="Times New Roman" w:cs="Times New Roman"/>
                      <w:color w:val="000000"/>
                      <w:sz w:val="21"/>
                      <w:szCs w:val="21"/>
                      <w:highlight w:val="none"/>
                    </w:rPr>
                    <w:drawing>
                      <wp:inline distT="0" distB="0" distL="114300" distR="114300">
                        <wp:extent cx="812800" cy="793115"/>
                        <wp:effectExtent l="0" t="0" r="6350" b="6985"/>
                        <wp:docPr id="2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
                                <pic:cNvPicPr>
                                  <a:picLocks noChangeAspect="1"/>
                                </pic:cNvPicPr>
                              </pic:nvPicPr>
                              <pic:blipFill>
                                <a:blip r:embed="rId18"/>
                                <a:stretch>
                                  <a:fillRect/>
                                </a:stretch>
                              </pic:blipFill>
                              <pic:spPr>
                                <a:xfrm>
                                  <a:off x="0" y="0"/>
                                  <a:ext cx="812800" cy="793115"/>
                                </a:xfrm>
                                <a:prstGeom prst="rect">
                                  <a:avLst/>
                                </a:prstGeom>
                                <a:noFill/>
                                <a:ln>
                                  <a:noFill/>
                                </a:ln>
                              </pic:spPr>
                            </pic:pic>
                          </a:graphicData>
                        </a:graphic>
                      </wp:inline>
                    </w:drawing>
                  </w:r>
                </w:p>
              </w:tc>
              <w:tc>
                <w:tcPr>
                  <w:tcW w:w="3373" w:type="dxa"/>
                  <w:vMerge w:val="continue"/>
                  <w:noWrap w:val="0"/>
                  <w:vAlign w:val="center"/>
                </w:tcPr>
                <w:p>
                  <w:pPr>
                    <w:pStyle w:val="67"/>
                    <w:keepNext w:val="0"/>
                    <w:keepLines w:val="0"/>
                    <w:pageBreakBefore w:val="0"/>
                    <w:widowControl w:val="0"/>
                    <w:kinsoku/>
                    <w:wordWrap/>
                    <w:overflowPunct/>
                    <w:topLinePunct w:val="0"/>
                    <w:autoSpaceDE w:val="0"/>
                    <w:autoSpaceDN w:val="0"/>
                    <w:bidi w:val="0"/>
                    <w:adjustRightInd w:val="0"/>
                    <w:snapToGrid w:val="0"/>
                    <w:spacing w:line="240" w:lineRule="auto"/>
                    <w:ind w:firstLine="0"/>
                    <w:rPr>
                      <w:rFonts w:hint="default" w:ascii="Times New Roman" w:hAnsi="Times New Roman" w:cs="Times New Roman"/>
                      <w:bCs/>
                      <w:snapToGrid w:val="0"/>
                      <w:color w:val="000000"/>
                      <w:kern w:val="0"/>
                      <w:sz w:val="21"/>
                      <w:szCs w:val="21"/>
                      <w:highlight w:val="none"/>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（5）</w:t>
            </w:r>
            <w:bookmarkStart w:id="43" w:name="OLE_LINK191"/>
            <w:bookmarkStart w:id="44" w:name="OLE_LINK192"/>
            <w:r>
              <w:rPr>
                <w:rFonts w:hint="default" w:ascii="Times New Roman" w:hAnsi="Times New Roman" w:eastAsia="宋体" w:cs="Times New Roman"/>
                <w:b w:val="0"/>
                <w:bCs w:val="0"/>
                <w:color w:val="000000"/>
                <w:sz w:val="24"/>
                <w:szCs w:val="24"/>
                <w:highlight w:val="none"/>
                <w:lang w:val="en-US" w:eastAsia="zh-CN"/>
              </w:rPr>
              <w:t>危废</w:t>
            </w:r>
            <w:bookmarkEnd w:id="43"/>
            <w:bookmarkEnd w:id="44"/>
            <w:bookmarkStart w:id="45" w:name="OLE_LINK203"/>
            <w:bookmarkStart w:id="46" w:name="OLE_LINK204"/>
            <w:r>
              <w:rPr>
                <w:rFonts w:hint="default" w:ascii="Times New Roman" w:hAnsi="Times New Roman" w:eastAsia="宋体" w:cs="Times New Roman"/>
                <w:b w:val="0"/>
                <w:bCs w:val="0"/>
                <w:color w:val="000000"/>
                <w:sz w:val="24"/>
                <w:szCs w:val="24"/>
                <w:highlight w:val="none"/>
                <w:lang w:val="en-US" w:eastAsia="zh-CN"/>
              </w:rPr>
              <w:t>贮存点</w:t>
            </w:r>
            <w:bookmarkEnd w:id="45"/>
            <w:bookmarkEnd w:id="46"/>
            <w:r>
              <w:rPr>
                <w:rFonts w:hint="default" w:ascii="Times New Roman" w:hAnsi="Times New Roman" w:eastAsia="宋体" w:cs="Times New Roman"/>
                <w:b w:val="0"/>
                <w:bCs w:val="0"/>
                <w:color w:val="000000"/>
                <w:sz w:val="24"/>
                <w:szCs w:val="24"/>
                <w:highlight w:val="none"/>
                <w:lang w:val="en-US" w:eastAsia="zh-CN"/>
              </w:rPr>
              <w:t>标识要求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危废贮存点按照《危险废物识别标志设置技术规范》（HJ1276-2022）要求设置危险废物贮存设施或场所标志、危险废物贮存分区标志和危险废物标签等危险废物识别标志，具体如下：</w:t>
            </w:r>
          </w:p>
          <w:p>
            <w:pPr>
              <w:pStyle w:val="5"/>
              <w:spacing w:line="240" w:lineRule="auto"/>
              <w:ind w:firstLine="482" w:firstLineChars="200"/>
              <w:jc w:val="center"/>
              <w:rPr>
                <w:rFonts w:hint="default" w:ascii="Times New Roman" w:hAnsi="Times New Roman" w:eastAsia="宋体" w:cs="Times New Roman"/>
                <w:b/>
                <w:bCs w:val="0"/>
                <w:color w:val="000000"/>
                <w:kern w:val="2"/>
                <w:sz w:val="24"/>
                <w:szCs w:val="24"/>
                <w:highlight w:val="none"/>
                <w:lang w:val="en-US" w:eastAsia="zh-CN" w:bidi="ar-SA"/>
              </w:rPr>
            </w:pPr>
            <w:r>
              <w:rPr>
                <w:rFonts w:hint="default" w:ascii="Times New Roman" w:hAnsi="Times New Roman" w:eastAsia="宋体" w:cs="Times New Roman"/>
                <w:b/>
                <w:bCs w:val="0"/>
                <w:color w:val="000000"/>
                <w:kern w:val="2"/>
                <w:sz w:val="24"/>
                <w:szCs w:val="24"/>
                <w:highlight w:val="none"/>
                <w:lang w:val="en-US" w:eastAsia="zh-CN" w:bidi="ar-SA"/>
              </w:rPr>
              <w:t>表4-20危险废物贮存设施或场所标志、危险废物贮存分区标志和危险废物标签等危险废物识别标志示例</w:t>
            </w:r>
          </w:p>
          <w:tbl>
            <w:tblPr>
              <w:tblStyle w:val="3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8"/>
              <w:gridCol w:w="2400"/>
              <w:gridCol w:w="5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96"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场合</w:t>
                  </w:r>
                </w:p>
              </w:tc>
              <w:tc>
                <w:tcPr>
                  <w:tcW w:w="14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样式</w:t>
                  </w:r>
                </w:p>
              </w:tc>
              <w:tc>
                <w:tcPr>
                  <w:tcW w:w="315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危险废物贮存设施标志</w:t>
                  </w:r>
                </w:p>
              </w:tc>
              <w:tc>
                <w:tcPr>
                  <w:tcW w:w="14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szCs w:val="21"/>
                    </w:rPr>
                    <w:drawing>
                      <wp:inline distT="0" distB="0" distL="114300" distR="114300">
                        <wp:extent cx="1314450" cy="828675"/>
                        <wp:effectExtent l="0" t="0" r="0" b="9525"/>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9"/>
                                <a:stretch>
                                  <a:fillRect/>
                                </a:stretch>
                              </pic:blipFill>
                              <pic:spPr>
                                <a:xfrm>
                                  <a:off x="0" y="0"/>
                                  <a:ext cx="1314450" cy="828675"/>
                                </a:xfrm>
                                <a:prstGeom prst="rect">
                                  <a:avLst/>
                                </a:prstGeom>
                                <a:noFill/>
                                <a:ln>
                                  <a:noFill/>
                                </a:ln>
                              </pic:spPr>
                            </pic:pic>
                          </a:graphicData>
                        </a:graphic>
                      </wp:inline>
                    </w:drawing>
                  </w:r>
                </w:p>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或</w:t>
                  </w:r>
                </w:p>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szCs w:val="21"/>
                    </w:rPr>
                    <w:drawing>
                      <wp:inline distT="0" distB="0" distL="114300" distR="114300">
                        <wp:extent cx="828675" cy="1304925"/>
                        <wp:effectExtent l="0" t="0" r="9525" b="9525"/>
                        <wp:docPr id="1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
                                <pic:cNvPicPr>
                                  <a:picLocks noChangeAspect="1"/>
                                </pic:cNvPicPr>
                              </pic:nvPicPr>
                              <pic:blipFill>
                                <a:blip r:embed="rId20"/>
                                <a:stretch>
                                  <a:fillRect/>
                                </a:stretch>
                              </pic:blipFill>
                              <pic:spPr>
                                <a:xfrm>
                                  <a:off x="0" y="0"/>
                                  <a:ext cx="828675" cy="1304925"/>
                                </a:xfrm>
                                <a:prstGeom prst="rect">
                                  <a:avLst/>
                                </a:prstGeom>
                                <a:noFill/>
                                <a:ln>
                                  <a:noFill/>
                                </a:ln>
                              </pic:spPr>
                            </pic:pic>
                          </a:graphicData>
                        </a:graphic>
                      </wp:inline>
                    </w:drawing>
                  </w:r>
                </w:p>
              </w:tc>
              <w:tc>
                <w:tcPr>
                  <w:tcW w:w="315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1、位于建筑物内局部区域的危险废物贮存设施应在其区域边界或入口处显著位置设置相应的标志。</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2、危险废物贮存设施标志背景颜色为黄色，RGB颜色值为（255,255,0）。字体和边框颜色为黑色，RGB颜色值为（0,0,0）。</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3、危险废物贮存设施标志字体应采用黑体字，其中危险废物设施类型的字样应加粗放大并居中显示。</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4、危险废物贮存设施标志的尺寸宜根据其设置位置和对应的观察距离按照下表4-34中的要求设置：</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5、危险废物贮存、利用、处置设施标志的图形和文字应清晰、完整，保证在足够的观察距离条件下也不影响阅读。三角形警告性图形与其他信息间宜加黑色分界线区分，分界线的宽度宜不小于3 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危险废物贮存分区标志</w:t>
                  </w:r>
                </w:p>
              </w:tc>
              <w:tc>
                <w:tcPr>
                  <w:tcW w:w="14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szCs w:val="21"/>
                    </w:rPr>
                    <w:drawing>
                      <wp:inline distT="0" distB="0" distL="114300" distR="114300">
                        <wp:extent cx="1495425" cy="1257300"/>
                        <wp:effectExtent l="0" t="0" r="9525" b="0"/>
                        <wp:docPr id="1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4"/>
                                <pic:cNvPicPr>
                                  <a:picLocks noChangeAspect="1"/>
                                </pic:cNvPicPr>
                              </pic:nvPicPr>
                              <pic:blipFill>
                                <a:blip r:embed="rId21"/>
                                <a:stretch>
                                  <a:fillRect/>
                                </a:stretch>
                              </pic:blipFill>
                              <pic:spPr>
                                <a:xfrm>
                                  <a:off x="0" y="0"/>
                                  <a:ext cx="1495425" cy="1257300"/>
                                </a:xfrm>
                                <a:prstGeom prst="rect">
                                  <a:avLst/>
                                </a:prstGeom>
                                <a:noFill/>
                                <a:ln>
                                  <a:noFill/>
                                </a:ln>
                              </pic:spPr>
                            </pic:pic>
                          </a:graphicData>
                        </a:graphic>
                      </wp:inline>
                    </w:drawing>
                  </w:r>
                </w:p>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（仅为举例示意样式）</w:t>
                  </w:r>
                </w:p>
              </w:tc>
              <w:tc>
                <w:tcPr>
                  <w:tcW w:w="315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1、宜在危险废物贮存设施内的每一个贮存分区处设置危险废物贮存分区标志，危险废物贮存分区标志宜设置在该贮存分区前的通道位置或墙壁、栏杆等易于观察的位置。</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2、危险废物分区标志背景色应采用黄色，RGB 颜色值为（255,255,0）。废物种类信息应采用醒目的橘黄色，RGB颜色值为（255,150,0）。字体颜色为黑色，RGB颜色值为（0,0,0）；</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3、危险废物分区标志的字体宜采用黑体字，其中“危险废物贮存分区标志”字样应加粗放大并居中显示。</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4、危险废物贮存分区标志的尺寸宜根据对应的观察距离按照表4-35中的要求设置。</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5、危险废物贮存分区标志的图形和文字应清晰、完整，保证在足够的观察距离条件下不影响阅读。“危险废物贮存分区标志”字样与其他信息宜加黑色分界线区分，分界线的宽度不小于2mm。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6"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bCs/>
                      <w:szCs w:val="21"/>
                    </w:rPr>
                    <w:t>危险废物标签</w:t>
                  </w:r>
                </w:p>
              </w:tc>
              <w:tc>
                <w:tcPr>
                  <w:tcW w:w="1445"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center"/>
                    <w:rPr>
                      <w:rFonts w:hint="default" w:ascii="Times New Roman" w:hAnsi="Times New Roman" w:cs="Times New Roman"/>
                      <w:bCs/>
                      <w:szCs w:val="21"/>
                    </w:rPr>
                  </w:pPr>
                  <w:r>
                    <w:rPr>
                      <w:rFonts w:hint="default" w:ascii="Times New Roman" w:hAnsi="Times New Roman" w:cs="Times New Roman"/>
                      <w:szCs w:val="21"/>
                    </w:rPr>
                    <w:drawing>
                      <wp:inline distT="0" distB="0" distL="114300" distR="114300">
                        <wp:extent cx="1419225" cy="1409700"/>
                        <wp:effectExtent l="0" t="0" r="9525" b="0"/>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2"/>
                                <a:stretch>
                                  <a:fillRect/>
                                </a:stretch>
                              </pic:blipFill>
                              <pic:spPr>
                                <a:xfrm>
                                  <a:off x="0" y="0"/>
                                  <a:ext cx="1419225" cy="1409700"/>
                                </a:xfrm>
                                <a:prstGeom prst="rect">
                                  <a:avLst/>
                                </a:prstGeom>
                                <a:noFill/>
                                <a:ln>
                                  <a:noFill/>
                                </a:ln>
                              </pic:spPr>
                            </pic:pic>
                          </a:graphicData>
                        </a:graphic>
                      </wp:inline>
                    </w:drawing>
                  </w:r>
                </w:p>
              </w:tc>
              <w:tc>
                <w:tcPr>
                  <w:tcW w:w="315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1、危险废物标签的设置位置应明显可见且易读，不应被容器、包装物自身的任何部分或其他标签遮挡。危险废物标签在各种包装上的粘贴位置分别为:</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a）箱类包装：位于包装端面或侧面；</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b）袋类包装：位于包装明显处；</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c）桶类包装：位于桶身或桶盖；</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d）其他包装：位于明显处。</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容积超过450L的容器或包装物，应在相对的两面都设置危险废物标签。</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应按HJ1276-2022中第5.2条中的要求经标签填写完整。</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2、危险废物标签背景色应采用醒目的橘黄色，RGB颜色值为（255,150,0）。标签边框和字体颜色为黑色，RGB颜色值为（0,0,0）。</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3、危险废物标签字体宜采用黑体字，其中“危险废物”字样应加粗放大。</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4、危险废物标签的尺寸宜根据容器或包装物的容积按照表4-36中的要求设置。</w:t>
                  </w:r>
                </w:p>
                <w:p>
                  <w:pPr>
                    <w:adjustRightInd w:val="0"/>
                    <w:snapToGrid w:val="0"/>
                    <w:spacing w:line="240" w:lineRule="auto"/>
                    <w:ind w:firstLine="0" w:firstLineChars="0"/>
                    <w:jc w:val="left"/>
                    <w:rPr>
                      <w:rFonts w:hint="default" w:ascii="Times New Roman" w:hAnsi="Times New Roman" w:cs="Times New Roman"/>
                      <w:bCs/>
                      <w:szCs w:val="21"/>
                    </w:rPr>
                  </w:pPr>
                  <w:r>
                    <w:rPr>
                      <w:rFonts w:hint="default" w:ascii="Times New Roman" w:hAnsi="Times New Roman" w:cs="Times New Roman"/>
                      <w:bCs/>
                      <w:szCs w:val="21"/>
                    </w:rPr>
                    <w:t>5、危险废物标签印刷的油墨应均匀，图案和文字应清晰、完整。危险废物标签的文字边缘宜加黑色边框，边框宽度不小于1mm，边框外宜留不小于3mm的空白。</w:t>
                  </w:r>
                </w:p>
              </w:tc>
            </w:tr>
          </w:tbl>
          <w:p>
            <w:pPr>
              <w:rPr>
                <w:rFonts w:hint="default" w:ascii="Times New Roman" w:hAnsi="Times New Roman" w:eastAsia="宋体" w:cs="Times New Roman"/>
                <w:b/>
                <w:bCs w:val="0"/>
                <w:color w:val="000000"/>
                <w:kern w:val="2"/>
                <w:sz w:val="24"/>
                <w:szCs w:val="24"/>
                <w:highlight w:val="none"/>
                <w:lang w:val="en-US" w:eastAsia="zh-CN" w:bidi="ar-SA"/>
              </w:rPr>
            </w:pPr>
          </w:p>
          <w:p>
            <w:pPr>
              <w:pStyle w:val="2"/>
              <w:rPr>
                <w:rFonts w:hint="default" w:ascii="Times New Roman" w:hAnsi="Times New Roman" w:cs="Times New Roman"/>
                <w:lang w:val="en-US" w:eastAsia="zh-CN"/>
              </w:rPr>
            </w:pPr>
          </w:p>
          <w:p>
            <w:pPr>
              <w:spacing w:line="360" w:lineRule="auto"/>
              <w:rPr>
                <w:rFonts w:hint="default" w:ascii="Times New Roman" w:hAnsi="Times New Roman" w:eastAsia="宋体" w:cs="Times New Roman"/>
                <w:b/>
                <w:bCs/>
                <w:color w:val="000000"/>
                <w:sz w:val="24"/>
                <w:szCs w:val="24"/>
                <w:highlight w:val="none"/>
                <w:lang w:val="en-US" w:eastAsia="zh-CN"/>
              </w:rPr>
            </w:pPr>
            <w:r>
              <w:rPr>
                <w:rFonts w:hint="default" w:ascii="Times New Roman" w:hAnsi="Times New Roman" w:cs="Times New Roman"/>
                <w:b/>
                <w:bCs/>
                <w:color w:val="000000"/>
                <w:sz w:val="24"/>
                <w:szCs w:val="24"/>
                <w:highlight w:val="none"/>
                <w:lang w:val="en-US" w:eastAsia="zh-CN"/>
              </w:rPr>
              <w:t>九</w:t>
            </w:r>
            <w:r>
              <w:rPr>
                <w:rFonts w:hint="default" w:ascii="Times New Roman" w:hAnsi="Times New Roman" w:eastAsia="宋体" w:cs="Times New Roman"/>
                <w:b/>
                <w:bCs/>
                <w:color w:val="000000"/>
                <w:sz w:val="24"/>
                <w:szCs w:val="24"/>
                <w:highlight w:val="none"/>
                <w:lang w:val="en-US" w:eastAsia="zh-CN"/>
              </w:rPr>
              <w:t>、排污许可证管理</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据《关于做好环境影响评价制度与排污许可制衔接相关工作》(环办环评[2017]84号)、《关于进一步完善排污许可制实施工作的通知》(冀环评函[2018]689号)的通知，本项目与排污许可制衔接工作如下：</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right="0"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本项目国民经济为C3491工业机器人制造</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C3492特殊作业机器人制造</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C3964服务消费机器人制造</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C3973集成电路制造，根据《固定污染源排污许可分类管理名录（2019年版）》</w:t>
            </w:r>
            <w:r>
              <w:rPr>
                <w:rFonts w:hint="default" w:ascii="Times New Roman" w:hAnsi="Times New Roman" w:eastAsia="宋体" w:cs="Times New Roman"/>
                <w:b w:val="0"/>
                <w:bCs w:val="0"/>
                <w:color w:val="000000"/>
                <w:sz w:val="24"/>
                <w:szCs w:val="24"/>
                <w:highlight w:val="none"/>
                <w:lang w:val="en-US" w:eastAsia="zh"/>
              </w:rPr>
              <w:t>中相关规定，行业类别为其他通用设备制造业349-其它；智能消费设备制造396</w:t>
            </w:r>
            <w:r>
              <w:rPr>
                <w:rFonts w:hint="default" w:ascii="Times New Roman" w:hAnsi="Times New Roman" w:cs="Times New Roman"/>
                <w:b w:val="0"/>
                <w:bCs w:val="0"/>
                <w:color w:val="000000"/>
                <w:sz w:val="24"/>
                <w:szCs w:val="24"/>
                <w:highlight w:val="none"/>
                <w:lang w:val="en-US" w:eastAsia="zh-CN"/>
              </w:rPr>
              <w:t>-其他</w:t>
            </w:r>
            <w:r>
              <w:rPr>
                <w:rFonts w:hint="default" w:ascii="Times New Roman" w:hAnsi="Times New Roman" w:eastAsia="宋体" w:cs="Times New Roman"/>
                <w:b w:val="0"/>
                <w:bCs w:val="0"/>
                <w:color w:val="000000"/>
                <w:sz w:val="24"/>
                <w:szCs w:val="24"/>
                <w:highlight w:val="none"/>
                <w:lang w:val="en-US" w:eastAsia="zh"/>
              </w:rPr>
              <w:t>；电子器件制造397-</w:t>
            </w:r>
            <w:r>
              <w:rPr>
                <w:rFonts w:hint="default" w:ascii="Times New Roman" w:hAnsi="Times New Roman" w:cs="Times New Roman"/>
                <w:b w:val="0"/>
                <w:bCs w:val="0"/>
                <w:color w:val="000000"/>
                <w:sz w:val="24"/>
                <w:szCs w:val="24"/>
                <w:highlight w:val="none"/>
                <w:lang w:val="en-US" w:eastAsia="zh-CN"/>
              </w:rPr>
              <w:t>其他</w:t>
            </w:r>
            <w:r>
              <w:rPr>
                <w:rFonts w:hint="default" w:ascii="Times New Roman" w:hAnsi="Times New Roman" w:eastAsia="宋体" w:cs="Times New Roman"/>
                <w:b w:val="0"/>
                <w:bCs w:val="0"/>
                <w:color w:val="000000"/>
                <w:sz w:val="24"/>
                <w:szCs w:val="24"/>
                <w:highlight w:val="none"/>
                <w:lang w:val="en-US" w:eastAsia="zh-CN"/>
              </w:rPr>
              <w:t>均</w:t>
            </w:r>
            <w:r>
              <w:rPr>
                <w:rFonts w:hint="default" w:ascii="Times New Roman" w:hAnsi="Times New Roman" w:eastAsia="宋体" w:cs="Times New Roman"/>
                <w:b w:val="0"/>
                <w:bCs w:val="0"/>
                <w:color w:val="000000"/>
                <w:sz w:val="24"/>
                <w:szCs w:val="24"/>
                <w:highlight w:val="none"/>
                <w:lang w:val="en-US" w:eastAsia="zh"/>
              </w:rPr>
              <w:t>属于登记管理，故本项目实行排污登记管理</w:t>
            </w:r>
            <w:r>
              <w:rPr>
                <w:rFonts w:hint="default" w:ascii="Times New Roman" w:hAnsi="Times New Roman" w:eastAsia="宋体" w:cs="Times New Roman"/>
                <w:b w:val="0"/>
                <w:bCs w:val="0"/>
                <w:color w:val="000000"/>
                <w:sz w:val="24"/>
                <w:szCs w:val="24"/>
                <w:highlight w:val="none"/>
                <w:lang w:val="en-US" w:eastAsia="zh-CN"/>
              </w:rPr>
              <w:t>。</w:t>
            </w:r>
          </w:p>
          <w:p>
            <w:pPr>
              <w:keepNext w:val="0"/>
              <w:keepLines w:val="0"/>
              <w:pageBreakBefore w:val="0"/>
              <w:widowControl w:val="0"/>
              <w:tabs>
                <w:tab w:val="left" w:pos="1440"/>
                <w:tab w:val="left" w:pos="1800"/>
              </w:tabs>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bCs/>
                <w:color w:val="000000"/>
                <w:sz w:val="24"/>
                <w:szCs w:val="24"/>
                <w:highlight w:val="none"/>
                <w:lang w:val="en-US" w:eastAsia="zh-CN"/>
              </w:rPr>
            </w:pPr>
          </w:p>
        </w:tc>
      </w:tr>
    </w:tbl>
    <w:p>
      <w:pPr>
        <w:adjustRightInd w:val="0"/>
        <w:snapToGrid w:val="0"/>
        <w:spacing w:line="360" w:lineRule="auto"/>
        <w:rPr>
          <w:rFonts w:hint="default" w:ascii="Times New Roman" w:hAnsi="Times New Roman" w:cs="Times New Roman"/>
          <w:b/>
          <w:color w:val="000000"/>
          <w:kern w:val="0"/>
          <w:sz w:val="28"/>
          <w:szCs w:val="28"/>
          <w:highlight w:val="none"/>
        </w:rPr>
        <w:sectPr>
          <w:pgSz w:w="11907" w:h="16840"/>
          <w:pgMar w:top="1701" w:right="1531" w:bottom="2127" w:left="1531" w:header="851" w:footer="851" w:gutter="0"/>
          <w:pgBorders>
            <w:top w:val="none" w:sz="0" w:space="0"/>
            <w:left w:val="none" w:sz="0" w:space="0"/>
            <w:bottom w:val="none" w:sz="0" w:space="0"/>
            <w:right w:val="none" w:sz="0" w:space="0"/>
          </w:pgBorders>
          <w:cols w:space="720" w:num="1"/>
          <w:docGrid w:linePitch="312" w:charSpace="0"/>
        </w:sectPr>
      </w:pPr>
    </w:p>
    <w:p>
      <w:pPr>
        <w:pStyle w:val="28"/>
        <w:keepNext w:val="0"/>
        <w:keepLines w:val="0"/>
        <w:pageBreakBefore w:val="0"/>
        <w:widowControl/>
        <w:kinsoku/>
        <w:wordWrap/>
        <w:overflowPunct/>
        <w:topLinePunct w:val="0"/>
        <w:autoSpaceDE/>
        <w:autoSpaceDN/>
        <w:bidi w:val="0"/>
        <w:adjustRightInd/>
        <w:snapToGrid/>
        <w:jc w:val="center"/>
        <w:textAlignment w:val="auto"/>
        <w:outlineLvl w:val="0"/>
        <w:rPr>
          <w:rFonts w:hint="default" w:ascii="Times New Roman" w:hAnsi="Times New Roman" w:eastAsia="黑体" w:cs="Times New Roman"/>
          <w:snapToGrid w:val="0"/>
          <w:color w:val="000000"/>
          <w:sz w:val="30"/>
          <w:szCs w:val="30"/>
          <w:highlight w:val="none"/>
        </w:rPr>
      </w:pPr>
      <w:bookmarkStart w:id="47" w:name="_Toc3619"/>
      <w:r>
        <w:rPr>
          <w:rFonts w:hint="default" w:ascii="Times New Roman" w:hAnsi="Times New Roman" w:eastAsia="黑体" w:cs="Times New Roman"/>
          <w:snapToGrid w:val="0"/>
          <w:color w:val="000000"/>
          <w:sz w:val="30"/>
          <w:szCs w:val="30"/>
          <w:highlight w:val="none"/>
        </w:rPr>
        <w:t>五、</w:t>
      </w:r>
      <w:bookmarkStart w:id="48" w:name="_Hlk54167917"/>
      <w:r>
        <w:rPr>
          <w:rFonts w:hint="default" w:ascii="Times New Roman" w:hAnsi="Times New Roman" w:eastAsia="黑体" w:cs="Times New Roman"/>
          <w:snapToGrid w:val="0"/>
          <w:color w:val="000000"/>
          <w:sz w:val="30"/>
          <w:szCs w:val="30"/>
          <w:highlight w:val="none"/>
        </w:rPr>
        <w:t>环境保护措施监督检查清单</w:t>
      </w:r>
      <w:bookmarkEnd w:id="47"/>
      <w:bookmarkEnd w:id="48"/>
    </w:p>
    <w:tbl>
      <w:tblPr>
        <w:tblStyle w:val="3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475"/>
        <w:gridCol w:w="776"/>
        <w:gridCol w:w="777"/>
        <w:gridCol w:w="690"/>
        <w:gridCol w:w="705"/>
        <w:gridCol w:w="1455"/>
        <w:gridCol w:w="292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tcBorders>
              <w:tl2br w:val="single" w:color="auto" w:sz="4" w:space="0"/>
            </w:tcBorders>
            <w:noWrap w:val="0"/>
            <w:vAlign w:val="top"/>
          </w:tcPr>
          <w:p>
            <w:pPr>
              <w:keepNext w:val="0"/>
              <w:keepLines w:val="0"/>
              <w:pageBreakBefore w:val="0"/>
              <w:widowControl w:val="0"/>
              <w:kinsoku/>
              <w:wordWrap/>
              <w:overflowPunct/>
              <w:topLinePunct w:val="0"/>
              <w:autoSpaceDE/>
              <w:autoSpaceDN/>
              <w:bidi w:val="0"/>
              <w:adjustRightInd w:val="0"/>
              <w:snapToGrid w:val="0"/>
              <w:ind w:firstLine="630" w:firstLineChars="300"/>
              <w:textAlignment w:val="auto"/>
              <w:rPr>
                <w:rFonts w:hint="default" w:ascii="Times New Roman" w:hAnsi="Times New Roman" w:cs="Times New Roman"/>
                <w:color w:val="000000"/>
                <w:szCs w:val="21"/>
                <w:highlight w:val="none"/>
              </w:rPr>
            </w:pPr>
            <w:bookmarkStart w:id="49" w:name="_Toc5610"/>
            <w:r>
              <w:rPr>
                <w:rFonts w:hint="default" w:ascii="Times New Roman" w:hAnsi="Times New Roman" w:cs="Times New Roman"/>
                <w:color w:val="000000"/>
                <w:szCs w:val="21"/>
                <w:highlight w:val="none"/>
              </w:rPr>
              <w:t>内容</w:t>
            </w:r>
          </w:p>
          <w:p>
            <w:pPr>
              <w:keepNext w:val="0"/>
              <w:keepLines w:val="0"/>
              <w:pageBreakBefore w:val="0"/>
              <w:widowControl w:val="0"/>
              <w:kinsoku/>
              <w:overflowPunct/>
              <w:topLinePunct w:val="0"/>
              <w:autoSpaceDE/>
              <w:autoSpaceDN/>
              <w:bidi w:val="0"/>
              <w:adjustRightInd w:val="0"/>
              <w:snapToGrid w:val="0"/>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要素</w:t>
            </w:r>
          </w:p>
        </w:tc>
        <w:tc>
          <w:tcPr>
            <w:tcW w:w="1553" w:type="dxa"/>
            <w:gridSpan w:val="2"/>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排放口(编号、名称)/污染源</w:t>
            </w:r>
          </w:p>
        </w:tc>
        <w:tc>
          <w:tcPr>
            <w:tcW w:w="1395" w:type="dxa"/>
            <w:gridSpan w:val="2"/>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污染物项目</w:t>
            </w:r>
          </w:p>
        </w:tc>
        <w:tc>
          <w:tcPr>
            <w:tcW w:w="145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环境保护措施</w:t>
            </w:r>
          </w:p>
        </w:tc>
        <w:tc>
          <w:tcPr>
            <w:tcW w:w="2922"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restart"/>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大气环境</w:t>
            </w:r>
          </w:p>
        </w:tc>
        <w:tc>
          <w:tcPr>
            <w:tcW w:w="1553"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抛丸废气（DA001）</w:t>
            </w:r>
          </w:p>
        </w:tc>
        <w:tc>
          <w:tcPr>
            <w:tcW w:w="1395"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rPr>
              <w:t>颗粒物</w:t>
            </w:r>
          </w:p>
        </w:tc>
        <w:tc>
          <w:tcPr>
            <w:tcW w:w="1455"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eastAsia="宋体" w:cs="Times New Roman"/>
                <w:b w:val="0"/>
                <w:bCs w:val="0"/>
                <w:color w:val="000000"/>
                <w:sz w:val="21"/>
                <w:szCs w:val="21"/>
                <w:highlight w:val="none"/>
                <w:lang w:val="en-US" w:eastAsia="zh-CN"/>
              </w:rPr>
              <w:t>沉降除尘+旋风+高效滤</w:t>
            </w:r>
            <w:r>
              <w:rPr>
                <w:rFonts w:hint="default" w:ascii="Times New Roman" w:hAnsi="Times New Roman" w:cs="Times New Roman"/>
                <w:b w:val="0"/>
                <w:bCs w:val="0"/>
                <w:color w:val="000000"/>
                <w:sz w:val="21"/>
                <w:szCs w:val="21"/>
                <w:highlight w:val="none"/>
                <w:lang w:val="en-US" w:eastAsia="zh-CN"/>
              </w:rPr>
              <w:t>筒</w:t>
            </w:r>
            <w:r>
              <w:rPr>
                <w:rFonts w:hint="default" w:ascii="Times New Roman" w:hAnsi="Times New Roman" w:eastAsia="宋体" w:cs="Times New Roman"/>
                <w:b w:val="0"/>
                <w:bCs w:val="0"/>
                <w:color w:val="000000"/>
                <w:sz w:val="21"/>
                <w:szCs w:val="21"/>
                <w:highlight w:val="none"/>
                <w:lang w:val="en-US" w:eastAsia="zh-CN"/>
              </w:rPr>
              <w:t>除尘器除尘</w:t>
            </w:r>
            <w:r>
              <w:rPr>
                <w:rFonts w:hint="default" w:ascii="Times New Roman" w:hAnsi="Times New Roman" w:cs="Times New Roman"/>
                <w:b w:val="0"/>
                <w:bCs w:val="0"/>
                <w:color w:val="000000"/>
                <w:sz w:val="21"/>
                <w:szCs w:val="21"/>
                <w:highlight w:val="none"/>
                <w:lang w:val="en-US" w:eastAsia="zh-CN"/>
              </w:rPr>
              <w:t>+15m排气筒</w:t>
            </w:r>
          </w:p>
        </w:tc>
        <w:tc>
          <w:tcPr>
            <w:tcW w:w="2922" w:type="dxa"/>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Cs w:val="21"/>
                <w:highlight w:val="none"/>
              </w:rPr>
            </w:pPr>
            <w:r>
              <w:rPr>
                <w:rFonts w:hint="default" w:ascii="Times New Roman" w:hAnsi="Times New Roman" w:eastAsia="宋体" w:cs="Times New Roman"/>
                <w:b w:val="0"/>
                <w:bCs/>
                <w:snapToGrid/>
                <w:color w:val="000000"/>
                <w:kern w:val="2"/>
                <w:sz w:val="21"/>
                <w:szCs w:val="21"/>
                <w:highlight w:val="none"/>
                <w:lang w:eastAsia="zh-CN"/>
              </w:rPr>
              <w:t>《大气污染物综合排放标准》（GB16297-1996）表2二级标准要求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7"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1553" w:type="dxa"/>
            <w:gridSpan w:val="2"/>
            <w:vMerge w:val="restart"/>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喷漆房废气（DA002）</w:t>
            </w:r>
          </w:p>
        </w:tc>
        <w:tc>
          <w:tcPr>
            <w:tcW w:w="1395"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非甲烷总烃</w:t>
            </w:r>
          </w:p>
        </w:tc>
        <w:tc>
          <w:tcPr>
            <w:tcW w:w="1455" w:type="dxa"/>
            <w:vMerge w:val="restart"/>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干式过滤+活性炭吸附+催化燃烧+15米排气筒</w:t>
            </w:r>
          </w:p>
        </w:tc>
        <w:tc>
          <w:tcPr>
            <w:tcW w:w="2922" w:type="dxa"/>
            <w:vMerge w:val="restart"/>
            <w:noWrap w:val="0"/>
            <w:vAlign w:val="center"/>
          </w:tcPr>
          <w:p>
            <w:pPr>
              <w:keepNext w:val="0"/>
              <w:keepLines w:val="0"/>
              <w:pageBreakBefore w:val="0"/>
              <w:widowControl w:val="0"/>
              <w:kinsoku/>
              <w:overflowPunct/>
              <w:topLinePunct w:val="0"/>
              <w:autoSpaceDE/>
              <w:autoSpaceDN/>
              <w:bidi w:val="0"/>
              <w:jc w:val="center"/>
              <w:textAlignment w:val="auto"/>
              <w:rPr>
                <w:rFonts w:hint="default" w:ascii="Times New Roman" w:hAnsi="Times New Roman" w:eastAsia="宋体" w:cs="Times New Roman"/>
                <w:b w:val="0"/>
                <w:bCs/>
                <w:snapToGrid/>
                <w:color w:val="000000" w:themeColor="text1"/>
                <w:kern w:val="2"/>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《工业企业挥发性有机物排放控制标准》（DB13/2322-2016）</w:t>
            </w:r>
            <w:r>
              <w:rPr>
                <w:rFonts w:hint="default" w:ascii="Times New Roman" w:hAnsi="Times New Roman" w:cs="Times New Roman"/>
                <w:color w:val="000000" w:themeColor="text1"/>
                <w:sz w:val="21"/>
                <w:szCs w:val="21"/>
                <w:lang w:val="en-US" w:eastAsia="zh-CN"/>
                <w14:textFill>
                  <w14:solidFill>
                    <w14:schemeClr w14:val="tx1"/>
                  </w14:solidFill>
                </w14:textFill>
              </w:rPr>
              <w:t>中表1表面涂装业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1553" w:type="dxa"/>
            <w:gridSpan w:val="2"/>
            <w:vMerge w:val="continue"/>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p>
        </w:tc>
        <w:tc>
          <w:tcPr>
            <w:tcW w:w="1395"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二甲苯</w:t>
            </w:r>
          </w:p>
        </w:tc>
        <w:tc>
          <w:tcPr>
            <w:tcW w:w="1455" w:type="dxa"/>
            <w:vMerge w:val="continue"/>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p>
        </w:tc>
        <w:tc>
          <w:tcPr>
            <w:tcW w:w="2922" w:type="dxa"/>
            <w:vMerge w:val="continue"/>
            <w:noWrap w:val="0"/>
            <w:vAlign w:val="center"/>
          </w:tcPr>
          <w:p>
            <w:pPr>
              <w:keepNext w:val="0"/>
              <w:keepLines w:val="0"/>
              <w:pageBreakBefore w:val="0"/>
              <w:widowControl w:val="0"/>
              <w:kinsoku/>
              <w:overflowPunct/>
              <w:topLinePunct w:val="0"/>
              <w:autoSpaceDE/>
              <w:autoSpaceDN/>
              <w:bidi w:val="0"/>
              <w:jc w:val="center"/>
              <w:textAlignment w:val="auto"/>
              <w:rPr>
                <w:rFonts w:hint="default" w:ascii="Times New Roman" w:hAnsi="Times New Roman" w:cs="Times New Roman"/>
                <w:color w:val="000000" w:themeColor="text1"/>
                <w:sz w:val="21"/>
                <w:szCs w:val="21"/>
                <w14:textFill>
                  <w14:solidFill>
                    <w14:schemeClr w14:val="tx1"/>
                  </w14:solidFill>
                </w14:textFill>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1553" w:type="dxa"/>
            <w:gridSpan w:val="2"/>
            <w:vMerge w:val="continue"/>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p>
        </w:tc>
        <w:tc>
          <w:tcPr>
            <w:tcW w:w="1395"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颗粒物</w:t>
            </w:r>
          </w:p>
        </w:tc>
        <w:tc>
          <w:tcPr>
            <w:tcW w:w="1455" w:type="dxa"/>
            <w:vMerge w:val="continue"/>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p>
        </w:tc>
        <w:tc>
          <w:tcPr>
            <w:tcW w:w="2922" w:type="dxa"/>
            <w:noWrap w:val="0"/>
            <w:vAlign w:val="center"/>
          </w:tcPr>
          <w:p>
            <w:pPr>
              <w:keepNext w:val="0"/>
              <w:keepLines w:val="0"/>
              <w:pageBreakBefore w:val="0"/>
              <w:widowControl w:val="0"/>
              <w:kinsoku/>
              <w:overflowPunct/>
              <w:topLinePunct w:val="0"/>
              <w:autoSpaceDE/>
              <w:autoSpaceDN/>
              <w:bidi w:val="0"/>
              <w:jc w:val="center"/>
              <w:textAlignment w:val="auto"/>
              <w:rPr>
                <w:rFonts w:hint="default" w:ascii="Times New Roman" w:hAnsi="Times New Roman" w:cs="Times New Roman"/>
                <w:color w:val="000000" w:themeColor="text1"/>
                <w:sz w:val="21"/>
                <w:szCs w:val="21"/>
                <w14:textFill>
                  <w14:solidFill>
                    <w14:schemeClr w14:val="tx1"/>
                  </w14:solidFill>
                </w14:textFill>
              </w:rPr>
            </w:pPr>
            <w:r>
              <w:rPr>
                <w:rFonts w:hint="default" w:ascii="Times New Roman" w:hAnsi="Times New Roman" w:cs="Times New Roman"/>
                <w:color w:val="000000" w:themeColor="text1"/>
                <w:sz w:val="21"/>
                <w:szCs w:val="21"/>
                <w14:textFill>
                  <w14:solidFill>
                    <w14:schemeClr w14:val="tx1"/>
                  </w14:solidFill>
                </w14:textFill>
              </w:rPr>
              <w:t>《大气污染物综合排放标准》</w:t>
            </w:r>
            <w:r>
              <w:rPr>
                <w:rFonts w:hint="default" w:ascii="Times New Roman" w:hAnsi="Times New Roman" w:cs="Times New Roman"/>
                <w:color w:val="000000" w:themeColor="text1"/>
                <w:sz w:val="21"/>
                <w:szCs w:val="21"/>
                <w:lang w:val="en-US" w:eastAsia="zh-CN"/>
                <w14:textFill>
                  <w14:solidFill>
                    <w14:schemeClr w14:val="tx1"/>
                  </w14:solidFill>
                </w14:textFill>
              </w:rPr>
              <w:t>(</w:t>
            </w:r>
            <w:r>
              <w:rPr>
                <w:rFonts w:hint="default" w:ascii="Times New Roman" w:hAnsi="Times New Roman" w:cs="Times New Roman"/>
                <w:color w:val="000000" w:themeColor="text1"/>
                <w:sz w:val="21"/>
                <w:szCs w:val="21"/>
                <w14:textFill>
                  <w14:solidFill>
                    <w14:schemeClr w14:val="tx1"/>
                  </w14:solidFill>
                </w14:textFill>
              </w:rPr>
              <w:t>GB16297-1996</w:t>
            </w:r>
            <w:r>
              <w:rPr>
                <w:rFonts w:hint="default" w:ascii="Times New Roman" w:hAnsi="Times New Roman" w:cs="Times New Roman"/>
                <w:color w:val="000000" w:themeColor="text1"/>
                <w:sz w:val="21"/>
                <w:szCs w:val="21"/>
                <w:lang w:val="en-US" w:eastAsia="zh-CN"/>
                <w14:textFill>
                  <w14:solidFill>
                    <w14:schemeClr w14:val="tx1"/>
                  </w14:solidFill>
                </w14:textFill>
              </w:rPr>
              <w:t>)</w:t>
            </w:r>
            <w:r>
              <w:rPr>
                <w:rFonts w:hint="default" w:ascii="Times New Roman" w:hAnsi="Times New Roman" w:cs="Times New Roman"/>
                <w:color w:val="000000" w:themeColor="text1"/>
                <w:sz w:val="21"/>
                <w:szCs w:val="21"/>
                <w14:textFill>
                  <w14:solidFill>
                    <w14:schemeClr w14:val="tx1"/>
                  </w14:solidFill>
                </w14:textFill>
              </w:rPr>
              <w:t>表2中颗粒物染料尘限值</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1553"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食堂油烟（DA003）</w:t>
            </w:r>
          </w:p>
        </w:tc>
        <w:tc>
          <w:tcPr>
            <w:tcW w:w="1395"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油烟</w:t>
            </w:r>
          </w:p>
        </w:tc>
        <w:tc>
          <w:tcPr>
            <w:tcW w:w="1455"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油烟净化器+15米排气筒</w:t>
            </w:r>
          </w:p>
        </w:tc>
        <w:tc>
          <w:tcPr>
            <w:tcW w:w="2922" w:type="dxa"/>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textAlignment w:val="auto"/>
              <w:rPr>
                <w:rFonts w:hint="default" w:ascii="Times New Roman" w:hAnsi="Times New Roman" w:eastAsia="宋体" w:cs="Times New Roman"/>
                <w:b w:val="0"/>
                <w:bCs/>
                <w:snapToGrid/>
                <w:color w:val="000000" w:themeColor="text1"/>
                <w:kern w:val="2"/>
                <w:sz w:val="21"/>
                <w:szCs w:val="21"/>
                <w:highlight w:val="none"/>
                <w:lang w:eastAsia="zh-CN"/>
                <w14:textFill>
                  <w14:solidFill>
                    <w14:schemeClr w14:val="tx1"/>
                  </w14:solidFill>
                </w14:textFill>
              </w:rPr>
            </w:pPr>
            <w:r>
              <w:rPr>
                <w:rFonts w:hint="default" w:ascii="Times New Roman" w:hAnsi="Times New Roman" w:cs="Times New Roman"/>
                <w:color w:val="000000" w:themeColor="text1"/>
                <w:sz w:val="21"/>
                <w:szCs w:val="21"/>
                <w:highlight w:val="none"/>
                <w:lang w:val="en-US" w:eastAsia="zh-CN"/>
                <w14:textFill>
                  <w14:solidFill>
                    <w14:schemeClr w14:val="tx1"/>
                  </w14:solidFill>
                </w14:textFill>
              </w:rPr>
              <w:t>《餐饮业大气污染物排放标准》(DB13/5808-2023)小型餐饮服务单位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restart"/>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无组织</w:t>
            </w:r>
            <w:r>
              <w:rPr>
                <w:rFonts w:hint="default" w:ascii="Times New Roman" w:hAnsi="Times New Roman" w:cs="Times New Roman"/>
                <w:color w:val="000000"/>
                <w:sz w:val="21"/>
                <w:szCs w:val="21"/>
                <w:highlight w:val="none"/>
                <w:lang w:val="en-US" w:eastAsia="zh-CN"/>
              </w:rPr>
              <w:t>排放</w:t>
            </w:r>
          </w:p>
        </w:tc>
        <w:tc>
          <w:tcPr>
            <w:tcW w:w="777" w:type="dxa"/>
            <w:vMerge w:val="restart"/>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厂界</w:t>
            </w:r>
          </w:p>
        </w:tc>
        <w:tc>
          <w:tcPr>
            <w:tcW w:w="690"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下料废气</w:t>
            </w:r>
          </w:p>
        </w:tc>
        <w:tc>
          <w:tcPr>
            <w:tcW w:w="705"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颗粒物</w:t>
            </w:r>
          </w:p>
        </w:tc>
        <w:tc>
          <w:tcPr>
            <w:tcW w:w="1455"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移动式焊烟净化器</w:t>
            </w:r>
          </w:p>
        </w:tc>
        <w:tc>
          <w:tcPr>
            <w:tcW w:w="2922" w:type="dxa"/>
            <w:vMerge w:val="restart"/>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sz w:val="21"/>
                <w:szCs w:val="21"/>
                <w:highlight w:val="none"/>
              </w:rPr>
              <w:t>《大气污染物综合排放标准</w:t>
            </w:r>
            <w:r>
              <w:rPr>
                <w:rFonts w:hint="default" w:ascii="Times New Roman" w:hAnsi="Times New Roman" w:cs="Times New Roman"/>
                <w:color w:val="000000"/>
                <w:sz w:val="21"/>
                <w:szCs w:val="21"/>
                <w:highlight w:val="none"/>
                <w:lang w:eastAsia="zh-CN"/>
              </w:rPr>
              <w:t>》</w:t>
            </w:r>
            <w:r>
              <w:rPr>
                <w:rFonts w:hint="default" w:ascii="Times New Roman" w:hAnsi="Times New Roman" w:cs="Times New Roman"/>
                <w:color w:val="000000"/>
                <w:sz w:val="21"/>
                <w:szCs w:val="21"/>
                <w:highlight w:val="none"/>
              </w:rPr>
              <w:t>（GB16297-1996）表2颗粒物无组织排放监控浓度限值</w:t>
            </w:r>
            <w:r>
              <w:rPr>
                <w:rFonts w:hint="default" w:ascii="Times New Roman" w:hAnsi="Times New Roman" w:cs="Times New Roman"/>
                <w:color w:val="000000"/>
                <w:sz w:val="21"/>
                <w:szCs w:val="21"/>
                <w:highlight w:val="none"/>
                <w:lang w:val="en-US" w:eastAsia="zh-CN"/>
              </w:rPr>
              <w:t>及《秦皇岛市人民政府办公室关于执行钢铁等行业大气污染物排放特别要求的通知》（[2021]-10）中无组织排放浓度特别管控要求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p>
        </w:tc>
        <w:tc>
          <w:tcPr>
            <w:tcW w:w="777" w:type="dxa"/>
            <w:vMerge w:val="continue"/>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p>
        </w:tc>
        <w:tc>
          <w:tcPr>
            <w:tcW w:w="690"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焊接烟尘</w:t>
            </w:r>
          </w:p>
        </w:tc>
        <w:tc>
          <w:tcPr>
            <w:tcW w:w="705"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Cs w:val="21"/>
                <w:highlight w:val="none"/>
                <w:lang w:val="en-US" w:eastAsia="zh-CN"/>
              </w:rPr>
            </w:pPr>
            <w:r>
              <w:rPr>
                <w:rFonts w:hint="default" w:ascii="Times New Roman" w:hAnsi="Times New Roman" w:cs="Times New Roman"/>
                <w:color w:val="000000"/>
                <w:szCs w:val="21"/>
                <w:highlight w:val="none"/>
                <w:lang w:val="en-US" w:eastAsia="zh-CN"/>
              </w:rPr>
              <w:t>颗粒物</w:t>
            </w:r>
          </w:p>
        </w:tc>
        <w:tc>
          <w:tcPr>
            <w:tcW w:w="1455" w:type="dxa"/>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移动式焊烟净化器</w:t>
            </w: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eastAsia="宋体" w:cs="Times New Roman"/>
                <w:b w:val="0"/>
                <w:bCs/>
                <w:snapToGrid/>
                <w:color w:val="000000"/>
                <w:kern w:val="2"/>
                <w:sz w:val="21"/>
                <w:szCs w:val="21"/>
                <w:highlight w:val="none"/>
                <w:lang w:eastAsia="zh-CN"/>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777"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1395" w:type="dxa"/>
            <w:gridSpan w:val="2"/>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eastAsia="宋体" w:cs="Times New Roman"/>
                <w:color w:val="000000"/>
                <w:sz w:val="21"/>
                <w:szCs w:val="21"/>
                <w:highlight w:val="none"/>
                <w:lang w:val="en-US" w:eastAsia="zh-CN"/>
              </w:rPr>
              <w:t>颗粒物</w:t>
            </w:r>
          </w:p>
        </w:tc>
        <w:tc>
          <w:tcPr>
            <w:tcW w:w="1455" w:type="dxa"/>
            <w:vMerge w:val="restart"/>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厂房密闭、定期清扫、洒水抑尘</w:t>
            </w: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777"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1395" w:type="dxa"/>
            <w:gridSpan w:val="2"/>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themeColor="text1"/>
                <w:sz w:val="21"/>
                <w:szCs w:val="21"/>
                <w:lang w:val="en-US" w:eastAsia="zh-CN"/>
                <w14:textFill>
                  <w14:solidFill>
                    <w14:schemeClr w14:val="tx1"/>
                  </w14:solidFill>
                </w14:textFill>
              </w:rPr>
              <w:t>非甲烷总烃</w:t>
            </w:r>
          </w:p>
        </w:tc>
        <w:tc>
          <w:tcPr>
            <w:tcW w:w="1455" w:type="dxa"/>
            <w:vMerge w:val="continue"/>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cs="Times New Roman"/>
                <w:color w:val="000000"/>
                <w:sz w:val="21"/>
                <w:szCs w:val="21"/>
                <w:highlight w:val="none"/>
                <w:lang w:val="en-US" w:eastAsia="zh-CN"/>
              </w:rPr>
            </w:pPr>
          </w:p>
        </w:tc>
        <w:tc>
          <w:tcPr>
            <w:tcW w:w="2922" w:type="dxa"/>
            <w:vMerge w:val="restart"/>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themeColor="text1"/>
                <w:sz w:val="21"/>
                <w:szCs w:val="21"/>
                <w14:textFill>
                  <w14:solidFill>
                    <w14:schemeClr w14:val="tx1"/>
                  </w14:solidFill>
                </w14:textFill>
              </w:rPr>
              <w:t>《工业企业挥发性有机物排放控制标准》（DB13/2322-2016）</w:t>
            </w:r>
            <w:r>
              <w:rPr>
                <w:rFonts w:hint="default" w:ascii="Times New Roman" w:hAnsi="Times New Roman" w:cs="Times New Roman"/>
                <w:color w:val="000000" w:themeColor="text1"/>
                <w:sz w:val="21"/>
                <w:szCs w:val="21"/>
                <w:lang w:val="en-US" w:eastAsia="zh-CN"/>
                <w14:textFill>
                  <w14:solidFill>
                    <w14:schemeClr w14:val="tx1"/>
                  </w14:solidFill>
                </w14:textFill>
              </w:rPr>
              <w:t>中表2其他企业</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777"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1395" w:type="dxa"/>
            <w:gridSpan w:val="2"/>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themeColor="text1"/>
                <w:sz w:val="21"/>
                <w:szCs w:val="21"/>
                <w:lang w:val="en-US" w:eastAsia="zh-CN"/>
                <w14:textFill>
                  <w14:solidFill>
                    <w14:schemeClr w14:val="tx1"/>
                  </w14:solidFill>
                </w14:textFill>
              </w:rPr>
              <w:t>苯</w:t>
            </w:r>
          </w:p>
        </w:tc>
        <w:tc>
          <w:tcPr>
            <w:tcW w:w="1455" w:type="dxa"/>
            <w:vMerge w:val="continue"/>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cs="Times New Roman"/>
                <w:color w:val="000000"/>
                <w:sz w:val="21"/>
                <w:szCs w:val="21"/>
                <w:highlight w:val="none"/>
                <w:lang w:val="en-US" w:eastAsia="zh-CN"/>
              </w:rPr>
            </w:pP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777"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1395" w:type="dxa"/>
            <w:gridSpan w:val="2"/>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themeColor="text1"/>
                <w:sz w:val="21"/>
                <w:szCs w:val="21"/>
                <w:lang w:val="en-US" w:eastAsia="zh-CN"/>
                <w14:textFill>
                  <w14:solidFill>
                    <w14:schemeClr w14:val="tx1"/>
                  </w14:solidFill>
                </w14:textFill>
              </w:rPr>
              <w:t>甲苯</w:t>
            </w:r>
          </w:p>
        </w:tc>
        <w:tc>
          <w:tcPr>
            <w:tcW w:w="1455" w:type="dxa"/>
            <w:vMerge w:val="continue"/>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cs="Times New Roman"/>
                <w:color w:val="000000"/>
                <w:sz w:val="21"/>
                <w:szCs w:val="21"/>
                <w:highlight w:val="none"/>
                <w:lang w:val="en-US" w:eastAsia="zh-CN"/>
              </w:rPr>
            </w:pP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777"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1395" w:type="dxa"/>
            <w:gridSpan w:val="2"/>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themeColor="text1"/>
                <w:sz w:val="21"/>
                <w:szCs w:val="21"/>
                <w:lang w:val="en-US" w:eastAsia="zh-CN"/>
                <w14:textFill>
                  <w14:solidFill>
                    <w14:schemeClr w14:val="tx1"/>
                  </w14:solidFill>
                </w14:textFill>
              </w:rPr>
              <w:t>二甲苯</w:t>
            </w:r>
          </w:p>
        </w:tc>
        <w:tc>
          <w:tcPr>
            <w:tcW w:w="1455" w:type="dxa"/>
            <w:vMerge w:val="continue"/>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cs="Times New Roman"/>
                <w:color w:val="000000"/>
                <w:sz w:val="21"/>
                <w:szCs w:val="21"/>
                <w:highlight w:val="none"/>
                <w:lang w:val="en-US" w:eastAsia="zh-CN"/>
              </w:rPr>
            </w:pP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tcBorders>
              <w:right w:val="single" w:color="000000" w:sz="4" w:space="0"/>
            </w:tcBorders>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lang w:val="en-US" w:eastAsia="zh-CN"/>
              </w:rPr>
            </w:pPr>
          </w:p>
        </w:tc>
        <w:tc>
          <w:tcPr>
            <w:tcW w:w="776"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p>
        </w:tc>
        <w:tc>
          <w:tcPr>
            <w:tcW w:w="777"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厂房外</w:t>
            </w:r>
          </w:p>
        </w:tc>
        <w:tc>
          <w:tcPr>
            <w:tcW w:w="1395" w:type="dxa"/>
            <w:gridSpan w:val="2"/>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cs="Times New Roman"/>
                <w:color w:val="000000" w:themeColor="text1"/>
                <w:sz w:val="21"/>
                <w:szCs w:val="21"/>
                <w:lang w:val="en-US" w:eastAsia="zh-CN"/>
                <w14:textFill>
                  <w14:solidFill>
                    <w14:schemeClr w14:val="tx1"/>
                  </w14:solidFill>
                </w14:textFill>
              </w:rPr>
            </w:pPr>
            <w:r>
              <w:rPr>
                <w:rFonts w:hint="default" w:ascii="Times New Roman" w:hAnsi="Times New Roman" w:cs="Times New Roman"/>
                <w:color w:val="000000" w:themeColor="text1"/>
                <w:sz w:val="21"/>
                <w:szCs w:val="21"/>
                <w:lang w:val="en-US" w:eastAsia="zh-CN"/>
                <w14:textFill>
                  <w14:solidFill>
                    <w14:schemeClr w14:val="tx1"/>
                  </w14:solidFill>
                </w14:textFill>
              </w:rPr>
              <w:t>非甲烷总烃</w:t>
            </w:r>
          </w:p>
        </w:tc>
        <w:tc>
          <w:tcPr>
            <w:tcW w:w="1455" w:type="dxa"/>
            <w:noWrap w:val="0"/>
            <w:vAlign w:val="center"/>
          </w:tcPr>
          <w:p>
            <w:pPr>
              <w:pStyle w:val="53"/>
              <w:keepNext w:val="0"/>
              <w:keepLines w:val="0"/>
              <w:pageBreakBefore w:val="0"/>
              <w:widowControl w:val="0"/>
              <w:kinsoku/>
              <w:overflowPunct/>
              <w:topLinePunct w:val="0"/>
              <w:autoSpaceDE/>
              <w:autoSpaceDN/>
              <w:bidi w:val="0"/>
              <w:spacing w:before="0" w:beforeLines="0" w:after="0" w:afterLines="0" w:line="240" w:lineRule="auto"/>
              <w:ind w:firstLine="0" w:firstLineChars="0"/>
              <w:jc w:val="center"/>
              <w:rPr>
                <w:rFonts w:hint="default" w:ascii="Times New Roman" w:hAnsi="Times New Roman" w:cs="Times New Roman"/>
                <w:color w:val="000000"/>
                <w:sz w:val="21"/>
                <w:szCs w:val="21"/>
                <w:highlight w:val="none"/>
                <w:lang w:val="en-US" w:eastAsia="zh-CN"/>
              </w:rPr>
            </w:pPr>
            <w:r>
              <w:rPr>
                <w:rFonts w:hint="default" w:ascii="Times New Roman" w:hAnsi="Times New Roman" w:cs="Times New Roman"/>
                <w:color w:val="000000"/>
                <w:sz w:val="21"/>
                <w:szCs w:val="21"/>
                <w:highlight w:val="none"/>
                <w:lang w:val="en-US" w:eastAsia="zh-CN"/>
              </w:rPr>
              <w:t>厂房密闭</w:t>
            </w:r>
          </w:p>
        </w:tc>
        <w:tc>
          <w:tcPr>
            <w:tcW w:w="2922" w:type="dxa"/>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 w:val="21"/>
                <w:szCs w:val="21"/>
                <w:highlight w:val="none"/>
              </w:rPr>
            </w:pPr>
            <w:r>
              <w:rPr>
                <w:rFonts w:hint="default" w:ascii="Times New Roman" w:hAnsi="Times New Roman" w:cs="Times New Roman"/>
                <w:color w:val="000000" w:themeColor="text1"/>
                <w:sz w:val="21"/>
                <w:szCs w:val="21"/>
                <w14:textFill>
                  <w14:solidFill>
                    <w14:schemeClr w14:val="tx1"/>
                  </w14:solidFill>
                </w14:textFill>
              </w:rPr>
              <w:t>《挥发性有机物无组织排放控制标准》（GB37822-2019）表A.1厂区内VOCs无组织排放限值要求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地表水环境</w:t>
            </w:r>
          </w:p>
        </w:tc>
        <w:tc>
          <w:tcPr>
            <w:tcW w:w="7325" w:type="dxa"/>
            <w:gridSpan w:val="6"/>
            <w:noWrap w:val="0"/>
            <w:vAlign w:val="center"/>
          </w:tcPr>
          <w:p>
            <w:pPr>
              <w:keepNext w:val="0"/>
              <w:keepLines w:val="0"/>
              <w:pageBreakBefore w:val="0"/>
              <w:widowControl w:val="0"/>
              <w:kinsoku/>
              <w:wordWrap w:val="0"/>
              <w:overflowPunct/>
              <w:topLinePunct w:val="0"/>
              <w:autoSpaceDE/>
              <w:autoSpaceDN/>
              <w:bidi w:val="0"/>
              <w:adjustRightInd w:val="0"/>
              <w:snapToGrid w:val="0"/>
              <w:jc w:val="left"/>
              <w:textAlignment w:val="auto"/>
              <w:rPr>
                <w:rFonts w:hint="default" w:ascii="Times New Roman" w:hAnsi="Times New Roman" w:cs="Times New Roman"/>
                <w:snapToGrid w:val="0"/>
                <w:color w:val="000000"/>
                <w:sz w:val="21"/>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项目蒸汽发生器软水制备产生的浓水用于厂区泼洒抑尘；</w:t>
            </w:r>
          </w:p>
          <w:p>
            <w:pPr>
              <w:keepNext w:val="0"/>
              <w:keepLines w:val="0"/>
              <w:pageBreakBefore w:val="0"/>
              <w:widowControl w:val="0"/>
              <w:kinsoku/>
              <w:wordWrap w:val="0"/>
              <w:overflowPunct/>
              <w:topLinePunct w:val="0"/>
              <w:autoSpaceDE/>
              <w:autoSpaceDN/>
              <w:bidi w:val="0"/>
              <w:adjustRightInd w:val="0"/>
              <w:snapToGrid w:val="0"/>
              <w:jc w:val="left"/>
              <w:textAlignment w:val="auto"/>
              <w:rPr>
                <w:rFonts w:hint="default" w:ascii="Times New Roman" w:hAnsi="Times New Roman" w:cs="Times New Roman"/>
                <w:color w:val="000000"/>
                <w:szCs w:val="21"/>
                <w:highlight w:val="none"/>
              </w:rPr>
            </w:pPr>
            <w:r>
              <w:rPr>
                <w:rFonts w:hint="default" w:ascii="Times New Roman" w:hAnsi="Times New Roman" w:cs="Times New Roman"/>
                <w:snapToGrid w:val="0"/>
                <w:color w:val="000000"/>
                <w:sz w:val="21"/>
                <w:szCs w:val="21"/>
                <w:highlight w:val="none"/>
                <w:lang w:val="en-US" w:eastAsia="zh-CN"/>
              </w:rPr>
              <w:t>食堂废水经隔油池+化粪池处理、员工生活污水</w:t>
            </w:r>
            <w:r>
              <w:rPr>
                <w:rFonts w:hint="default" w:ascii="Times New Roman" w:hAnsi="Times New Roman" w:eastAsia="宋体" w:cs="Times New Roman"/>
                <w:snapToGrid w:val="0"/>
                <w:color w:val="000000"/>
                <w:sz w:val="21"/>
                <w:szCs w:val="21"/>
                <w:highlight w:val="none"/>
                <w:lang w:val="en-US" w:eastAsia="zh-CN"/>
              </w:rPr>
              <w:t>经化粪池处理后</w:t>
            </w:r>
            <w:r>
              <w:rPr>
                <w:rFonts w:hint="default" w:ascii="Times New Roman" w:hAnsi="Times New Roman" w:cs="Times New Roman"/>
                <w:snapToGrid w:val="0"/>
                <w:color w:val="000000"/>
                <w:sz w:val="21"/>
                <w:szCs w:val="21"/>
                <w:highlight w:val="none"/>
                <w:lang w:val="en-US" w:eastAsia="zh-CN"/>
              </w:rPr>
              <w:t>，一起</w:t>
            </w:r>
            <w:r>
              <w:rPr>
                <w:rFonts w:hint="default" w:ascii="Times New Roman" w:hAnsi="Times New Roman" w:eastAsia="宋体" w:cs="Times New Roman"/>
                <w:snapToGrid w:val="0"/>
                <w:color w:val="000000"/>
                <w:sz w:val="21"/>
                <w:szCs w:val="21"/>
                <w:highlight w:val="none"/>
                <w:lang w:val="en-US" w:eastAsia="zh-CN"/>
              </w:rPr>
              <w:t>排入园区污水管网进入抚宁污水处理厂进一步处理。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声环境</w:t>
            </w:r>
          </w:p>
        </w:tc>
        <w:tc>
          <w:tcPr>
            <w:tcW w:w="1553" w:type="dxa"/>
            <w:gridSpan w:val="2"/>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 w:val="21"/>
                <w:szCs w:val="21"/>
                <w:highlight w:val="none"/>
                <w:lang w:eastAsia="zh-CN"/>
              </w:rPr>
              <w:t>设备噪声</w:t>
            </w:r>
          </w:p>
        </w:tc>
        <w:tc>
          <w:tcPr>
            <w:tcW w:w="1395" w:type="dxa"/>
            <w:gridSpan w:val="2"/>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eastAsia="zh-CN"/>
              </w:rPr>
              <w:t>设备运转噪声</w:t>
            </w:r>
          </w:p>
        </w:tc>
        <w:tc>
          <w:tcPr>
            <w:tcW w:w="145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eastAsia="宋体" w:cs="Times New Roman"/>
                <w:color w:val="000000"/>
                <w:sz w:val="21"/>
                <w:szCs w:val="21"/>
                <w:highlight w:val="none"/>
                <w:lang w:eastAsia="zh-CN"/>
              </w:rPr>
              <w:t>基础减振、</w:t>
            </w:r>
            <w:r>
              <w:rPr>
                <w:rFonts w:hint="default" w:ascii="Times New Roman" w:hAnsi="Times New Roman" w:eastAsia="宋体" w:cs="Times New Roman"/>
                <w:color w:val="000000"/>
                <w:sz w:val="21"/>
                <w:szCs w:val="21"/>
                <w:highlight w:val="none"/>
              </w:rPr>
              <w:t>厂房隔声</w:t>
            </w:r>
            <w:r>
              <w:rPr>
                <w:rFonts w:hint="default" w:ascii="Times New Roman" w:hAnsi="Times New Roman" w:eastAsia="宋体" w:cs="Times New Roman"/>
                <w:color w:val="000000"/>
                <w:sz w:val="21"/>
                <w:szCs w:val="21"/>
                <w:highlight w:val="none"/>
                <w:lang w:val="en-US" w:eastAsia="zh-CN"/>
              </w:rPr>
              <w:t>、距离衰减</w:t>
            </w:r>
          </w:p>
        </w:tc>
        <w:tc>
          <w:tcPr>
            <w:tcW w:w="2922" w:type="dxa"/>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Cs w:val="21"/>
                <w:highlight w:val="none"/>
              </w:rPr>
            </w:pPr>
            <w:r>
              <w:rPr>
                <w:rFonts w:hint="default" w:ascii="Times New Roman" w:hAnsi="Times New Roman" w:eastAsia="宋体" w:cs="Times New Roman"/>
                <w:b w:val="0"/>
                <w:bCs/>
                <w:color w:val="000000"/>
                <w:sz w:val="21"/>
                <w:szCs w:val="21"/>
                <w:highlight w:val="none"/>
                <w:lang w:eastAsia="zh-CN"/>
              </w:rPr>
              <w:t>工业企业厂界环境噪声排放标准》（GB12348－2008）</w:t>
            </w:r>
            <w:r>
              <w:rPr>
                <w:rFonts w:hint="default" w:ascii="Times New Roman" w:hAnsi="Times New Roman" w:cs="Times New Roman"/>
                <w:b w:val="0"/>
                <w:bCs w:val="0"/>
                <w:color w:val="000000"/>
                <w:spacing w:val="0"/>
                <w:szCs w:val="24"/>
                <w:highlight w:val="none"/>
                <w:lang w:val="en-US" w:eastAsia="zh-CN"/>
              </w:rPr>
              <w:t>3</w:t>
            </w:r>
            <w:r>
              <w:rPr>
                <w:rFonts w:hint="default" w:ascii="Times New Roman" w:hAnsi="Times New Roman" w:cs="Times New Roman"/>
                <w:b w:val="0"/>
                <w:bCs w:val="0"/>
                <w:color w:val="000000"/>
                <w:spacing w:val="0"/>
                <w:szCs w:val="24"/>
                <w:highlight w:val="none"/>
              </w:rPr>
              <w:t>类标准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电磁辐射</w:t>
            </w:r>
          </w:p>
        </w:tc>
        <w:tc>
          <w:tcPr>
            <w:tcW w:w="7325" w:type="dxa"/>
            <w:gridSpan w:val="6"/>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eastAsia="宋体" w:cs="Times New Roman"/>
                <w:color w:val="000000"/>
                <w:szCs w:val="21"/>
                <w:highlight w:val="none"/>
                <w:lang w:eastAsia="zh-CN"/>
              </w:rPr>
            </w:pPr>
            <w:r>
              <w:rPr>
                <w:rFonts w:hint="default" w:ascii="Times New Roman" w:hAnsi="Times New Roman" w:cs="Times New Roman"/>
                <w:color w:val="000000"/>
                <w:szCs w:val="21"/>
                <w:highlight w:val="none"/>
                <w:lang w:eastAsia="zh-CN"/>
              </w:rPr>
              <w:t>不涉及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restart"/>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固体废物</w:t>
            </w:r>
          </w:p>
        </w:tc>
        <w:tc>
          <w:tcPr>
            <w:tcW w:w="1553" w:type="dxa"/>
            <w:gridSpan w:val="2"/>
            <w:vMerge w:val="restart"/>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lang w:eastAsia="zh-CN"/>
              </w:rPr>
              <w:t>一般固体废物</w:t>
            </w:r>
          </w:p>
        </w:tc>
        <w:tc>
          <w:tcPr>
            <w:tcW w:w="1395" w:type="dxa"/>
            <w:gridSpan w:val="2"/>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sz w:val="21"/>
                <w:szCs w:val="21"/>
                <w:highlight w:val="none"/>
                <w:lang w:val="en-US" w:eastAsia="zh-CN"/>
              </w:rPr>
            </w:pPr>
            <w:r>
              <w:rPr>
                <w:rFonts w:hint="default" w:ascii="Times New Roman" w:hAnsi="Times New Roman" w:cs="Times New Roman"/>
                <w:bCs/>
                <w:color w:val="000000"/>
                <w:szCs w:val="21"/>
                <w:highlight w:val="none"/>
                <w:lang w:eastAsia="zh-CN"/>
              </w:rPr>
              <w:t>金属废料</w:t>
            </w:r>
          </w:p>
        </w:tc>
        <w:tc>
          <w:tcPr>
            <w:tcW w:w="1455" w:type="dxa"/>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snapToGrid w:val="0"/>
                <w:color w:val="000000"/>
                <w:sz w:val="21"/>
                <w:szCs w:val="21"/>
                <w:highlight w:val="none"/>
                <w:lang w:val="en-US" w:eastAsia="zh-CN"/>
              </w:rPr>
            </w:pPr>
            <w:r>
              <w:rPr>
                <w:rFonts w:hint="default" w:ascii="Times New Roman" w:hAnsi="Times New Roman" w:cs="Times New Roman"/>
                <w:snapToGrid w:val="0"/>
                <w:color w:val="000000"/>
                <w:sz w:val="21"/>
                <w:szCs w:val="21"/>
                <w:highlight w:val="none"/>
                <w:lang w:val="en-US" w:eastAsia="zh-CN"/>
              </w:rPr>
              <w:t>收集后外售</w:t>
            </w:r>
          </w:p>
        </w:tc>
        <w:tc>
          <w:tcPr>
            <w:tcW w:w="2922" w:type="dxa"/>
            <w:vMerge w:val="restart"/>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Cs w:val="21"/>
                <w:highlight w:val="none"/>
              </w:rPr>
            </w:pPr>
            <w:r>
              <w:rPr>
                <w:rFonts w:hint="default" w:ascii="Times New Roman" w:hAnsi="Times New Roman" w:eastAsia="宋体" w:cs="Times New Roman"/>
                <w:color w:val="000000"/>
                <w:highlight w:val="none"/>
                <w:lang w:val="en-US" w:eastAsia="zh-CN"/>
              </w:rPr>
              <w:t>相应防渗漏、防雨淋、防扬尘等环境保护要求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p>
        </w:tc>
        <w:tc>
          <w:tcPr>
            <w:tcW w:w="1553" w:type="dxa"/>
            <w:gridSpan w:val="2"/>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p>
        </w:tc>
        <w:tc>
          <w:tcPr>
            <w:tcW w:w="1395" w:type="dxa"/>
            <w:gridSpan w:val="2"/>
            <w:shd w:val="clear" w:color="auto" w:fill="auto"/>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bCs/>
                <w:color w:val="000000"/>
                <w:szCs w:val="21"/>
                <w:highlight w:val="none"/>
                <w:lang w:val="en-US" w:eastAsia="zh-CN"/>
              </w:rPr>
              <w:t>废包装材料</w:t>
            </w:r>
          </w:p>
        </w:tc>
        <w:tc>
          <w:tcPr>
            <w:tcW w:w="1455" w:type="dxa"/>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eastAsia="宋体" w:cs="Times New Roman"/>
                <w:color w:val="000000"/>
                <w:sz w:val="21"/>
                <w:szCs w:val="21"/>
                <w:highlight w:val="none"/>
                <w:vertAlign w:val="baseline"/>
                <w:lang w:eastAsia="zh-CN"/>
              </w:rPr>
            </w:pPr>
            <w:r>
              <w:rPr>
                <w:rFonts w:hint="default" w:ascii="Times New Roman" w:hAnsi="Times New Roman" w:cs="Times New Roman"/>
                <w:snapToGrid w:val="0"/>
                <w:color w:val="000000"/>
                <w:sz w:val="21"/>
                <w:szCs w:val="21"/>
                <w:highlight w:val="none"/>
                <w:lang w:val="en-US" w:eastAsia="zh-CN"/>
              </w:rPr>
              <w:t>收集后外售</w:t>
            </w: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p>
        </w:tc>
        <w:tc>
          <w:tcPr>
            <w:tcW w:w="1553" w:type="dxa"/>
            <w:gridSpan w:val="2"/>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p>
        </w:tc>
        <w:tc>
          <w:tcPr>
            <w:tcW w:w="1395" w:type="dxa"/>
            <w:gridSpan w:val="2"/>
            <w:shd w:val="clear" w:color="auto" w:fill="auto"/>
            <w:noWrap w:val="0"/>
            <w:vAlign w:val="center"/>
          </w:tcPr>
          <w:p>
            <w:pPr>
              <w:keepNext w:val="0"/>
              <w:keepLines w:val="0"/>
              <w:pageBreakBefore w:val="0"/>
              <w:widowControl w:val="0"/>
              <w:kinsoku/>
              <w:overflowPunct/>
              <w:topLinePunct w:val="0"/>
              <w:autoSpaceDE/>
              <w:autoSpaceDN/>
              <w:bidi w:val="0"/>
              <w:jc w:val="center"/>
              <w:rPr>
                <w:rFonts w:hint="default" w:ascii="Times New Roman" w:hAnsi="Times New Roman" w:eastAsia="宋体" w:cs="Times New Roman"/>
                <w:color w:val="000000"/>
                <w:kern w:val="2"/>
                <w:sz w:val="21"/>
                <w:szCs w:val="21"/>
                <w:highlight w:val="none"/>
                <w:lang w:val="en-US" w:eastAsia="zh-CN" w:bidi="ar-SA"/>
              </w:rPr>
            </w:pPr>
            <w:r>
              <w:rPr>
                <w:rFonts w:hint="default" w:ascii="Times New Roman" w:hAnsi="Times New Roman" w:cs="Times New Roman"/>
                <w:bCs/>
                <w:color w:val="000000"/>
                <w:szCs w:val="21"/>
                <w:highlight w:val="none"/>
                <w:lang w:val="en-US" w:eastAsia="zh-CN"/>
              </w:rPr>
              <w:t>除尘灰</w:t>
            </w:r>
          </w:p>
        </w:tc>
        <w:tc>
          <w:tcPr>
            <w:tcW w:w="1455" w:type="dxa"/>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szCs w:val="21"/>
                <w:highlight w:val="none"/>
              </w:rPr>
            </w:pPr>
            <w:r>
              <w:rPr>
                <w:rFonts w:hint="default" w:ascii="Times New Roman" w:hAnsi="Times New Roman" w:cs="Times New Roman"/>
                <w:snapToGrid w:val="0"/>
                <w:color w:val="000000"/>
                <w:sz w:val="21"/>
                <w:szCs w:val="21"/>
                <w:highlight w:val="none"/>
                <w:lang w:val="en-US" w:eastAsia="zh-CN"/>
              </w:rPr>
              <w:t>收集后外售</w:t>
            </w:r>
          </w:p>
        </w:tc>
        <w:tc>
          <w:tcPr>
            <w:tcW w:w="2922" w:type="dxa"/>
            <w:vMerge w:val="continue"/>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Cs w:val="21"/>
                <w:highlight w:val="none"/>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vMerge w:val="continue"/>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highlight w:val="none"/>
              </w:rPr>
            </w:pPr>
          </w:p>
        </w:tc>
        <w:tc>
          <w:tcPr>
            <w:tcW w:w="1553" w:type="dxa"/>
            <w:gridSpan w:val="2"/>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highlight w:val="none"/>
              </w:rPr>
            </w:pPr>
            <w:r>
              <w:rPr>
                <w:rFonts w:hint="default" w:ascii="Times New Roman" w:hAnsi="Times New Roman" w:cs="Times New Roman"/>
                <w:color w:val="000000"/>
                <w:highlight w:val="none"/>
                <w:lang w:eastAsia="zh-CN"/>
              </w:rPr>
              <w:t>危险废物</w:t>
            </w:r>
          </w:p>
        </w:tc>
        <w:tc>
          <w:tcPr>
            <w:tcW w:w="1395" w:type="dxa"/>
            <w:gridSpan w:val="2"/>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highlight w:val="none"/>
                <w:lang w:val="en-US"/>
              </w:rPr>
            </w:pPr>
            <w:r>
              <w:rPr>
                <w:rFonts w:hint="default" w:ascii="Times New Roman" w:hAnsi="Times New Roman" w:cs="Times New Roman"/>
                <w:bCs/>
                <w:color w:val="000000"/>
                <w:szCs w:val="21"/>
                <w:highlight w:val="none"/>
                <w:lang w:val="en-US" w:eastAsia="zh-CN"/>
              </w:rPr>
              <w:t>废切削液、</w:t>
            </w:r>
            <w:r>
              <w:rPr>
                <w:rFonts w:hint="default" w:ascii="Times New Roman" w:hAnsi="Times New Roman" w:eastAsia="宋体" w:cs="Times New Roman"/>
                <w:color w:val="000000"/>
                <w:sz w:val="21"/>
                <w:szCs w:val="21"/>
                <w:highlight w:val="none"/>
                <w:lang w:val="en-US" w:eastAsia="zh-CN"/>
              </w:rPr>
              <w:t>废</w:t>
            </w:r>
            <w:r>
              <w:rPr>
                <w:rFonts w:hint="default" w:ascii="Times New Roman" w:hAnsi="Times New Roman" w:cs="Times New Roman"/>
                <w:color w:val="000000"/>
                <w:sz w:val="21"/>
                <w:szCs w:val="21"/>
                <w:highlight w:val="none"/>
                <w:lang w:val="en-US" w:eastAsia="zh-CN"/>
              </w:rPr>
              <w:t>润滑</w:t>
            </w:r>
            <w:r>
              <w:rPr>
                <w:rFonts w:hint="default" w:ascii="Times New Roman" w:hAnsi="Times New Roman" w:eastAsia="宋体" w:cs="Times New Roman"/>
                <w:color w:val="000000"/>
                <w:sz w:val="21"/>
                <w:szCs w:val="21"/>
                <w:highlight w:val="none"/>
                <w:lang w:val="en-US" w:eastAsia="zh-CN"/>
              </w:rPr>
              <w:t>油、</w:t>
            </w:r>
            <w:r>
              <w:rPr>
                <w:rFonts w:hint="default" w:ascii="Times New Roman" w:hAnsi="Times New Roman" w:cs="Times New Roman"/>
                <w:color w:val="000000"/>
                <w:kern w:val="2"/>
                <w:sz w:val="21"/>
                <w:szCs w:val="24"/>
                <w:highlight w:val="none"/>
                <w:lang w:val="en-US" w:eastAsia="zh-CN" w:bidi="ar-SA"/>
              </w:rPr>
              <w:t>废液压油、废油桶、废活性炭、漆渣</w:t>
            </w:r>
          </w:p>
        </w:tc>
        <w:tc>
          <w:tcPr>
            <w:tcW w:w="1455" w:type="dxa"/>
            <w:noWrap w:val="0"/>
            <w:vAlign w:val="center"/>
          </w:tcPr>
          <w:p>
            <w:pPr>
              <w:keepNext w:val="0"/>
              <w:keepLines w:val="0"/>
              <w:pageBreakBefore w:val="0"/>
              <w:widowControl w:val="0"/>
              <w:kinsoku/>
              <w:wordWrap/>
              <w:overflowPunct/>
              <w:topLinePunct w:val="0"/>
              <w:autoSpaceDE/>
              <w:autoSpaceDN/>
              <w:bidi w:val="0"/>
              <w:spacing w:line="240" w:lineRule="auto"/>
              <w:ind w:firstLine="0" w:firstLineChars="0"/>
              <w:jc w:val="center"/>
              <w:textAlignment w:val="baseline"/>
              <w:rPr>
                <w:rFonts w:hint="default" w:ascii="Times New Roman" w:hAnsi="Times New Roman" w:cs="Times New Roman"/>
                <w:color w:val="000000"/>
                <w:highlight w:val="none"/>
              </w:rPr>
            </w:pPr>
            <w:r>
              <w:rPr>
                <w:rFonts w:hint="default" w:ascii="Times New Roman" w:hAnsi="Times New Roman" w:cs="Times New Roman"/>
                <w:color w:val="000000"/>
                <w:sz w:val="21"/>
                <w:szCs w:val="21"/>
                <w:highlight w:val="none"/>
                <w:lang w:val="en-US" w:eastAsia="zh-CN"/>
              </w:rPr>
              <w:t>新建一座20m</w:t>
            </w:r>
            <w:r>
              <w:rPr>
                <w:rFonts w:hint="default" w:ascii="Times New Roman" w:hAnsi="Times New Roman" w:cs="Times New Roman"/>
                <w:color w:val="000000"/>
                <w:sz w:val="21"/>
                <w:szCs w:val="21"/>
                <w:highlight w:val="none"/>
                <w:vertAlign w:val="superscript"/>
                <w:lang w:val="en-US" w:eastAsia="zh-CN"/>
              </w:rPr>
              <w:t>2</w:t>
            </w:r>
            <w:r>
              <w:rPr>
                <w:rFonts w:hint="default" w:ascii="Times New Roman" w:hAnsi="Times New Roman" w:cs="Times New Roman"/>
                <w:color w:val="000000"/>
                <w:sz w:val="21"/>
                <w:szCs w:val="21"/>
                <w:highlight w:val="none"/>
                <w:vertAlign w:val="baseline"/>
                <w:lang w:val="en-US" w:eastAsia="zh-CN"/>
              </w:rPr>
              <w:t>危险废物暂存间，</w:t>
            </w:r>
            <w:r>
              <w:rPr>
                <w:rFonts w:hint="default" w:ascii="Times New Roman" w:hAnsi="Times New Roman" w:cs="Times New Roman"/>
                <w:color w:val="000000"/>
                <w:sz w:val="21"/>
                <w:szCs w:val="21"/>
                <w:highlight w:val="none"/>
                <w:lang w:val="en-US" w:eastAsia="zh-CN"/>
              </w:rPr>
              <w:t>暂存</w:t>
            </w:r>
            <w:r>
              <w:rPr>
                <w:rFonts w:hint="default" w:ascii="Times New Roman" w:hAnsi="Times New Roman" w:cs="Times New Roman"/>
                <w:color w:val="000000"/>
                <w:sz w:val="21"/>
                <w:szCs w:val="21"/>
                <w:highlight w:val="none"/>
                <w:vertAlign w:val="baseline"/>
                <w:lang w:val="en-US" w:eastAsia="zh-CN"/>
              </w:rPr>
              <w:t>危险废物暂存间</w:t>
            </w:r>
            <w:r>
              <w:rPr>
                <w:rFonts w:hint="default" w:ascii="Times New Roman" w:hAnsi="Times New Roman" w:cs="Times New Roman"/>
                <w:color w:val="000000"/>
                <w:sz w:val="21"/>
                <w:szCs w:val="21"/>
                <w:highlight w:val="none"/>
                <w:lang w:val="en-US" w:eastAsia="zh-CN"/>
              </w:rPr>
              <w:t>，</w:t>
            </w:r>
            <w:r>
              <w:rPr>
                <w:rFonts w:hint="default" w:ascii="Times New Roman" w:hAnsi="Times New Roman" w:cs="Times New Roman"/>
                <w:color w:val="000000"/>
                <w:sz w:val="21"/>
                <w:szCs w:val="21"/>
                <w:highlight w:val="none"/>
              </w:rPr>
              <w:t>定期交</w:t>
            </w:r>
            <w:r>
              <w:rPr>
                <w:rFonts w:hint="default" w:ascii="Times New Roman" w:hAnsi="Times New Roman" w:cs="Times New Roman"/>
                <w:color w:val="000000"/>
                <w:sz w:val="21"/>
                <w:szCs w:val="21"/>
                <w:highlight w:val="none"/>
                <w:lang w:val="en-US" w:eastAsia="zh-CN"/>
              </w:rPr>
              <w:t>由</w:t>
            </w:r>
            <w:r>
              <w:rPr>
                <w:rFonts w:hint="default" w:ascii="Times New Roman" w:hAnsi="Times New Roman" w:cs="Times New Roman"/>
                <w:color w:val="000000"/>
                <w:sz w:val="21"/>
                <w:szCs w:val="21"/>
                <w:highlight w:val="none"/>
              </w:rPr>
              <w:t>有资质单位处理</w:t>
            </w:r>
          </w:p>
        </w:tc>
        <w:tc>
          <w:tcPr>
            <w:tcW w:w="2922" w:type="dxa"/>
            <w:noWrap w:val="0"/>
            <w:vAlign w:val="center"/>
          </w:tcPr>
          <w:p>
            <w:pPr>
              <w:keepNext w:val="0"/>
              <w:keepLines w:val="0"/>
              <w:pageBreakBefore w:val="0"/>
              <w:widowControl w:val="0"/>
              <w:kinsoku/>
              <w:wordWrap w:val="0"/>
              <w:overflowPunct/>
              <w:topLinePunct w:val="0"/>
              <w:autoSpaceDE/>
              <w:autoSpaceDN/>
              <w:bidi w:val="0"/>
              <w:adjustRightInd w:val="0"/>
              <w:snapToGrid w:val="0"/>
              <w:jc w:val="center"/>
              <w:textAlignment w:val="auto"/>
              <w:rPr>
                <w:rFonts w:hint="default" w:ascii="Times New Roman" w:hAnsi="Times New Roman" w:cs="Times New Roman"/>
                <w:color w:val="000000"/>
                <w:szCs w:val="21"/>
                <w:highlight w:val="none"/>
              </w:rPr>
            </w:pPr>
            <w:r>
              <w:rPr>
                <w:rFonts w:hint="default" w:ascii="Times New Roman" w:hAnsi="Times New Roman" w:eastAsia="宋体" w:cs="Times New Roman"/>
                <w:color w:val="000000"/>
                <w:highlight w:val="none"/>
              </w:rPr>
              <w:t>《危险废物贮存污染控制标准》（GB 18597-2023）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土壤及地下水污染防治措施</w:t>
            </w:r>
          </w:p>
        </w:tc>
        <w:tc>
          <w:tcPr>
            <w:tcW w:w="7325" w:type="dxa"/>
            <w:gridSpan w:val="6"/>
            <w:noWrap w:val="0"/>
            <w:vAlign w:val="center"/>
          </w:tcPr>
          <w:p>
            <w:pPr>
              <w:keepNext w:val="0"/>
              <w:keepLines w:val="0"/>
              <w:pageBreakBefore w:val="0"/>
              <w:widowControl w:val="0"/>
              <w:kinsoku/>
              <w:overflowPunct/>
              <w:topLinePunct w:val="0"/>
              <w:autoSpaceDE/>
              <w:autoSpaceDN/>
              <w:bidi w:val="0"/>
              <w:adjustRightInd w:val="0"/>
              <w:snapToGrid w:val="0"/>
              <w:jc w:val="left"/>
              <w:rPr>
                <w:rFonts w:hint="default" w:ascii="Times New Roman" w:hAnsi="Times New Roman" w:eastAsia="宋体" w:cs="Times New Roman"/>
                <w:color w:val="000000"/>
                <w:szCs w:val="21"/>
                <w:highlight w:val="none"/>
                <w:lang w:val="en-US" w:eastAsia="zh-CN"/>
              </w:rPr>
            </w:pPr>
            <w:r>
              <w:rPr>
                <w:rFonts w:hint="default" w:ascii="Times New Roman" w:hAnsi="Times New Roman" w:eastAsia="宋体" w:cs="Times New Roman"/>
                <w:color w:val="000000"/>
                <w:sz w:val="21"/>
                <w:szCs w:val="21"/>
                <w:highlight w:val="none"/>
              </w:rPr>
              <w:t>①</w:t>
            </w:r>
            <w:r>
              <w:rPr>
                <w:rFonts w:hint="default" w:ascii="Times New Roman" w:hAnsi="Times New Roman" w:cs="Times New Roman"/>
                <w:color w:val="000000"/>
                <w:sz w:val="21"/>
                <w:szCs w:val="21"/>
                <w:highlight w:val="none"/>
                <w:lang w:eastAsia="zh-CN"/>
              </w:rPr>
              <w:t>危险废物暂存间</w:t>
            </w:r>
            <w:r>
              <w:rPr>
                <w:rFonts w:hint="default" w:ascii="Times New Roman" w:hAnsi="Times New Roman" w:eastAsia="宋体" w:cs="Times New Roman"/>
                <w:color w:val="000000"/>
                <w:sz w:val="21"/>
                <w:szCs w:val="21"/>
                <w:highlight w:val="none"/>
              </w:rPr>
              <w:t>地面做耐腐蚀硬化、防渗漏处理，且表面无裂隙，所使用的材料要与危险废物相容，地面和裙角等效黏土防渗层Mb≥6.0m，渗透系数≤10</w:t>
            </w:r>
            <w:r>
              <w:rPr>
                <w:rFonts w:hint="default" w:ascii="Times New Roman" w:hAnsi="Times New Roman" w:eastAsia="宋体" w:cs="Times New Roman"/>
                <w:color w:val="000000"/>
                <w:sz w:val="21"/>
                <w:szCs w:val="21"/>
                <w:highlight w:val="none"/>
                <w:vertAlign w:val="superscript"/>
              </w:rPr>
              <w:t>-10</w:t>
            </w:r>
            <w:r>
              <w:rPr>
                <w:rFonts w:hint="default" w:ascii="Times New Roman" w:hAnsi="Times New Roman" w:eastAsia="宋体" w:cs="Times New Roman"/>
                <w:color w:val="000000"/>
                <w:sz w:val="21"/>
                <w:szCs w:val="21"/>
                <w:highlight w:val="none"/>
              </w:rPr>
              <w:t>cm/s</w:t>
            </w:r>
            <w:r>
              <w:rPr>
                <w:rFonts w:hint="default" w:ascii="Times New Roman" w:hAnsi="Times New Roman"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或参照GB/T 50934执行；②危险物质应选择防腐、防渗、防磕碰、密封严密的容器进行贮存和运输，存储于阴凉、通风良好的车间内，远离火种、热源，应有专门人员看管</w:t>
            </w:r>
            <w:r>
              <w:rPr>
                <w:rFonts w:hint="default" w:ascii="Times New Roman" w:hAnsi="Times New Roman" w:cs="Times New Roman"/>
                <w:color w:val="000000"/>
                <w:sz w:val="21"/>
                <w:szCs w:val="21"/>
                <w:highlight w:val="none"/>
                <w:lang w:eastAsia="zh-CN"/>
              </w:rPr>
              <w:t>；</w:t>
            </w:r>
            <w:r>
              <w:rPr>
                <w:rFonts w:hint="default" w:ascii="Times New Roman" w:hAnsi="Times New Roman" w:cs="Times New Roman"/>
                <w:color w:val="000000"/>
                <w:sz w:val="21"/>
                <w:szCs w:val="21"/>
                <w:highlight w:val="none"/>
                <w:lang w:val="en-US" w:eastAsia="zh-CN"/>
              </w:rPr>
              <w:t>③</w:t>
            </w:r>
            <w:r>
              <w:rPr>
                <w:rFonts w:hint="default" w:ascii="Times New Roman" w:hAnsi="Times New Roman" w:eastAsia="宋体" w:cs="Times New Roman"/>
                <w:color w:val="000000"/>
                <w:sz w:val="21"/>
                <w:szCs w:val="21"/>
                <w:highlight w:val="none"/>
              </w:rPr>
              <w:t>车间地面</w:t>
            </w:r>
            <w:r>
              <w:rPr>
                <w:rFonts w:hint="default" w:ascii="Times New Roman" w:hAnsi="Times New Roman" w:cs="Times New Roman"/>
                <w:color w:val="000000"/>
                <w:sz w:val="21"/>
                <w:szCs w:val="21"/>
                <w:highlight w:val="none"/>
                <w:lang w:val="en-US" w:eastAsia="zh-CN"/>
              </w:rPr>
              <w:t>做到一般防渗区要求，</w:t>
            </w:r>
            <w:r>
              <w:rPr>
                <w:rFonts w:hint="default" w:ascii="Times New Roman" w:hAnsi="Times New Roman" w:eastAsia="宋体" w:cs="Times New Roman"/>
                <w:color w:val="000000"/>
                <w:sz w:val="21"/>
                <w:szCs w:val="21"/>
                <w:highlight w:val="none"/>
              </w:rPr>
              <w:t>底部及四壁采取三合土铺底，再在上层铺10~15cm的抗渗水泥进行硬化，或采取其他防渗措施，防渗水平应达到一般防渗区防渗要求（等效黏土防渗层Mb≥1.5，渗透系数K≤1.0×10</w:t>
            </w:r>
            <w:r>
              <w:rPr>
                <w:rFonts w:hint="default" w:ascii="Times New Roman" w:hAnsi="Times New Roman" w:eastAsia="宋体" w:cs="Times New Roman"/>
                <w:color w:val="000000"/>
                <w:sz w:val="21"/>
                <w:szCs w:val="21"/>
                <w:highlight w:val="none"/>
                <w:vertAlign w:val="superscript"/>
              </w:rPr>
              <w:t>-7</w:t>
            </w:r>
            <w:r>
              <w:rPr>
                <w:rFonts w:hint="default" w:ascii="Times New Roman" w:hAnsi="Times New Roman" w:eastAsia="宋体" w:cs="Times New Roman"/>
                <w:color w:val="000000"/>
                <w:sz w:val="21"/>
                <w:szCs w:val="21"/>
                <w:highlight w:val="none"/>
              </w:rPr>
              <w:t>cm/s）</w:t>
            </w:r>
            <w:r>
              <w:rPr>
                <w:rFonts w:hint="default" w:ascii="Times New Roman" w:hAnsi="Times New Roman" w:cs="Times New Roman"/>
                <w:color w:val="000000"/>
                <w:sz w:val="21"/>
                <w:szCs w:val="21"/>
                <w:highlight w:val="none"/>
                <w:lang w:eastAsia="zh-CN"/>
              </w:rPr>
              <w:t>，</w:t>
            </w:r>
            <w:r>
              <w:rPr>
                <w:rFonts w:hint="default" w:ascii="Times New Roman" w:hAnsi="Times New Roman" w:eastAsia="宋体" w:cs="Times New Roman"/>
                <w:color w:val="000000"/>
                <w:sz w:val="21"/>
                <w:szCs w:val="21"/>
                <w:highlight w:val="none"/>
              </w:rPr>
              <w:t>或参考GB16889执行</w:t>
            </w:r>
            <w:r>
              <w:rPr>
                <w:rFonts w:hint="default" w:ascii="Times New Roman" w:hAnsi="Times New Roman" w:cs="Times New Roman"/>
                <w:color w:val="000000"/>
                <w:sz w:val="21"/>
                <w:szCs w:val="21"/>
                <w:highlight w:val="none"/>
                <w:lang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zCs w:val="21"/>
                <w:highlight w:val="none"/>
              </w:rPr>
            </w:pPr>
            <w:r>
              <w:rPr>
                <w:rFonts w:hint="default" w:ascii="Times New Roman" w:hAnsi="Times New Roman" w:cs="Times New Roman"/>
                <w:color w:val="000000"/>
                <w:szCs w:val="21"/>
                <w:highlight w:val="none"/>
              </w:rPr>
              <w:t>生态保护措施</w:t>
            </w:r>
          </w:p>
        </w:tc>
        <w:tc>
          <w:tcPr>
            <w:tcW w:w="7325" w:type="dxa"/>
            <w:gridSpan w:val="6"/>
            <w:noWrap w:val="0"/>
            <w:vAlign w:val="center"/>
          </w:tcPr>
          <w:p>
            <w:pPr>
              <w:keepNext w:val="0"/>
              <w:keepLines w:val="0"/>
              <w:pageBreakBefore w:val="0"/>
              <w:widowControl w:val="0"/>
              <w:kinsoku/>
              <w:overflowPunct/>
              <w:topLinePunct w:val="0"/>
              <w:autoSpaceDE/>
              <w:autoSpaceDN/>
              <w:bidi w:val="0"/>
              <w:adjustRightInd w:val="0"/>
              <w:snapToGrid w:val="0"/>
              <w:jc w:val="both"/>
              <w:rPr>
                <w:rFonts w:hint="default" w:ascii="Times New Roman" w:hAnsi="Times New Roman" w:cs="Times New Roman"/>
                <w:color w:val="000000"/>
                <w:szCs w:val="21"/>
                <w:highlight w:val="none"/>
              </w:rPr>
            </w:pPr>
            <w:r>
              <w:rPr>
                <w:rFonts w:hint="default" w:ascii="Times New Roman" w:hAnsi="Times New Roman" w:eastAsia="宋体" w:cs="Times New Roman"/>
                <w:color w:val="000000"/>
                <w:sz w:val="21"/>
                <w:szCs w:val="21"/>
                <w:highlight w:val="none"/>
                <w:lang w:val="en-US" w:eastAsia="zh-CN"/>
              </w:rPr>
              <w:t>加强施工管理，并对施工人员进行文明施工教育，同时合理安排施工进度，要求土石方临时堆放场地设置围挡，表面用苫布覆盖，防止雨水冲刷，施工结束后应及时对施工场地及临时占地进行绿化和植被恢复，以此降低施工期带来的生态影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pacing w:val="-8"/>
                <w:szCs w:val="21"/>
                <w:highlight w:val="none"/>
              </w:rPr>
            </w:pPr>
            <w:r>
              <w:rPr>
                <w:rFonts w:hint="default" w:ascii="Times New Roman" w:hAnsi="Times New Roman" w:cs="Times New Roman"/>
                <w:color w:val="000000"/>
                <w:spacing w:val="-8"/>
                <w:szCs w:val="21"/>
                <w:highlight w:val="none"/>
              </w:rPr>
              <w:t>环境风险防范措施</w:t>
            </w:r>
          </w:p>
        </w:tc>
        <w:tc>
          <w:tcPr>
            <w:tcW w:w="7325" w:type="dxa"/>
            <w:gridSpan w:val="6"/>
            <w:noWrap w:val="0"/>
            <w:vAlign w:val="center"/>
          </w:tcPr>
          <w:p>
            <w:pPr>
              <w:keepNext w:val="0"/>
              <w:keepLines w:val="0"/>
              <w:pageBreakBefore w:val="0"/>
              <w:widowControl w:val="0"/>
              <w:kinsoku/>
              <w:overflowPunct/>
              <w:topLinePunct w:val="0"/>
              <w:autoSpaceDE/>
              <w:autoSpaceDN/>
              <w:bidi w:val="0"/>
              <w:snapToGrid w:val="0"/>
              <w:jc w:val="left"/>
              <w:textAlignment w:val="baseline"/>
              <w:rPr>
                <w:rFonts w:hint="default" w:ascii="Times New Roman" w:hAnsi="Times New Roman" w:eastAsia="宋体" w:cs="Times New Roman"/>
                <w:color w:val="000000"/>
                <w:szCs w:val="21"/>
                <w:highlight w:val="none"/>
              </w:rPr>
            </w:pPr>
            <w:r>
              <w:rPr>
                <w:rFonts w:hint="default" w:ascii="Times New Roman" w:hAnsi="Times New Roman" w:eastAsia="宋体" w:cs="Times New Roman"/>
                <w:color w:val="000000"/>
                <w:szCs w:val="21"/>
                <w:highlight w:val="none"/>
              </w:rPr>
              <w:t>①危废贮存间要有防风、防雨、防晒、防渗漏措施；</w:t>
            </w:r>
          </w:p>
          <w:p>
            <w:pPr>
              <w:keepNext w:val="0"/>
              <w:keepLines w:val="0"/>
              <w:pageBreakBefore w:val="0"/>
              <w:widowControl w:val="0"/>
              <w:kinsoku/>
              <w:overflowPunct/>
              <w:topLinePunct w:val="0"/>
              <w:autoSpaceDE/>
              <w:autoSpaceDN/>
              <w:bidi w:val="0"/>
              <w:snapToGrid w:val="0"/>
              <w:jc w:val="left"/>
              <w:textAlignment w:val="baseline"/>
              <w:rPr>
                <w:rFonts w:hint="default" w:ascii="Times New Roman" w:hAnsi="Times New Roman" w:eastAsia="宋体" w:cs="Times New Roman"/>
                <w:color w:val="000000"/>
                <w:szCs w:val="21"/>
                <w:highlight w:val="none"/>
              </w:rPr>
            </w:pPr>
            <w:r>
              <w:rPr>
                <w:rFonts w:hint="default" w:ascii="Times New Roman" w:hAnsi="Times New Roman" w:eastAsia="宋体" w:cs="Times New Roman"/>
                <w:color w:val="000000"/>
                <w:szCs w:val="21"/>
                <w:highlight w:val="none"/>
              </w:rPr>
              <w:t>②各危废采用专用容器盛放，且与拟贮存危险废物相容，并有明显标示标明具体物质名称，分类储存，禁止与一般工业固体废物混合存放；</w:t>
            </w:r>
          </w:p>
          <w:p>
            <w:pPr>
              <w:keepNext w:val="0"/>
              <w:keepLines w:val="0"/>
              <w:pageBreakBefore w:val="0"/>
              <w:widowControl w:val="0"/>
              <w:kinsoku/>
              <w:overflowPunct/>
              <w:topLinePunct w:val="0"/>
              <w:autoSpaceDE/>
              <w:autoSpaceDN/>
              <w:bidi w:val="0"/>
              <w:snapToGrid w:val="0"/>
              <w:jc w:val="left"/>
              <w:textAlignment w:val="baseline"/>
              <w:rPr>
                <w:rFonts w:hint="default" w:ascii="Times New Roman" w:hAnsi="Times New Roman" w:eastAsia="宋体" w:cs="Times New Roman"/>
                <w:color w:val="000000"/>
                <w:szCs w:val="21"/>
                <w:highlight w:val="none"/>
              </w:rPr>
            </w:pPr>
            <w:r>
              <w:rPr>
                <w:rFonts w:hint="default" w:ascii="Times New Roman" w:hAnsi="Times New Roman" w:eastAsia="宋体" w:cs="Times New Roman"/>
                <w:color w:val="000000"/>
                <w:szCs w:val="21"/>
                <w:highlight w:val="none"/>
              </w:rPr>
              <w:t>③危废暂存设施封闭，并设置危险废物警示标志，并由专人进行管理；</w:t>
            </w:r>
          </w:p>
          <w:p>
            <w:pPr>
              <w:keepNext w:val="0"/>
              <w:keepLines w:val="0"/>
              <w:pageBreakBefore w:val="0"/>
              <w:widowControl w:val="0"/>
              <w:kinsoku/>
              <w:overflowPunct/>
              <w:topLinePunct w:val="0"/>
              <w:autoSpaceDE/>
              <w:autoSpaceDN/>
              <w:bidi w:val="0"/>
              <w:adjustRightInd w:val="0"/>
              <w:snapToGrid w:val="0"/>
              <w:jc w:val="left"/>
              <w:rPr>
                <w:rFonts w:hint="default" w:ascii="Times New Roman" w:hAnsi="Times New Roman" w:cs="Times New Roman"/>
                <w:color w:val="000000"/>
                <w:szCs w:val="21"/>
                <w:highlight w:val="none"/>
              </w:rPr>
            </w:pPr>
            <w:r>
              <w:rPr>
                <w:rFonts w:hint="default" w:ascii="Times New Roman" w:hAnsi="Times New Roman" w:eastAsia="宋体" w:cs="Times New Roman"/>
                <w:color w:val="000000"/>
                <w:szCs w:val="21"/>
                <w:highlight w:val="none"/>
              </w:rPr>
              <w:t>④</w:t>
            </w:r>
            <w:r>
              <w:rPr>
                <w:rFonts w:hint="default" w:ascii="Times New Roman" w:hAnsi="Times New Roman" w:eastAsia="宋体" w:cs="Times New Roman"/>
                <w:color w:val="000000"/>
                <w:szCs w:val="21"/>
                <w:highlight w:val="none"/>
                <w:lang w:eastAsia="zh-CN"/>
              </w:rPr>
              <w:t>危险废物暂存间</w:t>
            </w:r>
            <w:r>
              <w:rPr>
                <w:rFonts w:hint="default" w:ascii="Times New Roman" w:hAnsi="Times New Roman" w:eastAsia="宋体" w:cs="Times New Roman"/>
                <w:color w:val="000000"/>
                <w:szCs w:val="21"/>
                <w:highlight w:val="none"/>
              </w:rPr>
              <w:t>地面、裙脚全部做硬化和防渗处理，</w:t>
            </w:r>
            <w:r>
              <w:rPr>
                <w:rFonts w:hint="default" w:ascii="Times New Roman" w:hAnsi="Times New Roman" w:eastAsia="宋体" w:cs="Times New Roman"/>
                <w:bCs/>
                <w:color w:val="000000"/>
                <w:szCs w:val="21"/>
                <w:highlight w:val="none"/>
              </w:rPr>
              <w:t>危废库设置围堰、做泄漏废液收集</w:t>
            </w:r>
            <w:r>
              <w:rPr>
                <w:rFonts w:hint="default" w:ascii="Times New Roman" w:hAnsi="Times New Roman" w:eastAsia="宋体" w:cs="Times New Roman"/>
                <w:bCs/>
                <w:color w:val="000000"/>
                <w:szCs w:val="21"/>
                <w:highlight w:val="none"/>
                <w:lang w:val="en-US" w:eastAsia="zh-CN"/>
              </w:rPr>
              <w:t>装置</w:t>
            </w:r>
            <w:r>
              <w:rPr>
                <w:rStyle w:val="81"/>
                <w:rFonts w:hint="default" w:ascii="Times New Roman" w:hAnsi="Times New Roman" w:cs="Times New Roman"/>
                <w:color w:val="000000"/>
                <w:szCs w:val="21"/>
                <w:highlight w:val="none"/>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475" w:type="dxa"/>
            <w:noWrap w:val="0"/>
            <w:vAlign w:val="center"/>
          </w:tcPr>
          <w:p>
            <w:pPr>
              <w:keepNext w:val="0"/>
              <w:keepLines w:val="0"/>
              <w:pageBreakBefore w:val="0"/>
              <w:widowControl w:val="0"/>
              <w:kinsoku/>
              <w:overflowPunct/>
              <w:topLinePunct w:val="0"/>
              <w:autoSpaceDE/>
              <w:autoSpaceDN/>
              <w:bidi w:val="0"/>
              <w:adjustRightInd w:val="0"/>
              <w:snapToGrid w:val="0"/>
              <w:jc w:val="center"/>
              <w:rPr>
                <w:rFonts w:hint="default" w:ascii="Times New Roman" w:hAnsi="Times New Roman" w:cs="Times New Roman"/>
                <w:color w:val="000000"/>
                <w:spacing w:val="-8"/>
                <w:szCs w:val="21"/>
                <w:highlight w:val="none"/>
              </w:rPr>
            </w:pPr>
            <w:r>
              <w:rPr>
                <w:rFonts w:hint="default" w:ascii="Times New Roman" w:hAnsi="Times New Roman" w:cs="Times New Roman"/>
                <w:color w:val="000000"/>
                <w:spacing w:val="-8"/>
                <w:szCs w:val="21"/>
                <w:highlight w:val="none"/>
              </w:rPr>
              <w:t>其他环境管理要求</w:t>
            </w:r>
          </w:p>
        </w:tc>
        <w:tc>
          <w:tcPr>
            <w:tcW w:w="7325" w:type="dxa"/>
            <w:gridSpan w:val="6"/>
            <w:noWrap w:val="0"/>
            <w:vAlign w:val="center"/>
          </w:tcPr>
          <w:p>
            <w:pPr>
              <w:keepNext w:val="0"/>
              <w:keepLines w:val="0"/>
              <w:pageBreakBefore w:val="0"/>
              <w:widowControl w:val="0"/>
              <w:kinsoku/>
              <w:overflowPunct/>
              <w:topLinePunct w:val="0"/>
              <w:autoSpaceDE/>
              <w:autoSpaceDN/>
              <w:bidi w:val="0"/>
              <w:snapToGrid w:val="0"/>
              <w:jc w:val="left"/>
              <w:textAlignment w:val="baseline"/>
              <w:rPr>
                <w:rStyle w:val="81"/>
                <w:rFonts w:hint="default" w:ascii="Times New Roman" w:hAnsi="Times New Roman" w:cs="Times New Roman"/>
                <w:color w:val="000000"/>
                <w:szCs w:val="21"/>
                <w:highlight w:val="none"/>
              </w:rPr>
            </w:pPr>
            <w:r>
              <w:rPr>
                <w:rStyle w:val="81"/>
                <w:rFonts w:hint="default" w:ascii="Times New Roman" w:hAnsi="Times New Roman" w:cs="Times New Roman"/>
                <w:color w:val="000000"/>
                <w:szCs w:val="21"/>
                <w:highlight w:val="none"/>
              </w:rPr>
              <w:t>①排污许可制度：根据《固定污染源排污许可分类管理名录（2019年版）》</w:t>
            </w:r>
            <w:r>
              <w:rPr>
                <w:rStyle w:val="81"/>
                <w:rFonts w:hint="default" w:ascii="Times New Roman" w:hAnsi="Times New Roman" w:cs="Times New Roman"/>
                <w:color w:val="000000"/>
                <w:szCs w:val="21"/>
                <w:highlight w:val="none"/>
                <w:lang w:val="en-US" w:eastAsia="zh-CN"/>
              </w:rPr>
              <w:t>本项目</w:t>
            </w:r>
            <w:r>
              <w:rPr>
                <w:rStyle w:val="81"/>
                <w:rFonts w:hint="default" w:ascii="Times New Roman" w:hAnsi="Times New Roman" w:cs="Times New Roman"/>
                <w:color w:val="000000"/>
                <w:szCs w:val="21"/>
                <w:highlight w:val="none"/>
              </w:rPr>
              <w:t>排污许可</w:t>
            </w:r>
            <w:r>
              <w:rPr>
                <w:rStyle w:val="81"/>
                <w:rFonts w:hint="default" w:ascii="Times New Roman" w:hAnsi="Times New Roman" w:cs="Times New Roman"/>
                <w:color w:val="000000"/>
                <w:szCs w:val="21"/>
                <w:highlight w:val="none"/>
                <w:lang w:val="en-US" w:eastAsia="zh-CN"/>
              </w:rPr>
              <w:t>为登记管理</w:t>
            </w:r>
            <w:r>
              <w:rPr>
                <w:rStyle w:val="81"/>
                <w:rFonts w:hint="default" w:ascii="Times New Roman" w:hAnsi="Times New Roman" w:cs="Times New Roman"/>
                <w:color w:val="000000"/>
                <w:szCs w:val="21"/>
                <w:highlight w:val="none"/>
              </w:rPr>
              <w:t>；</w:t>
            </w:r>
          </w:p>
          <w:p>
            <w:pPr>
              <w:keepNext w:val="0"/>
              <w:keepLines w:val="0"/>
              <w:pageBreakBefore w:val="0"/>
              <w:widowControl w:val="0"/>
              <w:kinsoku/>
              <w:overflowPunct/>
              <w:topLinePunct w:val="0"/>
              <w:autoSpaceDE/>
              <w:autoSpaceDN/>
              <w:bidi w:val="0"/>
              <w:snapToGrid w:val="0"/>
              <w:jc w:val="left"/>
              <w:textAlignment w:val="baseline"/>
              <w:rPr>
                <w:rStyle w:val="81"/>
                <w:rFonts w:hint="default" w:ascii="Times New Roman" w:hAnsi="Times New Roman" w:cs="Times New Roman"/>
                <w:color w:val="000000"/>
                <w:szCs w:val="21"/>
                <w:highlight w:val="none"/>
              </w:rPr>
            </w:pPr>
            <w:r>
              <w:rPr>
                <w:rStyle w:val="81"/>
                <w:rFonts w:hint="default" w:ascii="Times New Roman" w:hAnsi="Times New Roman" w:cs="Times New Roman"/>
                <w:color w:val="000000"/>
                <w:szCs w:val="21"/>
                <w:highlight w:val="none"/>
              </w:rPr>
              <w:t>②环保管理制度：企业应制定环境保护规章制度，由专人负责，环保管理制度；</w:t>
            </w:r>
          </w:p>
          <w:p>
            <w:pPr>
              <w:keepNext w:val="0"/>
              <w:keepLines w:val="0"/>
              <w:pageBreakBefore w:val="0"/>
              <w:widowControl w:val="0"/>
              <w:kinsoku/>
              <w:overflowPunct/>
              <w:topLinePunct w:val="0"/>
              <w:autoSpaceDE/>
              <w:autoSpaceDN/>
              <w:bidi w:val="0"/>
              <w:snapToGrid w:val="0"/>
              <w:jc w:val="left"/>
              <w:textAlignment w:val="baseline"/>
              <w:rPr>
                <w:rStyle w:val="81"/>
                <w:rFonts w:hint="default" w:ascii="Times New Roman" w:hAnsi="Times New Roman" w:cs="Times New Roman"/>
                <w:color w:val="000000"/>
                <w:szCs w:val="21"/>
                <w:highlight w:val="none"/>
              </w:rPr>
            </w:pPr>
            <w:r>
              <w:rPr>
                <w:rStyle w:val="81"/>
                <w:rFonts w:hint="default" w:ascii="Times New Roman" w:hAnsi="Times New Roman" w:cs="Times New Roman"/>
                <w:color w:val="000000"/>
                <w:szCs w:val="21"/>
                <w:highlight w:val="none"/>
              </w:rPr>
              <w:t>③竣工验收制度：根据《建设项目竣工环境保护验收暂行办法》，建设项目配套建设的环境保护设施竣工后，公开竣工日期；对配套建设的环境保护设施进行调试前，公开调试的起止日期；验收报告编制完成后5个工作日内，公开验收报告，公示的期限不得少于20个工作日；建设单位公开上述信息的同时，应当向所在地县级以上环境保护主管部门报送相关信息，并接受监督检查；</w:t>
            </w:r>
          </w:p>
          <w:p>
            <w:pPr>
              <w:keepNext w:val="0"/>
              <w:keepLines w:val="0"/>
              <w:pageBreakBefore w:val="0"/>
              <w:widowControl w:val="0"/>
              <w:kinsoku/>
              <w:overflowPunct/>
              <w:topLinePunct w:val="0"/>
              <w:autoSpaceDE/>
              <w:autoSpaceDN/>
              <w:bidi w:val="0"/>
              <w:snapToGrid w:val="0"/>
              <w:jc w:val="left"/>
              <w:textAlignment w:val="baseline"/>
              <w:rPr>
                <w:rStyle w:val="81"/>
                <w:rFonts w:hint="default" w:ascii="Times New Roman" w:hAnsi="Times New Roman" w:cs="Times New Roman"/>
                <w:color w:val="000000"/>
                <w:szCs w:val="21"/>
                <w:highlight w:val="none"/>
                <w:lang w:val="en-US" w:eastAsia="zh-CN"/>
              </w:rPr>
            </w:pPr>
            <w:r>
              <w:rPr>
                <w:rStyle w:val="81"/>
                <w:rFonts w:hint="default" w:ascii="Times New Roman" w:hAnsi="Times New Roman" w:cs="Times New Roman"/>
                <w:color w:val="000000"/>
                <w:szCs w:val="21"/>
                <w:highlight w:val="none"/>
              </w:rPr>
              <w:t>④</w:t>
            </w:r>
            <w:r>
              <w:rPr>
                <w:rStyle w:val="81"/>
                <w:rFonts w:hint="default" w:ascii="Times New Roman" w:hAnsi="Times New Roman" w:cs="Times New Roman"/>
                <w:color w:val="000000"/>
                <w:szCs w:val="21"/>
                <w:highlight w:val="none"/>
                <w:lang w:val="en-US" w:eastAsia="zh-CN"/>
              </w:rPr>
              <w:t>落实自行监测计划。</w:t>
            </w:r>
          </w:p>
        </w:tc>
      </w:tr>
    </w:tbl>
    <w:p>
      <w:pPr>
        <w:pStyle w:val="28"/>
        <w:keepNext w:val="0"/>
        <w:keepLines w:val="0"/>
        <w:pageBreakBefore w:val="0"/>
        <w:widowControl/>
        <w:kinsoku/>
        <w:wordWrap/>
        <w:overflowPunct/>
        <w:topLinePunct w:val="0"/>
        <w:autoSpaceDE/>
        <w:autoSpaceDN/>
        <w:bidi w:val="0"/>
        <w:adjustRightInd/>
        <w:snapToGrid/>
        <w:spacing w:before="0" w:beforeAutospacing="0" w:after="0" w:afterAutospacing="0"/>
        <w:jc w:val="center"/>
        <w:textAlignment w:val="auto"/>
        <w:outlineLvl w:val="0"/>
        <w:rPr>
          <w:rFonts w:hint="default" w:ascii="Times New Roman" w:hAnsi="Times New Roman" w:eastAsia="黑体" w:cs="Times New Roman"/>
          <w:snapToGrid w:val="0"/>
          <w:color w:val="000000"/>
          <w:sz w:val="30"/>
          <w:szCs w:val="30"/>
          <w:highlight w:val="none"/>
        </w:rPr>
      </w:pPr>
      <w:r>
        <w:rPr>
          <w:rFonts w:hint="default" w:ascii="Times New Roman" w:hAnsi="Times New Roman" w:cs="Times New Roman"/>
          <w:snapToGrid w:val="0"/>
          <w:color w:val="000000"/>
          <w:highlight w:val="none"/>
        </w:rPr>
        <w:br w:type="page"/>
      </w:r>
      <w:r>
        <w:rPr>
          <w:rFonts w:hint="default" w:ascii="Times New Roman" w:hAnsi="Times New Roman" w:eastAsia="黑体" w:cs="Times New Roman"/>
          <w:snapToGrid w:val="0"/>
          <w:color w:val="000000"/>
          <w:sz w:val="30"/>
          <w:szCs w:val="30"/>
          <w:highlight w:val="none"/>
        </w:rPr>
        <w:t>六、结论</w:t>
      </w:r>
      <w:bookmarkEnd w:id="49"/>
    </w:p>
    <w:tbl>
      <w:tblPr>
        <w:tblStyle w:val="32"/>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955" w:hRule="atLeast"/>
          <w:jc w:val="center"/>
        </w:trPr>
        <w:tc>
          <w:tcPr>
            <w:tcW w:w="8865" w:type="dxa"/>
            <w:noWrap w:val="0"/>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b w:val="0"/>
                <w:bCs w:val="0"/>
                <w:color w:val="000000"/>
                <w:sz w:val="24"/>
                <w:szCs w:val="24"/>
                <w:highlight w:val="none"/>
                <w:lang w:eastAsia="zh-CN"/>
              </w:rPr>
            </w:pPr>
            <w:r>
              <w:rPr>
                <w:rFonts w:hint="default" w:ascii="Times New Roman" w:hAnsi="Times New Roman" w:cs="Times New Roman"/>
                <w:b w:val="0"/>
                <w:bCs w:val="0"/>
                <w:color w:val="000000"/>
                <w:sz w:val="24"/>
                <w:szCs w:val="24"/>
                <w:highlight w:val="none"/>
                <w:lang w:val="en-US" w:eastAsia="zh-CN"/>
              </w:rPr>
              <w:t>1、</w:t>
            </w:r>
            <w:r>
              <w:rPr>
                <w:rFonts w:hint="default" w:ascii="Times New Roman" w:hAnsi="Times New Roman" w:cs="Times New Roman"/>
                <w:b w:val="0"/>
                <w:bCs w:val="0"/>
                <w:color w:val="000000"/>
                <w:sz w:val="24"/>
                <w:szCs w:val="24"/>
                <w:highlight w:val="none"/>
                <w:lang w:eastAsia="zh-CN"/>
              </w:rPr>
              <w:t>项目概况</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（1）项目名称：</w:t>
            </w:r>
            <w:r>
              <w:rPr>
                <w:rFonts w:hint="default" w:ascii="Times New Roman" w:hAnsi="Times New Roman" w:cs="Times New Roman"/>
                <w:color w:val="000000"/>
                <w:sz w:val="24"/>
                <w:szCs w:val="24"/>
                <w:highlight w:val="none"/>
                <w:lang w:eastAsia="zh-CN"/>
              </w:rPr>
              <w:t>智能机器人研发生产基地项目</w:t>
            </w:r>
            <w:r>
              <w:rPr>
                <w:rFonts w:hint="default" w:ascii="Times New Roman" w:hAnsi="Times New Roman" w:cs="Times New Roman"/>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（2）建设单位：</w:t>
            </w:r>
            <w:r>
              <w:rPr>
                <w:rFonts w:hint="default" w:ascii="Times New Roman" w:hAnsi="Times New Roman" w:cs="Times New Roman"/>
                <w:color w:val="000000"/>
                <w:sz w:val="24"/>
                <w:szCs w:val="24"/>
                <w:highlight w:val="none"/>
                <w:lang w:val="en-US" w:eastAsia="zh-CN"/>
              </w:rPr>
              <w:t>中科(秦皇岛)控制技术有限公司</w:t>
            </w:r>
            <w:r>
              <w:rPr>
                <w:rFonts w:hint="default" w:ascii="Times New Roman" w:hAnsi="Times New Roman" w:cs="Times New Roman"/>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（3）建设性质：</w:t>
            </w:r>
            <w:r>
              <w:rPr>
                <w:rFonts w:hint="default" w:ascii="Times New Roman" w:hAnsi="Times New Roman" w:cs="Times New Roman"/>
                <w:color w:val="000000"/>
                <w:sz w:val="24"/>
                <w:szCs w:val="24"/>
                <w:highlight w:val="none"/>
                <w:lang w:eastAsia="zh-CN"/>
              </w:rPr>
              <w:t>新</w:t>
            </w:r>
            <w:r>
              <w:rPr>
                <w:rFonts w:hint="default" w:ascii="Times New Roman" w:hAnsi="Times New Roman" w:cs="Times New Roman"/>
                <w:color w:val="000000"/>
                <w:sz w:val="24"/>
                <w:szCs w:val="24"/>
                <w:highlight w:val="none"/>
              </w:rPr>
              <w:t>建。</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4</w:t>
            </w:r>
            <w:r>
              <w:rPr>
                <w:rFonts w:hint="default" w:ascii="Times New Roman" w:hAnsi="Times New Roman" w:cs="Times New Roman"/>
                <w:color w:val="000000"/>
                <w:sz w:val="24"/>
                <w:szCs w:val="24"/>
                <w:highlight w:val="none"/>
              </w:rPr>
              <w:t>）地理位置及周边关系：</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项目位于</w:t>
            </w:r>
            <w:r>
              <w:rPr>
                <w:rFonts w:hint="default" w:ascii="Times New Roman" w:hAnsi="Times New Roman" w:cs="Times New Roman"/>
                <w:color w:val="000000"/>
                <w:sz w:val="24"/>
                <w:szCs w:val="24"/>
                <w:highlight w:val="none"/>
                <w:lang w:eastAsia="zh-CN"/>
              </w:rPr>
              <w:t>抚宁经济开发区北区三抚路西侧，环城北路北侧</w:t>
            </w:r>
            <w:r>
              <w:rPr>
                <w:rFonts w:hint="default" w:ascii="Times New Roman" w:hAnsi="Times New Roman" w:cs="Times New Roman"/>
                <w:color w:val="000000"/>
                <w:sz w:val="24"/>
                <w:szCs w:val="24"/>
                <w:highlight w:val="none"/>
              </w:rPr>
              <w:t>，所在位置中心地理坐标为东经119°13′23.00840″，北纬39°54′38.94275″。</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项目东侧为三抚路，南侧为环城北路，</w:t>
            </w:r>
            <w:r>
              <w:rPr>
                <w:rFonts w:hint="default" w:ascii="Times New Roman" w:hAnsi="Times New Roman" w:cs="Times New Roman"/>
                <w:color w:val="000000" w:themeColor="text1"/>
                <w:sz w:val="24"/>
                <w:szCs w:val="24"/>
                <w:highlight w:val="none"/>
                <w:shd w:val="clear" w:color="auto" w:fill="auto"/>
                <w:lang w:val="en-US" w:eastAsia="zh-CN"/>
                <w14:textFill>
                  <w14:solidFill>
                    <w14:schemeClr w14:val="tx1"/>
                  </w14:solidFill>
                </w14:textFill>
              </w:rPr>
              <w:t>南侧为空地，西侧为秦皇岛正鸿机动车检测有限公司</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。距</w:t>
            </w:r>
            <w:r>
              <w:rPr>
                <w:rFonts w:hint="default" w:ascii="Times New Roman" w:hAnsi="Times New Roman" w:cs="Times New Roman"/>
                <w:color w:val="000000" w:themeColor="text1"/>
                <w:sz w:val="24"/>
                <w:szCs w:val="24"/>
                <w:highlight w:val="none"/>
                <w:lang w:eastAsia="zh-CN"/>
                <w14:textFill>
                  <w14:solidFill>
                    <w14:schemeClr w14:val="tx1"/>
                  </w14:solidFill>
                </w14:textFill>
              </w:rPr>
              <w:t>离项目最近的敏感点为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南侧94m处的大李官营村</w:t>
            </w:r>
            <w:r>
              <w:rPr>
                <w:rFonts w:hint="default" w:ascii="Times New Roman" w:hAnsi="Times New Roman" w:cs="Times New Roman"/>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5</w:t>
            </w:r>
            <w:r>
              <w:rPr>
                <w:rFonts w:hint="default" w:ascii="Times New Roman" w:hAnsi="Times New Roman" w:cs="Times New Roman"/>
                <w:color w:val="000000"/>
                <w:sz w:val="24"/>
                <w:szCs w:val="24"/>
                <w:highlight w:val="none"/>
              </w:rPr>
              <w:t>）项目投资：项目总投资</w:t>
            </w:r>
            <w:r>
              <w:rPr>
                <w:rFonts w:hint="default" w:ascii="Times New Roman" w:hAnsi="Times New Roman" w:cs="Times New Roman"/>
                <w:color w:val="000000"/>
                <w:sz w:val="24"/>
                <w:szCs w:val="24"/>
                <w:highlight w:val="none"/>
                <w:lang w:val="en-US" w:eastAsia="zh-CN"/>
              </w:rPr>
              <w:t>10000</w:t>
            </w:r>
            <w:r>
              <w:rPr>
                <w:rFonts w:hint="default" w:ascii="Times New Roman" w:hAnsi="Times New Roman" w:cs="Times New Roman"/>
                <w:color w:val="000000"/>
                <w:sz w:val="24"/>
                <w:szCs w:val="24"/>
                <w:highlight w:val="none"/>
              </w:rPr>
              <w:t>万元，其中环保投资</w:t>
            </w:r>
            <w:r>
              <w:rPr>
                <w:rFonts w:hint="default" w:ascii="Times New Roman" w:hAnsi="Times New Roman" w:cs="Times New Roman"/>
                <w:color w:val="000000"/>
                <w:sz w:val="24"/>
                <w:szCs w:val="24"/>
                <w:highlight w:val="none"/>
                <w:lang w:val="en-US" w:eastAsia="zh-CN"/>
              </w:rPr>
              <w:t>20</w:t>
            </w:r>
            <w:r>
              <w:rPr>
                <w:rFonts w:hint="default" w:ascii="Times New Roman" w:hAnsi="Times New Roman" w:cs="Times New Roman"/>
                <w:color w:val="000000"/>
                <w:sz w:val="24"/>
                <w:szCs w:val="24"/>
                <w:highlight w:val="none"/>
              </w:rPr>
              <w:t>万元，占总投资的</w:t>
            </w:r>
            <w:r>
              <w:rPr>
                <w:rFonts w:hint="default" w:ascii="Times New Roman" w:hAnsi="Times New Roman" w:cs="Times New Roman"/>
                <w:color w:val="000000"/>
                <w:sz w:val="24"/>
                <w:szCs w:val="24"/>
                <w:highlight w:val="none"/>
                <w:lang w:val="en-US" w:eastAsia="zh-CN"/>
              </w:rPr>
              <w:t>0.2</w:t>
            </w:r>
            <w:r>
              <w:rPr>
                <w:rFonts w:hint="default" w:ascii="Times New Roman" w:hAnsi="Times New Roman" w:cs="Times New Roman"/>
                <w:color w:val="000000"/>
                <w:sz w:val="24"/>
                <w:szCs w:val="24"/>
                <w:highlight w:val="none"/>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lang w:val="en-US" w:eastAsia="zh-CN"/>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6</w:t>
            </w:r>
            <w:r>
              <w:rPr>
                <w:rFonts w:hint="default" w:ascii="Times New Roman" w:hAnsi="Times New Roman" w:cs="Times New Roman"/>
                <w:color w:val="000000"/>
                <w:sz w:val="24"/>
                <w:szCs w:val="24"/>
                <w:highlight w:val="none"/>
              </w:rPr>
              <w:t>）劳动定员及工作制度：</w:t>
            </w:r>
            <w:r>
              <w:rPr>
                <w:rFonts w:hint="default" w:ascii="Times New Roman" w:hAnsi="Times New Roman" w:cs="Times New Roman"/>
                <w:color w:val="000000"/>
                <w:sz w:val="24"/>
                <w:szCs w:val="24"/>
                <w:highlight w:val="none"/>
                <w:lang w:eastAsia="zh-CN"/>
              </w:rPr>
              <w:t>项目劳动定员</w:t>
            </w:r>
            <w:r>
              <w:rPr>
                <w:rFonts w:hint="default" w:ascii="Times New Roman" w:hAnsi="Times New Roman" w:cs="Times New Roman"/>
                <w:color w:val="000000"/>
                <w:sz w:val="24"/>
                <w:szCs w:val="24"/>
                <w:highlight w:val="none"/>
                <w:lang w:val="en-US" w:eastAsia="zh-CN"/>
              </w:rPr>
              <w:t>60人</w:t>
            </w: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eastAsia="zh-CN"/>
              </w:rPr>
              <w:t>每</w:t>
            </w:r>
            <w:r>
              <w:rPr>
                <w:rFonts w:hint="default" w:ascii="Times New Roman" w:hAnsi="Times New Roman" w:cs="Times New Roman"/>
                <w:color w:val="000000"/>
                <w:sz w:val="24"/>
                <w:szCs w:val="24"/>
                <w:highlight w:val="none"/>
                <w:lang w:val="en-US" w:eastAsia="zh-CN"/>
              </w:rPr>
              <w:t>班</w:t>
            </w:r>
            <w:r>
              <w:rPr>
                <w:rFonts w:hint="default" w:ascii="Times New Roman" w:hAnsi="Times New Roman" w:cs="Times New Roman"/>
                <w:color w:val="000000"/>
                <w:sz w:val="24"/>
                <w:szCs w:val="24"/>
                <w:highlight w:val="none"/>
                <w:lang w:eastAsia="zh-CN"/>
              </w:rPr>
              <w:t>工作</w:t>
            </w:r>
            <w:r>
              <w:rPr>
                <w:rFonts w:hint="default" w:ascii="Times New Roman" w:hAnsi="Times New Roman" w:cs="Times New Roman"/>
                <w:color w:val="000000"/>
                <w:sz w:val="24"/>
                <w:szCs w:val="24"/>
                <w:highlight w:val="none"/>
                <w:lang w:val="en-US" w:eastAsia="zh-CN"/>
              </w:rPr>
              <w:t>8小时，昼间单班8h制生产，年工作300天。</w:t>
            </w:r>
          </w:p>
          <w:p>
            <w:pPr>
              <w:keepNext w:val="0"/>
              <w:keepLines w:val="0"/>
              <w:pageBreakBefore w:val="0"/>
              <w:widowControl w:val="0"/>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w:t>
            </w:r>
            <w:r>
              <w:rPr>
                <w:rFonts w:hint="default" w:ascii="Times New Roman" w:hAnsi="Times New Roman" w:cs="Times New Roman"/>
                <w:color w:val="000000"/>
                <w:sz w:val="24"/>
                <w:szCs w:val="24"/>
                <w:highlight w:val="none"/>
                <w:lang w:val="en-US" w:eastAsia="zh-CN"/>
              </w:rPr>
              <w:t>7</w:t>
            </w:r>
            <w:r>
              <w:rPr>
                <w:rFonts w:hint="default" w:ascii="Times New Roman" w:hAnsi="Times New Roman" w:cs="Times New Roman"/>
                <w:color w:val="000000"/>
                <w:sz w:val="24"/>
                <w:szCs w:val="24"/>
                <w:highlight w:val="none"/>
              </w:rPr>
              <w:t>）建设内容及规模：</w:t>
            </w:r>
          </w:p>
          <w:p>
            <w:pPr>
              <w:keepNext w:val="0"/>
              <w:keepLines w:val="0"/>
              <w:pageBreakBefore w:val="0"/>
              <w:widowControl w:val="0"/>
              <w:kinsoku/>
              <w:wordWrap/>
              <w:overflowPunct/>
              <w:topLinePunct w:val="0"/>
              <w:autoSpaceDE w:val="0"/>
              <w:autoSpaceDN w:val="0"/>
              <w:bidi w:val="0"/>
              <w:adjustRightInd w:val="0"/>
              <w:snapToGrid w:val="0"/>
              <w:spacing w:line="480" w:lineRule="exact"/>
              <w:ind w:firstLine="480" w:firstLineChars="200"/>
              <w:jc w:val="both"/>
              <w:textAlignment w:val="auto"/>
              <w:rPr>
                <w:rFonts w:hint="default" w:ascii="Times New Roman" w:hAnsi="Times New Roman" w:eastAsia="宋体" w:cs="Times New Roman"/>
                <w:color w:val="000000"/>
                <w:sz w:val="24"/>
                <w:szCs w:val="24"/>
                <w:highlight w:val="none"/>
                <w:lang w:val="en-US" w:eastAsia="zh-CN"/>
              </w:rPr>
            </w:pPr>
            <w:r>
              <w:rPr>
                <w:rFonts w:hint="default" w:ascii="Times New Roman" w:hAnsi="Times New Roman" w:cs="Times New Roman"/>
                <w:color w:val="000000"/>
                <w:sz w:val="24"/>
                <w:szCs w:val="24"/>
                <w:highlight w:val="none"/>
                <w:lang w:val="en-US" w:eastAsia="zh-CN"/>
              </w:rPr>
              <w:t>本项目总占地面积约30.38亩，总建筑面积为14380平方米，主要建设生产车间，配套建设给排水、电气、弱电、消防、暖通、道路、停车场、照明、绿化等公用设施，购置数控龙门铣床、加工中心、数控车床、数控切割机、数控镗床、线束设备、剪板机、折弯机等国内外先进设备68台套，项目建成后，年产人形机器人、特种机器人、服务机器人、类机器人产品、工业机器人、集成电路、机器人零部件等科技产品600台套。</w:t>
            </w:r>
          </w:p>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2、环境影响分析结论</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（1）废气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1）有组织废气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①抛丸废气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项目抛丸</w:t>
            </w:r>
            <w:r>
              <w:rPr>
                <w:rFonts w:hint="default" w:ascii="Times New Roman" w:hAnsi="Times New Roman" w:cs="Times New Roman"/>
                <w:b w:val="0"/>
                <w:bCs w:val="0"/>
                <w:color w:val="000000"/>
                <w:sz w:val="24"/>
                <w:szCs w:val="24"/>
                <w:highlight w:val="none"/>
                <w:lang w:val="en-US" w:eastAsia="zh-CN"/>
              </w:rPr>
              <w:t>机</w:t>
            </w:r>
            <w:r>
              <w:rPr>
                <w:rFonts w:hint="default" w:ascii="Times New Roman" w:hAnsi="Times New Roman" w:eastAsia="宋体" w:cs="Times New Roman"/>
                <w:b w:val="0"/>
                <w:bCs w:val="0"/>
                <w:color w:val="000000"/>
                <w:sz w:val="24"/>
                <w:szCs w:val="24"/>
                <w:highlight w:val="none"/>
                <w:lang w:val="en-US" w:eastAsia="zh-CN"/>
              </w:rPr>
              <w:t>产生的颗粒物采用三级除尘</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沉降除尘+旋风+高效滤</w:t>
            </w:r>
            <w:r>
              <w:rPr>
                <w:rFonts w:hint="default" w:ascii="Times New Roman" w:hAnsi="Times New Roman" w:cs="Times New Roman"/>
                <w:b w:val="0"/>
                <w:bCs w:val="0"/>
                <w:color w:val="000000"/>
                <w:sz w:val="24"/>
                <w:szCs w:val="24"/>
                <w:highlight w:val="none"/>
                <w:lang w:val="en-US" w:eastAsia="zh-CN"/>
              </w:rPr>
              <w:t>筒</w:t>
            </w:r>
            <w:r>
              <w:rPr>
                <w:rFonts w:hint="default" w:ascii="Times New Roman" w:hAnsi="Times New Roman" w:eastAsia="宋体" w:cs="Times New Roman"/>
                <w:b w:val="0"/>
                <w:bCs w:val="0"/>
                <w:color w:val="000000"/>
                <w:sz w:val="24"/>
                <w:szCs w:val="24"/>
                <w:highlight w:val="none"/>
                <w:lang w:val="en-US" w:eastAsia="zh-CN"/>
              </w:rPr>
              <w:t>除尘器除尘</w:t>
            </w:r>
            <w:r>
              <w:rPr>
                <w:rFonts w:hint="default" w:ascii="Times New Roman" w:hAnsi="Times New Roman" w:cs="Times New Roman"/>
                <w:b w:val="0"/>
                <w:bCs w:val="0"/>
                <w:color w:val="000000"/>
                <w:sz w:val="24"/>
                <w:szCs w:val="24"/>
                <w:highlight w:val="none"/>
                <w:lang w:val="en-US" w:eastAsia="zh-CN"/>
              </w:rPr>
              <w:t>处理后经排气筒（DA001）排</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放，</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0.17</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《大气污染物综合排放标准（GB16297-1996）表2二级标准要求</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120mg/m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②</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喷漆房</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vertAlign w:val="baseline"/>
                <w:lang w:val="en-US" w:eastAsia="zh-CN"/>
                <w14:textFill>
                  <w14:solidFill>
                    <w14:schemeClr w14:val="tx1"/>
                  </w14:solidFill>
                </w14:textFill>
              </w:rPr>
            </w:pP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本</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项目</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采用密闭式喷漆房</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由风机使喷漆房内形成微负压状态，将喷漆产生的漆雾等废气经干式过滤+活性炭吸附+催化燃烧处理后经排气筒（DA002）排放，非甲烷总烃（包括二甲苯）</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33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《工业企业挥发性有机物排放控制标准》（DB13/2322-2016）中表1表面涂装业</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排放限制要求60mg/m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；项目喷漆</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工序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颗粒物</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排放浓度为</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1.98</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《大气污染物综合排放标准》（GB16297-1996）表2中颗粒物染料尘限值</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18</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③</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食堂油烟</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本项目</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食堂</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采用油烟净化</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器</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（按风量</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1</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000m</w:t>
            </w:r>
            <w:r>
              <w:rPr>
                <w:rFonts w:hint="default" w:ascii="Times New Roman" w:hAnsi="Times New Roman" w:eastAsia="宋体"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/h计）对油烟进行净化处理，净化后</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经排气筒（DA003）排放，</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油烟排放浓度为0.</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71</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eastAsia="宋体"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满足</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《餐饮业大气污染物排放标准》(DB13/5808-2023)小型餐饮服务单位</w:t>
            </w:r>
            <w:r>
              <w:rPr>
                <w:rFonts w:hint="default" w:ascii="Times New Roman" w:hAnsi="Times New Roman" w:cs="Times New Roman"/>
                <w:b w:val="0"/>
                <w:bCs w:val="0"/>
                <w:color w:val="000000" w:themeColor="text1"/>
                <w:sz w:val="24"/>
                <w:szCs w:val="24"/>
                <w:highlight w:val="none"/>
                <w:lang w:val="en-US" w:eastAsia="zh-CN"/>
                <w14:textFill>
                  <w14:solidFill>
                    <w14:schemeClr w14:val="tx1"/>
                  </w14:solidFill>
                </w14:textFill>
              </w:rPr>
              <w:t>油烟排放限制1.5</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mg/m</w:t>
            </w:r>
            <w:r>
              <w:rPr>
                <w:rFonts w:hint="default" w:ascii="Times New Roman" w:hAnsi="Times New Roman" w:cs="Times New Roman"/>
                <w:b w:val="0"/>
                <w:bCs w:val="0"/>
                <w:color w:val="000000" w:themeColor="text1"/>
                <w:sz w:val="24"/>
                <w:szCs w:val="24"/>
                <w:highlight w:val="none"/>
                <w:vertAlign w:val="superscript"/>
                <w:lang w:val="en-US" w:eastAsia="zh-CN"/>
                <w14:textFill>
                  <w14:solidFill>
                    <w14:schemeClr w14:val="tx1"/>
                  </w14:solidFill>
                </w14:textFill>
              </w:rPr>
              <w:t>3</w:t>
            </w:r>
            <w:r>
              <w:rPr>
                <w:rFonts w:hint="default" w:ascii="Times New Roman" w:hAnsi="Times New Roman" w:cs="Times New Roman"/>
                <w:b w:val="0"/>
                <w:bCs w:val="0"/>
                <w:color w:val="000000" w:themeColor="text1"/>
                <w:sz w:val="24"/>
                <w:szCs w:val="24"/>
                <w:highlight w:val="none"/>
                <w:vertAlign w:val="baseline"/>
                <w:lang w:val="en-US" w:eastAsia="zh-CN"/>
                <w14:textFill>
                  <w14:solidFill>
                    <w14:schemeClr w14:val="tx1"/>
                  </w14:solidFill>
                </w14:textFill>
              </w:rPr>
              <w:t>。</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2）无组织废气</w:t>
            </w:r>
          </w:p>
          <w:p>
            <w:pPr>
              <w:keepNext w:val="0"/>
              <w:keepLines w:val="0"/>
              <w:pageBreakBefore w:val="0"/>
              <w:widowControl w:val="0"/>
              <w:kinsoku/>
              <w:wordWrap/>
              <w:overflowPunct/>
              <w:topLinePunct w:val="0"/>
              <w:autoSpaceDE w:val="0"/>
              <w:autoSpaceDN w:val="0"/>
              <w:bidi w:val="0"/>
              <w:adjustRightInd/>
              <w:snapToGrid w:val="0"/>
              <w:spacing w:line="480" w:lineRule="exact"/>
              <w:ind w:firstLine="480" w:firstLineChars="200"/>
              <w:jc w:val="left"/>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cs="Times New Roman"/>
                <w:b w:val="0"/>
                <w:bCs w:val="0"/>
                <w:color w:val="000000"/>
                <w:sz w:val="24"/>
                <w:szCs w:val="24"/>
                <w:highlight w:val="none"/>
                <w:lang w:val="en-US" w:eastAsia="zh-CN"/>
              </w:rPr>
              <w:t>本</w:t>
            </w:r>
            <w:r>
              <w:rPr>
                <w:rFonts w:hint="default" w:ascii="Times New Roman" w:hAnsi="Times New Roman" w:eastAsia="宋体" w:cs="Times New Roman"/>
                <w:b w:val="0"/>
                <w:bCs w:val="0"/>
                <w:color w:val="000000"/>
                <w:sz w:val="24"/>
                <w:szCs w:val="24"/>
                <w:highlight w:val="none"/>
                <w:lang w:val="en-US" w:eastAsia="zh-CN"/>
              </w:rPr>
              <w:t>项目在</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工序会产生一定量的颗粒物，项目</w:t>
            </w:r>
            <w:r>
              <w:rPr>
                <w:rFonts w:hint="default" w:ascii="Times New Roman" w:hAnsi="Times New Roman" w:cs="Times New Roman"/>
                <w:b w:val="0"/>
                <w:bCs w:val="0"/>
                <w:color w:val="000000"/>
                <w:sz w:val="24"/>
                <w:szCs w:val="24"/>
                <w:highlight w:val="none"/>
                <w:lang w:val="en-US" w:eastAsia="zh-CN"/>
              </w:rPr>
              <w:t>下料</w:t>
            </w:r>
            <w:r>
              <w:rPr>
                <w:rFonts w:hint="default" w:ascii="Times New Roman" w:hAnsi="Times New Roman" w:eastAsia="宋体" w:cs="Times New Roman"/>
                <w:b w:val="0"/>
                <w:bCs w:val="0"/>
                <w:color w:val="000000"/>
                <w:sz w:val="24"/>
                <w:szCs w:val="24"/>
                <w:highlight w:val="none"/>
                <w:lang w:val="en-US" w:eastAsia="zh-CN"/>
              </w:rPr>
              <w:t>区封闭，采用移动式焊烟净化器处理后无组织排放的颗粒物为0.</w:t>
            </w:r>
            <w:r>
              <w:rPr>
                <w:rFonts w:hint="default" w:ascii="Times New Roman" w:hAnsi="Times New Roman" w:cs="Times New Roman"/>
                <w:b w:val="0"/>
                <w:bCs w:val="0"/>
                <w:color w:val="000000"/>
                <w:sz w:val="24"/>
                <w:szCs w:val="24"/>
                <w:highlight w:val="none"/>
                <w:lang w:val="en-US" w:eastAsia="zh-CN"/>
              </w:rPr>
              <w:t>010</w:t>
            </w:r>
            <w:r>
              <w:rPr>
                <w:rFonts w:hint="default" w:ascii="Times New Roman" w:hAnsi="Times New Roman" w:eastAsia="宋体" w:cs="Times New Roman"/>
                <w:b w:val="0"/>
                <w:bCs w:val="0"/>
                <w:color w:val="000000"/>
                <w:sz w:val="24"/>
                <w:szCs w:val="24"/>
                <w:highlight w:val="none"/>
                <w:lang w:val="en-US" w:eastAsia="zh-CN"/>
              </w:rPr>
              <w:t>t</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a，排放速率为0.</w:t>
            </w:r>
            <w:r>
              <w:rPr>
                <w:rFonts w:hint="default" w:ascii="Times New Roman" w:hAnsi="Times New Roman" w:cs="Times New Roman"/>
                <w:b w:val="0"/>
                <w:bCs w:val="0"/>
                <w:color w:val="000000"/>
                <w:sz w:val="24"/>
                <w:szCs w:val="24"/>
                <w:highlight w:val="none"/>
                <w:lang w:val="en-US" w:eastAsia="zh-CN"/>
              </w:rPr>
              <w:t>008</w:t>
            </w:r>
            <w:r>
              <w:rPr>
                <w:rFonts w:hint="default" w:ascii="Times New Roman" w:hAnsi="Times New Roman" w:eastAsia="宋体" w:cs="Times New Roman"/>
                <w:b w:val="0"/>
                <w:bCs w:val="0"/>
                <w:color w:val="000000"/>
                <w:sz w:val="24"/>
                <w:szCs w:val="24"/>
                <w:highlight w:val="none"/>
                <w:lang w:val="en-US" w:eastAsia="zh-CN"/>
              </w:rPr>
              <w:t>kg</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h</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项目在焊接过程产生的少量颗粒物使用移动式焊烟净化器进行处理后无组织排放。</w:t>
            </w:r>
          </w:p>
          <w:p>
            <w:pPr>
              <w:pStyle w:val="66"/>
              <w:keepNext w:val="0"/>
              <w:keepLines w:val="0"/>
              <w:pageBreakBefore w:val="0"/>
              <w:widowControl/>
              <w:shd w:val="clear"/>
              <w:kinsoku/>
              <w:wordWrap/>
              <w:overflowPunct/>
              <w:topLinePunct w:val="0"/>
              <w:autoSpaceDE/>
              <w:autoSpaceDN/>
              <w:bidi w:val="0"/>
              <w:adjustRightInd w:val="0"/>
              <w:snapToGrid w:val="0"/>
              <w:spacing w:before="0" w:beforeAutospacing="0" w:after="0" w:afterAutospacing="0" w:line="460" w:lineRule="exact"/>
              <w:ind w:firstLine="480" w:firstLineChars="20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bCs/>
                <w:color w:val="000000"/>
                <w:sz w:val="24"/>
                <w:szCs w:val="24"/>
                <w:highlight w:val="none"/>
                <w:lang w:val="en-US" w:eastAsia="zh-CN"/>
              </w:rPr>
              <w:t>本项目采取厂房密闭、定期清扫、洒水抑尘措施抑制无组织颗粒物排放</w:t>
            </w:r>
            <w:r>
              <w:rPr>
                <w:rFonts w:hint="default" w:ascii="Times New Roman" w:hAnsi="Times New Roman" w:cs="Times New Roman"/>
                <w:color w:val="000000"/>
                <w:sz w:val="24"/>
                <w:szCs w:val="24"/>
                <w:highlight w:val="none"/>
                <w:vertAlign w:val="baseline"/>
                <w:lang w:eastAsia="zh-CN"/>
              </w:rPr>
              <w:t>。</w:t>
            </w:r>
            <w:r>
              <w:rPr>
                <w:rFonts w:hint="default" w:ascii="Times New Roman" w:hAnsi="Times New Roman" w:eastAsia="宋体" w:cs="Times New Roman"/>
                <w:b w:val="0"/>
                <w:bCs w:val="0"/>
                <w:color w:val="000000"/>
                <w:sz w:val="24"/>
                <w:szCs w:val="24"/>
                <w:highlight w:val="none"/>
                <w:lang w:val="en-US" w:eastAsia="zh-CN"/>
              </w:rPr>
              <w:t>本项目采用《环境影响评价技术导则·大气环境》(HJ2.2-2018)所推荐采用的估算模式AERSCREEN，经预测本项目厂界颗粒物排放满足《大气污染物综合排放标准》(GB16297-1996)表2中颗粒物无组织排放监控限值要求(1.0mg/m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eastAsia="宋体" w:cs="Times New Roman"/>
                <w:b w:val="0"/>
                <w:bCs w:val="0"/>
                <w:color w:val="000000"/>
                <w:sz w:val="24"/>
                <w:szCs w:val="24"/>
                <w:highlight w:val="none"/>
                <w:lang w:val="en-US" w:eastAsia="zh-CN"/>
              </w:rPr>
              <w:t>)，同时满足《秦皇岛市人民政府办公室关于执行钢铁等行业大气污染物排放特别要求的通知》([2021]-10)中无组织排放浓度特别管控要求，颗粒物0.3mg/m</w:t>
            </w:r>
            <w:r>
              <w:rPr>
                <w:rFonts w:hint="default" w:ascii="Times New Roman" w:hAnsi="Times New Roman" w:cs="Times New Roman"/>
                <w:b w:val="0"/>
                <w:bCs w:val="0"/>
                <w:color w:val="000000"/>
                <w:sz w:val="24"/>
                <w:szCs w:val="24"/>
                <w:highlight w:val="none"/>
                <w:vertAlign w:val="superscript"/>
                <w:lang w:val="en-US" w:eastAsia="zh-CN"/>
              </w:rPr>
              <w:t>3</w:t>
            </w:r>
            <w:r>
              <w:rPr>
                <w:rFonts w:hint="default" w:ascii="Times New Roman" w:hAnsi="Times New Roman" w:cs="Times New Roman"/>
                <w:b w:val="0"/>
                <w:bCs w:val="0"/>
                <w:color w:val="000000"/>
                <w:sz w:val="24"/>
                <w:szCs w:val="24"/>
                <w:highlight w:val="none"/>
                <w:lang w:val="en-US" w:eastAsia="zh-CN"/>
              </w:rPr>
              <w:t>，</w:t>
            </w:r>
            <w:r>
              <w:rPr>
                <w:rFonts w:hint="default" w:ascii="Times New Roman" w:hAnsi="Times New Roman" w:eastAsia="宋体" w:cs="Times New Roman"/>
                <w:b w:val="0"/>
                <w:bCs w:val="0"/>
                <w:color w:val="000000"/>
                <w:sz w:val="24"/>
                <w:szCs w:val="24"/>
                <w:highlight w:val="none"/>
                <w:lang w:val="en-US" w:eastAsia="zh-CN"/>
              </w:rPr>
              <w:t>非甲烷总烃</w:t>
            </w:r>
            <w:r>
              <w:rPr>
                <w:rFonts w:hint="default" w:ascii="Times New Roman" w:hAnsi="Times New Roman" w:cs="Times New Roman"/>
                <w:b w:val="0"/>
                <w:bCs w:val="0"/>
                <w:color w:val="000000"/>
                <w:sz w:val="24"/>
                <w:szCs w:val="24"/>
                <w:highlight w:val="none"/>
                <w:lang w:val="en-US" w:eastAsia="zh-CN"/>
              </w:rPr>
              <w:t>无组织</w:t>
            </w:r>
            <w:r>
              <w:rPr>
                <w:rFonts w:hint="default" w:ascii="Times New Roman" w:hAnsi="Times New Roman" w:eastAsia="宋体" w:cs="Times New Roman"/>
                <w:b w:val="0"/>
                <w:bCs w:val="0"/>
                <w:color w:val="000000"/>
                <w:sz w:val="24"/>
                <w:szCs w:val="24"/>
                <w:highlight w:val="none"/>
                <w:lang w:val="en-US" w:eastAsia="zh-CN"/>
              </w:rPr>
              <w:t>排放</w:t>
            </w:r>
            <w:r>
              <w:rPr>
                <w:rFonts w:hint="default" w:ascii="Times New Roman" w:hAnsi="Times New Roman" w:cs="Times New Roman"/>
                <w:b w:val="0"/>
                <w:bCs w:val="0"/>
                <w:color w:val="000000"/>
                <w:sz w:val="24"/>
                <w:szCs w:val="24"/>
                <w:highlight w:val="none"/>
                <w:lang w:val="en-US" w:eastAsia="zh-CN"/>
              </w:rPr>
              <w:t>满足</w:t>
            </w:r>
            <w:r>
              <w:rPr>
                <w:rFonts w:hint="default" w:ascii="Times New Roman" w:hAnsi="Times New Roman" w:eastAsia="宋体" w:cs="Times New Roman"/>
                <w:b w:val="0"/>
                <w:bCs w:val="0"/>
                <w:color w:val="000000"/>
                <w:sz w:val="24"/>
                <w:szCs w:val="24"/>
                <w:highlight w:val="none"/>
                <w:lang w:val="en-US" w:eastAsia="zh-CN"/>
              </w:rPr>
              <w:t>《工业企业挥发性有机物排放控制标准》(DB 13/2322-2016)标准及《挥发性有机物无组织排放控制标准》(GB37822-2019)相关要求</w:t>
            </w:r>
            <w:r>
              <w:rPr>
                <w:rFonts w:hint="default" w:ascii="Times New Roman" w:hAnsi="Times New Roman" w:cs="Times New Roman"/>
                <w:color w:val="00000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（2）废水</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eastAsia="宋体" w:cs="Times New Roman"/>
                <w:snapToGrid w:val="0"/>
                <w:color w:val="000000"/>
                <w:sz w:val="24"/>
                <w:szCs w:val="24"/>
                <w:highlight w:val="none"/>
                <w:lang w:val="en-US" w:eastAsia="zh-CN"/>
              </w:rPr>
            </w:pPr>
            <w:r>
              <w:rPr>
                <w:rFonts w:hint="default" w:ascii="Times New Roman" w:hAnsi="Times New Roman" w:cs="Times New Roman"/>
                <w:snapToGrid w:val="0"/>
                <w:color w:val="000000"/>
                <w:sz w:val="24"/>
                <w:szCs w:val="24"/>
                <w:highlight w:val="none"/>
                <w:lang w:val="en-US" w:eastAsia="zh-CN"/>
              </w:rPr>
              <w:t>本</w:t>
            </w:r>
            <w:r>
              <w:rPr>
                <w:rFonts w:hint="default" w:ascii="Times New Roman" w:hAnsi="Times New Roman" w:eastAsia="宋体" w:cs="Times New Roman"/>
                <w:snapToGrid w:val="0"/>
                <w:color w:val="000000"/>
                <w:sz w:val="24"/>
                <w:szCs w:val="24"/>
                <w:highlight w:val="none"/>
                <w:lang w:val="en-US" w:eastAsia="zh-CN"/>
              </w:rPr>
              <w:t>项目蒸汽发生器软水制备产生的浓水用于厂区泼洒抑尘</w:t>
            </w:r>
            <w:r>
              <w:rPr>
                <w:rFonts w:hint="default" w:ascii="Times New Roman" w:hAnsi="Times New Roman" w:cs="Times New Roman"/>
                <w:snapToGrid w:val="0"/>
                <w:color w:val="000000"/>
                <w:sz w:val="24"/>
                <w:szCs w:val="24"/>
                <w:highlight w:val="none"/>
                <w:lang w:val="en-US" w:eastAsia="zh-CN"/>
              </w:rPr>
              <w:t>，不外排</w:t>
            </w:r>
            <w:r>
              <w:rPr>
                <w:rFonts w:hint="default" w:ascii="Times New Roman" w:hAnsi="Times New Roman" w:eastAsia="宋体" w:cs="Times New Roman"/>
                <w:snapToGrid w:val="0"/>
                <w:color w:val="000000"/>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cs="Times New Roman"/>
                <w:color w:val="000000"/>
                <w:sz w:val="24"/>
                <w:szCs w:val="24"/>
                <w:highlight w:val="none"/>
              </w:rPr>
            </w:pPr>
            <w:r>
              <w:rPr>
                <w:rFonts w:hint="default" w:ascii="Times New Roman" w:hAnsi="Times New Roman" w:eastAsia="宋体" w:cs="Times New Roman"/>
                <w:snapToGrid w:val="0"/>
                <w:color w:val="000000"/>
                <w:sz w:val="24"/>
                <w:szCs w:val="24"/>
                <w:highlight w:val="none"/>
                <w:lang w:val="en-US" w:eastAsia="zh-CN"/>
              </w:rPr>
              <w:t>食堂废水经隔油池+化粪池处理、员工</w:t>
            </w:r>
            <w:r>
              <w:rPr>
                <w:rFonts w:hint="default" w:ascii="Times New Roman" w:hAnsi="Times New Roman" w:cs="Times New Roman"/>
                <w:snapToGrid w:val="0"/>
                <w:color w:val="000000"/>
                <w:sz w:val="24"/>
                <w:szCs w:val="24"/>
                <w:highlight w:val="none"/>
                <w:lang w:val="en-US" w:eastAsia="zh-CN"/>
              </w:rPr>
              <w:t>生活污水</w:t>
            </w:r>
            <w:r>
              <w:rPr>
                <w:rFonts w:hint="default" w:ascii="Times New Roman" w:hAnsi="Times New Roman" w:eastAsia="宋体" w:cs="Times New Roman"/>
                <w:snapToGrid w:val="0"/>
                <w:color w:val="000000"/>
                <w:sz w:val="24"/>
                <w:szCs w:val="24"/>
                <w:highlight w:val="none"/>
                <w:lang w:val="en-US" w:eastAsia="zh-CN"/>
              </w:rPr>
              <w:t>经化粪池处理后，一起排入园区污水管网进入抚宁污水处理厂进一步处理</w:t>
            </w:r>
            <w:r>
              <w:rPr>
                <w:rFonts w:hint="default" w:ascii="Times New Roman" w:hAnsi="Times New Roman" w:cs="Times New Roman"/>
                <w:color w:val="000000"/>
                <w:sz w:val="24"/>
                <w:szCs w:val="24"/>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（3）噪声</w:t>
            </w:r>
          </w:p>
          <w:p>
            <w:pPr>
              <w:pStyle w:val="49"/>
              <w:keepNext w:val="0"/>
              <w:keepLines w:val="0"/>
              <w:pageBreakBefore w:val="0"/>
              <w:widowControl w:val="0"/>
              <w:kinsoku/>
              <w:wordWrap/>
              <w:overflowPunct/>
              <w:topLinePunct w:val="0"/>
              <w:autoSpaceDE/>
              <w:autoSpaceDN/>
              <w:bidi w:val="0"/>
              <w:adjustRightInd w:val="0"/>
              <w:snapToGrid w:val="0"/>
              <w:spacing w:afterLines="0" w:line="480" w:lineRule="exact"/>
              <w:ind w:firstLine="480"/>
              <w:textAlignment w:val="auto"/>
              <w:rPr>
                <w:rFonts w:hint="default" w:ascii="Times New Roman" w:hAnsi="Times New Roman" w:cs="Times New Roman"/>
                <w:b w:val="0"/>
                <w:bCs w:val="0"/>
                <w:color w:val="000000"/>
                <w:spacing w:val="0"/>
                <w:sz w:val="24"/>
                <w:szCs w:val="24"/>
                <w:highlight w:val="none"/>
              </w:rPr>
            </w:pPr>
            <w:r>
              <w:rPr>
                <w:rFonts w:hint="default" w:ascii="Times New Roman" w:hAnsi="Times New Roman" w:cs="Times New Roman"/>
                <w:b w:val="0"/>
                <w:bCs w:val="0"/>
                <w:color w:val="000000"/>
                <w:spacing w:val="0"/>
                <w:sz w:val="24"/>
                <w:szCs w:val="24"/>
                <w:highlight w:val="none"/>
              </w:rPr>
              <w:t>本项目</w:t>
            </w:r>
            <w:r>
              <w:rPr>
                <w:rFonts w:hint="default" w:ascii="Times New Roman" w:hAnsi="Times New Roman" w:cs="Times New Roman"/>
                <w:b w:val="0"/>
                <w:bCs w:val="0"/>
                <w:color w:val="000000"/>
                <w:kern w:val="2"/>
                <w:sz w:val="24"/>
                <w:szCs w:val="24"/>
                <w:highlight w:val="none"/>
                <w:lang w:val="en-US" w:eastAsia="zh-CN" w:bidi="ar-SA"/>
              </w:rPr>
              <w:t>噪声主要为</w:t>
            </w:r>
            <w:r>
              <w:rPr>
                <w:rFonts w:hint="default" w:ascii="Times New Roman" w:hAnsi="Times New Roman" w:eastAsia="宋体" w:cs="Times New Roman"/>
                <w:b w:val="0"/>
                <w:bCs/>
                <w:color w:val="000000"/>
                <w:sz w:val="24"/>
                <w:szCs w:val="24"/>
                <w:highlight w:val="none"/>
                <w:lang w:val="en-US" w:eastAsia="zh-CN"/>
              </w:rPr>
              <w:t>生产设备</w:t>
            </w:r>
            <w:r>
              <w:rPr>
                <w:rFonts w:hint="default" w:ascii="Times New Roman" w:hAnsi="Times New Roman" w:eastAsia="宋体" w:cs="Times New Roman"/>
                <w:b w:val="0"/>
                <w:bCs/>
                <w:color w:val="000000"/>
                <w:sz w:val="24"/>
                <w:szCs w:val="24"/>
                <w:highlight w:val="none"/>
                <w:lang w:eastAsia="zh-CN"/>
              </w:rPr>
              <w:t>运行噪声</w:t>
            </w:r>
            <w:r>
              <w:rPr>
                <w:rFonts w:hint="default" w:ascii="Times New Roman" w:hAnsi="Times New Roman" w:cs="Times New Roman"/>
                <w:b w:val="0"/>
                <w:bCs w:val="0"/>
                <w:color w:val="000000"/>
                <w:spacing w:val="0"/>
                <w:sz w:val="24"/>
                <w:szCs w:val="24"/>
                <w:highlight w:val="none"/>
              </w:rPr>
              <w:t>。通过</w:t>
            </w:r>
            <w:r>
              <w:rPr>
                <w:rFonts w:hint="default" w:ascii="Times New Roman" w:hAnsi="Times New Roman" w:cs="Times New Roman"/>
                <w:b w:val="0"/>
                <w:bCs w:val="0"/>
                <w:color w:val="000000"/>
                <w:spacing w:val="0"/>
                <w:sz w:val="24"/>
                <w:szCs w:val="24"/>
                <w:highlight w:val="none"/>
                <w:lang w:eastAsia="zh-CN"/>
              </w:rPr>
              <w:t>基础减振、</w:t>
            </w:r>
            <w:r>
              <w:rPr>
                <w:rFonts w:hint="default" w:ascii="Times New Roman" w:hAnsi="Times New Roman" w:cs="Times New Roman"/>
                <w:b w:val="0"/>
                <w:bCs w:val="0"/>
                <w:color w:val="000000"/>
                <w:spacing w:val="0"/>
                <w:sz w:val="24"/>
                <w:szCs w:val="24"/>
                <w:highlight w:val="none"/>
              </w:rPr>
              <w:t>厂房隔声</w:t>
            </w:r>
            <w:r>
              <w:rPr>
                <w:rFonts w:hint="default" w:ascii="Times New Roman" w:hAnsi="Times New Roman" w:cs="Times New Roman"/>
                <w:b w:val="0"/>
                <w:bCs w:val="0"/>
                <w:color w:val="000000"/>
                <w:spacing w:val="0"/>
                <w:sz w:val="24"/>
                <w:szCs w:val="24"/>
                <w:highlight w:val="none"/>
                <w:lang w:val="en-US" w:eastAsia="zh-CN"/>
              </w:rPr>
              <w:t>、距离衰减</w:t>
            </w:r>
            <w:r>
              <w:rPr>
                <w:rFonts w:hint="default" w:ascii="Times New Roman" w:hAnsi="Times New Roman" w:cs="Times New Roman"/>
                <w:b w:val="0"/>
                <w:bCs w:val="0"/>
                <w:color w:val="000000"/>
                <w:spacing w:val="0"/>
                <w:sz w:val="24"/>
                <w:szCs w:val="24"/>
                <w:highlight w:val="none"/>
              </w:rPr>
              <w:t>等</w:t>
            </w:r>
            <w:r>
              <w:rPr>
                <w:rFonts w:hint="default" w:ascii="Times New Roman" w:hAnsi="Times New Roman" w:cs="Times New Roman"/>
                <w:b w:val="0"/>
                <w:bCs w:val="0"/>
                <w:color w:val="000000"/>
                <w:spacing w:val="0"/>
                <w:sz w:val="24"/>
                <w:szCs w:val="24"/>
                <w:highlight w:val="none"/>
                <w:lang w:eastAsia="zh-CN"/>
              </w:rPr>
              <w:t>措施</w:t>
            </w:r>
            <w:r>
              <w:rPr>
                <w:rFonts w:hint="default" w:ascii="Times New Roman" w:hAnsi="Times New Roman" w:cs="Times New Roman"/>
                <w:b w:val="0"/>
                <w:bCs w:val="0"/>
                <w:color w:val="000000"/>
                <w:spacing w:val="0"/>
                <w:sz w:val="24"/>
                <w:szCs w:val="24"/>
                <w:highlight w:val="none"/>
              </w:rPr>
              <w:t>，厂界噪声可满足《工业企业厂界环境噪声排放标准》（GB12348-2008）3类标准，对周围环境影响较小。</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cs="Times New Roman"/>
                <w:color w:val="000000"/>
                <w:sz w:val="24"/>
                <w:szCs w:val="24"/>
                <w:highlight w:val="none"/>
              </w:rPr>
            </w:pPr>
            <w:r>
              <w:rPr>
                <w:rFonts w:hint="default" w:ascii="Times New Roman" w:hAnsi="Times New Roman" w:cs="Times New Roman"/>
                <w:color w:val="000000"/>
                <w:sz w:val="24"/>
                <w:szCs w:val="24"/>
                <w:highlight w:val="none"/>
              </w:rPr>
              <w:t>（4）固体废物</w:t>
            </w:r>
          </w:p>
          <w:p>
            <w:pPr>
              <w:pStyle w:val="7"/>
              <w:keepNext w:val="0"/>
              <w:keepLines w:val="0"/>
              <w:pageBreakBefore w:val="0"/>
              <w:widowControl w:val="0"/>
              <w:kinsoku/>
              <w:wordWrap/>
              <w:overflowPunct/>
              <w:topLinePunct w:val="0"/>
              <w:autoSpaceDE/>
              <w:autoSpaceDN/>
              <w:bidi w:val="0"/>
              <w:adjustRightInd/>
              <w:snapToGrid/>
              <w:spacing w:before="0" w:after="0" w:line="480" w:lineRule="exact"/>
              <w:ind w:firstLine="567"/>
              <w:textAlignment w:val="auto"/>
              <w:rPr>
                <w:rFonts w:hint="default" w:ascii="Times New Roman" w:hAnsi="Times New Roman" w:eastAsia="宋体" w:cs="Times New Roman"/>
                <w:b w:val="0"/>
                <w:bCs w:val="0"/>
                <w:color w:val="000000"/>
                <w:spacing w:val="18"/>
                <w:kern w:val="2"/>
                <w:sz w:val="24"/>
                <w:szCs w:val="24"/>
                <w:highlight w:val="none"/>
                <w:lang w:val="en-US" w:eastAsia="zh-CN" w:bidi="ar-SA"/>
              </w:rPr>
            </w:pPr>
            <w:r>
              <w:rPr>
                <w:rFonts w:hint="default" w:ascii="Times New Roman" w:hAnsi="Times New Roman" w:eastAsia="宋体" w:cs="Times New Roman"/>
                <w:color w:val="000000"/>
                <w:sz w:val="24"/>
                <w:szCs w:val="24"/>
                <w:highlight w:val="none"/>
                <w:lang w:val="en-US" w:eastAsia="zh-CN"/>
              </w:rPr>
              <w:t>本项目固体废物主要为生产过程中的金属废料、废包装材料、除尘灰、</w:t>
            </w:r>
            <w:r>
              <w:rPr>
                <w:rFonts w:hint="default" w:ascii="Times New Roman" w:hAnsi="Times New Roman" w:cs="Times New Roman"/>
                <w:color w:val="000000"/>
                <w:sz w:val="24"/>
                <w:szCs w:val="24"/>
                <w:highlight w:val="none"/>
                <w:lang w:val="en-US" w:eastAsia="zh-CN"/>
              </w:rPr>
              <w:t>废切削液、</w:t>
            </w:r>
            <w:r>
              <w:rPr>
                <w:rFonts w:hint="default" w:ascii="Times New Roman" w:hAnsi="Times New Roman" w:eastAsia="宋体" w:cs="Times New Roman"/>
                <w:color w:val="000000"/>
                <w:sz w:val="24"/>
                <w:szCs w:val="24"/>
                <w:highlight w:val="none"/>
                <w:lang w:val="en-US" w:eastAsia="zh-CN"/>
              </w:rPr>
              <w:t>废</w:t>
            </w:r>
            <w:r>
              <w:rPr>
                <w:rFonts w:hint="default" w:ascii="Times New Roman" w:hAnsi="Times New Roman" w:cs="Times New Roman"/>
                <w:color w:val="000000"/>
                <w:sz w:val="24"/>
                <w:szCs w:val="24"/>
                <w:highlight w:val="none"/>
                <w:lang w:val="en-US" w:eastAsia="zh-CN"/>
              </w:rPr>
              <w:t>润滑</w:t>
            </w:r>
            <w:r>
              <w:rPr>
                <w:rFonts w:hint="default" w:ascii="Times New Roman" w:hAnsi="Times New Roman" w:eastAsia="宋体" w:cs="Times New Roman"/>
                <w:color w:val="000000"/>
                <w:sz w:val="24"/>
                <w:szCs w:val="24"/>
                <w:highlight w:val="none"/>
                <w:lang w:val="en-US" w:eastAsia="zh-CN"/>
              </w:rPr>
              <w:t>油、废液压油、废油桶、</w:t>
            </w:r>
            <w:r>
              <w:rPr>
                <w:rFonts w:hint="default" w:ascii="Times New Roman" w:hAnsi="Times New Roman" w:cs="Times New Roman"/>
                <w:color w:val="000000"/>
                <w:sz w:val="24"/>
                <w:szCs w:val="24"/>
                <w:highlight w:val="none"/>
                <w:lang w:val="en-US" w:eastAsia="zh-CN"/>
              </w:rPr>
              <w:t>废活性炭</w:t>
            </w:r>
            <w:r>
              <w:rPr>
                <w:rFonts w:hint="default" w:ascii="Times New Roman" w:hAnsi="Times New Roman" w:eastAsia="宋体" w:cs="Times New Roman"/>
                <w:color w:val="000000"/>
                <w:sz w:val="24"/>
                <w:szCs w:val="24"/>
                <w:highlight w:val="none"/>
                <w:lang w:val="en-US" w:eastAsia="zh-CN"/>
              </w:rPr>
              <w:t>、</w:t>
            </w:r>
            <w:r>
              <w:rPr>
                <w:rFonts w:hint="default" w:ascii="Times New Roman" w:hAnsi="Times New Roman" w:cs="Times New Roman"/>
                <w:color w:val="000000"/>
                <w:sz w:val="24"/>
                <w:szCs w:val="24"/>
                <w:highlight w:val="none"/>
                <w:lang w:val="en-US" w:eastAsia="zh-CN"/>
              </w:rPr>
              <w:t>漆渣</w:t>
            </w:r>
            <w:r>
              <w:rPr>
                <w:rFonts w:hint="default" w:ascii="Times New Roman" w:hAnsi="Times New Roman" w:eastAsia="宋体" w:cs="Times New Roman"/>
                <w:color w:val="000000"/>
                <w:sz w:val="24"/>
                <w:szCs w:val="24"/>
                <w:highlight w:val="none"/>
                <w:lang w:val="en-US" w:eastAsia="zh-CN"/>
              </w:rPr>
              <w:t>。项目产生的一般工业固体废物为金属废料、废包装材料、除尘灰，收集后外售。项目产生的危险废物为</w:t>
            </w:r>
            <w:r>
              <w:rPr>
                <w:rFonts w:hint="default" w:ascii="Times New Roman" w:hAnsi="Times New Roman" w:cs="Times New Roman"/>
                <w:color w:val="000000"/>
                <w:sz w:val="24"/>
                <w:szCs w:val="24"/>
                <w:highlight w:val="none"/>
                <w:lang w:val="en-US" w:eastAsia="zh-CN"/>
              </w:rPr>
              <w:t>废切削液、</w:t>
            </w:r>
            <w:r>
              <w:rPr>
                <w:rFonts w:hint="default" w:ascii="Times New Roman" w:hAnsi="Times New Roman" w:eastAsia="宋体" w:cs="Times New Roman"/>
                <w:color w:val="000000"/>
                <w:sz w:val="24"/>
                <w:szCs w:val="24"/>
                <w:highlight w:val="none"/>
                <w:lang w:val="en-US" w:eastAsia="zh-CN"/>
              </w:rPr>
              <w:t>废</w:t>
            </w:r>
            <w:r>
              <w:rPr>
                <w:rFonts w:hint="default" w:ascii="Times New Roman" w:hAnsi="Times New Roman" w:cs="Times New Roman"/>
                <w:color w:val="000000"/>
                <w:sz w:val="24"/>
                <w:szCs w:val="24"/>
                <w:highlight w:val="none"/>
                <w:lang w:val="en-US" w:eastAsia="zh-CN"/>
              </w:rPr>
              <w:t>润滑</w:t>
            </w:r>
            <w:r>
              <w:rPr>
                <w:rFonts w:hint="default" w:ascii="Times New Roman" w:hAnsi="Times New Roman" w:eastAsia="宋体" w:cs="Times New Roman"/>
                <w:color w:val="000000"/>
                <w:sz w:val="24"/>
                <w:szCs w:val="24"/>
                <w:highlight w:val="none"/>
                <w:lang w:val="en-US" w:eastAsia="zh-CN"/>
              </w:rPr>
              <w:t>油、废液压油、废油桶、</w:t>
            </w:r>
            <w:r>
              <w:rPr>
                <w:rFonts w:hint="default" w:ascii="Times New Roman" w:hAnsi="Times New Roman" w:cs="Times New Roman"/>
                <w:color w:val="000000"/>
                <w:sz w:val="24"/>
                <w:szCs w:val="24"/>
                <w:highlight w:val="none"/>
                <w:lang w:val="en-US" w:eastAsia="zh-CN"/>
              </w:rPr>
              <w:t>废活性炭</w:t>
            </w:r>
            <w:r>
              <w:rPr>
                <w:rFonts w:hint="default" w:ascii="Times New Roman" w:hAnsi="Times New Roman" w:eastAsia="宋体" w:cs="Times New Roman"/>
                <w:color w:val="000000"/>
                <w:sz w:val="24"/>
                <w:szCs w:val="24"/>
                <w:highlight w:val="none"/>
                <w:lang w:val="en-US" w:eastAsia="zh-CN"/>
              </w:rPr>
              <w:t>、</w:t>
            </w:r>
            <w:r>
              <w:rPr>
                <w:rFonts w:hint="default" w:ascii="Times New Roman" w:hAnsi="Times New Roman" w:cs="Times New Roman"/>
                <w:color w:val="000000"/>
                <w:sz w:val="24"/>
                <w:szCs w:val="24"/>
                <w:highlight w:val="none"/>
                <w:lang w:val="en-US" w:eastAsia="zh-CN"/>
              </w:rPr>
              <w:t>漆渣</w:t>
            </w:r>
            <w:r>
              <w:rPr>
                <w:rFonts w:hint="default" w:ascii="Times New Roman" w:hAnsi="Times New Roman" w:eastAsia="宋体" w:cs="Times New Roman"/>
                <w:color w:val="000000"/>
                <w:sz w:val="24"/>
                <w:szCs w:val="24"/>
                <w:highlight w:val="none"/>
                <w:lang w:val="en-US" w:eastAsia="zh-CN"/>
              </w:rPr>
              <w:t>，新建一座</w:t>
            </w:r>
            <w:r>
              <w:rPr>
                <w:rFonts w:hint="default" w:ascii="Times New Roman" w:hAnsi="Times New Roman" w:cs="Times New Roman"/>
                <w:color w:val="000000"/>
                <w:sz w:val="24"/>
                <w:szCs w:val="24"/>
                <w:highlight w:val="none"/>
                <w:lang w:val="en-US" w:eastAsia="zh-CN"/>
              </w:rPr>
              <w:t>20</w:t>
            </w:r>
            <w:r>
              <w:rPr>
                <w:rFonts w:hint="default" w:ascii="Times New Roman" w:hAnsi="Times New Roman" w:eastAsia="宋体" w:cs="Times New Roman"/>
                <w:color w:val="000000"/>
                <w:sz w:val="24"/>
                <w:szCs w:val="24"/>
                <w:highlight w:val="none"/>
                <w:lang w:val="en-US" w:eastAsia="zh-CN"/>
              </w:rPr>
              <w:t>m</w:t>
            </w:r>
            <w:r>
              <w:rPr>
                <w:rFonts w:hint="default" w:ascii="Times New Roman" w:hAnsi="Times New Roman" w:eastAsia="宋体" w:cs="Times New Roman"/>
                <w:color w:val="000000"/>
                <w:sz w:val="24"/>
                <w:szCs w:val="24"/>
                <w:highlight w:val="none"/>
                <w:vertAlign w:val="superscript"/>
                <w:lang w:val="en-US" w:eastAsia="zh-CN"/>
              </w:rPr>
              <w:t>2</w:t>
            </w:r>
            <w:r>
              <w:rPr>
                <w:rFonts w:hint="default" w:ascii="Times New Roman" w:hAnsi="Times New Roman" w:eastAsia="宋体" w:cs="Times New Roman"/>
                <w:color w:val="000000"/>
                <w:sz w:val="24"/>
                <w:szCs w:val="24"/>
                <w:highlight w:val="none"/>
                <w:lang w:val="en-US" w:eastAsia="zh-CN"/>
              </w:rPr>
              <w:t>危险废物暂存间，暂存危险废物暂存间，定期交由有资质单位处理</w:t>
            </w:r>
            <w:r>
              <w:rPr>
                <w:rFonts w:hint="default" w:ascii="Times New Roman" w:hAnsi="Times New Roman" w:eastAsia="宋体" w:cs="Times New Roman"/>
                <w:b w:val="0"/>
                <w:bCs w:val="0"/>
                <w:color w:val="000000"/>
                <w:spacing w:val="18"/>
                <w:kern w:val="2"/>
                <w:sz w:val="24"/>
                <w:szCs w:val="24"/>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4、总量控制结论</w:t>
            </w:r>
          </w:p>
          <w:p>
            <w:pPr>
              <w:keepNext w:val="0"/>
              <w:keepLines w:val="0"/>
              <w:pageBreakBefore w:val="0"/>
              <w:widowControl w:val="0"/>
              <w:kinsoku/>
              <w:wordWrap/>
              <w:overflowPunct/>
              <w:topLinePunct w:val="0"/>
              <w:autoSpaceDE/>
              <w:autoSpaceDN/>
              <w:bidi w:val="0"/>
              <w:adjustRightInd w:val="0"/>
              <w:snapToGrid w:val="0"/>
              <w:spacing w:line="480" w:lineRule="exact"/>
              <w:ind w:firstLine="480"/>
              <w:textAlignment w:val="auto"/>
              <w:rPr>
                <w:rFonts w:hint="default" w:ascii="Times New Roman" w:hAnsi="Times New Roman" w:cs="Times New Roman"/>
                <w:color w:val="0000FF"/>
                <w:sz w:val="24"/>
                <w:szCs w:val="24"/>
                <w:highlight w:val="none"/>
              </w:rPr>
            </w:pPr>
            <w:r>
              <w:rPr>
                <w:rFonts w:hint="default" w:ascii="Times New Roman" w:hAnsi="Times New Roman" w:cs="Times New Roman"/>
                <w:color w:val="000000"/>
                <w:sz w:val="24"/>
                <w:szCs w:val="24"/>
                <w:highlight w:val="none"/>
              </w:rPr>
              <w:t>本项目建成</w:t>
            </w:r>
            <w:r>
              <w:rPr>
                <w:rFonts w:hint="default" w:ascii="Times New Roman" w:hAnsi="Times New Roman" w:cs="Times New Roman"/>
                <w:color w:val="000000" w:themeColor="text1"/>
                <w:sz w:val="24"/>
                <w:szCs w:val="24"/>
                <w:highlight w:val="none"/>
                <w14:textFill>
                  <w14:solidFill>
                    <w14:schemeClr w14:val="tx1"/>
                  </w14:solidFill>
                </w14:textFill>
              </w:rPr>
              <w:t>后，全厂主要污染物总量控制指标为：</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颗粒物：0.065</w:t>
            </w:r>
            <w:r>
              <w:rPr>
                <w:rFonts w:hint="default" w:ascii="Times New Roman" w:hAnsi="Times New Roman" w:cs="Times New Roman"/>
                <w:color w:val="000000" w:themeColor="text1"/>
                <w:sz w:val="24"/>
                <w:szCs w:val="24"/>
                <w:highlight w:val="none"/>
                <w14:textFill>
                  <w14:solidFill>
                    <w14:schemeClr w14:val="tx1"/>
                  </w14:solidFill>
                </w14:textFill>
              </w:rPr>
              <w:t>t/a、</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VOCs：0.476</w:t>
            </w:r>
            <w:r>
              <w:rPr>
                <w:rFonts w:hint="default" w:ascii="Times New Roman" w:hAnsi="Times New Roman" w:cs="Times New Roman"/>
                <w:color w:val="000000" w:themeColor="text1"/>
                <w:sz w:val="24"/>
                <w:szCs w:val="24"/>
                <w:highlight w:val="none"/>
                <w14:textFill>
                  <w14:solidFill>
                    <w14:schemeClr w14:val="tx1"/>
                  </w14:solidFill>
                </w14:textFill>
              </w:rPr>
              <w:t>t/a、SO</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2</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t/a、NO</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X</w:t>
            </w:r>
            <w:r>
              <w:rPr>
                <w:rFonts w:hint="default" w:ascii="Times New Roman" w:hAnsi="Times New Roman" w:cs="Times New Roman"/>
                <w:color w:val="000000" w:themeColor="text1"/>
                <w:sz w:val="24"/>
                <w:szCs w:val="24"/>
                <w:highlight w:val="none"/>
                <w14:textFill>
                  <w14:solidFill>
                    <w14:schemeClr w14:val="tx1"/>
                  </w14:solidFill>
                </w14:textFill>
              </w:rPr>
              <w:t>：</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w:t>
            </w:r>
            <w:r>
              <w:rPr>
                <w:rFonts w:hint="default" w:ascii="Times New Roman" w:hAnsi="Times New Roman" w:cs="Times New Roman"/>
                <w:color w:val="000000" w:themeColor="text1"/>
                <w:sz w:val="24"/>
                <w:szCs w:val="24"/>
                <w:highlight w:val="none"/>
                <w14:textFill>
                  <w14:solidFill>
                    <w14:schemeClr w14:val="tx1"/>
                  </w14:solidFill>
                </w14:textFill>
              </w:rPr>
              <w:t>t/a、COD：</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0.117</w:t>
            </w:r>
            <w:r>
              <w:rPr>
                <w:rFonts w:hint="default" w:ascii="Times New Roman" w:hAnsi="Times New Roman" w:cs="Times New Roman"/>
                <w:color w:val="000000" w:themeColor="text1"/>
                <w:sz w:val="24"/>
                <w:szCs w:val="24"/>
                <w:highlight w:val="none"/>
                <w14:textFill>
                  <w14:solidFill>
                    <w14:schemeClr w14:val="tx1"/>
                  </w14:solidFill>
                </w14:textFill>
              </w:rPr>
              <w:t>t/a、NH</w:t>
            </w:r>
            <w:r>
              <w:rPr>
                <w:rFonts w:hint="default" w:ascii="Times New Roman" w:hAnsi="Times New Roman" w:cs="Times New Roman"/>
                <w:color w:val="000000" w:themeColor="text1"/>
                <w:sz w:val="24"/>
                <w:szCs w:val="24"/>
                <w:highlight w:val="none"/>
                <w:vertAlign w:val="subscript"/>
                <w14:textFill>
                  <w14:solidFill>
                    <w14:schemeClr w14:val="tx1"/>
                  </w14:solidFill>
                </w14:textFill>
              </w:rPr>
              <w:t>3</w:t>
            </w:r>
            <w:r>
              <w:rPr>
                <w:rFonts w:hint="default" w:ascii="Times New Roman" w:hAnsi="Times New Roman" w:cs="Times New Roman"/>
                <w:color w:val="000000" w:themeColor="text1"/>
                <w:sz w:val="24"/>
                <w:szCs w:val="24"/>
                <w:highlight w:val="none"/>
                <w14:textFill>
                  <w14:solidFill>
                    <w14:schemeClr w14:val="tx1"/>
                  </w14:solidFill>
                </w14:textFill>
              </w:rPr>
              <w:t>-N：</w:t>
            </w:r>
            <w:r>
              <w:rPr>
                <w:rFonts w:hint="default" w:ascii="Times New Roman" w:hAnsi="Times New Roman" w:cs="Times New Roman"/>
                <w:color w:val="000000" w:themeColor="text1"/>
                <w:sz w:val="24"/>
                <w:szCs w:val="24"/>
                <w:highlight w:val="none"/>
                <w:lang w:val="en-US" w:eastAsia="zh-CN"/>
                <w14:textFill>
                  <w14:solidFill>
                    <w14:schemeClr w14:val="tx1"/>
                  </w14:solidFill>
                </w14:textFill>
              </w:rPr>
              <w:t>0.012</w:t>
            </w:r>
            <w:r>
              <w:rPr>
                <w:rFonts w:hint="default" w:ascii="Times New Roman" w:hAnsi="Times New Roman" w:cs="Times New Roman"/>
                <w:color w:val="000000" w:themeColor="text1"/>
                <w:sz w:val="24"/>
                <w:szCs w:val="24"/>
                <w:highlight w:val="none"/>
                <w14:textFill>
                  <w14:solidFill>
                    <w14:schemeClr w14:val="tx1"/>
                  </w14:solidFill>
                </w14:textFill>
              </w:rPr>
              <w:t>t/a。</w:t>
            </w:r>
          </w:p>
          <w:p>
            <w:pPr>
              <w:keepNext w:val="0"/>
              <w:keepLines w:val="0"/>
              <w:pageBreakBefore w:val="0"/>
              <w:widowControl w:val="0"/>
              <w:numPr>
                <w:ilvl w:val="0"/>
                <w:numId w:val="0"/>
              </w:numPr>
              <w:kinsoku/>
              <w:wordWrap/>
              <w:overflowPunct/>
              <w:topLinePunct w:val="0"/>
              <w:autoSpaceDE/>
              <w:autoSpaceDN/>
              <w:bidi w:val="0"/>
              <w:adjustRightInd w:val="0"/>
              <w:snapToGrid w:val="0"/>
              <w:spacing w:line="480" w:lineRule="exact"/>
              <w:ind w:firstLine="480" w:firstLineChars="200"/>
              <w:textAlignment w:val="auto"/>
              <w:rPr>
                <w:rFonts w:hint="default" w:ascii="Times New Roman" w:hAnsi="Times New Roman" w:eastAsia="宋体" w:cs="Times New Roman"/>
                <w:b w:val="0"/>
                <w:bCs w:val="0"/>
                <w:color w:val="000000"/>
                <w:sz w:val="24"/>
                <w:szCs w:val="24"/>
                <w:highlight w:val="none"/>
                <w:lang w:val="en-US" w:eastAsia="zh-CN"/>
              </w:rPr>
            </w:pPr>
            <w:r>
              <w:rPr>
                <w:rFonts w:hint="default" w:ascii="Times New Roman" w:hAnsi="Times New Roman" w:eastAsia="宋体" w:cs="Times New Roman"/>
                <w:b w:val="0"/>
                <w:bCs w:val="0"/>
                <w:color w:val="000000"/>
                <w:sz w:val="24"/>
                <w:szCs w:val="24"/>
                <w:highlight w:val="none"/>
                <w:lang w:val="en-US" w:eastAsia="zh-CN"/>
              </w:rPr>
              <w:t>5、工程可行性结论</w:t>
            </w:r>
          </w:p>
          <w:p>
            <w:pPr>
              <w:pStyle w:val="50"/>
              <w:keepNext w:val="0"/>
              <w:keepLines w:val="0"/>
              <w:pageBreakBefore w:val="0"/>
              <w:widowControl w:val="0"/>
              <w:kinsoku/>
              <w:wordWrap/>
              <w:overflowPunct/>
              <w:topLinePunct w:val="0"/>
              <w:bidi w:val="0"/>
              <w:adjustRightInd w:val="0"/>
              <w:snapToGrid w:val="0"/>
              <w:spacing w:line="480" w:lineRule="exact"/>
              <w:ind w:firstLine="552" w:firstLineChars="200"/>
              <w:jc w:val="both"/>
              <w:textAlignment w:val="auto"/>
              <w:rPr>
                <w:rFonts w:hint="default" w:ascii="Times New Roman" w:hAnsi="Times New Roman" w:cs="Times New Roman"/>
                <w:color w:val="000000"/>
                <w:highlight w:val="none"/>
              </w:rPr>
            </w:pPr>
            <w:r>
              <w:rPr>
                <w:rFonts w:hint="default" w:ascii="Times New Roman" w:hAnsi="Times New Roman" w:eastAsia="宋体" w:cs="Times New Roman"/>
                <w:b w:val="0"/>
                <w:bCs w:val="0"/>
                <w:color w:val="000000"/>
                <w:sz w:val="24"/>
                <w:szCs w:val="24"/>
                <w:highlight w:val="none"/>
                <w:lang w:val="en-US" w:eastAsia="zh-CN"/>
              </w:rPr>
              <w:t>本项目符合国家产业政策，厂址选择可行，项目采取了较为完善的污染防治措施，可确保达标排放，项目的建设不会对周围环境产生明显的污染影响。全面加强监督管理，从环保角度分析项目的建设可行</w:t>
            </w:r>
            <w:r>
              <w:rPr>
                <w:rFonts w:hint="default" w:ascii="Times New Roman" w:hAnsi="Times New Roman" w:eastAsia="宋体" w:cs="Times New Roman"/>
                <w:color w:val="000000"/>
                <w:spacing w:val="0"/>
                <w:kern w:val="2"/>
                <w:sz w:val="24"/>
                <w:szCs w:val="24"/>
                <w:highlight w:val="none"/>
                <w:lang w:val="en-US" w:eastAsia="zh-CN" w:bidi="ar-SA"/>
              </w:rPr>
              <w:t>。</w:t>
            </w:r>
          </w:p>
        </w:tc>
      </w:tr>
    </w:tbl>
    <w:p>
      <w:pPr>
        <w:rPr>
          <w:rFonts w:hint="default" w:ascii="Times New Roman" w:hAnsi="Times New Roman" w:cs="Times New Roman"/>
          <w:color w:val="000000"/>
          <w:highlight w:val="none"/>
        </w:rPr>
        <w:sectPr>
          <w:pgSz w:w="11906" w:h="16838"/>
          <w:pgMar w:top="1701" w:right="1531" w:bottom="1701" w:left="1531" w:header="851" w:footer="851" w:gutter="0"/>
          <w:pgBorders>
            <w:top w:val="none" w:sz="0" w:space="0"/>
            <w:left w:val="none" w:sz="0" w:space="0"/>
            <w:bottom w:val="none" w:sz="0" w:space="0"/>
            <w:right w:val="none" w:sz="0" w:space="0"/>
          </w:pgBorders>
          <w:cols w:space="720" w:num="1"/>
          <w:docGrid w:linePitch="312" w:charSpace="0"/>
        </w:sectPr>
      </w:pPr>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line="360" w:lineRule="auto"/>
        <w:textAlignment w:val="auto"/>
        <w:outlineLvl w:val="0"/>
        <w:rPr>
          <w:rFonts w:hint="default" w:ascii="Times New Roman" w:hAnsi="Times New Roman" w:eastAsia="黑体" w:cs="Times New Roman"/>
          <w:snapToGrid w:val="0"/>
          <w:color w:val="000000"/>
          <w:sz w:val="32"/>
          <w:szCs w:val="32"/>
          <w:highlight w:val="none"/>
        </w:rPr>
      </w:pPr>
      <w:bookmarkStart w:id="50" w:name="_Toc27603"/>
      <w:r>
        <w:rPr>
          <w:rFonts w:hint="default" w:ascii="Times New Roman" w:hAnsi="Times New Roman" w:eastAsia="黑体" w:cs="Times New Roman"/>
          <w:snapToGrid w:val="0"/>
          <w:color w:val="000000"/>
          <w:sz w:val="32"/>
          <w:szCs w:val="32"/>
          <w:highlight w:val="none"/>
        </w:rPr>
        <w:t>附表</w:t>
      </w:r>
      <w:bookmarkEnd w:id="50"/>
    </w:p>
    <w:p>
      <w:pPr>
        <w:pStyle w:val="28"/>
        <w:keepNext w:val="0"/>
        <w:keepLines w:val="0"/>
        <w:pageBreakBefore w:val="0"/>
        <w:widowControl/>
        <w:kinsoku/>
        <w:wordWrap/>
        <w:overflowPunct/>
        <w:topLinePunct w:val="0"/>
        <w:autoSpaceDE/>
        <w:autoSpaceDN/>
        <w:bidi w:val="0"/>
        <w:adjustRightInd w:val="0"/>
        <w:snapToGrid w:val="0"/>
        <w:spacing w:before="0" w:beforeAutospacing="0" w:after="0" w:afterAutospacing="0" w:line="240" w:lineRule="auto"/>
        <w:jc w:val="center"/>
        <w:textAlignment w:val="auto"/>
        <w:outlineLvl w:val="0"/>
        <w:rPr>
          <w:rFonts w:hint="default" w:ascii="Times New Roman" w:hAnsi="Times New Roman" w:eastAsia="方正小标宋_GBK" w:cs="Times New Roman"/>
          <w:snapToGrid w:val="0"/>
          <w:color w:val="000000"/>
          <w:sz w:val="38"/>
          <w:szCs w:val="38"/>
          <w:highlight w:val="none"/>
        </w:rPr>
      </w:pPr>
      <w:bookmarkStart w:id="51" w:name="_Toc20111"/>
      <w:r>
        <w:rPr>
          <w:rFonts w:hint="default" w:ascii="Times New Roman" w:hAnsi="Times New Roman" w:eastAsia="方正小标宋_GBK" w:cs="Times New Roman"/>
          <w:snapToGrid w:val="0"/>
          <w:color w:val="000000"/>
          <w:sz w:val="38"/>
          <w:szCs w:val="38"/>
          <w:highlight w:val="none"/>
        </w:rPr>
        <w:t>建设项目污染物排放量汇总表</w:t>
      </w:r>
      <w:bookmarkEnd w:id="51"/>
    </w:p>
    <w:tbl>
      <w:tblPr>
        <w:tblStyle w:val="32"/>
        <w:tblW w:w="4998" w:type="pct"/>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331"/>
        <w:gridCol w:w="1590"/>
        <w:gridCol w:w="1649"/>
        <w:gridCol w:w="1280"/>
        <w:gridCol w:w="1663"/>
        <w:gridCol w:w="1525"/>
        <w:gridCol w:w="1404"/>
        <w:gridCol w:w="1838"/>
        <w:gridCol w:w="120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tcBorders>
              <w:tl2br w:val="single" w:color="auto" w:sz="4" w:space="0"/>
            </w:tcBorders>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right="0" w:firstLine="0" w:firstLineChars="0"/>
              <w:jc w:val="right"/>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项目</w:t>
            </w:r>
          </w:p>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left"/>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分类</w:t>
            </w:r>
          </w:p>
        </w:tc>
        <w:tc>
          <w:tcPr>
            <w:tcW w:w="589"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污染物名称</w:t>
            </w:r>
          </w:p>
        </w:tc>
        <w:tc>
          <w:tcPr>
            <w:tcW w:w="611"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现有工程排放量（固体废物产生量）</w:t>
            </w:r>
            <w:r>
              <w:rPr>
                <w:rFonts w:hint="default" w:ascii="Times New Roman" w:hAnsi="Times New Roman" w:eastAsia="黑体" w:cs="Times New Roman"/>
                <w:b w:val="0"/>
                <w:bCs w:val="0"/>
                <w:snapToGrid w:val="0"/>
                <w:color w:val="000000"/>
                <w:spacing w:val="-6"/>
                <w:kern w:val="21"/>
                <w:sz w:val="21"/>
                <w:szCs w:val="21"/>
                <w:highlight w:val="none"/>
              </w:rPr>
              <w:fldChar w:fldCharType="begin"/>
            </w:r>
            <w:r>
              <w:rPr>
                <w:rFonts w:hint="default" w:ascii="Times New Roman" w:hAnsi="Times New Roman" w:eastAsia="黑体" w:cs="Times New Roman"/>
                <w:b w:val="0"/>
                <w:bCs w:val="0"/>
                <w:snapToGrid w:val="0"/>
                <w:color w:val="000000"/>
                <w:spacing w:val="-6"/>
                <w:kern w:val="21"/>
                <w:sz w:val="21"/>
                <w:szCs w:val="21"/>
                <w:highlight w:val="none"/>
              </w:rPr>
              <w:instrText xml:space="preserve"> = 1 \* GB3 \* MERGEFORMAT </w:instrText>
            </w:r>
            <w:r>
              <w:rPr>
                <w:rFonts w:hint="default" w:ascii="Times New Roman" w:hAnsi="Times New Roman" w:eastAsia="黑体" w:cs="Times New Roman"/>
                <w:b w:val="0"/>
                <w:bCs w:val="0"/>
                <w:snapToGrid w:val="0"/>
                <w:color w:val="000000"/>
                <w:spacing w:val="-6"/>
                <w:kern w:val="21"/>
                <w:sz w:val="21"/>
                <w:szCs w:val="21"/>
                <w:highlight w:val="none"/>
              </w:rPr>
              <w:fldChar w:fldCharType="separate"/>
            </w:r>
            <w:r>
              <w:rPr>
                <w:rFonts w:hint="default" w:ascii="Times New Roman" w:hAnsi="Times New Roman" w:eastAsia="黑体" w:cs="Times New Roman"/>
                <w:b w:val="0"/>
                <w:bCs w:val="0"/>
                <w:color w:val="000000"/>
                <w:kern w:val="2"/>
                <w:sz w:val="21"/>
                <w:szCs w:val="21"/>
                <w:highlight w:val="none"/>
              </w:rPr>
              <w:t>①</w:t>
            </w:r>
            <w:r>
              <w:rPr>
                <w:rFonts w:hint="default" w:ascii="Times New Roman" w:hAnsi="Times New Roman" w:eastAsia="黑体" w:cs="Times New Roman"/>
                <w:b w:val="0"/>
                <w:bCs w:val="0"/>
                <w:snapToGrid w:val="0"/>
                <w:color w:val="000000"/>
                <w:spacing w:val="-6"/>
                <w:kern w:val="21"/>
                <w:sz w:val="21"/>
                <w:szCs w:val="21"/>
                <w:highlight w:val="none"/>
              </w:rPr>
              <w:fldChar w:fldCharType="end"/>
            </w:r>
          </w:p>
        </w:tc>
        <w:tc>
          <w:tcPr>
            <w:tcW w:w="474"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现有工程</w:t>
            </w:r>
          </w:p>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许可排放量</w:t>
            </w:r>
          </w:p>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fldChar w:fldCharType="begin"/>
            </w:r>
            <w:r>
              <w:rPr>
                <w:rFonts w:hint="default" w:ascii="Times New Roman" w:hAnsi="Times New Roman" w:eastAsia="黑体" w:cs="Times New Roman"/>
                <w:b w:val="0"/>
                <w:bCs w:val="0"/>
                <w:snapToGrid w:val="0"/>
                <w:color w:val="000000"/>
                <w:spacing w:val="-6"/>
                <w:kern w:val="21"/>
                <w:sz w:val="21"/>
                <w:szCs w:val="21"/>
                <w:highlight w:val="none"/>
              </w:rPr>
              <w:instrText xml:space="preserve"> = 2 \* GB3 \* MERGEFORMAT </w:instrText>
            </w:r>
            <w:r>
              <w:rPr>
                <w:rFonts w:hint="default" w:ascii="Times New Roman" w:hAnsi="Times New Roman" w:eastAsia="黑体" w:cs="Times New Roman"/>
                <w:b w:val="0"/>
                <w:bCs w:val="0"/>
                <w:snapToGrid w:val="0"/>
                <w:color w:val="000000"/>
                <w:spacing w:val="-6"/>
                <w:kern w:val="21"/>
                <w:sz w:val="21"/>
                <w:szCs w:val="21"/>
                <w:highlight w:val="none"/>
              </w:rPr>
              <w:fldChar w:fldCharType="separate"/>
            </w:r>
            <w:r>
              <w:rPr>
                <w:rFonts w:hint="default" w:ascii="Times New Roman" w:hAnsi="Times New Roman" w:eastAsia="黑体" w:cs="Times New Roman"/>
                <w:b w:val="0"/>
                <w:bCs w:val="0"/>
                <w:snapToGrid w:val="0"/>
                <w:color w:val="000000"/>
                <w:spacing w:val="-6"/>
                <w:kern w:val="21"/>
                <w:sz w:val="21"/>
                <w:szCs w:val="21"/>
                <w:highlight w:val="none"/>
              </w:rPr>
              <w:t>②</w:t>
            </w:r>
            <w:r>
              <w:rPr>
                <w:rFonts w:hint="default" w:ascii="Times New Roman" w:hAnsi="Times New Roman" w:eastAsia="黑体" w:cs="Times New Roman"/>
                <w:b w:val="0"/>
                <w:bCs w:val="0"/>
                <w:snapToGrid w:val="0"/>
                <w:color w:val="000000"/>
                <w:spacing w:val="-6"/>
                <w:kern w:val="21"/>
                <w:sz w:val="21"/>
                <w:szCs w:val="21"/>
                <w:highlight w:val="none"/>
              </w:rPr>
              <w:fldChar w:fldCharType="end"/>
            </w:r>
          </w:p>
        </w:tc>
        <w:tc>
          <w:tcPr>
            <w:tcW w:w="616"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在建工程排放量（固体废物产生量）</w:t>
            </w:r>
            <w:r>
              <w:rPr>
                <w:rFonts w:hint="default" w:ascii="Times New Roman" w:hAnsi="Times New Roman" w:eastAsia="黑体" w:cs="Times New Roman"/>
                <w:b w:val="0"/>
                <w:bCs w:val="0"/>
                <w:snapToGrid w:val="0"/>
                <w:color w:val="000000"/>
                <w:spacing w:val="-6"/>
                <w:kern w:val="21"/>
                <w:sz w:val="21"/>
                <w:szCs w:val="21"/>
                <w:highlight w:val="none"/>
              </w:rPr>
              <w:fldChar w:fldCharType="begin"/>
            </w:r>
            <w:r>
              <w:rPr>
                <w:rFonts w:hint="default" w:ascii="Times New Roman" w:hAnsi="Times New Roman" w:eastAsia="黑体" w:cs="Times New Roman"/>
                <w:b w:val="0"/>
                <w:bCs w:val="0"/>
                <w:snapToGrid w:val="0"/>
                <w:color w:val="000000"/>
                <w:spacing w:val="-6"/>
                <w:kern w:val="21"/>
                <w:sz w:val="21"/>
                <w:szCs w:val="21"/>
                <w:highlight w:val="none"/>
              </w:rPr>
              <w:instrText xml:space="preserve"> = 3 \* GB3 \* MERGEFORMAT </w:instrText>
            </w:r>
            <w:r>
              <w:rPr>
                <w:rFonts w:hint="default" w:ascii="Times New Roman" w:hAnsi="Times New Roman" w:eastAsia="黑体" w:cs="Times New Roman"/>
                <w:b w:val="0"/>
                <w:bCs w:val="0"/>
                <w:snapToGrid w:val="0"/>
                <w:color w:val="000000"/>
                <w:spacing w:val="-6"/>
                <w:kern w:val="21"/>
                <w:sz w:val="21"/>
                <w:szCs w:val="21"/>
                <w:highlight w:val="none"/>
              </w:rPr>
              <w:fldChar w:fldCharType="separate"/>
            </w:r>
            <w:r>
              <w:rPr>
                <w:rFonts w:hint="default" w:ascii="Times New Roman" w:hAnsi="Times New Roman" w:eastAsia="黑体" w:cs="Times New Roman"/>
                <w:b w:val="0"/>
                <w:bCs w:val="0"/>
                <w:color w:val="000000"/>
                <w:kern w:val="2"/>
                <w:sz w:val="21"/>
                <w:szCs w:val="21"/>
                <w:highlight w:val="none"/>
              </w:rPr>
              <w:t>③</w:t>
            </w:r>
            <w:r>
              <w:rPr>
                <w:rFonts w:hint="default" w:ascii="Times New Roman" w:hAnsi="Times New Roman" w:eastAsia="黑体" w:cs="Times New Roman"/>
                <w:b w:val="0"/>
                <w:bCs w:val="0"/>
                <w:snapToGrid w:val="0"/>
                <w:color w:val="000000"/>
                <w:spacing w:val="-6"/>
                <w:kern w:val="21"/>
                <w:sz w:val="21"/>
                <w:szCs w:val="21"/>
                <w:highlight w:val="none"/>
              </w:rPr>
              <w:fldChar w:fldCharType="end"/>
            </w:r>
          </w:p>
        </w:tc>
        <w:tc>
          <w:tcPr>
            <w:tcW w:w="565"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本项目排放量（固体废物产生量）</w:t>
            </w:r>
            <w:r>
              <w:rPr>
                <w:rFonts w:hint="default" w:ascii="Times New Roman" w:hAnsi="Times New Roman" w:eastAsia="黑体" w:cs="Times New Roman"/>
                <w:b w:val="0"/>
                <w:bCs w:val="0"/>
                <w:snapToGrid w:val="0"/>
                <w:color w:val="000000"/>
                <w:spacing w:val="-6"/>
                <w:kern w:val="21"/>
                <w:sz w:val="21"/>
                <w:szCs w:val="21"/>
                <w:highlight w:val="none"/>
              </w:rPr>
              <w:fldChar w:fldCharType="begin"/>
            </w:r>
            <w:r>
              <w:rPr>
                <w:rFonts w:hint="default" w:ascii="Times New Roman" w:hAnsi="Times New Roman" w:eastAsia="黑体" w:cs="Times New Roman"/>
                <w:b w:val="0"/>
                <w:bCs w:val="0"/>
                <w:snapToGrid w:val="0"/>
                <w:color w:val="000000"/>
                <w:spacing w:val="-6"/>
                <w:kern w:val="21"/>
                <w:sz w:val="21"/>
                <w:szCs w:val="21"/>
                <w:highlight w:val="none"/>
              </w:rPr>
              <w:instrText xml:space="preserve"> = 4 \* GB3 \* MERGEFORMAT </w:instrText>
            </w:r>
            <w:r>
              <w:rPr>
                <w:rFonts w:hint="default" w:ascii="Times New Roman" w:hAnsi="Times New Roman" w:eastAsia="黑体" w:cs="Times New Roman"/>
                <w:b w:val="0"/>
                <w:bCs w:val="0"/>
                <w:snapToGrid w:val="0"/>
                <w:color w:val="000000"/>
                <w:spacing w:val="-6"/>
                <w:kern w:val="21"/>
                <w:sz w:val="21"/>
                <w:szCs w:val="21"/>
                <w:highlight w:val="none"/>
              </w:rPr>
              <w:fldChar w:fldCharType="separate"/>
            </w:r>
            <w:r>
              <w:rPr>
                <w:rFonts w:hint="default" w:ascii="Times New Roman" w:hAnsi="Times New Roman" w:eastAsia="黑体" w:cs="Times New Roman"/>
                <w:b w:val="0"/>
                <w:bCs w:val="0"/>
                <w:color w:val="000000"/>
                <w:kern w:val="2"/>
                <w:sz w:val="21"/>
                <w:szCs w:val="21"/>
                <w:highlight w:val="none"/>
              </w:rPr>
              <w:t>④</w:t>
            </w:r>
            <w:r>
              <w:rPr>
                <w:rFonts w:hint="default" w:ascii="Times New Roman" w:hAnsi="Times New Roman" w:eastAsia="黑体" w:cs="Times New Roman"/>
                <w:b w:val="0"/>
                <w:bCs w:val="0"/>
                <w:snapToGrid w:val="0"/>
                <w:color w:val="000000"/>
                <w:spacing w:val="-6"/>
                <w:kern w:val="21"/>
                <w:sz w:val="21"/>
                <w:szCs w:val="21"/>
                <w:highlight w:val="none"/>
              </w:rPr>
              <w:fldChar w:fldCharType="end"/>
            </w:r>
          </w:p>
        </w:tc>
        <w:tc>
          <w:tcPr>
            <w:tcW w:w="520"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16"/>
                <w:kern w:val="21"/>
                <w:sz w:val="21"/>
                <w:szCs w:val="21"/>
                <w:highlight w:val="none"/>
              </w:rPr>
            </w:pPr>
            <w:r>
              <w:rPr>
                <w:rFonts w:hint="default" w:ascii="Times New Roman" w:hAnsi="Times New Roman" w:eastAsia="黑体" w:cs="Times New Roman"/>
                <w:b w:val="0"/>
                <w:bCs w:val="0"/>
                <w:snapToGrid w:val="0"/>
                <w:color w:val="000000"/>
                <w:spacing w:val="-16"/>
                <w:kern w:val="21"/>
                <w:sz w:val="21"/>
                <w:szCs w:val="21"/>
                <w:highlight w:val="none"/>
              </w:rPr>
              <w:t>以新带老削减量</w:t>
            </w:r>
            <w:r>
              <w:rPr>
                <w:rFonts w:hint="default" w:ascii="Times New Roman" w:hAnsi="Times New Roman" w:cs="Times New Roman"/>
                <w:b w:val="0"/>
                <w:bCs w:val="0"/>
                <w:snapToGrid w:val="0"/>
                <w:color w:val="000000"/>
                <w:spacing w:val="-16"/>
                <w:kern w:val="21"/>
                <w:sz w:val="21"/>
                <w:szCs w:val="21"/>
                <w:highlight w:val="none"/>
                <w:lang w:eastAsia="zh-CN"/>
              </w:rPr>
              <w:t>（</w:t>
            </w:r>
            <w:r>
              <w:rPr>
                <w:rFonts w:hint="default" w:ascii="Times New Roman" w:hAnsi="Times New Roman" w:eastAsia="黑体" w:cs="Times New Roman"/>
                <w:b w:val="0"/>
                <w:bCs w:val="0"/>
                <w:snapToGrid w:val="0"/>
                <w:color w:val="000000"/>
                <w:spacing w:val="-16"/>
                <w:kern w:val="21"/>
                <w:sz w:val="21"/>
                <w:szCs w:val="21"/>
                <w:highlight w:val="none"/>
              </w:rPr>
              <w:t>新建项目不填）</w:t>
            </w:r>
            <w:r>
              <w:rPr>
                <w:rFonts w:hint="default" w:ascii="Times New Roman" w:hAnsi="Times New Roman" w:eastAsia="黑体" w:cs="Times New Roman"/>
                <w:b w:val="0"/>
                <w:bCs w:val="0"/>
                <w:snapToGrid w:val="0"/>
                <w:color w:val="000000"/>
                <w:spacing w:val="-16"/>
                <w:kern w:val="21"/>
                <w:sz w:val="21"/>
                <w:szCs w:val="21"/>
                <w:highlight w:val="none"/>
              </w:rPr>
              <w:fldChar w:fldCharType="begin"/>
            </w:r>
            <w:r>
              <w:rPr>
                <w:rFonts w:hint="default" w:ascii="Times New Roman" w:hAnsi="Times New Roman" w:eastAsia="黑体" w:cs="Times New Roman"/>
                <w:b w:val="0"/>
                <w:bCs w:val="0"/>
                <w:snapToGrid w:val="0"/>
                <w:color w:val="000000"/>
                <w:spacing w:val="-16"/>
                <w:kern w:val="21"/>
                <w:sz w:val="21"/>
                <w:szCs w:val="21"/>
                <w:highlight w:val="none"/>
              </w:rPr>
              <w:instrText xml:space="preserve"> = 5 \* GB3 \* MERGEFORMAT </w:instrText>
            </w:r>
            <w:r>
              <w:rPr>
                <w:rFonts w:hint="default" w:ascii="Times New Roman" w:hAnsi="Times New Roman" w:eastAsia="黑体" w:cs="Times New Roman"/>
                <w:b w:val="0"/>
                <w:bCs w:val="0"/>
                <w:snapToGrid w:val="0"/>
                <w:color w:val="000000"/>
                <w:spacing w:val="-16"/>
                <w:kern w:val="21"/>
                <w:sz w:val="21"/>
                <w:szCs w:val="21"/>
                <w:highlight w:val="none"/>
              </w:rPr>
              <w:fldChar w:fldCharType="separate"/>
            </w:r>
            <w:r>
              <w:rPr>
                <w:rFonts w:hint="default" w:ascii="Times New Roman" w:hAnsi="Times New Roman" w:eastAsia="黑体" w:cs="Times New Roman"/>
                <w:b w:val="0"/>
                <w:bCs w:val="0"/>
                <w:color w:val="000000"/>
                <w:kern w:val="2"/>
                <w:sz w:val="21"/>
                <w:szCs w:val="21"/>
                <w:highlight w:val="none"/>
              </w:rPr>
              <w:t>⑤</w:t>
            </w:r>
            <w:r>
              <w:rPr>
                <w:rFonts w:hint="default" w:ascii="Times New Roman" w:hAnsi="Times New Roman" w:eastAsia="黑体" w:cs="Times New Roman"/>
                <w:b w:val="0"/>
                <w:bCs w:val="0"/>
                <w:snapToGrid w:val="0"/>
                <w:color w:val="000000"/>
                <w:spacing w:val="-16"/>
                <w:kern w:val="21"/>
                <w:sz w:val="21"/>
                <w:szCs w:val="21"/>
                <w:highlight w:val="none"/>
              </w:rPr>
              <w:fldChar w:fldCharType="end"/>
            </w:r>
          </w:p>
        </w:tc>
        <w:tc>
          <w:tcPr>
            <w:tcW w:w="681"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16"/>
                <w:kern w:val="21"/>
                <w:sz w:val="21"/>
                <w:szCs w:val="21"/>
                <w:highlight w:val="none"/>
              </w:rPr>
            </w:pPr>
            <w:r>
              <w:rPr>
                <w:rFonts w:hint="default" w:ascii="Times New Roman" w:hAnsi="Times New Roman" w:eastAsia="黑体" w:cs="Times New Roman"/>
                <w:b w:val="0"/>
                <w:bCs w:val="0"/>
                <w:snapToGrid w:val="0"/>
                <w:color w:val="000000"/>
                <w:spacing w:val="-16"/>
                <w:kern w:val="21"/>
                <w:sz w:val="21"/>
                <w:szCs w:val="21"/>
                <w:highlight w:val="none"/>
              </w:rPr>
              <w:t>本项目建成后全厂排放量（固体废物产生量）</w:t>
            </w:r>
            <w:r>
              <w:rPr>
                <w:rFonts w:hint="default" w:ascii="Times New Roman" w:hAnsi="Times New Roman" w:eastAsia="黑体" w:cs="Times New Roman"/>
                <w:b w:val="0"/>
                <w:bCs w:val="0"/>
                <w:snapToGrid w:val="0"/>
                <w:color w:val="000000"/>
                <w:spacing w:val="-16"/>
                <w:kern w:val="21"/>
                <w:sz w:val="21"/>
                <w:szCs w:val="21"/>
                <w:highlight w:val="none"/>
              </w:rPr>
              <w:fldChar w:fldCharType="begin"/>
            </w:r>
            <w:r>
              <w:rPr>
                <w:rFonts w:hint="default" w:ascii="Times New Roman" w:hAnsi="Times New Roman" w:eastAsia="黑体" w:cs="Times New Roman"/>
                <w:b w:val="0"/>
                <w:bCs w:val="0"/>
                <w:snapToGrid w:val="0"/>
                <w:color w:val="000000"/>
                <w:spacing w:val="-16"/>
                <w:kern w:val="21"/>
                <w:sz w:val="21"/>
                <w:szCs w:val="21"/>
                <w:highlight w:val="none"/>
              </w:rPr>
              <w:instrText xml:space="preserve"> = 6 \* GB3 \* MERGEFORMAT </w:instrText>
            </w:r>
            <w:r>
              <w:rPr>
                <w:rFonts w:hint="default" w:ascii="Times New Roman" w:hAnsi="Times New Roman" w:eastAsia="黑体" w:cs="Times New Roman"/>
                <w:b w:val="0"/>
                <w:bCs w:val="0"/>
                <w:snapToGrid w:val="0"/>
                <w:color w:val="000000"/>
                <w:spacing w:val="-16"/>
                <w:kern w:val="21"/>
                <w:sz w:val="21"/>
                <w:szCs w:val="21"/>
                <w:highlight w:val="none"/>
              </w:rPr>
              <w:fldChar w:fldCharType="separate"/>
            </w:r>
            <w:r>
              <w:rPr>
                <w:rFonts w:hint="default" w:ascii="Times New Roman" w:hAnsi="Times New Roman" w:eastAsia="黑体" w:cs="Times New Roman"/>
                <w:b w:val="0"/>
                <w:bCs w:val="0"/>
                <w:color w:val="000000"/>
                <w:kern w:val="2"/>
                <w:sz w:val="21"/>
                <w:szCs w:val="21"/>
                <w:highlight w:val="none"/>
              </w:rPr>
              <w:t>⑥</w:t>
            </w:r>
            <w:r>
              <w:rPr>
                <w:rFonts w:hint="default" w:ascii="Times New Roman" w:hAnsi="Times New Roman" w:eastAsia="黑体" w:cs="Times New Roman"/>
                <w:b w:val="0"/>
                <w:bCs w:val="0"/>
                <w:snapToGrid w:val="0"/>
                <w:color w:val="000000"/>
                <w:spacing w:val="-16"/>
                <w:kern w:val="21"/>
                <w:sz w:val="21"/>
                <w:szCs w:val="21"/>
                <w:highlight w:val="none"/>
              </w:rPr>
              <w:fldChar w:fldCharType="end"/>
            </w:r>
          </w:p>
        </w:tc>
        <w:tc>
          <w:tcPr>
            <w:tcW w:w="447" w:type="pct"/>
            <w:noWrap w:val="0"/>
            <w:tcMar>
              <w:left w:w="28" w:type="dxa"/>
              <w:right w:w="28" w:type="dxa"/>
            </w:tcMar>
            <w:vAlign w:val="center"/>
          </w:tcPr>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t>变化量</w:t>
            </w:r>
          </w:p>
          <w:p>
            <w:pPr>
              <w:pStyle w:val="53"/>
              <w:keepNext w:val="0"/>
              <w:keepLines w:val="0"/>
              <w:pageBreakBefore w:val="0"/>
              <w:widowControl w:val="0"/>
              <w:kinsoku/>
              <w:wordWrap/>
              <w:overflowPunct/>
              <w:topLinePunct w:val="0"/>
              <w:autoSpaceDE/>
              <w:autoSpaceDN/>
              <w:bidi w:val="0"/>
              <w:adjustRightInd w:val="0"/>
              <w:snapToGrid/>
              <w:spacing w:before="0" w:beforeLines="0" w:after="0" w:afterLines="0" w:line="400" w:lineRule="exact"/>
              <w:ind w:left="0" w:leftChars="0" w:right="0" w:firstLine="0" w:firstLineChars="0"/>
              <w:jc w:val="center"/>
              <w:textAlignment w:val="auto"/>
              <w:rPr>
                <w:rFonts w:hint="default" w:ascii="Times New Roman" w:hAnsi="Times New Roman" w:eastAsia="黑体" w:cs="Times New Roman"/>
                <w:b w:val="0"/>
                <w:bCs w:val="0"/>
                <w:snapToGrid w:val="0"/>
                <w:color w:val="000000"/>
                <w:spacing w:val="-6"/>
                <w:kern w:val="21"/>
                <w:sz w:val="21"/>
                <w:szCs w:val="21"/>
                <w:highlight w:val="none"/>
              </w:rPr>
            </w:pPr>
            <w:r>
              <w:rPr>
                <w:rFonts w:hint="default" w:ascii="Times New Roman" w:hAnsi="Times New Roman" w:eastAsia="黑体" w:cs="Times New Roman"/>
                <w:b w:val="0"/>
                <w:bCs w:val="0"/>
                <w:snapToGrid w:val="0"/>
                <w:color w:val="000000"/>
                <w:spacing w:val="-6"/>
                <w:kern w:val="21"/>
                <w:sz w:val="21"/>
                <w:szCs w:val="21"/>
                <w:highlight w:val="none"/>
              </w:rPr>
              <w:fldChar w:fldCharType="begin"/>
            </w:r>
            <w:r>
              <w:rPr>
                <w:rFonts w:hint="default" w:ascii="Times New Roman" w:hAnsi="Times New Roman" w:eastAsia="黑体" w:cs="Times New Roman"/>
                <w:b w:val="0"/>
                <w:bCs w:val="0"/>
                <w:snapToGrid w:val="0"/>
                <w:color w:val="000000"/>
                <w:spacing w:val="-6"/>
                <w:kern w:val="21"/>
                <w:sz w:val="21"/>
                <w:szCs w:val="21"/>
                <w:highlight w:val="none"/>
              </w:rPr>
              <w:instrText xml:space="preserve"> = 7 \* GB3 \* MERGEFORMAT </w:instrText>
            </w:r>
            <w:r>
              <w:rPr>
                <w:rFonts w:hint="default" w:ascii="Times New Roman" w:hAnsi="Times New Roman" w:eastAsia="黑体" w:cs="Times New Roman"/>
                <w:b w:val="0"/>
                <w:bCs w:val="0"/>
                <w:snapToGrid w:val="0"/>
                <w:color w:val="000000"/>
                <w:spacing w:val="-6"/>
                <w:kern w:val="21"/>
                <w:sz w:val="21"/>
                <w:szCs w:val="21"/>
                <w:highlight w:val="none"/>
              </w:rPr>
              <w:fldChar w:fldCharType="separate"/>
            </w:r>
            <w:r>
              <w:rPr>
                <w:rFonts w:hint="default" w:ascii="Times New Roman" w:hAnsi="Times New Roman" w:eastAsia="黑体" w:cs="Times New Roman"/>
                <w:b w:val="0"/>
                <w:bCs w:val="0"/>
                <w:color w:val="000000"/>
                <w:kern w:val="2"/>
                <w:sz w:val="21"/>
                <w:szCs w:val="21"/>
                <w:highlight w:val="none"/>
              </w:rPr>
              <w:t>⑦</w:t>
            </w:r>
            <w:r>
              <w:rPr>
                <w:rFonts w:hint="default" w:ascii="Times New Roman" w:hAnsi="Times New Roman" w:eastAsia="黑体" w:cs="Times New Roman"/>
                <w:b w:val="0"/>
                <w:bCs w:val="0"/>
                <w:snapToGrid w:val="0"/>
                <w:color w:val="000000"/>
                <w:spacing w:val="-6"/>
                <w:kern w:val="21"/>
                <w:sz w:val="21"/>
                <w:szCs w:val="21"/>
                <w:highlight w:val="none"/>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restar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r>
              <w:rPr>
                <w:rFonts w:hint="default" w:ascii="Times New Roman" w:hAnsi="Times New Roman" w:eastAsia="宋体" w:cs="Times New Roman"/>
                <w:b w:val="0"/>
                <w:bCs w:val="0"/>
                <w:snapToGrid w:val="0"/>
                <w:color w:val="000000"/>
                <w:spacing w:val="-6"/>
                <w:kern w:val="21"/>
                <w:sz w:val="21"/>
                <w:szCs w:val="21"/>
                <w:highlight w:val="none"/>
              </w:rPr>
              <w:t>废气</w:t>
            </w:r>
          </w:p>
        </w:tc>
        <w:tc>
          <w:tcPr>
            <w:tcW w:w="589" w:type="pct"/>
            <w:noWrap w:val="0"/>
            <w:vAlign w:val="center"/>
          </w:tcPr>
          <w:p>
            <w:pPr>
              <w:pStyle w:val="53"/>
              <w:keepNext w:val="0"/>
              <w:keepLines w:val="0"/>
              <w:pageBreakBefore w:val="0"/>
              <w:widowControl w:val="0"/>
              <w:kinsoku/>
              <w:wordWrap/>
              <w:overflowPunct/>
              <w:topLinePunct w:val="0"/>
              <w:autoSpaceDE/>
              <w:autoSpaceDN/>
              <w:bidi w:val="0"/>
              <w:spacing w:before="95" w:beforeLines="30" w:after="95" w:afterLines="30" w:line="240" w:lineRule="exact"/>
              <w:ind w:right="0" w:rightChars="0" w:firstLine="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cs="Times New Roman"/>
                <w:snapToGrid w:val="0"/>
                <w:color w:val="000000"/>
                <w:kern w:val="21"/>
                <w:sz w:val="21"/>
                <w:szCs w:val="21"/>
                <w:highlight w:val="none"/>
              </w:rPr>
              <w:t>颗粒物</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.065</w:t>
            </w:r>
            <w:r>
              <w:rPr>
                <w:rFonts w:hint="default" w:ascii="Times New Roman" w:hAnsi="Times New Roman" w:eastAsia="宋体" w:cs="Times New Roman"/>
                <w:b w:val="0"/>
                <w:bCs w:val="0"/>
                <w:color w:val="000000"/>
                <w:kern w:val="0"/>
                <w:sz w:val="21"/>
                <w:szCs w:val="21"/>
                <w:highlight w:val="none"/>
                <w:lang w:val="en-US" w:eastAsia="zh-CN"/>
              </w:rPr>
              <w:t>t/a</w:t>
            </w:r>
          </w:p>
        </w:tc>
        <w:tc>
          <w:tcPr>
            <w:tcW w:w="520" w:type="pct"/>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eastAsia="宋体" w:cs="Times New Roman"/>
                <w:b w:val="0"/>
                <w:bCs w:val="0"/>
                <w:snapToGrid w:val="0"/>
                <w:color w:val="000000"/>
                <w:kern w:val="21"/>
                <w:sz w:val="21"/>
                <w:szCs w:val="21"/>
                <w:highlight w:val="none"/>
              </w:rPr>
            </w:pPr>
          </w:p>
        </w:tc>
        <w:tc>
          <w:tcPr>
            <w:tcW w:w="68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.065</w:t>
            </w:r>
            <w:r>
              <w:rPr>
                <w:rFonts w:hint="default" w:ascii="Times New Roman" w:hAnsi="Times New Roman" w:eastAsia="宋体" w:cs="Times New Roman"/>
                <w:b w:val="0"/>
                <w:bCs w:val="0"/>
                <w:color w:val="000000"/>
                <w:kern w:val="0"/>
                <w:sz w:val="21"/>
                <w:szCs w:val="21"/>
                <w:highlight w:val="none"/>
                <w:lang w:val="en-US" w:eastAsia="zh-CN"/>
              </w:rPr>
              <w:t>t/a</w:t>
            </w:r>
          </w:p>
        </w:tc>
        <w:tc>
          <w:tcPr>
            <w:tcW w:w="447"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cs="Times New Roman"/>
                <w:b w:val="0"/>
                <w:bCs w:val="0"/>
                <w:snapToGrid w:val="0"/>
                <w:color w:val="000000"/>
                <w:kern w:val="21"/>
                <w:sz w:val="21"/>
                <w:szCs w:val="21"/>
                <w:highlight w:val="none"/>
                <w:lang w:val="en-US" w:eastAsia="zh-CN"/>
              </w:rPr>
              <w:t>+</w:t>
            </w: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.065</w:t>
            </w:r>
            <w:r>
              <w:rPr>
                <w:rFonts w:hint="default" w:ascii="Times New Roman" w:hAnsi="Times New Roman" w:eastAsia="宋体" w:cs="Times New Roman"/>
                <w:b w:val="0"/>
                <w:bCs w:val="0"/>
                <w:color w:val="000000"/>
                <w:kern w:val="0"/>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pStyle w:val="53"/>
              <w:keepNext w:val="0"/>
              <w:keepLines w:val="0"/>
              <w:pageBreakBefore w:val="0"/>
              <w:widowControl w:val="0"/>
              <w:kinsoku/>
              <w:wordWrap/>
              <w:overflowPunct/>
              <w:topLinePunct w:val="0"/>
              <w:autoSpaceDE/>
              <w:autoSpaceDN/>
              <w:bidi w:val="0"/>
              <w:spacing w:before="95" w:beforeLines="30" w:after="95" w:afterLines="30" w:line="240" w:lineRule="exact"/>
              <w:ind w:right="0" w:rightChars="0" w:firstLine="0"/>
              <w:jc w:val="center"/>
              <w:textAlignment w:val="auto"/>
              <w:rPr>
                <w:rFonts w:hint="default" w:ascii="Times New Roman" w:hAnsi="Times New Roman" w:eastAsia="宋体" w:cs="Times New Roman"/>
                <w:snapToGrid w:val="0"/>
                <w:color w:val="000000"/>
                <w:kern w:val="21"/>
                <w:sz w:val="21"/>
                <w:szCs w:val="21"/>
                <w:highlight w:val="none"/>
                <w:lang w:val="en-US" w:eastAsia="zh-CN"/>
              </w:rPr>
            </w:pPr>
            <w:r>
              <w:rPr>
                <w:rFonts w:hint="default" w:ascii="Times New Roman" w:hAnsi="Times New Roman" w:cs="Times New Roman"/>
                <w:snapToGrid w:val="0"/>
                <w:color w:val="000000"/>
                <w:kern w:val="21"/>
                <w:sz w:val="21"/>
                <w:szCs w:val="21"/>
                <w:highlight w:val="none"/>
                <w:lang w:val="en-US" w:eastAsia="zh-CN"/>
              </w:rPr>
              <w:t>非甲烷总烃（包括二甲苯）</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0.476</w:t>
            </w:r>
            <w:r>
              <w:rPr>
                <w:rFonts w:hint="default" w:ascii="Times New Roman" w:hAnsi="Times New Roman" w:eastAsia="宋体" w:cs="Times New Roman"/>
                <w:b w:val="0"/>
                <w:bCs w:val="0"/>
                <w:color w:val="000000"/>
                <w:kern w:val="0"/>
                <w:sz w:val="21"/>
                <w:szCs w:val="21"/>
                <w:highlight w:val="none"/>
                <w:lang w:val="en-US" w:eastAsia="zh-CN"/>
              </w:rPr>
              <w:t>t/a</w:t>
            </w:r>
          </w:p>
        </w:tc>
        <w:tc>
          <w:tcPr>
            <w:tcW w:w="520" w:type="pct"/>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eastAsia="宋体" w:cs="Times New Roman"/>
                <w:b w:val="0"/>
                <w:bCs w:val="0"/>
                <w:snapToGrid w:val="0"/>
                <w:color w:val="000000"/>
                <w:kern w:val="21"/>
                <w:sz w:val="21"/>
                <w:szCs w:val="21"/>
                <w:highlight w:val="none"/>
              </w:rPr>
            </w:pPr>
          </w:p>
        </w:tc>
        <w:tc>
          <w:tcPr>
            <w:tcW w:w="68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0.476</w:t>
            </w:r>
            <w:r>
              <w:rPr>
                <w:rFonts w:hint="default" w:ascii="Times New Roman" w:hAnsi="Times New Roman" w:eastAsia="宋体" w:cs="Times New Roman"/>
                <w:b w:val="0"/>
                <w:bCs w:val="0"/>
                <w:color w:val="000000"/>
                <w:kern w:val="0"/>
                <w:sz w:val="21"/>
                <w:szCs w:val="21"/>
                <w:highlight w:val="none"/>
                <w:lang w:val="en-US" w:eastAsia="zh-CN"/>
              </w:rPr>
              <w:t>t/a</w:t>
            </w:r>
          </w:p>
        </w:tc>
        <w:tc>
          <w:tcPr>
            <w:tcW w:w="447"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+0.476</w:t>
            </w:r>
            <w:r>
              <w:rPr>
                <w:rFonts w:hint="default" w:ascii="Times New Roman" w:hAnsi="Times New Roman" w:eastAsia="宋体" w:cs="Times New Roman"/>
                <w:b w:val="0"/>
                <w:bCs w:val="0"/>
                <w:color w:val="000000"/>
                <w:kern w:val="0"/>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pStyle w:val="53"/>
              <w:keepNext w:val="0"/>
              <w:keepLines w:val="0"/>
              <w:pageBreakBefore w:val="0"/>
              <w:widowControl w:val="0"/>
              <w:kinsoku/>
              <w:wordWrap/>
              <w:overflowPunct/>
              <w:topLinePunct w:val="0"/>
              <w:autoSpaceDE/>
              <w:autoSpaceDN/>
              <w:bidi w:val="0"/>
              <w:spacing w:before="95" w:beforeLines="30" w:after="95" w:afterLines="30" w:line="240" w:lineRule="exact"/>
              <w:ind w:right="0" w:rightChars="0" w:firstLine="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cs="Times New Roman"/>
                <w:b w:val="0"/>
                <w:bCs w:val="0"/>
                <w:snapToGrid w:val="0"/>
                <w:color w:val="000000"/>
                <w:spacing w:val="-6"/>
                <w:kern w:val="21"/>
                <w:sz w:val="21"/>
                <w:szCs w:val="21"/>
                <w:highlight w:val="none"/>
                <w:lang w:val="en-US" w:eastAsia="zh-CN"/>
              </w:rPr>
              <w:t>油烟</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.002</w:t>
            </w:r>
            <w:r>
              <w:rPr>
                <w:rFonts w:hint="default" w:ascii="Times New Roman" w:hAnsi="Times New Roman" w:eastAsia="宋体" w:cs="Times New Roman"/>
                <w:b w:val="0"/>
                <w:bCs w:val="0"/>
                <w:color w:val="000000"/>
                <w:kern w:val="0"/>
                <w:sz w:val="21"/>
                <w:szCs w:val="21"/>
                <w:highlight w:val="none"/>
                <w:lang w:val="en-US" w:eastAsia="zh-CN"/>
              </w:rPr>
              <w:t>t/a</w:t>
            </w:r>
          </w:p>
        </w:tc>
        <w:tc>
          <w:tcPr>
            <w:tcW w:w="520" w:type="pct"/>
            <w:noWrap w:val="0"/>
            <w:vAlign w:val="center"/>
          </w:tcPr>
          <w:p>
            <w:pPr>
              <w:keepNext w:val="0"/>
              <w:keepLines w:val="0"/>
              <w:pageBreakBefore w:val="0"/>
              <w:kinsoku/>
              <w:overflowPunct/>
              <w:topLinePunct w:val="0"/>
              <w:autoSpaceDE/>
              <w:autoSpaceDN/>
              <w:bidi w:val="0"/>
              <w:jc w:val="center"/>
              <w:textAlignment w:val="auto"/>
              <w:rPr>
                <w:rFonts w:hint="default" w:ascii="Times New Roman" w:hAnsi="Times New Roman" w:eastAsia="宋体" w:cs="Times New Roman"/>
                <w:b w:val="0"/>
                <w:bCs w:val="0"/>
                <w:snapToGrid w:val="0"/>
                <w:color w:val="000000"/>
                <w:kern w:val="21"/>
                <w:sz w:val="21"/>
                <w:szCs w:val="21"/>
                <w:highlight w:val="none"/>
              </w:rPr>
            </w:pPr>
          </w:p>
        </w:tc>
        <w:tc>
          <w:tcPr>
            <w:tcW w:w="68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.0015</w:t>
            </w:r>
            <w:r>
              <w:rPr>
                <w:rFonts w:hint="default" w:ascii="Times New Roman" w:hAnsi="Times New Roman" w:eastAsia="宋体" w:cs="Times New Roman"/>
                <w:b w:val="0"/>
                <w:bCs w:val="0"/>
                <w:color w:val="000000"/>
                <w:kern w:val="0"/>
                <w:sz w:val="21"/>
                <w:szCs w:val="21"/>
                <w:highlight w:val="none"/>
                <w:lang w:val="en-US" w:eastAsia="zh-CN"/>
              </w:rPr>
              <w:t>t/a</w:t>
            </w:r>
          </w:p>
        </w:tc>
        <w:tc>
          <w:tcPr>
            <w:tcW w:w="447"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w:t>
            </w: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.002</w:t>
            </w:r>
            <w:r>
              <w:rPr>
                <w:rFonts w:hint="default" w:ascii="Times New Roman" w:hAnsi="Times New Roman" w:eastAsia="宋体" w:cs="Times New Roman"/>
                <w:b w:val="0"/>
                <w:bCs w:val="0"/>
                <w:color w:val="000000"/>
                <w:kern w:val="0"/>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restar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cs="Times New Roman"/>
                <w:b w:val="0"/>
                <w:bCs w:val="0"/>
                <w:snapToGrid w:val="0"/>
                <w:color w:val="000000"/>
                <w:spacing w:val="-6"/>
                <w:kern w:val="21"/>
                <w:sz w:val="21"/>
                <w:szCs w:val="21"/>
                <w:highlight w:val="none"/>
                <w:lang w:val="en-US" w:eastAsia="zh-CN"/>
              </w:rPr>
              <w:t>废水</w:t>
            </w:r>
          </w:p>
        </w:tc>
        <w:tc>
          <w:tcPr>
            <w:tcW w:w="589"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eastAsia="宋体" w:cs="Times New Roman"/>
                <w:b w:val="0"/>
                <w:bCs w:val="0"/>
                <w:snapToGrid w:val="0"/>
                <w:color w:val="000000"/>
                <w:spacing w:val="-6"/>
                <w:kern w:val="21"/>
                <w:sz w:val="21"/>
                <w:szCs w:val="21"/>
                <w:highlight w:val="none"/>
                <w:lang w:val="en-US" w:eastAsia="zh-CN"/>
              </w:rPr>
              <w:t>COD</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0.117</w:t>
            </w:r>
            <w:r>
              <w:rPr>
                <w:rFonts w:hint="default" w:ascii="Times New Roman" w:hAnsi="Times New Roman" w:eastAsia="宋体" w:cs="Times New Roman"/>
                <w:b w:val="0"/>
                <w:bCs w:val="0"/>
                <w:color w:val="000000"/>
                <w:kern w:val="0"/>
                <w:sz w:val="21"/>
                <w:szCs w:val="21"/>
                <w:highlight w:val="none"/>
                <w:lang w:val="en-US" w:eastAsia="zh-CN"/>
              </w:rPr>
              <w:t>t/a</w:t>
            </w:r>
          </w:p>
        </w:tc>
        <w:tc>
          <w:tcPr>
            <w:tcW w:w="520"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0.117</w:t>
            </w:r>
            <w:r>
              <w:rPr>
                <w:rFonts w:hint="default" w:ascii="Times New Roman" w:hAnsi="Times New Roman" w:eastAsia="宋体" w:cs="Times New Roman"/>
                <w:b w:val="0"/>
                <w:bCs w:val="0"/>
                <w:color w:val="000000"/>
                <w:kern w:val="0"/>
                <w:sz w:val="21"/>
                <w:szCs w:val="21"/>
                <w:highlight w:val="none"/>
                <w:lang w:val="en-US" w:eastAsia="zh-CN"/>
              </w:rPr>
              <w:t>t/a</w:t>
            </w:r>
          </w:p>
        </w:tc>
        <w:tc>
          <w:tcPr>
            <w:tcW w:w="447"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+0.117</w:t>
            </w:r>
            <w:r>
              <w:rPr>
                <w:rFonts w:hint="default" w:ascii="Times New Roman" w:hAnsi="Times New Roman" w:eastAsia="宋体" w:cs="Times New Roman"/>
                <w:b w:val="0"/>
                <w:bCs w:val="0"/>
                <w:color w:val="000000"/>
                <w:kern w:val="0"/>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eastAsia="zh-CN"/>
              </w:rPr>
            </w:pPr>
            <w:r>
              <w:rPr>
                <w:rFonts w:hint="default" w:ascii="Times New Roman" w:hAnsi="Times New Roman" w:eastAsia="宋体" w:cs="Times New Roman"/>
                <w:b w:val="0"/>
                <w:bCs w:val="0"/>
                <w:snapToGrid w:val="0"/>
                <w:color w:val="000000"/>
                <w:spacing w:val="-6"/>
                <w:kern w:val="21"/>
                <w:sz w:val="21"/>
                <w:szCs w:val="21"/>
                <w:highlight w:val="none"/>
                <w:lang w:eastAsia="zh-CN"/>
              </w:rPr>
              <w:t>氨氮</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.012</w:t>
            </w:r>
            <w:r>
              <w:rPr>
                <w:rFonts w:hint="default" w:ascii="Times New Roman" w:hAnsi="Times New Roman" w:eastAsia="宋体" w:cs="Times New Roman"/>
                <w:b w:val="0"/>
                <w:bCs w:val="0"/>
                <w:color w:val="000000"/>
                <w:kern w:val="0"/>
                <w:sz w:val="21"/>
                <w:szCs w:val="21"/>
                <w:highlight w:val="none"/>
                <w:lang w:val="en-US" w:eastAsia="zh-CN"/>
              </w:rPr>
              <w:t>t/a</w:t>
            </w:r>
          </w:p>
        </w:tc>
        <w:tc>
          <w:tcPr>
            <w:tcW w:w="520"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color w:val="000000"/>
                <w:kern w:val="2"/>
                <w:sz w:val="21"/>
                <w:szCs w:val="21"/>
                <w:highlight w:val="none"/>
                <w:lang w:val="en-US" w:eastAsia="zh-CN" w:bidi="ar-SA"/>
              </w:rPr>
            </w:pP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.012</w:t>
            </w:r>
            <w:r>
              <w:rPr>
                <w:rFonts w:hint="default" w:ascii="Times New Roman" w:hAnsi="Times New Roman" w:eastAsia="宋体" w:cs="Times New Roman"/>
                <w:b w:val="0"/>
                <w:bCs w:val="0"/>
                <w:color w:val="000000"/>
                <w:kern w:val="0"/>
                <w:sz w:val="21"/>
                <w:szCs w:val="21"/>
                <w:highlight w:val="none"/>
                <w:lang w:val="en-US" w:eastAsia="zh-CN"/>
              </w:rPr>
              <w:t>t/a</w:t>
            </w:r>
          </w:p>
        </w:tc>
        <w:tc>
          <w:tcPr>
            <w:tcW w:w="447"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b w:val="0"/>
                <w:bCs w:val="0"/>
                <w:snapToGrid w:val="0"/>
                <w:color w:val="000000"/>
                <w:kern w:val="21"/>
                <w:sz w:val="21"/>
                <w:szCs w:val="21"/>
                <w:highlight w:val="none"/>
                <w:lang w:val="en-US" w:eastAsia="zh-CN"/>
              </w:rPr>
              <w:t>+</w:t>
            </w:r>
            <w:r>
              <w:rPr>
                <w:rFonts w:hint="default" w:ascii="Times New Roman" w:hAnsi="Times New Roman" w:eastAsia="宋体" w:cs="Times New Roman"/>
                <w:b w:val="0"/>
                <w:bCs w:val="0"/>
                <w:snapToGrid w:val="0"/>
                <w:color w:val="000000"/>
                <w:kern w:val="21"/>
                <w:sz w:val="21"/>
                <w:szCs w:val="21"/>
                <w:highlight w:val="none"/>
                <w:lang w:val="en-US" w:eastAsia="zh-CN"/>
              </w:rPr>
              <w:t>0</w:t>
            </w:r>
            <w:r>
              <w:rPr>
                <w:rFonts w:hint="default" w:ascii="Times New Roman" w:hAnsi="Times New Roman" w:cs="Times New Roman"/>
                <w:b w:val="0"/>
                <w:bCs w:val="0"/>
                <w:snapToGrid w:val="0"/>
                <w:color w:val="000000"/>
                <w:kern w:val="21"/>
                <w:sz w:val="21"/>
                <w:szCs w:val="21"/>
                <w:highlight w:val="none"/>
                <w:lang w:val="en-US" w:eastAsia="zh-CN"/>
              </w:rPr>
              <w:t>.012</w:t>
            </w:r>
            <w:r>
              <w:rPr>
                <w:rFonts w:hint="default" w:ascii="Times New Roman" w:hAnsi="Times New Roman" w:eastAsia="宋体" w:cs="Times New Roman"/>
                <w:b w:val="0"/>
                <w:bCs w:val="0"/>
                <w:color w:val="000000"/>
                <w:kern w:val="0"/>
                <w:sz w:val="21"/>
                <w:szCs w:val="21"/>
                <w:highlight w:val="none"/>
                <w:lang w:val="en-US" w:eastAsia="zh-CN"/>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restar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r>
              <w:rPr>
                <w:rFonts w:hint="default" w:ascii="Times New Roman" w:hAnsi="Times New Roman" w:eastAsia="宋体" w:cs="Times New Roman"/>
                <w:b w:val="0"/>
                <w:bCs w:val="0"/>
                <w:snapToGrid w:val="0"/>
                <w:color w:val="000000"/>
                <w:spacing w:val="-6"/>
                <w:kern w:val="21"/>
                <w:sz w:val="21"/>
                <w:szCs w:val="21"/>
                <w:highlight w:val="none"/>
              </w:rPr>
              <w:t>一般工业</w:t>
            </w:r>
          </w:p>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r>
              <w:rPr>
                <w:rFonts w:hint="default" w:ascii="Times New Roman" w:hAnsi="Times New Roman" w:eastAsia="宋体" w:cs="Times New Roman"/>
                <w:b w:val="0"/>
                <w:bCs w:val="0"/>
                <w:snapToGrid w:val="0"/>
                <w:color w:val="000000"/>
                <w:spacing w:val="-6"/>
                <w:kern w:val="21"/>
                <w:sz w:val="21"/>
                <w:szCs w:val="21"/>
                <w:highlight w:val="none"/>
              </w:rPr>
              <w:t>固体废物</w:t>
            </w:r>
          </w:p>
        </w:tc>
        <w:tc>
          <w:tcPr>
            <w:tcW w:w="589" w:type="pct"/>
            <w:noWrap w:val="0"/>
            <w:vAlign w:val="center"/>
          </w:tcPr>
          <w:p>
            <w:pPr>
              <w:keepNext w:val="0"/>
              <w:keepLines w:val="0"/>
              <w:pageBreakBefore w:val="0"/>
              <w:widowControl w:val="0"/>
              <w:kinsoku/>
              <w:wordWrap/>
              <w:overflowPunct/>
              <w:topLinePunct w:val="0"/>
              <w:autoSpaceDE/>
              <w:autoSpaceDN/>
              <w:bidi w:val="0"/>
              <w:spacing w:line="240" w:lineRule="exact"/>
              <w:ind w:firstLine="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eastAsia="zh-CN"/>
              </w:rPr>
            </w:pPr>
            <w:r>
              <w:rPr>
                <w:rFonts w:hint="default" w:ascii="Times New Roman" w:hAnsi="Times New Roman" w:eastAsia="宋体" w:cs="Times New Roman"/>
                <w:bCs/>
                <w:color w:val="000000"/>
                <w:szCs w:val="21"/>
                <w:highlight w:val="none"/>
                <w:lang w:eastAsia="zh-CN"/>
              </w:rPr>
              <w:t>金属废料</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snapToGrid w:val="0"/>
              <w:jc w:val="center"/>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color w:val="000000"/>
                <w:szCs w:val="21"/>
                <w:highlight w:val="none"/>
                <w:lang w:val="en-US" w:eastAsia="zh-CN"/>
              </w:rPr>
              <w:t>0.988</w:t>
            </w:r>
            <w:r>
              <w:rPr>
                <w:rFonts w:hint="default" w:ascii="Times New Roman" w:hAnsi="Times New Roman" w:cs="Times New Roman"/>
                <w:color w:val="000000"/>
                <w:szCs w:val="21"/>
                <w:highlight w:val="none"/>
              </w:rPr>
              <w:t>t/a</w:t>
            </w:r>
          </w:p>
        </w:tc>
        <w:tc>
          <w:tcPr>
            <w:tcW w:w="520"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snapToGrid w:val="0"/>
              <w:jc w:val="center"/>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color w:val="000000"/>
                <w:szCs w:val="21"/>
                <w:highlight w:val="none"/>
                <w:lang w:val="en-US" w:eastAsia="zh-CN"/>
              </w:rPr>
              <w:t>0.988</w:t>
            </w:r>
            <w:r>
              <w:rPr>
                <w:rFonts w:hint="default" w:ascii="Times New Roman" w:hAnsi="Times New Roman" w:cs="Times New Roman"/>
                <w:color w:val="000000"/>
                <w:szCs w:val="21"/>
                <w:highlight w:val="none"/>
              </w:rPr>
              <w:t>t/a</w:t>
            </w:r>
          </w:p>
        </w:tc>
        <w:tc>
          <w:tcPr>
            <w:tcW w:w="447" w:type="pct"/>
            <w:noWrap w:val="0"/>
            <w:vAlign w:val="center"/>
          </w:tcPr>
          <w:p>
            <w:pPr>
              <w:snapToGrid w:val="0"/>
              <w:jc w:val="center"/>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color w:val="000000"/>
                <w:szCs w:val="21"/>
                <w:highlight w:val="none"/>
                <w:lang w:val="en-US" w:eastAsia="zh-CN"/>
              </w:rPr>
              <w:t>+0.988</w:t>
            </w:r>
            <w:r>
              <w:rPr>
                <w:rFonts w:hint="default" w:ascii="Times New Roman" w:hAnsi="Times New Roman" w:cs="Times New Roman"/>
                <w:color w:val="000000"/>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shd w:val="clear" w:color="auto" w:fill="auto"/>
            <w:noWrap w:val="0"/>
            <w:vAlign w:val="center"/>
          </w:tcPr>
          <w:p>
            <w:pPr>
              <w:keepNext w:val="0"/>
              <w:keepLines w:val="0"/>
              <w:pageBreakBefore w:val="0"/>
              <w:widowControl w:val="0"/>
              <w:kinsoku/>
              <w:wordWrap/>
              <w:overflowPunct/>
              <w:topLinePunct w:val="0"/>
              <w:autoSpaceDE/>
              <w:autoSpaceDN/>
              <w:bidi w:val="0"/>
              <w:spacing w:line="240" w:lineRule="exact"/>
              <w:ind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bidi="ar-SA"/>
              </w:rPr>
            </w:pPr>
            <w:r>
              <w:rPr>
                <w:rFonts w:hint="default" w:ascii="Times New Roman" w:hAnsi="Times New Roman" w:cs="Times New Roman"/>
                <w:bCs/>
                <w:color w:val="000000"/>
                <w:szCs w:val="21"/>
                <w:highlight w:val="none"/>
                <w:lang w:val="en-US" w:eastAsia="zh-CN"/>
              </w:rPr>
              <w:t>废包装材料</w:t>
            </w:r>
          </w:p>
        </w:tc>
        <w:tc>
          <w:tcPr>
            <w:tcW w:w="611"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color w:val="000000"/>
                <w:kern w:val="0"/>
                <w:sz w:val="21"/>
                <w:szCs w:val="21"/>
                <w:highlight w:val="none"/>
                <w:lang w:val="en-US" w:eastAsia="zh-CN"/>
              </w:rPr>
            </w:pPr>
          </w:p>
        </w:tc>
        <w:tc>
          <w:tcPr>
            <w:tcW w:w="474"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color w:val="000000"/>
                <w:kern w:val="0"/>
                <w:sz w:val="21"/>
                <w:szCs w:val="21"/>
                <w:highlight w:val="none"/>
                <w:lang w:val="en-US" w:eastAsia="zh-CN"/>
              </w:rPr>
            </w:pPr>
          </w:p>
        </w:tc>
        <w:tc>
          <w:tcPr>
            <w:tcW w:w="616"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color w:val="000000"/>
                <w:kern w:val="0"/>
                <w:sz w:val="21"/>
                <w:szCs w:val="21"/>
                <w:highlight w:val="none"/>
                <w:lang w:val="en-US" w:eastAsia="zh-CN"/>
              </w:rPr>
            </w:pPr>
          </w:p>
        </w:tc>
        <w:tc>
          <w:tcPr>
            <w:tcW w:w="565" w:type="pct"/>
            <w:noWrap w:val="0"/>
            <w:vAlign w:val="center"/>
          </w:tcPr>
          <w:p>
            <w:pPr>
              <w:snapToGrid w:val="0"/>
              <w:jc w:val="center"/>
              <w:rPr>
                <w:rFonts w:hint="default" w:ascii="Times New Roman" w:hAnsi="Times New Roman" w:eastAsia="宋体" w:cs="Times New Roman"/>
                <w:b w:val="0"/>
                <w:bCs w:val="0"/>
                <w:color w:val="000000"/>
                <w:kern w:val="0"/>
                <w:sz w:val="21"/>
                <w:szCs w:val="21"/>
                <w:highlight w:val="none"/>
                <w:lang w:val="en-US" w:eastAsia="zh-CN"/>
              </w:rPr>
            </w:pPr>
            <w:r>
              <w:rPr>
                <w:rFonts w:hint="default" w:ascii="Times New Roman" w:hAnsi="Times New Roman" w:cs="Times New Roman"/>
                <w:color w:val="000000"/>
                <w:szCs w:val="21"/>
                <w:highlight w:val="none"/>
                <w:lang w:val="en-US" w:eastAsia="zh-CN"/>
              </w:rPr>
              <w:t>0.4</w:t>
            </w:r>
            <w:r>
              <w:rPr>
                <w:rFonts w:hint="default" w:ascii="Times New Roman" w:hAnsi="Times New Roman" w:cs="Times New Roman"/>
                <w:color w:val="000000"/>
                <w:szCs w:val="21"/>
                <w:highlight w:val="none"/>
              </w:rPr>
              <w:t>t/a</w:t>
            </w:r>
          </w:p>
        </w:tc>
        <w:tc>
          <w:tcPr>
            <w:tcW w:w="520"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color w:val="000000"/>
                <w:kern w:val="0"/>
                <w:sz w:val="21"/>
                <w:szCs w:val="21"/>
                <w:highlight w:val="none"/>
                <w:lang w:val="en-US" w:eastAsia="zh-CN"/>
              </w:rPr>
            </w:pPr>
          </w:p>
        </w:tc>
        <w:tc>
          <w:tcPr>
            <w:tcW w:w="681" w:type="pct"/>
            <w:noWrap w:val="0"/>
            <w:vAlign w:val="center"/>
          </w:tcPr>
          <w:p>
            <w:pPr>
              <w:snapToGrid w:val="0"/>
              <w:jc w:val="center"/>
              <w:rPr>
                <w:rFonts w:hint="default" w:ascii="Times New Roman" w:hAnsi="Times New Roman" w:eastAsia="宋体" w:cs="Times New Roman"/>
                <w:b w:val="0"/>
                <w:bCs w:val="0"/>
                <w:color w:val="000000"/>
                <w:kern w:val="0"/>
                <w:sz w:val="21"/>
                <w:szCs w:val="21"/>
                <w:highlight w:val="none"/>
                <w:lang w:val="en-US" w:eastAsia="zh-CN"/>
              </w:rPr>
            </w:pPr>
            <w:r>
              <w:rPr>
                <w:rFonts w:hint="default" w:ascii="Times New Roman" w:hAnsi="Times New Roman" w:cs="Times New Roman"/>
                <w:color w:val="000000"/>
                <w:szCs w:val="21"/>
                <w:highlight w:val="none"/>
                <w:lang w:val="en-US" w:eastAsia="zh-CN"/>
              </w:rPr>
              <w:t>0.4</w:t>
            </w:r>
            <w:r>
              <w:rPr>
                <w:rFonts w:hint="default" w:ascii="Times New Roman" w:hAnsi="Times New Roman" w:cs="Times New Roman"/>
                <w:color w:val="000000"/>
                <w:szCs w:val="21"/>
                <w:highlight w:val="none"/>
              </w:rPr>
              <w:t>t/a</w:t>
            </w:r>
          </w:p>
        </w:tc>
        <w:tc>
          <w:tcPr>
            <w:tcW w:w="447" w:type="pct"/>
            <w:noWrap w:val="0"/>
            <w:vAlign w:val="center"/>
          </w:tcPr>
          <w:p>
            <w:pPr>
              <w:snapToGrid w:val="0"/>
              <w:jc w:val="center"/>
              <w:rPr>
                <w:rFonts w:hint="default" w:ascii="Times New Roman" w:hAnsi="Times New Roman" w:eastAsia="宋体" w:cs="Times New Roman"/>
                <w:b w:val="0"/>
                <w:bCs w:val="0"/>
                <w:color w:val="000000"/>
                <w:kern w:val="0"/>
                <w:sz w:val="21"/>
                <w:szCs w:val="21"/>
                <w:highlight w:val="none"/>
                <w:lang w:val="en-US" w:eastAsia="zh-CN"/>
              </w:rPr>
            </w:pPr>
            <w:r>
              <w:rPr>
                <w:rFonts w:hint="default" w:ascii="Times New Roman" w:hAnsi="Times New Roman" w:cs="Times New Roman"/>
                <w:color w:val="000000"/>
                <w:szCs w:val="21"/>
                <w:highlight w:val="none"/>
                <w:lang w:val="en-US" w:eastAsia="zh-CN"/>
              </w:rPr>
              <w:t>+0.4</w:t>
            </w:r>
            <w:r>
              <w:rPr>
                <w:rFonts w:hint="default" w:ascii="Times New Roman" w:hAnsi="Times New Roman" w:cs="Times New Roman"/>
                <w:color w:val="000000"/>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shd w:val="clear" w:color="auto" w:fill="auto"/>
            <w:noWrap w:val="0"/>
            <w:vAlign w:val="center"/>
          </w:tcPr>
          <w:p>
            <w:pPr>
              <w:keepNext w:val="0"/>
              <w:keepLines w:val="0"/>
              <w:pageBreakBefore w:val="0"/>
              <w:widowControl w:val="0"/>
              <w:kinsoku/>
              <w:wordWrap/>
              <w:overflowPunct/>
              <w:topLinePunct w:val="0"/>
              <w:autoSpaceDE/>
              <w:autoSpaceDN/>
              <w:bidi w:val="0"/>
              <w:spacing w:line="240" w:lineRule="exact"/>
              <w:ind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bidi="ar-SA"/>
              </w:rPr>
            </w:pPr>
            <w:r>
              <w:rPr>
                <w:rFonts w:hint="default" w:ascii="Times New Roman" w:hAnsi="Times New Roman" w:cs="Times New Roman"/>
                <w:bCs/>
                <w:color w:val="000000"/>
                <w:szCs w:val="21"/>
                <w:highlight w:val="none"/>
                <w:lang w:val="en-US" w:eastAsia="zh-CN"/>
              </w:rPr>
              <w:t>除尘灰</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snapToGrid w:val="0"/>
              <w:jc w:val="center"/>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color w:val="000000"/>
                <w:szCs w:val="21"/>
                <w:highlight w:val="none"/>
                <w:lang w:val="en-US" w:eastAsia="zh-CN"/>
              </w:rPr>
              <w:t>2.17</w:t>
            </w:r>
            <w:r>
              <w:rPr>
                <w:rFonts w:hint="default" w:ascii="Times New Roman" w:hAnsi="Times New Roman" w:cs="Times New Roman"/>
                <w:color w:val="000000"/>
                <w:szCs w:val="21"/>
                <w:highlight w:val="none"/>
              </w:rPr>
              <w:t>t/a</w:t>
            </w:r>
          </w:p>
        </w:tc>
        <w:tc>
          <w:tcPr>
            <w:tcW w:w="520" w:type="pc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snapToGrid w:val="0"/>
              <w:jc w:val="center"/>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color w:val="000000"/>
                <w:szCs w:val="21"/>
                <w:highlight w:val="none"/>
                <w:lang w:val="en-US" w:eastAsia="zh-CN"/>
              </w:rPr>
              <w:t>2.17</w:t>
            </w:r>
            <w:r>
              <w:rPr>
                <w:rFonts w:hint="default" w:ascii="Times New Roman" w:hAnsi="Times New Roman" w:cs="Times New Roman"/>
                <w:color w:val="000000"/>
                <w:szCs w:val="21"/>
                <w:highlight w:val="none"/>
              </w:rPr>
              <w:t>t/a</w:t>
            </w:r>
          </w:p>
        </w:tc>
        <w:tc>
          <w:tcPr>
            <w:tcW w:w="447" w:type="pct"/>
            <w:noWrap w:val="0"/>
            <w:vAlign w:val="center"/>
          </w:tcPr>
          <w:p>
            <w:pPr>
              <w:snapToGrid w:val="0"/>
              <w:jc w:val="center"/>
              <w:rPr>
                <w:rFonts w:hint="default" w:ascii="Times New Roman" w:hAnsi="Times New Roman" w:eastAsia="宋体" w:cs="Times New Roman"/>
                <w:b w:val="0"/>
                <w:bCs w:val="0"/>
                <w:snapToGrid w:val="0"/>
                <w:color w:val="000000"/>
                <w:kern w:val="21"/>
                <w:sz w:val="21"/>
                <w:szCs w:val="21"/>
                <w:highlight w:val="none"/>
                <w:lang w:val="en-US" w:eastAsia="zh-CN"/>
              </w:rPr>
            </w:pPr>
            <w:r>
              <w:rPr>
                <w:rFonts w:hint="default" w:ascii="Times New Roman" w:hAnsi="Times New Roman" w:cs="Times New Roman"/>
                <w:color w:val="000000"/>
                <w:szCs w:val="21"/>
                <w:highlight w:val="none"/>
                <w:lang w:val="en-US" w:eastAsia="zh-CN"/>
              </w:rPr>
              <w:t>+2.17</w:t>
            </w:r>
            <w:r>
              <w:rPr>
                <w:rFonts w:hint="default" w:ascii="Times New Roman" w:hAnsi="Times New Roman" w:cs="Times New Roman"/>
                <w:color w:val="000000"/>
                <w:szCs w:val="21"/>
                <w:highlight w:val="none"/>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restart"/>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r>
              <w:rPr>
                <w:rFonts w:hint="default" w:ascii="Times New Roman" w:hAnsi="Times New Roman" w:eastAsia="宋体" w:cs="Times New Roman"/>
                <w:b w:val="0"/>
                <w:bCs w:val="0"/>
                <w:snapToGrid w:val="0"/>
                <w:color w:val="000000"/>
                <w:spacing w:val="-6"/>
                <w:kern w:val="21"/>
                <w:sz w:val="21"/>
                <w:szCs w:val="21"/>
                <w:highlight w:val="none"/>
                <w:lang w:eastAsia="zh-CN"/>
              </w:rPr>
              <w:t>危险废物</w:t>
            </w:r>
          </w:p>
        </w:tc>
        <w:tc>
          <w:tcPr>
            <w:tcW w:w="589" w:type="pct"/>
            <w:noWrap w:val="0"/>
            <w:vAlign w:val="center"/>
          </w:tcPr>
          <w:p>
            <w:pPr>
              <w:keepNext w:val="0"/>
              <w:keepLines w:val="0"/>
              <w:pageBreakBefore w:val="0"/>
              <w:widowControl w:val="0"/>
              <w:kinsoku/>
              <w:wordWrap/>
              <w:overflowPunct/>
              <w:topLinePunct w:val="0"/>
              <w:autoSpaceDE/>
              <w:autoSpaceDN/>
              <w:bidi w:val="0"/>
              <w:spacing w:line="240" w:lineRule="exact"/>
              <w:ind w:firstLine="0"/>
              <w:jc w:val="center"/>
              <w:textAlignment w:val="auto"/>
              <w:rPr>
                <w:rFonts w:hint="default" w:ascii="Times New Roman" w:hAnsi="Times New Roman" w:cs="Times New Roman"/>
                <w:bCs/>
                <w:color w:val="000000"/>
                <w:szCs w:val="21"/>
                <w:highlight w:val="none"/>
                <w:lang w:val="en-US" w:eastAsia="zh-CN"/>
              </w:rPr>
            </w:pPr>
            <w:r>
              <w:rPr>
                <w:rFonts w:hint="default" w:ascii="Times New Roman" w:hAnsi="Times New Roman" w:cs="Times New Roman"/>
                <w:bCs/>
                <w:color w:val="000000"/>
                <w:szCs w:val="21"/>
                <w:highlight w:val="none"/>
                <w:lang w:val="en-US" w:eastAsia="zh-CN"/>
              </w:rPr>
              <w:t>废切削液</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tabs>
                <w:tab w:val="left" w:pos="6593"/>
              </w:tabs>
              <w:kinsoku/>
              <w:wordWrap/>
              <w:overflowPunct/>
              <w:topLinePunct w:val="0"/>
              <w:autoSpaceDE/>
              <w:autoSpaceDN/>
              <w:bidi w:val="0"/>
              <w:spacing w:before="95" w:beforeLines="30" w:after="95" w:afterLines="30" w:line="240" w:lineRule="exact"/>
              <w:ind w:left="0" w:leftChars="0" w:right="0" w:rightChars="0" w:firstLine="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520" w:type="pct"/>
            <w:noWrap w:val="0"/>
            <w:vAlign w:val="center"/>
          </w:tcPr>
          <w:p>
            <w:pPr>
              <w:jc w:val="center"/>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tabs>
                <w:tab w:val="left" w:pos="6593"/>
              </w:tabs>
              <w:kinsoku/>
              <w:wordWrap/>
              <w:overflowPunct/>
              <w:topLinePunct w:val="0"/>
              <w:autoSpaceDE/>
              <w:autoSpaceDN/>
              <w:bidi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447" w:type="pct"/>
            <w:noWrap w:val="0"/>
            <w:vAlign w:val="center"/>
          </w:tcPr>
          <w:p>
            <w:pPr>
              <w:keepNext w:val="0"/>
              <w:keepLines w:val="0"/>
              <w:pageBreakBefore w:val="0"/>
              <w:widowControl w:val="0"/>
              <w:tabs>
                <w:tab w:val="left" w:pos="6593"/>
              </w:tabs>
              <w:kinsoku/>
              <w:wordWrap/>
              <w:overflowPunct/>
              <w:topLinePunct w:val="0"/>
              <w:autoSpaceDE/>
              <w:autoSpaceDN/>
              <w:bidi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snapToGrid w:val="0"/>
                <w:color w:val="000000"/>
                <w:spacing w:val="0"/>
                <w:w w:val="100"/>
                <w:sz w:val="21"/>
                <w:szCs w:val="21"/>
                <w:highlight w:val="none"/>
                <w:lang w:val="en-US" w:eastAsia="zh-CN"/>
              </w:rPr>
              <w:t>+</w:t>
            </w:r>
            <w:r>
              <w:rPr>
                <w:rFonts w:hint="default" w:ascii="Times New Roman" w:hAnsi="Times New Roman" w:eastAsia="宋体" w:cs="Times New Roman"/>
                <w:snapToGrid w:val="0"/>
                <w:color w:val="000000"/>
                <w:spacing w:val="0"/>
                <w:w w:val="100"/>
                <w:sz w:val="21"/>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keepNext w:val="0"/>
              <w:keepLines w:val="0"/>
              <w:pageBreakBefore w:val="0"/>
              <w:widowControl w:val="0"/>
              <w:kinsoku/>
              <w:wordWrap/>
              <w:overflowPunct/>
              <w:topLinePunct w:val="0"/>
              <w:autoSpaceDE/>
              <w:autoSpaceDN/>
              <w:bidi w:val="0"/>
              <w:spacing w:before="95" w:beforeLines="30" w:after="95" w:afterLines="30" w:line="240" w:lineRule="exact"/>
              <w:ind w:firstLine="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cs="Times New Roman"/>
                <w:bCs/>
                <w:color w:val="000000"/>
                <w:szCs w:val="21"/>
                <w:highlight w:val="none"/>
                <w:lang w:val="en-US" w:eastAsia="zh-CN"/>
              </w:rPr>
              <w:t>废润滑油</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52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447"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snapToGrid w:val="0"/>
                <w:color w:val="000000"/>
                <w:spacing w:val="0"/>
                <w:w w:val="100"/>
                <w:sz w:val="21"/>
                <w:szCs w:val="21"/>
                <w:highlight w:val="none"/>
                <w:lang w:val="en-US" w:eastAsia="zh-CN"/>
              </w:rPr>
              <w:t>+</w:t>
            </w:r>
            <w:r>
              <w:rPr>
                <w:rFonts w:hint="default" w:ascii="Times New Roman" w:hAnsi="Times New Roman" w:eastAsia="宋体" w:cs="Times New Roman"/>
                <w:snapToGrid w:val="0"/>
                <w:color w:val="000000"/>
                <w:spacing w:val="0"/>
                <w:w w:val="100"/>
                <w:sz w:val="21"/>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keepNext w:val="0"/>
              <w:keepLines w:val="0"/>
              <w:pageBreakBefore w:val="0"/>
              <w:widowControl w:val="0"/>
              <w:kinsoku/>
              <w:wordWrap/>
              <w:overflowPunct/>
              <w:topLinePunct w:val="0"/>
              <w:autoSpaceDE/>
              <w:autoSpaceDN/>
              <w:bidi w:val="0"/>
              <w:spacing w:before="95" w:beforeLines="30" w:after="95" w:afterLines="30" w:line="240" w:lineRule="exact"/>
              <w:ind w:firstLine="0"/>
              <w:jc w:val="center"/>
              <w:textAlignment w:val="auto"/>
              <w:rPr>
                <w:rFonts w:hint="default" w:ascii="Times New Roman" w:hAnsi="Times New Roman" w:cs="Times New Roman"/>
                <w:color w:val="000000"/>
                <w:kern w:val="2"/>
                <w:sz w:val="21"/>
                <w:szCs w:val="24"/>
                <w:highlight w:val="none"/>
                <w:lang w:val="en-US" w:eastAsia="zh-CN" w:bidi="ar-SA"/>
              </w:rPr>
            </w:pPr>
            <w:r>
              <w:rPr>
                <w:rFonts w:hint="default" w:ascii="Times New Roman" w:hAnsi="Times New Roman" w:cs="Times New Roman"/>
                <w:bCs/>
                <w:color w:val="000000"/>
                <w:szCs w:val="21"/>
                <w:highlight w:val="none"/>
                <w:lang w:val="en-US" w:eastAsia="zh-CN"/>
              </w:rPr>
              <w:t>废液压油</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jc w:val="center"/>
              <w:textAlignment w:val="auto"/>
              <w:rPr>
                <w:rFonts w:hint="default" w:ascii="Times New Roman" w:hAnsi="Times New Roman" w:eastAsia="宋体" w:cs="Times New Roman"/>
                <w:snapToGrid w:val="0"/>
                <w:color w:val="000000"/>
                <w:spacing w:val="0"/>
                <w:w w:val="1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w:t>
            </w:r>
            <w:r>
              <w:rPr>
                <w:rFonts w:hint="default" w:ascii="Times New Roman" w:hAnsi="Times New Roman" w:cs="Times New Roman"/>
                <w:snapToGrid w:val="0"/>
                <w:color w:val="000000"/>
                <w:spacing w:val="0"/>
                <w:w w:val="100"/>
                <w:sz w:val="21"/>
                <w:szCs w:val="21"/>
                <w:highlight w:val="none"/>
                <w:lang w:val="en-US" w:eastAsia="zh-CN"/>
              </w:rPr>
              <w:t>1</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52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snapToGrid w:val="0"/>
                <w:color w:val="000000"/>
                <w:spacing w:val="0"/>
                <w:w w:val="1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w:t>
            </w:r>
            <w:r>
              <w:rPr>
                <w:rFonts w:hint="default" w:ascii="Times New Roman" w:hAnsi="Times New Roman" w:cs="Times New Roman"/>
                <w:snapToGrid w:val="0"/>
                <w:color w:val="000000"/>
                <w:spacing w:val="0"/>
                <w:w w:val="100"/>
                <w:sz w:val="21"/>
                <w:szCs w:val="21"/>
                <w:highlight w:val="none"/>
                <w:lang w:val="en-US" w:eastAsia="zh-CN"/>
              </w:rPr>
              <w:t>1</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447"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snapToGrid w:val="0"/>
                <w:color w:val="000000"/>
                <w:spacing w:val="0"/>
                <w:w w:val="100"/>
                <w:sz w:val="21"/>
                <w:szCs w:val="21"/>
                <w:highlight w:val="none"/>
                <w:lang w:val="en-US" w:eastAsia="zh-CN"/>
              </w:rPr>
            </w:pPr>
            <w:r>
              <w:rPr>
                <w:rFonts w:hint="default" w:ascii="Times New Roman" w:hAnsi="Times New Roman" w:cs="Times New Roman"/>
                <w:snapToGrid w:val="0"/>
                <w:color w:val="000000"/>
                <w:spacing w:val="0"/>
                <w:w w:val="100"/>
                <w:sz w:val="21"/>
                <w:szCs w:val="21"/>
                <w:highlight w:val="none"/>
                <w:lang w:val="en-US" w:eastAsia="zh-CN"/>
              </w:rPr>
              <w:t>+</w:t>
            </w:r>
            <w:r>
              <w:rPr>
                <w:rFonts w:hint="default" w:ascii="Times New Roman" w:hAnsi="Times New Roman" w:eastAsia="宋体" w:cs="Times New Roman"/>
                <w:snapToGrid w:val="0"/>
                <w:color w:val="000000"/>
                <w:spacing w:val="0"/>
                <w:w w:val="100"/>
                <w:sz w:val="21"/>
                <w:szCs w:val="21"/>
                <w:highlight w:val="none"/>
                <w:lang w:val="en-US" w:eastAsia="zh-CN"/>
              </w:rPr>
              <w:t>0.</w:t>
            </w:r>
            <w:r>
              <w:rPr>
                <w:rFonts w:hint="default" w:ascii="Times New Roman" w:hAnsi="Times New Roman" w:cs="Times New Roman"/>
                <w:snapToGrid w:val="0"/>
                <w:color w:val="000000"/>
                <w:spacing w:val="0"/>
                <w:w w:val="100"/>
                <w:sz w:val="21"/>
                <w:szCs w:val="21"/>
                <w:highlight w:val="none"/>
                <w:lang w:val="en-US" w:eastAsia="zh-CN"/>
              </w:rPr>
              <w:t>1</w:t>
            </w:r>
            <w:r>
              <w:rPr>
                <w:rFonts w:hint="default" w:ascii="Times New Roman" w:hAnsi="Times New Roman" w:eastAsia="宋体" w:cs="Times New Roman"/>
                <w:b w:val="0"/>
                <w:bCs w:val="0"/>
                <w:color w:val="000000"/>
                <w:kern w:val="2"/>
                <w:sz w:val="21"/>
                <w:szCs w:val="21"/>
                <w:highlight w:val="none"/>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keepNext w:val="0"/>
              <w:keepLines w:val="0"/>
              <w:pageBreakBefore w:val="0"/>
              <w:widowControl w:val="0"/>
              <w:kinsoku/>
              <w:wordWrap/>
              <w:overflowPunct/>
              <w:topLinePunct w:val="0"/>
              <w:autoSpaceDE/>
              <w:autoSpaceDN/>
              <w:bidi w:val="0"/>
              <w:spacing w:before="95" w:beforeLines="30" w:after="95" w:afterLines="30" w:line="240" w:lineRule="exact"/>
              <w:ind w:firstLine="0"/>
              <w:jc w:val="center"/>
              <w:textAlignment w:val="auto"/>
              <w:rPr>
                <w:rFonts w:hint="default" w:ascii="Times New Roman" w:hAnsi="Times New Roman" w:cs="Times New Roman"/>
                <w:color w:val="000000"/>
                <w:kern w:val="2"/>
                <w:sz w:val="21"/>
                <w:szCs w:val="24"/>
                <w:highlight w:val="none"/>
                <w:lang w:val="en-US" w:eastAsia="zh-CN" w:bidi="ar-SA"/>
              </w:rPr>
            </w:pPr>
            <w:r>
              <w:rPr>
                <w:rFonts w:hint="default" w:ascii="Times New Roman" w:hAnsi="Times New Roman" w:cs="Times New Roman"/>
                <w:bCs/>
                <w:color w:val="000000"/>
                <w:szCs w:val="21"/>
                <w:highlight w:val="none"/>
                <w:lang w:val="en-US" w:eastAsia="zh-CN"/>
              </w:rPr>
              <w:t>废油桶</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jc w:val="center"/>
              <w:textAlignment w:val="auto"/>
              <w:rPr>
                <w:rFonts w:hint="default" w:ascii="Times New Roman" w:hAnsi="Times New Roman" w:eastAsia="宋体" w:cs="Times New Roman"/>
                <w:snapToGrid w:val="0"/>
                <w:color w:val="000000"/>
                <w:spacing w:val="0"/>
                <w:w w:val="1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w:t>
            </w:r>
            <w:r>
              <w:rPr>
                <w:rFonts w:hint="default" w:ascii="Times New Roman" w:hAnsi="Times New Roman" w:cs="Times New Roman"/>
                <w:snapToGrid w:val="0"/>
                <w:color w:val="000000"/>
                <w:spacing w:val="0"/>
                <w:w w:val="100"/>
                <w:sz w:val="21"/>
                <w:szCs w:val="21"/>
                <w:highlight w:val="none"/>
                <w:lang w:val="en-US" w:eastAsia="zh-CN"/>
              </w:rPr>
              <w:t>1</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52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snapToGrid w:val="0"/>
                <w:color w:val="000000"/>
                <w:spacing w:val="0"/>
                <w:w w:val="100"/>
                <w:sz w:val="21"/>
                <w:szCs w:val="21"/>
                <w:highlight w:val="none"/>
                <w:lang w:val="en-US" w:eastAsia="zh-CN"/>
              </w:rPr>
            </w:pPr>
            <w:r>
              <w:rPr>
                <w:rFonts w:hint="default" w:ascii="Times New Roman" w:hAnsi="Times New Roman" w:eastAsia="宋体" w:cs="Times New Roman"/>
                <w:snapToGrid w:val="0"/>
                <w:color w:val="000000"/>
                <w:spacing w:val="0"/>
                <w:w w:val="100"/>
                <w:sz w:val="21"/>
                <w:szCs w:val="21"/>
                <w:highlight w:val="none"/>
                <w:lang w:val="en-US" w:eastAsia="zh-CN"/>
              </w:rPr>
              <w:t>0.</w:t>
            </w:r>
            <w:r>
              <w:rPr>
                <w:rFonts w:hint="default" w:ascii="Times New Roman" w:hAnsi="Times New Roman" w:cs="Times New Roman"/>
                <w:snapToGrid w:val="0"/>
                <w:color w:val="000000"/>
                <w:spacing w:val="0"/>
                <w:w w:val="100"/>
                <w:sz w:val="21"/>
                <w:szCs w:val="21"/>
                <w:highlight w:val="none"/>
                <w:lang w:val="en-US" w:eastAsia="zh-CN"/>
              </w:rPr>
              <w:t>1</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447"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snapToGrid w:val="0"/>
                <w:color w:val="000000"/>
                <w:spacing w:val="0"/>
                <w:w w:val="100"/>
                <w:sz w:val="21"/>
                <w:szCs w:val="21"/>
                <w:highlight w:val="none"/>
                <w:lang w:val="en-US" w:eastAsia="zh-CN"/>
              </w:rPr>
            </w:pPr>
            <w:r>
              <w:rPr>
                <w:rFonts w:hint="default" w:ascii="Times New Roman" w:hAnsi="Times New Roman" w:cs="Times New Roman"/>
                <w:snapToGrid w:val="0"/>
                <w:color w:val="000000"/>
                <w:spacing w:val="0"/>
                <w:w w:val="100"/>
                <w:sz w:val="21"/>
                <w:szCs w:val="21"/>
                <w:highlight w:val="none"/>
                <w:lang w:val="en-US" w:eastAsia="zh-CN"/>
              </w:rPr>
              <w:t>+</w:t>
            </w:r>
            <w:r>
              <w:rPr>
                <w:rFonts w:hint="default" w:ascii="Times New Roman" w:hAnsi="Times New Roman" w:eastAsia="宋体" w:cs="Times New Roman"/>
                <w:snapToGrid w:val="0"/>
                <w:color w:val="000000"/>
                <w:spacing w:val="0"/>
                <w:w w:val="100"/>
                <w:sz w:val="21"/>
                <w:szCs w:val="21"/>
                <w:highlight w:val="none"/>
                <w:lang w:val="en-US" w:eastAsia="zh-CN"/>
              </w:rPr>
              <w:t>0.</w:t>
            </w:r>
            <w:r>
              <w:rPr>
                <w:rFonts w:hint="default" w:ascii="Times New Roman" w:hAnsi="Times New Roman" w:cs="Times New Roman"/>
                <w:snapToGrid w:val="0"/>
                <w:color w:val="000000"/>
                <w:spacing w:val="0"/>
                <w:w w:val="100"/>
                <w:sz w:val="21"/>
                <w:szCs w:val="21"/>
                <w:highlight w:val="none"/>
                <w:lang w:val="en-US" w:eastAsia="zh-CN"/>
              </w:rPr>
              <w:t>1</w:t>
            </w:r>
            <w:r>
              <w:rPr>
                <w:rFonts w:hint="default" w:ascii="Times New Roman" w:hAnsi="Times New Roman" w:eastAsia="宋体" w:cs="Times New Roman"/>
                <w:b w:val="0"/>
                <w:bCs w:val="0"/>
                <w:color w:val="000000"/>
                <w:kern w:val="2"/>
                <w:sz w:val="21"/>
                <w:szCs w:val="21"/>
                <w:highlight w:val="none"/>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keepNext w:val="0"/>
              <w:keepLines w:val="0"/>
              <w:pageBreakBefore w:val="0"/>
              <w:widowControl w:val="0"/>
              <w:kinsoku/>
              <w:wordWrap/>
              <w:overflowPunct/>
              <w:topLinePunct w:val="0"/>
              <w:autoSpaceDE/>
              <w:autoSpaceDN/>
              <w:bidi w:val="0"/>
              <w:spacing w:before="95" w:beforeLines="30" w:after="95" w:afterLines="30" w:line="240" w:lineRule="exact"/>
              <w:ind w:firstLine="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cs="Times New Roman"/>
                <w:bCs/>
                <w:color w:val="000000"/>
                <w:szCs w:val="21"/>
                <w:highlight w:val="none"/>
                <w:lang w:val="en-US" w:eastAsia="zh-CN"/>
              </w:rPr>
              <w:t>废活性炭</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52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447"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+0.2</w:t>
            </w:r>
            <w:r>
              <w:rPr>
                <w:rFonts w:hint="default" w:ascii="Times New Roman" w:hAnsi="Times New Roman" w:eastAsia="宋体" w:cs="Times New Roman"/>
                <w:b w:val="0"/>
                <w:bCs w:val="0"/>
                <w:color w:val="000000"/>
                <w:kern w:val="2"/>
                <w:sz w:val="21"/>
                <w:szCs w:val="21"/>
                <w:highlight w:val="none"/>
                <w:lang w:val="en-US" w:eastAsia="zh-CN" w:bidi="ar-SA"/>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493" w:type="pct"/>
            <w:vMerge w:val="continue"/>
            <w:noWrap w:val="0"/>
            <w:vAlign w:val="center"/>
          </w:tcPr>
          <w:p>
            <w:pPr>
              <w:pStyle w:val="53"/>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firstLine="0" w:firstLineChars="0"/>
              <w:jc w:val="center"/>
              <w:textAlignment w:val="auto"/>
              <w:rPr>
                <w:rFonts w:hint="default" w:ascii="Times New Roman" w:hAnsi="Times New Roman" w:eastAsia="宋体" w:cs="Times New Roman"/>
                <w:b w:val="0"/>
                <w:bCs w:val="0"/>
                <w:snapToGrid w:val="0"/>
                <w:color w:val="000000"/>
                <w:spacing w:val="-6"/>
                <w:kern w:val="21"/>
                <w:sz w:val="21"/>
                <w:szCs w:val="21"/>
                <w:highlight w:val="none"/>
              </w:rPr>
            </w:pPr>
          </w:p>
        </w:tc>
        <w:tc>
          <w:tcPr>
            <w:tcW w:w="589" w:type="pct"/>
            <w:noWrap w:val="0"/>
            <w:vAlign w:val="center"/>
          </w:tcPr>
          <w:p>
            <w:pPr>
              <w:keepNext w:val="0"/>
              <w:keepLines w:val="0"/>
              <w:pageBreakBefore w:val="0"/>
              <w:widowControl w:val="0"/>
              <w:kinsoku/>
              <w:wordWrap/>
              <w:overflowPunct/>
              <w:topLinePunct w:val="0"/>
              <w:autoSpaceDE/>
              <w:autoSpaceDN/>
              <w:bidi w:val="0"/>
              <w:spacing w:before="95" w:beforeLines="30" w:after="95" w:afterLines="30" w:line="240" w:lineRule="exact"/>
              <w:ind w:firstLine="0"/>
              <w:jc w:val="center"/>
              <w:textAlignment w:val="auto"/>
              <w:rPr>
                <w:rFonts w:hint="default" w:ascii="Times New Roman" w:hAnsi="Times New Roman" w:eastAsia="宋体" w:cs="Times New Roman"/>
                <w:b w:val="0"/>
                <w:bCs w:val="0"/>
                <w:snapToGrid w:val="0"/>
                <w:color w:val="000000"/>
                <w:spacing w:val="-6"/>
                <w:kern w:val="21"/>
                <w:sz w:val="21"/>
                <w:szCs w:val="21"/>
                <w:highlight w:val="none"/>
                <w:lang w:val="en-US" w:eastAsia="zh-CN"/>
              </w:rPr>
            </w:pPr>
            <w:r>
              <w:rPr>
                <w:rFonts w:hint="default" w:ascii="Times New Roman" w:hAnsi="Times New Roman" w:cs="Times New Roman"/>
                <w:bCs/>
                <w:color w:val="000000"/>
                <w:szCs w:val="21"/>
                <w:highlight w:val="none"/>
                <w:lang w:val="en-US" w:eastAsia="zh-CN"/>
              </w:rPr>
              <w:t>漆渣</w:t>
            </w:r>
          </w:p>
        </w:tc>
        <w:tc>
          <w:tcPr>
            <w:tcW w:w="611"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474"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16" w:type="pct"/>
            <w:noWrap w:val="0"/>
            <w:vAlign w:val="center"/>
          </w:tcPr>
          <w:p>
            <w:pPr>
              <w:keepNext w:val="0"/>
              <w:keepLines w:val="0"/>
              <w:pageBreakBefore w:val="0"/>
              <w:widowControl w:val="0"/>
              <w:kinsoku/>
              <w:wordWrap/>
              <w:overflowPunct/>
              <w:topLinePunct w:val="0"/>
              <w:autoSpaceDE/>
              <w:autoSpaceDN/>
              <w:bidi w:val="0"/>
              <w:snapToGrid/>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56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0.02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520" w:type="pct"/>
            <w:noWrap w:val="0"/>
            <w:vAlign w:val="center"/>
          </w:tcPr>
          <w:p>
            <w:pPr>
              <w:keepNext w:val="0"/>
              <w:keepLines w:val="0"/>
              <w:pageBreakBefore w:val="0"/>
              <w:kinsoku/>
              <w:wordWrap/>
              <w:overflowPunct/>
              <w:topLinePunct w:val="0"/>
              <w:autoSpaceDE/>
              <w:autoSpaceDN/>
              <w:bidi w:val="0"/>
              <w:adjustRightInd w:val="0"/>
              <w:snapToGrid w:val="0"/>
              <w:spacing w:line="240" w:lineRule="auto"/>
              <w:ind w:left="0" w:leftChars="0" w:right="0" w:rightChars="0"/>
              <w:jc w:val="center"/>
              <w:textAlignment w:val="auto"/>
              <w:rPr>
                <w:rFonts w:hint="default" w:ascii="Times New Roman" w:hAnsi="Times New Roman" w:eastAsia="宋体" w:cs="Times New Roman"/>
                <w:b w:val="0"/>
                <w:bCs w:val="0"/>
                <w:snapToGrid w:val="0"/>
                <w:color w:val="000000"/>
                <w:kern w:val="21"/>
                <w:sz w:val="21"/>
                <w:szCs w:val="21"/>
                <w:highlight w:val="none"/>
                <w:lang w:val="en-US" w:eastAsia="zh-CN"/>
              </w:rPr>
            </w:pPr>
          </w:p>
        </w:tc>
        <w:tc>
          <w:tcPr>
            <w:tcW w:w="681"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0.02</w:t>
            </w:r>
            <w:r>
              <w:rPr>
                <w:rFonts w:hint="default" w:ascii="Times New Roman" w:hAnsi="Times New Roman" w:eastAsia="宋体" w:cs="Times New Roman"/>
                <w:b w:val="0"/>
                <w:bCs w:val="0"/>
                <w:color w:val="000000"/>
                <w:kern w:val="2"/>
                <w:sz w:val="21"/>
                <w:szCs w:val="21"/>
                <w:highlight w:val="none"/>
                <w:lang w:val="en-US" w:eastAsia="zh-CN" w:bidi="ar-SA"/>
              </w:rPr>
              <w:t>t/a</w:t>
            </w:r>
          </w:p>
        </w:tc>
        <w:tc>
          <w:tcPr>
            <w:tcW w:w="447"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95" w:beforeLines="30" w:after="95" w:afterLines="30" w:line="240" w:lineRule="exact"/>
              <w:ind w:left="0" w:leftChars="0" w:right="0" w:rightChars="0" w:firstLine="0" w:firstLineChars="0"/>
              <w:jc w:val="center"/>
              <w:textAlignment w:val="auto"/>
              <w:rPr>
                <w:rFonts w:hint="default" w:ascii="Times New Roman" w:hAnsi="Times New Roman" w:eastAsia="宋体" w:cs="Times New Roman"/>
                <w:b w:val="0"/>
                <w:bCs w:val="0"/>
                <w:color w:val="000000"/>
                <w:sz w:val="21"/>
                <w:szCs w:val="21"/>
                <w:highlight w:val="none"/>
                <w:lang w:val="en-US" w:eastAsia="zh-CN"/>
              </w:rPr>
            </w:pPr>
            <w:r>
              <w:rPr>
                <w:rFonts w:hint="default" w:ascii="Times New Roman" w:hAnsi="Times New Roman" w:cs="Times New Roman"/>
                <w:color w:val="000000"/>
                <w:szCs w:val="21"/>
                <w:highlight w:val="none"/>
                <w:lang w:val="en-US" w:eastAsia="zh-CN"/>
              </w:rPr>
              <w:t>+0.02</w:t>
            </w:r>
            <w:r>
              <w:rPr>
                <w:rFonts w:hint="default" w:ascii="Times New Roman" w:hAnsi="Times New Roman" w:eastAsia="宋体" w:cs="Times New Roman"/>
                <w:b w:val="0"/>
                <w:bCs w:val="0"/>
                <w:color w:val="000000"/>
                <w:kern w:val="2"/>
                <w:sz w:val="21"/>
                <w:szCs w:val="21"/>
                <w:highlight w:val="none"/>
                <w:lang w:val="en-US" w:eastAsia="zh-CN" w:bidi="ar-SA"/>
              </w:rPr>
              <w:t>t/a</w:t>
            </w:r>
          </w:p>
        </w:tc>
      </w:tr>
    </w:tbl>
    <w:p>
      <w:pPr>
        <w:bidi w:val="0"/>
        <w:rPr>
          <w:rFonts w:hint="default" w:ascii="Times New Roman" w:hAnsi="Times New Roman" w:eastAsia="宋体" w:cs="Times New Roman"/>
          <w:color w:val="000000"/>
          <w:highlight w:val="none"/>
          <w:lang w:val="en-US" w:eastAsia="zh-CN"/>
        </w:rPr>
      </w:pPr>
      <w:r>
        <w:rPr>
          <w:rFonts w:hint="default" w:ascii="Times New Roman" w:hAnsi="Times New Roman" w:cs="Times New Roman"/>
        </w:rPr>
        <w:t>注：</w:t>
      </w:r>
      <w:r>
        <w:rPr>
          <w:rFonts w:hint="default" w:ascii="Times New Roman" w:hAnsi="Times New Roman" w:cs="Times New Roman"/>
        </w:rPr>
        <w:fldChar w:fldCharType="begin"/>
      </w:r>
      <w:r>
        <w:rPr>
          <w:rFonts w:hint="default" w:ascii="Times New Roman" w:hAnsi="Times New Roman" w:cs="Times New Roman"/>
        </w:rPr>
        <w:instrText xml:space="preserve"> = 6 \* GB3 \* MERGEFORMAT </w:instrText>
      </w:r>
      <w:r>
        <w:rPr>
          <w:rFonts w:hint="default" w:ascii="Times New Roman" w:hAnsi="Times New Roman" w:cs="Times New Roman"/>
        </w:rPr>
        <w:fldChar w:fldCharType="separate"/>
      </w:r>
      <w:r>
        <w:rPr>
          <w:rFonts w:hint="default" w:ascii="Times New Roman" w:hAnsi="Times New Roman" w:cs="Times New Roman"/>
        </w:rPr>
        <w:t>⑥</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1 \* GB3 \* MERGEFORMAT </w:instrText>
      </w:r>
      <w:r>
        <w:rPr>
          <w:rFonts w:hint="default" w:ascii="Times New Roman" w:hAnsi="Times New Roman" w:cs="Times New Roman"/>
        </w:rPr>
        <w:fldChar w:fldCharType="separate"/>
      </w:r>
      <w:r>
        <w:rPr>
          <w:rFonts w:hint="default" w:ascii="Times New Roman" w:hAnsi="Times New Roman" w:cs="Times New Roman"/>
        </w:rPr>
        <w:t>①</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3 \* GB3 \* MERGEFORMAT </w:instrText>
      </w:r>
      <w:r>
        <w:rPr>
          <w:rFonts w:hint="default" w:ascii="Times New Roman" w:hAnsi="Times New Roman" w:cs="Times New Roman"/>
        </w:rPr>
        <w:fldChar w:fldCharType="separate"/>
      </w:r>
      <w:r>
        <w:rPr>
          <w:rFonts w:hint="default" w:ascii="Times New Roman" w:hAnsi="Times New Roman" w:cs="Times New Roman"/>
        </w:rPr>
        <w:t>③</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4 \* GB3 \* MERGEFORMAT </w:instrText>
      </w:r>
      <w:r>
        <w:rPr>
          <w:rFonts w:hint="default" w:ascii="Times New Roman" w:hAnsi="Times New Roman" w:cs="Times New Roman"/>
        </w:rPr>
        <w:fldChar w:fldCharType="separate"/>
      </w:r>
      <w:r>
        <w:rPr>
          <w:rFonts w:hint="default" w:ascii="Times New Roman" w:hAnsi="Times New Roman" w:cs="Times New Roman"/>
        </w:rPr>
        <w:t>④</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5 \* GB3 \* MERGEFORMAT </w:instrText>
      </w:r>
      <w:r>
        <w:rPr>
          <w:rFonts w:hint="default" w:ascii="Times New Roman" w:hAnsi="Times New Roman" w:cs="Times New Roman"/>
        </w:rPr>
        <w:fldChar w:fldCharType="separate"/>
      </w:r>
      <w:r>
        <w:rPr>
          <w:rFonts w:hint="default" w:ascii="Times New Roman" w:hAnsi="Times New Roman" w:cs="Times New Roman"/>
        </w:rPr>
        <w:t>⑤</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7 \* GB3 \* MERGEFORMAT </w:instrText>
      </w:r>
      <w:r>
        <w:rPr>
          <w:rFonts w:hint="default" w:ascii="Times New Roman" w:hAnsi="Times New Roman" w:cs="Times New Roman"/>
        </w:rPr>
        <w:fldChar w:fldCharType="separate"/>
      </w:r>
      <w:r>
        <w:rPr>
          <w:rFonts w:hint="default" w:ascii="Times New Roman" w:hAnsi="Times New Roman" w:cs="Times New Roman"/>
        </w:rPr>
        <w:t>⑦</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6 \* GB3 \* MERGEFORMAT </w:instrText>
      </w:r>
      <w:r>
        <w:rPr>
          <w:rFonts w:hint="default" w:ascii="Times New Roman" w:hAnsi="Times New Roman" w:cs="Times New Roman"/>
        </w:rPr>
        <w:fldChar w:fldCharType="separate"/>
      </w:r>
      <w:r>
        <w:rPr>
          <w:rFonts w:hint="default" w:ascii="Times New Roman" w:hAnsi="Times New Roman" w:cs="Times New Roman"/>
        </w:rPr>
        <w:t>⑥</w:t>
      </w:r>
      <w:r>
        <w:rPr>
          <w:rFonts w:hint="default" w:ascii="Times New Roman" w:hAnsi="Times New Roman" w:cs="Times New Roman"/>
        </w:rPr>
        <w:fldChar w:fldCharType="end"/>
      </w:r>
      <w:r>
        <w:rPr>
          <w:rFonts w:hint="default" w:ascii="Times New Roman" w:hAnsi="Times New Roman" w:cs="Times New Roman"/>
        </w:rPr>
        <w:t>-</w:t>
      </w:r>
      <w:r>
        <w:rPr>
          <w:rFonts w:hint="default" w:ascii="Times New Roman" w:hAnsi="Times New Roman" w:cs="Times New Roman"/>
        </w:rPr>
        <w:fldChar w:fldCharType="begin"/>
      </w:r>
      <w:r>
        <w:rPr>
          <w:rFonts w:hint="default" w:ascii="Times New Roman" w:hAnsi="Times New Roman" w:cs="Times New Roman"/>
        </w:rPr>
        <w:instrText xml:space="preserve"> = 1 \* GB3 \* MERGEFORMAT </w:instrText>
      </w:r>
      <w:r>
        <w:rPr>
          <w:rFonts w:hint="default" w:ascii="Times New Roman" w:hAnsi="Times New Roman" w:cs="Times New Roman"/>
        </w:rPr>
        <w:fldChar w:fldCharType="separate"/>
      </w:r>
      <w:r>
        <w:rPr>
          <w:rFonts w:hint="default" w:ascii="Times New Roman" w:hAnsi="Times New Roman" w:cs="Times New Roman"/>
        </w:rPr>
        <w:t>①</w:t>
      </w:r>
      <w:r>
        <w:rPr>
          <w:rFonts w:hint="default" w:ascii="Times New Roman" w:hAnsi="Times New Roman" w:cs="Times New Roman"/>
        </w:rPr>
        <w:fldChar w:fldCharType="end"/>
      </w:r>
    </w:p>
    <w:sectPr>
      <w:footerReference r:id="rId7" w:type="default"/>
      <w:pgSz w:w="16838" w:h="11906" w:orient="landscape"/>
      <w:pgMar w:top="1531" w:right="1701" w:bottom="1531" w:left="1701" w:header="851" w:footer="851"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楷体简体">
    <w:altName w:val="宋体"/>
    <w:panose1 w:val="02010601030101010101"/>
    <w:charset w:val="86"/>
    <w:family w:val="auto"/>
    <w:pitch w:val="default"/>
    <w:sig w:usb0="00000000" w:usb1="00000000" w:usb2="00000010" w:usb3="00000000" w:csb0="00040000" w:csb1="00000000"/>
  </w:font>
  <w:font w:name="Calibri Light">
    <w:panose1 w:val="020F0302020204030204"/>
    <w:charset w:val="00"/>
    <w:family w:val="swiss"/>
    <w:pitch w:val="default"/>
    <w:sig w:usb0="E4002EFF" w:usb1="C000247B" w:usb2="00000009" w:usb3="00000000" w:csb0="200001FF" w:csb1="00000000"/>
  </w:font>
  <w:font w:name="方正仿宋简体">
    <w:altName w:val="微软雅黑"/>
    <w:panose1 w:val="00000000000000000000"/>
    <w:charset w:val="86"/>
    <w:family w:val="auto"/>
    <w:pitch w:val="default"/>
    <w:sig w:usb0="00000000" w:usb1="00000000" w:usb2="00000010" w:usb3="00000000" w:csb0="00040000" w:csb1="00000000"/>
  </w:font>
  <w:font w:name="FangSong_GB2312">
    <w:altName w:val="仿宋_GB2312"/>
    <w:panose1 w:val="02010609060101010101"/>
    <w:charset w:val="86"/>
    <w:family w:val="modern"/>
    <w:pitch w:val="default"/>
    <w:sig w:usb0="00000000" w:usb1="00000000"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auto"/>
    <w:pitch w:val="default"/>
    <w:sig w:usb0="00000000" w:usb1="00000000" w:usb2="00000000" w:usb3="00000000" w:csb0="80000000" w:csb1="00000000"/>
  </w:font>
  <w:font w:name="Segoe UI">
    <w:panose1 w:val="020B0502040204020203"/>
    <w:charset w:val="00"/>
    <w:family w:val="auto"/>
    <w:pitch w:val="default"/>
    <w:sig w:usb0="E4002EFF" w:usb1="C000E47F" w:usb2="00000009" w:usb3="00000000" w:csb0="200001FF" w:csb1="00000000"/>
  </w:font>
  <w:font w:name="Cambria Math">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framePr w:wrap="around" w:vAnchor="text" w:hAnchor="margin" w:xAlign="center" w:y="1"/>
      <w:rPr>
        <w:rStyle w:val="35"/>
      </w:rPr>
    </w:pPr>
    <w:r>
      <w:fldChar w:fldCharType="begin"/>
    </w:r>
    <w:r>
      <w:rPr>
        <w:rStyle w:val="35"/>
      </w:rPr>
      <w:instrText xml:space="preserve">PAGE  </w:instrText>
    </w:r>
    <w:r>
      <w:fldChar w:fldCharType="end"/>
    </w:r>
  </w:p>
  <w:p>
    <w:pPr>
      <w:pStyle w:val="20"/>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0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204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DF8ZpPxgEAAHQDAAAOAAAAAAAAAAEAIAAAAB4BAABkcnMvZTJvRG9jLnht&#10;bFBLBQYAAAAABgAGAFkBAABWBQAAAAA=&#10;">
              <v:fill on="f" focussize="0,0"/>
              <v:stroke on="f"/>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framePr w:wrap="around" w:vAnchor="text" w:hAnchor="margin" w:xAlign="outside" w:y="1"/>
      <w:rPr>
        <w:rStyle w:val="35"/>
        <w:rFonts w:ascii="宋体" w:hAnsi="宋体"/>
        <w:sz w:val="28"/>
        <w:szCs w:val="28"/>
      </w:rPr>
    </w:pPr>
    <w:r>
      <w:rPr>
        <w:rStyle w:val="35"/>
        <w:rFonts w:hint="eastAsia" w:ascii="宋体" w:hAnsi="宋体"/>
        <w:sz w:val="28"/>
        <w:szCs w:val="28"/>
      </w:rPr>
      <w:t>—</w:t>
    </w:r>
    <w:r>
      <w:rPr>
        <w:rStyle w:val="35"/>
        <w:rFonts w:hint="eastAsia" w:ascii="宋体" w:hAnsi="宋体"/>
        <w:sz w:val="20"/>
      </w:rPr>
      <w:t xml:space="preserve">  </w:t>
    </w:r>
    <w:r>
      <w:rPr>
        <w:rFonts w:ascii="宋体" w:hAnsi="宋体"/>
        <w:sz w:val="26"/>
        <w:szCs w:val="26"/>
      </w:rPr>
      <w:fldChar w:fldCharType="begin"/>
    </w:r>
    <w:r>
      <w:rPr>
        <w:rStyle w:val="35"/>
        <w:rFonts w:ascii="宋体" w:hAnsi="宋体"/>
        <w:sz w:val="26"/>
        <w:szCs w:val="26"/>
      </w:rPr>
      <w:instrText xml:space="preserve">PAGE  </w:instrText>
    </w:r>
    <w:r>
      <w:rPr>
        <w:rFonts w:ascii="宋体" w:hAnsi="宋体"/>
        <w:sz w:val="26"/>
        <w:szCs w:val="26"/>
      </w:rPr>
      <w:fldChar w:fldCharType="separate"/>
    </w:r>
    <w:r>
      <w:rPr>
        <w:rStyle w:val="35"/>
        <w:rFonts w:ascii="宋体" w:hAnsi="宋体"/>
        <w:sz w:val="26"/>
        <w:szCs w:val="26"/>
      </w:rPr>
      <w:t>9</w:t>
    </w:r>
    <w:r>
      <w:rPr>
        <w:rFonts w:ascii="宋体" w:hAnsi="宋体"/>
        <w:sz w:val="26"/>
        <w:szCs w:val="26"/>
      </w:rPr>
      <w:fldChar w:fldCharType="end"/>
    </w:r>
    <w:r>
      <w:rPr>
        <w:rStyle w:val="35"/>
        <w:rFonts w:hint="eastAsia" w:ascii="宋体" w:hAnsi="宋体"/>
        <w:sz w:val="20"/>
      </w:rPr>
      <w:t xml:space="preserve">  </w:t>
    </w:r>
    <w:r>
      <w:rPr>
        <w:rStyle w:val="35"/>
        <w:rFonts w:hint="eastAsia" w:ascii="宋体" w:hAnsi="宋体"/>
        <w:sz w:val="28"/>
        <w:szCs w:val="28"/>
      </w:rPr>
      <w:t>—</w:t>
    </w:r>
  </w:p>
  <w:p>
    <w:pPr>
      <w:pStyle w:val="20"/>
      <w:ind w:right="360" w:firstLine="360"/>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framePr w:wrap="around" w:vAnchor="text" w:hAnchor="margin" w:xAlign="outside" w:y="1"/>
      <w:rPr>
        <w:rStyle w:val="35"/>
        <w:rFonts w:ascii="宋体" w:hAnsi="宋体"/>
        <w:sz w:val="28"/>
        <w:szCs w:val="28"/>
      </w:rPr>
    </w:pPr>
    <w:r>
      <w:rPr>
        <w:rStyle w:val="35"/>
        <w:rFonts w:hint="eastAsia" w:ascii="宋体" w:hAnsi="宋体"/>
        <w:sz w:val="28"/>
        <w:szCs w:val="28"/>
      </w:rPr>
      <w:t>—</w:t>
    </w:r>
    <w:r>
      <w:rPr>
        <w:rStyle w:val="35"/>
        <w:rFonts w:hint="eastAsia" w:ascii="宋体" w:hAnsi="宋体"/>
        <w:sz w:val="20"/>
      </w:rPr>
      <w:t xml:space="preserve">  </w:t>
    </w:r>
    <w:r>
      <w:rPr>
        <w:rFonts w:ascii="宋体" w:hAnsi="宋体"/>
        <w:sz w:val="26"/>
        <w:szCs w:val="26"/>
      </w:rPr>
      <w:fldChar w:fldCharType="begin"/>
    </w:r>
    <w:r>
      <w:rPr>
        <w:rStyle w:val="35"/>
        <w:rFonts w:ascii="宋体" w:hAnsi="宋体"/>
        <w:sz w:val="26"/>
        <w:szCs w:val="26"/>
      </w:rPr>
      <w:instrText xml:space="preserve">PAGE  </w:instrText>
    </w:r>
    <w:r>
      <w:rPr>
        <w:rFonts w:ascii="宋体" w:hAnsi="宋体"/>
        <w:sz w:val="26"/>
        <w:szCs w:val="26"/>
      </w:rPr>
      <w:fldChar w:fldCharType="separate"/>
    </w:r>
    <w:r>
      <w:rPr>
        <w:rStyle w:val="35"/>
        <w:rFonts w:ascii="宋体" w:hAnsi="宋体"/>
        <w:sz w:val="26"/>
        <w:szCs w:val="26"/>
      </w:rPr>
      <w:t>11</w:t>
    </w:r>
    <w:r>
      <w:rPr>
        <w:rFonts w:ascii="宋体" w:hAnsi="宋体"/>
        <w:sz w:val="26"/>
        <w:szCs w:val="26"/>
      </w:rPr>
      <w:fldChar w:fldCharType="end"/>
    </w:r>
    <w:r>
      <w:rPr>
        <w:rStyle w:val="35"/>
        <w:rFonts w:hint="eastAsia" w:ascii="宋体" w:hAnsi="宋体"/>
        <w:sz w:val="20"/>
      </w:rPr>
      <w:t xml:space="preserve">  </w:t>
    </w:r>
    <w:r>
      <w:rPr>
        <w:rStyle w:val="35"/>
        <w:rFonts w:hint="eastAsia" w:ascii="宋体" w:hAnsi="宋体"/>
        <w:sz w:val="28"/>
        <w:szCs w:val="28"/>
      </w:rPr>
      <w:t>—</w:t>
    </w:r>
  </w:p>
  <w:p>
    <w:pPr>
      <w:pStyle w:val="20"/>
      <w:ind w:right="360" w:firstLine="360"/>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1BC4DC"/>
    <w:multiLevelType w:val="singleLevel"/>
    <w:tmpl w:val="C11BC4DC"/>
    <w:lvl w:ilvl="0" w:tentative="0">
      <w:start w:val="1"/>
      <w:numFmt w:val="decimal"/>
      <w:suff w:val="nothing"/>
      <w:lvlText w:val="%1、"/>
      <w:lvlJc w:val="left"/>
    </w:lvl>
  </w:abstractNum>
  <w:abstractNum w:abstractNumId="1">
    <w:nsid w:val="E3CA2524"/>
    <w:multiLevelType w:val="singleLevel"/>
    <w:tmpl w:val="E3CA2524"/>
    <w:lvl w:ilvl="0" w:tentative="0">
      <w:start w:val="1"/>
      <w:numFmt w:val="decimal"/>
      <w:suff w:val="nothing"/>
      <w:lvlText w:val="%1、"/>
      <w:lvlJc w:val="left"/>
    </w:lvl>
  </w:abstractNum>
  <w:abstractNum w:abstractNumId="2">
    <w:nsid w:val="FE5190F1"/>
    <w:multiLevelType w:val="singleLevel"/>
    <w:tmpl w:val="FE5190F1"/>
    <w:lvl w:ilvl="0" w:tentative="0">
      <w:start w:val="1"/>
      <w:numFmt w:val="decimal"/>
      <w:suff w:val="nothing"/>
      <w:lvlText w:val="%1、"/>
      <w:lvlJc w:val="left"/>
    </w:lvl>
  </w:abstractNum>
  <w:abstractNum w:abstractNumId="3">
    <w:nsid w:val="09833129"/>
    <w:multiLevelType w:val="singleLevel"/>
    <w:tmpl w:val="09833129"/>
    <w:lvl w:ilvl="0" w:tentative="0">
      <w:start w:val="1"/>
      <w:numFmt w:val="decimal"/>
      <w:suff w:val="nothing"/>
      <w:lvlText w:val="%1、"/>
      <w:lvlJc w:val="left"/>
    </w:lvl>
  </w:abstractNum>
  <w:abstractNum w:abstractNumId="4">
    <w:nsid w:val="5F18FF80"/>
    <w:multiLevelType w:val="singleLevel"/>
    <w:tmpl w:val="5F18FF80"/>
    <w:lvl w:ilvl="0" w:tentative="0">
      <w:start w:val="1"/>
      <w:numFmt w:val="decimal"/>
      <w:suff w:val="nothing"/>
      <w:lvlText w:val="%1、"/>
      <w:lvlJc w:val="left"/>
    </w:lvl>
  </w:abstractNum>
  <w:abstractNum w:abstractNumId="5">
    <w:nsid w:val="5F36DEC9"/>
    <w:multiLevelType w:val="singleLevel"/>
    <w:tmpl w:val="5F36DEC9"/>
    <w:lvl w:ilvl="0" w:tentative="0">
      <w:start w:val="1"/>
      <w:numFmt w:val="decimal"/>
      <w:pStyle w:val="87"/>
      <w:lvlText w:val="表1-%1  "/>
      <w:lvlJc w:val="center"/>
      <w:pPr>
        <w:tabs>
          <w:tab w:val="left" w:pos="420"/>
        </w:tabs>
        <w:ind w:left="454" w:hanging="454"/>
      </w:pPr>
      <w:rPr>
        <w:rFonts w:hint="default" w:ascii="Times New Roman" w:hAnsi="Times New Roman" w:eastAsia="宋体" w:cs="宋体"/>
        <w:b/>
        <w:bCs w:val="0"/>
        <w:sz w:val="21"/>
        <w:szCs w:val="21"/>
      </w:rPr>
    </w:lvl>
  </w:abstractNum>
  <w:num w:numId="1">
    <w:abstractNumId w:val="5"/>
  </w:num>
  <w:num w:numId="2">
    <w:abstractNumId w:val="3"/>
  </w:num>
  <w:num w:numId="3">
    <w:abstractNumId w:val="0"/>
  </w:num>
  <w:num w:numId="4">
    <w:abstractNumId w:val="2"/>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attachedTemplate r:id="rId1"/>
  <w:documentProtection w:edit="trackedChanges" w:enforcement="0"/>
  <w:defaultTabStop w:val="420"/>
  <w:hyphenationZone w:val="36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0NzI2NGQ1MTc0NzZlNWJkOTg4N2JjNWEzNjQ0MGIifQ=="/>
  </w:docVars>
  <w:rsids>
    <w:rsidRoot w:val="00A14947"/>
    <w:rsid w:val="000060B3"/>
    <w:rsid w:val="0004364B"/>
    <w:rsid w:val="00061B1F"/>
    <w:rsid w:val="000733C4"/>
    <w:rsid w:val="00074783"/>
    <w:rsid w:val="0008070B"/>
    <w:rsid w:val="000810AC"/>
    <w:rsid w:val="00081A02"/>
    <w:rsid w:val="00082231"/>
    <w:rsid w:val="00092D38"/>
    <w:rsid w:val="0009377B"/>
    <w:rsid w:val="000A20C9"/>
    <w:rsid w:val="000B058F"/>
    <w:rsid w:val="000B4467"/>
    <w:rsid w:val="000B4DB9"/>
    <w:rsid w:val="000C09AC"/>
    <w:rsid w:val="000C767F"/>
    <w:rsid w:val="000D5A44"/>
    <w:rsid w:val="000E3ED2"/>
    <w:rsid w:val="00131F42"/>
    <w:rsid w:val="001357F1"/>
    <w:rsid w:val="00140FA8"/>
    <w:rsid w:val="00142FEB"/>
    <w:rsid w:val="00143A2D"/>
    <w:rsid w:val="00145A41"/>
    <w:rsid w:val="00151675"/>
    <w:rsid w:val="00157435"/>
    <w:rsid w:val="0017504D"/>
    <w:rsid w:val="0017671A"/>
    <w:rsid w:val="00177422"/>
    <w:rsid w:val="00184590"/>
    <w:rsid w:val="001870D1"/>
    <w:rsid w:val="0018781E"/>
    <w:rsid w:val="0019262D"/>
    <w:rsid w:val="001A1B35"/>
    <w:rsid w:val="001A48A2"/>
    <w:rsid w:val="001A6F61"/>
    <w:rsid w:val="001B72B8"/>
    <w:rsid w:val="001C69B3"/>
    <w:rsid w:val="001D5595"/>
    <w:rsid w:val="001D7874"/>
    <w:rsid w:val="001D7F22"/>
    <w:rsid w:val="001F0F17"/>
    <w:rsid w:val="001F3347"/>
    <w:rsid w:val="001F69E4"/>
    <w:rsid w:val="002125B4"/>
    <w:rsid w:val="002155B8"/>
    <w:rsid w:val="00224839"/>
    <w:rsid w:val="002249B2"/>
    <w:rsid w:val="00226574"/>
    <w:rsid w:val="002278EC"/>
    <w:rsid w:val="0023280E"/>
    <w:rsid w:val="002377D1"/>
    <w:rsid w:val="00242972"/>
    <w:rsid w:val="002506BC"/>
    <w:rsid w:val="00254345"/>
    <w:rsid w:val="00264557"/>
    <w:rsid w:val="002805AB"/>
    <w:rsid w:val="00284204"/>
    <w:rsid w:val="00291773"/>
    <w:rsid w:val="002A168C"/>
    <w:rsid w:val="002A3DC7"/>
    <w:rsid w:val="002B49E2"/>
    <w:rsid w:val="002B7B00"/>
    <w:rsid w:val="002B7C44"/>
    <w:rsid w:val="002C2B17"/>
    <w:rsid w:val="002D3DD0"/>
    <w:rsid w:val="002E1F3A"/>
    <w:rsid w:val="002E298A"/>
    <w:rsid w:val="00301978"/>
    <w:rsid w:val="0030332C"/>
    <w:rsid w:val="003051C2"/>
    <w:rsid w:val="00312296"/>
    <w:rsid w:val="00314F0E"/>
    <w:rsid w:val="00321D8E"/>
    <w:rsid w:val="00325928"/>
    <w:rsid w:val="00332863"/>
    <w:rsid w:val="0033684D"/>
    <w:rsid w:val="00337B42"/>
    <w:rsid w:val="00341B42"/>
    <w:rsid w:val="0034348F"/>
    <w:rsid w:val="00356653"/>
    <w:rsid w:val="0035743F"/>
    <w:rsid w:val="00357BE2"/>
    <w:rsid w:val="0036170C"/>
    <w:rsid w:val="00366E0F"/>
    <w:rsid w:val="00381A72"/>
    <w:rsid w:val="00384676"/>
    <w:rsid w:val="00390857"/>
    <w:rsid w:val="003A4BF3"/>
    <w:rsid w:val="003B420D"/>
    <w:rsid w:val="003C6C16"/>
    <w:rsid w:val="003D794D"/>
    <w:rsid w:val="003E3058"/>
    <w:rsid w:val="003E76A9"/>
    <w:rsid w:val="003F0809"/>
    <w:rsid w:val="003F6A8C"/>
    <w:rsid w:val="003F755C"/>
    <w:rsid w:val="00406F01"/>
    <w:rsid w:val="00416D50"/>
    <w:rsid w:val="00416FD5"/>
    <w:rsid w:val="00417772"/>
    <w:rsid w:val="00420E6A"/>
    <w:rsid w:val="00425A9E"/>
    <w:rsid w:val="00426D6B"/>
    <w:rsid w:val="00431E6C"/>
    <w:rsid w:val="00433CE7"/>
    <w:rsid w:val="00452738"/>
    <w:rsid w:val="00456091"/>
    <w:rsid w:val="00466321"/>
    <w:rsid w:val="00484B9B"/>
    <w:rsid w:val="004855F6"/>
    <w:rsid w:val="0048661E"/>
    <w:rsid w:val="00494670"/>
    <w:rsid w:val="004A3823"/>
    <w:rsid w:val="004E6946"/>
    <w:rsid w:val="004F1AD8"/>
    <w:rsid w:val="005039CB"/>
    <w:rsid w:val="0050558F"/>
    <w:rsid w:val="00506286"/>
    <w:rsid w:val="00510813"/>
    <w:rsid w:val="00511990"/>
    <w:rsid w:val="00511DE0"/>
    <w:rsid w:val="00514870"/>
    <w:rsid w:val="00514B9B"/>
    <w:rsid w:val="00517F02"/>
    <w:rsid w:val="00524303"/>
    <w:rsid w:val="005258A2"/>
    <w:rsid w:val="005401AE"/>
    <w:rsid w:val="00542E07"/>
    <w:rsid w:val="00545424"/>
    <w:rsid w:val="00554A7B"/>
    <w:rsid w:val="0055572C"/>
    <w:rsid w:val="0056106A"/>
    <w:rsid w:val="005720AE"/>
    <w:rsid w:val="00594D77"/>
    <w:rsid w:val="005969E4"/>
    <w:rsid w:val="005A06B7"/>
    <w:rsid w:val="005A1759"/>
    <w:rsid w:val="005A68A7"/>
    <w:rsid w:val="005D36AB"/>
    <w:rsid w:val="00617CC3"/>
    <w:rsid w:val="00624AAC"/>
    <w:rsid w:val="006377A6"/>
    <w:rsid w:val="00637A3D"/>
    <w:rsid w:val="006411EF"/>
    <w:rsid w:val="00663332"/>
    <w:rsid w:val="006748B8"/>
    <w:rsid w:val="006775C3"/>
    <w:rsid w:val="0069290A"/>
    <w:rsid w:val="0069775A"/>
    <w:rsid w:val="00697813"/>
    <w:rsid w:val="006A3EE8"/>
    <w:rsid w:val="006A72BF"/>
    <w:rsid w:val="006B03C8"/>
    <w:rsid w:val="006B03F2"/>
    <w:rsid w:val="006B37DC"/>
    <w:rsid w:val="006B4F68"/>
    <w:rsid w:val="006C0592"/>
    <w:rsid w:val="006C272E"/>
    <w:rsid w:val="006C5479"/>
    <w:rsid w:val="006D13B5"/>
    <w:rsid w:val="006E12FF"/>
    <w:rsid w:val="006E607E"/>
    <w:rsid w:val="00706C5D"/>
    <w:rsid w:val="00732922"/>
    <w:rsid w:val="0075162E"/>
    <w:rsid w:val="00754034"/>
    <w:rsid w:val="00756556"/>
    <w:rsid w:val="007618C4"/>
    <w:rsid w:val="00767980"/>
    <w:rsid w:val="00770B19"/>
    <w:rsid w:val="0077463F"/>
    <w:rsid w:val="007836EA"/>
    <w:rsid w:val="00784CDA"/>
    <w:rsid w:val="007906C4"/>
    <w:rsid w:val="007940EA"/>
    <w:rsid w:val="007967E8"/>
    <w:rsid w:val="007A2170"/>
    <w:rsid w:val="007A22BF"/>
    <w:rsid w:val="007A3323"/>
    <w:rsid w:val="007B72B8"/>
    <w:rsid w:val="007B7A58"/>
    <w:rsid w:val="007C21B5"/>
    <w:rsid w:val="007E4BD2"/>
    <w:rsid w:val="00801393"/>
    <w:rsid w:val="00802F88"/>
    <w:rsid w:val="0081293E"/>
    <w:rsid w:val="00815465"/>
    <w:rsid w:val="00817E9A"/>
    <w:rsid w:val="008306BD"/>
    <w:rsid w:val="00831A80"/>
    <w:rsid w:val="00833743"/>
    <w:rsid w:val="008340A4"/>
    <w:rsid w:val="0087135F"/>
    <w:rsid w:val="00872D94"/>
    <w:rsid w:val="00880364"/>
    <w:rsid w:val="00891592"/>
    <w:rsid w:val="00891E9E"/>
    <w:rsid w:val="008A2F68"/>
    <w:rsid w:val="008B4FA6"/>
    <w:rsid w:val="008B5282"/>
    <w:rsid w:val="008B7C17"/>
    <w:rsid w:val="008C2D01"/>
    <w:rsid w:val="008C40E6"/>
    <w:rsid w:val="008D0F7A"/>
    <w:rsid w:val="008D68E4"/>
    <w:rsid w:val="008E0506"/>
    <w:rsid w:val="008E0CFF"/>
    <w:rsid w:val="008E5D6B"/>
    <w:rsid w:val="008E76F0"/>
    <w:rsid w:val="008F15FE"/>
    <w:rsid w:val="008F2D29"/>
    <w:rsid w:val="008F5187"/>
    <w:rsid w:val="008F60D8"/>
    <w:rsid w:val="00902727"/>
    <w:rsid w:val="0090312B"/>
    <w:rsid w:val="0091736D"/>
    <w:rsid w:val="0093037A"/>
    <w:rsid w:val="0094154D"/>
    <w:rsid w:val="0095155F"/>
    <w:rsid w:val="00954429"/>
    <w:rsid w:val="009563CE"/>
    <w:rsid w:val="00976328"/>
    <w:rsid w:val="0097680D"/>
    <w:rsid w:val="00982438"/>
    <w:rsid w:val="0098404C"/>
    <w:rsid w:val="00985283"/>
    <w:rsid w:val="00995992"/>
    <w:rsid w:val="009A03E5"/>
    <w:rsid w:val="009A0F3B"/>
    <w:rsid w:val="009A1BB4"/>
    <w:rsid w:val="009A2628"/>
    <w:rsid w:val="009A3200"/>
    <w:rsid w:val="009B0897"/>
    <w:rsid w:val="009B7BD9"/>
    <w:rsid w:val="009C7DD5"/>
    <w:rsid w:val="009E227D"/>
    <w:rsid w:val="009E5019"/>
    <w:rsid w:val="00A04F1B"/>
    <w:rsid w:val="00A0501B"/>
    <w:rsid w:val="00A14947"/>
    <w:rsid w:val="00A32A83"/>
    <w:rsid w:val="00A368DB"/>
    <w:rsid w:val="00A423AA"/>
    <w:rsid w:val="00A53EC6"/>
    <w:rsid w:val="00A55C0F"/>
    <w:rsid w:val="00A8713F"/>
    <w:rsid w:val="00A90BA1"/>
    <w:rsid w:val="00A97848"/>
    <w:rsid w:val="00A97A9A"/>
    <w:rsid w:val="00AA0671"/>
    <w:rsid w:val="00AA2531"/>
    <w:rsid w:val="00AB1E09"/>
    <w:rsid w:val="00AB5330"/>
    <w:rsid w:val="00AB7747"/>
    <w:rsid w:val="00AC14CE"/>
    <w:rsid w:val="00AC2A56"/>
    <w:rsid w:val="00AD055E"/>
    <w:rsid w:val="00AD47A7"/>
    <w:rsid w:val="00AF0CBF"/>
    <w:rsid w:val="00AF257F"/>
    <w:rsid w:val="00AF33CF"/>
    <w:rsid w:val="00AF4D50"/>
    <w:rsid w:val="00AF6179"/>
    <w:rsid w:val="00B1295A"/>
    <w:rsid w:val="00B20A45"/>
    <w:rsid w:val="00B22C5C"/>
    <w:rsid w:val="00B24F30"/>
    <w:rsid w:val="00B31ABF"/>
    <w:rsid w:val="00B33BE3"/>
    <w:rsid w:val="00B53B5D"/>
    <w:rsid w:val="00B6055E"/>
    <w:rsid w:val="00B6317D"/>
    <w:rsid w:val="00B7723F"/>
    <w:rsid w:val="00B80534"/>
    <w:rsid w:val="00B8433C"/>
    <w:rsid w:val="00B87491"/>
    <w:rsid w:val="00BA29E9"/>
    <w:rsid w:val="00BA7142"/>
    <w:rsid w:val="00BB237C"/>
    <w:rsid w:val="00BB41A3"/>
    <w:rsid w:val="00BC32DC"/>
    <w:rsid w:val="00BC35B6"/>
    <w:rsid w:val="00BD1B51"/>
    <w:rsid w:val="00BD4596"/>
    <w:rsid w:val="00BE1405"/>
    <w:rsid w:val="00BE312D"/>
    <w:rsid w:val="00BF1C20"/>
    <w:rsid w:val="00C10578"/>
    <w:rsid w:val="00C135BC"/>
    <w:rsid w:val="00C15C95"/>
    <w:rsid w:val="00C2596A"/>
    <w:rsid w:val="00C27537"/>
    <w:rsid w:val="00C328FE"/>
    <w:rsid w:val="00C33507"/>
    <w:rsid w:val="00C4409D"/>
    <w:rsid w:val="00C44E72"/>
    <w:rsid w:val="00C45A06"/>
    <w:rsid w:val="00C47E5B"/>
    <w:rsid w:val="00C61E4B"/>
    <w:rsid w:val="00C64BFF"/>
    <w:rsid w:val="00C704E9"/>
    <w:rsid w:val="00C763C9"/>
    <w:rsid w:val="00C80057"/>
    <w:rsid w:val="00C82232"/>
    <w:rsid w:val="00C82913"/>
    <w:rsid w:val="00C972B1"/>
    <w:rsid w:val="00CA2CCE"/>
    <w:rsid w:val="00CA43FD"/>
    <w:rsid w:val="00CA7EF8"/>
    <w:rsid w:val="00CC489B"/>
    <w:rsid w:val="00CD2BCD"/>
    <w:rsid w:val="00CD3A4C"/>
    <w:rsid w:val="00CE10E9"/>
    <w:rsid w:val="00CE2910"/>
    <w:rsid w:val="00CE307E"/>
    <w:rsid w:val="00CE5393"/>
    <w:rsid w:val="00CF36BE"/>
    <w:rsid w:val="00CF6000"/>
    <w:rsid w:val="00D003F3"/>
    <w:rsid w:val="00D0364F"/>
    <w:rsid w:val="00D06834"/>
    <w:rsid w:val="00D308ED"/>
    <w:rsid w:val="00D36D86"/>
    <w:rsid w:val="00D428AA"/>
    <w:rsid w:val="00D50A34"/>
    <w:rsid w:val="00D518D4"/>
    <w:rsid w:val="00D53EFA"/>
    <w:rsid w:val="00D94A7C"/>
    <w:rsid w:val="00D95896"/>
    <w:rsid w:val="00DB2983"/>
    <w:rsid w:val="00DC1257"/>
    <w:rsid w:val="00DC3DC0"/>
    <w:rsid w:val="00DC5B2B"/>
    <w:rsid w:val="00DD318D"/>
    <w:rsid w:val="00DF2E12"/>
    <w:rsid w:val="00DF514A"/>
    <w:rsid w:val="00DF6690"/>
    <w:rsid w:val="00DF6804"/>
    <w:rsid w:val="00E0358D"/>
    <w:rsid w:val="00E04323"/>
    <w:rsid w:val="00E070A2"/>
    <w:rsid w:val="00E2656A"/>
    <w:rsid w:val="00E412D0"/>
    <w:rsid w:val="00E56322"/>
    <w:rsid w:val="00E60982"/>
    <w:rsid w:val="00E62C62"/>
    <w:rsid w:val="00E654C1"/>
    <w:rsid w:val="00E65D97"/>
    <w:rsid w:val="00E72A5A"/>
    <w:rsid w:val="00E73354"/>
    <w:rsid w:val="00E9242D"/>
    <w:rsid w:val="00EB5255"/>
    <w:rsid w:val="00EB5C47"/>
    <w:rsid w:val="00ED0639"/>
    <w:rsid w:val="00EF4755"/>
    <w:rsid w:val="00EF7135"/>
    <w:rsid w:val="00F027DB"/>
    <w:rsid w:val="00F14A7A"/>
    <w:rsid w:val="00F22985"/>
    <w:rsid w:val="00F257AC"/>
    <w:rsid w:val="00F3383E"/>
    <w:rsid w:val="00F465A7"/>
    <w:rsid w:val="00F50B7C"/>
    <w:rsid w:val="00F550E6"/>
    <w:rsid w:val="00F74345"/>
    <w:rsid w:val="00F80A0A"/>
    <w:rsid w:val="00F82B19"/>
    <w:rsid w:val="00F9212D"/>
    <w:rsid w:val="00F965DA"/>
    <w:rsid w:val="00FA406A"/>
    <w:rsid w:val="00FB503A"/>
    <w:rsid w:val="00FB516C"/>
    <w:rsid w:val="00FD0236"/>
    <w:rsid w:val="00FD18F4"/>
    <w:rsid w:val="00FD54DB"/>
    <w:rsid w:val="00FD619F"/>
    <w:rsid w:val="011C429B"/>
    <w:rsid w:val="01290F7E"/>
    <w:rsid w:val="013A35FB"/>
    <w:rsid w:val="01413020"/>
    <w:rsid w:val="015D1E09"/>
    <w:rsid w:val="01813B11"/>
    <w:rsid w:val="01937C7B"/>
    <w:rsid w:val="01993001"/>
    <w:rsid w:val="01C14B7C"/>
    <w:rsid w:val="023D5265"/>
    <w:rsid w:val="02697903"/>
    <w:rsid w:val="026C6D7F"/>
    <w:rsid w:val="02B86433"/>
    <w:rsid w:val="02F96569"/>
    <w:rsid w:val="02FB461C"/>
    <w:rsid w:val="03415824"/>
    <w:rsid w:val="036D30ED"/>
    <w:rsid w:val="038F02D1"/>
    <w:rsid w:val="03E2040B"/>
    <w:rsid w:val="03EA7B21"/>
    <w:rsid w:val="04265B81"/>
    <w:rsid w:val="044F47E8"/>
    <w:rsid w:val="045C5985"/>
    <w:rsid w:val="048C050B"/>
    <w:rsid w:val="054D684A"/>
    <w:rsid w:val="05797784"/>
    <w:rsid w:val="058368B9"/>
    <w:rsid w:val="059367DE"/>
    <w:rsid w:val="05F83EAE"/>
    <w:rsid w:val="063E7D85"/>
    <w:rsid w:val="067D0AAC"/>
    <w:rsid w:val="06945418"/>
    <w:rsid w:val="06C04F45"/>
    <w:rsid w:val="06E64834"/>
    <w:rsid w:val="07261F4F"/>
    <w:rsid w:val="07293586"/>
    <w:rsid w:val="07295285"/>
    <w:rsid w:val="075A48CD"/>
    <w:rsid w:val="07636392"/>
    <w:rsid w:val="07754928"/>
    <w:rsid w:val="07770C56"/>
    <w:rsid w:val="07904A40"/>
    <w:rsid w:val="07F2174A"/>
    <w:rsid w:val="07FC1A55"/>
    <w:rsid w:val="08033F34"/>
    <w:rsid w:val="08242639"/>
    <w:rsid w:val="082560E2"/>
    <w:rsid w:val="08BE21BD"/>
    <w:rsid w:val="092217DD"/>
    <w:rsid w:val="093A7294"/>
    <w:rsid w:val="09952454"/>
    <w:rsid w:val="09F42681"/>
    <w:rsid w:val="0A263993"/>
    <w:rsid w:val="0A2D3AC2"/>
    <w:rsid w:val="0A7B42CD"/>
    <w:rsid w:val="0AA755DF"/>
    <w:rsid w:val="0AA80EDE"/>
    <w:rsid w:val="0AB37C41"/>
    <w:rsid w:val="0AB96DA2"/>
    <w:rsid w:val="0B120D44"/>
    <w:rsid w:val="0B5333DC"/>
    <w:rsid w:val="0B596091"/>
    <w:rsid w:val="0B901D30"/>
    <w:rsid w:val="0BD27BF6"/>
    <w:rsid w:val="0C063612"/>
    <w:rsid w:val="0C3B3C7D"/>
    <w:rsid w:val="0CA55F00"/>
    <w:rsid w:val="0CAB2EAE"/>
    <w:rsid w:val="0CB40115"/>
    <w:rsid w:val="0CB437FC"/>
    <w:rsid w:val="0CBD7BD8"/>
    <w:rsid w:val="0D324C63"/>
    <w:rsid w:val="0D3E68E5"/>
    <w:rsid w:val="0D621C7D"/>
    <w:rsid w:val="0D6A7405"/>
    <w:rsid w:val="0DC518F4"/>
    <w:rsid w:val="0DCA0549"/>
    <w:rsid w:val="0DD21A2C"/>
    <w:rsid w:val="0DF44B9E"/>
    <w:rsid w:val="0E182183"/>
    <w:rsid w:val="0E5A780B"/>
    <w:rsid w:val="0E5E18E4"/>
    <w:rsid w:val="0E73034D"/>
    <w:rsid w:val="0E75128C"/>
    <w:rsid w:val="0E8143FC"/>
    <w:rsid w:val="0E961102"/>
    <w:rsid w:val="0E991F00"/>
    <w:rsid w:val="0EA864AA"/>
    <w:rsid w:val="0EF32078"/>
    <w:rsid w:val="0EFE452B"/>
    <w:rsid w:val="0F13775A"/>
    <w:rsid w:val="0F167CB0"/>
    <w:rsid w:val="0F22309A"/>
    <w:rsid w:val="0F5F45FE"/>
    <w:rsid w:val="0F9A112B"/>
    <w:rsid w:val="0FBC315E"/>
    <w:rsid w:val="0FCA167F"/>
    <w:rsid w:val="0FF9352F"/>
    <w:rsid w:val="1030200B"/>
    <w:rsid w:val="106D2F64"/>
    <w:rsid w:val="10962ABC"/>
    <w:rsid w:val="10B21015"/>
    <w:rsid w:val="10B63710"/>
    <w:rsid w:val="10C70A9D"/>
    <w:rsid w:val="10F10820"/>
    <w:rsid w:val="111C2F7A"/>
    <w:rsid w:val="113867A2"/>
    <w:rsid w:val="11665CA1"/>
    <w:rsid w:val="11BC6EE1"/>
    <w:rsid w:val="11EB57BA"/>
    <w:rsid w:val="11F73273"/>
    <w:rsid w:val="12142325"/>
    <w:rsid w:val="123401DA"/>
    <w:rsid w:val="12901D2E"/>
    <w:rsid w:val="12C10A1F"/>
    <w:rsid w:val="1351102F"/>
    <w:rsid w:val="136F0286"/>
    <w:rsid w:val="13746904"/>
    <w:rsid w:val="13951726"/>
    <w:rsid w:val="13AC550A"/>
    <w:rsid w:val="13BD743A"/>
    <w:rsid w:val="13C226FE"/>
    <w:rsid w:val="14396509"/>
    <w:rsid w:val="14C665F3"/>
    <w:rsid w:val="14D02652"/>
    <w:rsid w:val="14DD2C3C"/>
    <w:rsid w:val="150504D2"/>
    <w:rsid w:val="15290E86"/>
    <w:rsid w:val="1557168B"/>
    <w:rsid w:val="156F0D80"/>
    <w:rsid w:val="15BD4749"/>
    <w:rsid w:val="15DA38B5"/>
    <w:rsid w:val="16087E1D"/>
    <w:rsid w:val="16397619"/>
    <w:rsid w:val="165E3157"/>
    <w:rsid w:val="167D2117"/>
    <w:rsid w:val="16824F0B"/>
    <w:rsid w:val="168A044F"/>
    <w:rsid w:val="16B947A6"/>
    <w:rsid w:val="17095270"/>
    <w:rsid w:val="170D24F0"/>
    <w:rsid w:val="17701D14"/>
    <w:rsid w:val="17735226"/>
    <w:rsid w:val="177D6CF5"/>
    <w:rsid w:val="17CF598E"/>
    <w:rsid w:val="17E941E2"/>
    <w:rsid w:val="17F17FA5"/>
    <w:rsid w:val="18222AE6"/>
    <w:rsid w:val="185B22E1"/>
    <w:rsid w:val="185B61EE"/>
    <w:rsid w:val="185F0079"/>
    <w:rsid w:val="18773941"/>
    <w:rsid w:val="187B5EEB"/>
    <w:rsid w:val="188507FA"/>
    <w:rsid w:val="189F624C"/>
    <w:rsid w:val="18B11B47"/>
    <w:rsid w:val="18D547AC"/>
    <w:rsid w:val="18F27083"/>
    <w:rsid w:val="19032AC3"/>
    <w:rsid w:val="19035318"/>
    <w:rsid w:val="190F45C5"/>
    <w:rsid w:val="1921533F"/>
    <w:rsid w:val="19EA1304"/>
    <w:rsid w:val="19F73F51"/>
    <w:rsid w:val="1A010732"/>
    <w:rsid w:val="1A1C66C0"/>
    <w:rsid w:val="1A2B3946"/>
    <w:rsid w:val="1A36002A"/>
    <w:rsid w:val="1A42393B"/>
    <w:rsid w:val="1A927091"/>
    <w:rsid w:val="1AAD45DE"/>
    <w:rsid w:val="1B046F80"/>
    <w:rsid w:val="1B054D4E"/>
    <w:rsid w:val="1B3267B5"/>
    <w:rsid w:val="1B3C77DE"/>
    <w:rsid w:val="1B3E5EED"/>
    <w:rsid w:val="1B40161D"/>
    <w:rsid w:val="1B432EE6"/>
    <w:rsid w:val="1B441859"/>
    <w:rsid w:val="1B543ED4"/>
    <w:rsid w:val="1B6106AB"/>
    <w:rsid w:val="1B6606B1"/>
    <w:rsid w:val="1B703F43"/>
    <w:rsid w:val="1BF34B5D"/>
    <w:rsid w:val="1C5E365B"/>
    <w:rsid w:val="1C5E7925"/>
    <w:rsid w:val="1C6F0F3E"/>
    <w:rsid w:val="1C771139"/>
    <w:rsid w:val="1C96058B"/>
    <w:rsid w:val="1CA55CF6"/>
    <w:rsid w:val="1CD85830"/>
    <w:rsid w:val="1CFD070F"/>
    <w:rsid w:val="1D0F1297"/>
    <w:rsid w:val="1D5F6196"/>
    <w:rsid w:val="1D6132A5"/>
    <w:rsid w:val="1D8E56D5"/>
    <w:rsid w:val="1DD64F4E"/>
    <w:rsid w:val="1DDE1D0B"/>
    <w:rsid w:val="1E1E10C8"/>
    <w:rsid w:val="1E347A5F"/>
    <w:rsid w:val="1E3525A1"/>
    <w:rsid w:val="1E7A43DA"/>
    <w:rsid w:val="1E8A6AB3"/>
    <w:rsid w:val="1E9F0F52"/>
    <w:rsid w:val="1EBF050A"/>
    <w:rsid w:val="1EF850ED"/>
    <w:rsid w:val="1EFE21F5"/>
    <w:rsid w:val="1F0475F8"/>
    <w:rsid w:val="1F1621BB"/>
    <w:rsid w:val="1F5A70F3"/>
    <w:rsid w:val="1F7A2683"/>
    <w:rsid w:val="1F8053F6"/>
    <w:rsid w:val="1F8F7F15"/>
    <w:rsid w:val="1FCA00A8"/>
    <w:rsid w:val="1FE7539E"/>
    <w:rsid w:val="1FF44B98"/>
    <w:rsid w:val="1FFF0EE2"/>
    <w:rsid w:val="20186710"/>
    <w:rsid w:val="20671BE0"/>
    <w:rsid w:val="208C1703"/>
    <w:rsid w:val="20963CB8"/>
    <w:rsid w:val="20A81A1B"/>
    <w:rsid w:val="20B00200"/>
    <w:rsid w:val="20B07FB6"/>
    <w:rsid w:val="20B123A6"/>
    <w:rsid w:val="20B646FB"/>
    <w:rsid w:val="20E2635E"/>
    <w:rsid w:val="20E379FF"/>
    <w:rsid w:val="20F2394E"/>
    <w:rsid w:val="20FF7D05"/>
    <w:rsid w:val="213B74B1"/>
    <w:rsid w:val="215A2310"/>
    <w:rsid w:val="216D5005"/>
    <w:rsid w:val="217C5B4E"/>
    <w:rsid w:val="21DE318A"/>
    <w:rsid w:val="21EF5B80"/>
    <w:rsid w:val="220E73E8"/>
    <w:rsid w:val="223C00C4"/>
    <w:rsid w:val="22576990"/>
    <w:rsid w:val="227B20A1"/>
    <w:rsid w:val="22AB1BE5"/>
    <w:rsid w:val="22F47480"/>
    <w:rsid w:val="233F1C1A"/>
    <w:rsid w:val="23483CB7"/>
    <w:rsid w:val="2351194D"/>
    <w:rsid w:val="239C23E3"/>
    <w:rsid w:val="23B51EDC"/>
    <w:rsid w:val="23DE1C48"/>
    <w:rsid w:val="23F23DF5"/>
    <w:rsid w:val="240210CD"/>
    <w:rsid w:val="24511AEE"/>
    <w:rsid w:val="24BF09F7"/>
    <w:rsid w:val="24BF6521"/>
    <w:rsid w:val="24E54558"/>
    <w:rsid w:val="24FF4AE0"/>
    <w:rsid w:val="25066475"/>
    <w:rsid w:val="25105D55"/>
    <w:rsid w:val="252D53FE"/>
    <w:rsid w:val="2542570D"/>
    <w:rsid w:val="25493EFE"/>
    <w:rsid w:val="25984D52"/>
    <w:rsid w:val="25D00995"/>
    <w:rsid w:val="25EA1F96"/>
    <w:rsid w:val="25EC2D81"/>
    <w:rsid w:val="267B2B40"/>
    <w:rsid w:val="267D0C77"/>
    <w:rsid w:val="268362C1"/>
    <w:rsid w:val="26874EC7"/>
    <w:rsid w:val="268E07FA"/>
    <w:rsid w:val="268E14B5"/>
    <w:rsid w:val="26DE6C63"/>
    <w:rsid w:val="2703104B"/>
    <w:rsid w:val="27400A09"/>
    <w:rsid w:val="277057A2"/>
    <w:rsid w:val="27D679B0"/>
    <w:rsid w:val="27F9126B"/>
    <w:rsid w:val="285C5269"/>
    <w:rsid w:val="28741E95"/>
    <w:rsid w:val="28B437B4"/>
    <w:rsid w:val="29206EB8"/>
    <w:rsid w:val="294F42FA"/>
    <w:rsid w:val="29595666"/>
    <w:rsid w:val="29874881"/>
    <w:rsid w:val="29B67B62"/>
    <w:rsid w:val="29E325E0"/>
    <w:rsid w:val="2A3A75DF"/>
    <w:rsid w:val="2A452503"/>
    <w:rsid w:val="2A525969"/>
    <w:rsid w:val="2AD1459D"/>
    <w:rsid w:val="2B0914C9"/>
    <w:rsid w:val="2B4279E6"/>
    <w:rsid w:val="2B996587"/>
    <w:rsid w:val="2B9A33BD"/>
    <w:rsid w:val="2BA936A8"/>
    <w:rsid w:val="2C0A0D6F"/>
    <w:rsid w:val="2C3047F6"/>
    <w:rsid w:val="2C315A5A"/>
    <w:rsid w:val="2C4B1C25"/>
    <w:rsid w:val="2C706E7A"/>
    <w:rsid w:val="2C82039D"/>
    <w:rsid w:val="2D000E86"/>
    <w:rsid w:val="2D2176F3"/>
    <w:rsid w:val="2D827FC2"/>
    <w:rsid w:val="2D856DC3"/>
    <w:rsid w:val="2D9E56F5"/>
    <w:rsid w:val="2DBD3C73"/>
    <w:rsid w:val="2E5C0505"/>
    <w:rsid w:val="2E611000"/>
    <w:rsid w:val="2E667F96"/>
    <w:rsid w:val="2E695B40"/>
    <w:rsid w:val="2E8226AB"/>
    <w:rsid w:val="2EEC090E"/>
    <w:rsid w:val="2F583372"/>
    <w:rsid w:val="2F6A7056"/>
    <w:rsid w:val="2F7F49F6"/>
    <w:rsid w:val="2FD065E6"/>
    <w:rsid w:val="2FD96870"/>
    <w:rsid w:val="2FE5247B"/>
    <w:rsid w:val="30580BC9"/>
    <w:rsid w:val="306C4D14"/>
    <w:rsid w:val="30731F21"/>
    <w:rsid w:val="307543CA"/>
    <w:rsid w:val="30E33835"/>
    <w:rsid w:val="311E2ED7"/>
    <w:rsid w:val="315619EE"/>
    <w:rsid w:val="315C449C"/>
    <w:rsid w:val="316030A5"/>
    <w:rsid w:val="319A4D99"/>
    <w:rsid w:val="31B82709"/>
    <w:rsid w:val="31D05482"/>
    <w:rsid w:val="31F0139A"/>
    <w:rsid w:val="32400B34"/>
    <w:rsid w:val="325743C9"/>
    <w:rsid w:val="329E6876"/>
    <w:rsid w:val="32E93CE7"/>
    <w:rsid w:val="331578BE"/>
    <w:rsid w:val="332001D4"/>
    <w:rsid w:val="333015F2"/>
    <w:rsid w:val="334B6320"/>
    <w:rsid w:val="33622D4F"/>
    <w:rsid w:val="339B6DFC"/>
    <w:rsid w:val="33B94894"/>
    <w:rsid w:val="33D116C1"/>
    <w:rsid w:val="33D934D4"/>
    <w:rsid w:val="33D97783"/>
    <w:rsid w:val="33DA03EC"/>
    <w:rsid w:val="33F378DA"/>
    <w:rsid w:val="33FE2F6A"/>
    <w:rsid w:val="340E07E5"/>
    <w:rsid w:val="34235BF7"/>
    <w:rsid w:val="34304A0F"/>
    <w:rsid w:val="34484E0E"/>
    <w:rsid w:val="351B0BEA"/>
    <w:rsid w:val="35222BDB"/>
    <w:rsid w:val="354554D2"/>
    <w:rsid w:val="355353B4"/>
    <w:rsid w:val="3561507A"/>
    <w:rsid w:val="3583170B"/>
    <w:rsid w:val="358C5FA8"/>
    <w:rsid w:val="35A25035"/>
    <w:rsid w:val="35C15DF1"/>
    <w:rsid w:val="36074A7F"/>
    <w:rsid w:val="36112246"/>
    <w:rsid w:val="36313F72"/>
    <w:rsid w:val="36923549"/>
    <w:rsid w:val="36B75FBF"/>
    <w:rsid w:val="36BD0C45"/>
    <w:rsid w:val="36DB4D36"/>
    <w:rsid w:val="36E8384E"/>
    <w:rsid w:val="370E5E49"/>
    <w:rsid w:val="37357448"/>
    <w:rsid w:val="375D6401"/>
    <w:rsid w:val="3760326D"/>
    <w:rsid w:val="376473B3"/>
    <w:rsid w:val="37744C6A"/>
    <w:rsid w:val="37A56412"/>
    <w:rsid w:val="37E00298"/>
    <w:rsid w:val="37E955D6"/>
    <w:rsid w:val="37F43ABF"/>
    <w:rsid w:val="3851226E"/>
    <w:rsid w:val="386E03CA"/>
    <w:rsid w:val="38755245"/>
    <w:rsid w:val="38B302F9"/>
    <w:rsid w:val="38B467AE"/>
    <w:rsid w:val="38C3585F"/>
    <w:rsid w:val="38CC7D39"/>
    <w:rsid w:val="38D93B58"/>
    <w:rsid w:val="38DF6732"/>
    <w:rsid w:val="38F12CD3"/>
    <w:rsid w:val="38F94775"/>
    <w:rsid w:val="38FA0E66"/>
    <w:rsid w:val="392971ED"/>
    <w:rsid w:val="39325651"/>
    <w:rsid w:val="399D667E"/>
    <w:rsid w:val="3A872856"/>
    <w:rsid w:val="3AEC062C"/>
    <w:rsid w:val="3AEC18F9"/>
    <w:rsid w:val="3B3763D1"/>
    <w:rsid w:val="3B437B2D"/>
    <w:rsid w:val="3BD33BB4"/>
    <w:rsid w:val="3C0D4C52"/>
    <w:rsid w:val="3C18608E"/>
    <w:rsid w:val="3C2F6E1E"/>
    <w:rsid w:val="3C4F64BA"/>
    <w:rsid w:val="3C5922FA"/>
    <w:rsid w:val="3CDA245A"/>
    <w:rsid w:val="3D112507"/>
    <w:rsid w:val="3D1E06B7"/>
    <w:rsid w:val="3D3D61AA"/>
    <w:rsid w:val="3DDA503F"/>
    <w:rsid w:val="3DF416EE"/>
    <w:rsid w:val="3E5B2070"/>
    <w:rsid w:val="3EAA7EE7"/>
    <w:rsid w:val="3ED329C7"/>
    <w:rsid w:val="3EDA0523"/>
    <w:rsid w:val="3EEE2B7F"/>
    <w:rsid w:val="3F0D5C07"/>
    <w:rsid w:val="3FBB63A4"/>
    <w:rsid w:val="3FBE7543"/>
    <w:rsid w:val="3FCC4A88"/>
    <w:rsid w:val="402026B9"/>
    <w:rsid w:val="4038621E"/>
    <w:rsid w:val="403A57EB"/>
    <w:rsid w:val="407A6407"/>
    <w:rsid w:val="408C7BF7"/>
    <w:rsid w:val="40A1516E"/>
    <w:rsid w:val="412244E2"/>
    <w:rsid w:val="41335976"/>
    <w:rsid w:val="4149262C"/>
    <w:rsid w:val="415029D0"/>
    <w:rsid w:val="4170594A"/>
    <w:rsid w:val="41C8397F"/>
    <w:rsid w:val="4200449D"/>
    <w:rsid w:val="42090652"/>
    <w:rsid w:val="421B26A2"/>
    <w:rsid w:val="423A3BCC"/>
    <w:rsid w:val="424E57D2"/>
    <w:rsid w:val="42654729"/>
    <w:rsid w:val="42785584"/>
    <w:rsid w:val="42B26C49"/>
    <w:rsid w:val="433A6FE6"/>
    <w:rsid w:val="43480868"/>
    <w:rsid w:val="4350713C"/>
    <w:rsid w:val="436653E0"/>
    <w:rsid w:val="436D6C37"/>
    <w:rsid w:val="43B35FE0"/>
    <w:rsid w:val="43C4431A"/>
    <w:rsid w:val="43E1358B"/>
    <w:rsid w:val="43E25099"/>
    <w:rsid w:val="44A53E79"/>
    <w:rsid w:val="44B91631"/>
    <w:rsid w:val="44B951CC"/>
    <w:rsid w:val="44CD14E0"/>
    <w:rsid w:val="44D53D34"/>
    <w:rsid w:val="44D84586"/>
    <w:rsid w:val="44E867D2"/>
    <w:rsid w:val="44F12F3F"/>
    <w:rsid w:val="44F20B0B"/>
    <w:rsid w:val="452E5F4C"/>
    <w:rsid w:val="45612018"/>
    <w:rsid w:val="456B5FD1"/>
    <w:rsid w:val="458946E9"/>
    <w:rsid w:val="45910144"/>
    <w:rsid w:val="45A04DFE"/>
    <w:rsid w:val="45A47C0E"/>
    <w:rsid w:val="45A93DF8"/>
    <w:rsid w:val="45AA607E"/>
    <w:rsid w:val="45B40718"/>
    <w:rsid w:val="46177C0D"/>
    <w:rsid w:val="46281680"/>
    <w:rsid w:val="46577FD6"/>
    <w:rsid w:val="467232DF"/>
    <w:rsid w:val="46762355"/>
    <w:rsid w:val="469666F7"/>
    <w:rsid w:val="46D955A7"/>
    <w:rsid w:val="46EC0C90"/>
    <w:rsid w:val="47094169"/>
    <w:rsid w:val="47133957"/>
    <w:rsid w:val="4739777C"/>
    <w:rsid w:val="474064F0"/>
    <w:rsid w:val="47710AB4"/>
    <w:rsid w:val="479F51C5"/>
    <w:rsid w:val="47A07E0C"/>
    <w:rsid w:val="47C020D1"/>
    <w:rsid w:val="47D50DE7"/>
    <w:rsid w:val="47E11EB1"/>
    <w:rsid w:val="47EE4D61"/>
    <w:rsid w:val="480B4117"/>
    <w:rsid w:val="480D7697"/>
    <w:rsid w:val="482856C2"/>
    <w:rsid w:val="483E7E42"/>
    <w:rsid w:val="4870272E"/>
    <w:rsid w:val="48961E0C"/>
    <w:rsid w:val="48DC0C3E"/>
    <w:rsid w:val="4974534F"/>
    <w:rsid w:val="499E328F"/>
    <w:rsid w:val="49C4424D"/>
    <w:rsid w:val="49D96075"/>
    <w:rsid w:val="49DC7715"/>
    <w:rsid w:val="49FB3B21"/>
    <w:rsid w:val="4A023139"/>
    <w:rsid w:val="4A1F51F9"/>
    <w:rsid w:val="4A293902"/>
    <w:rsid w:val="4A7B576F"/>
    <w:rsid w:val="4A8E1834"/>
    <w:rsid w:val="4ABB7B93"/>
    <w:rsid w:val="4AC9759F"/>
    <w:rsid w:val="4AF561A9"/>
    <w:rsid w:val="4B0610EB"/>
    <w:rsid w:val="4B2257F9"/>
    <w:rsid w:val="4B8901B2"/>
    <w:rsid w:val="4C1C1C38"/>
    <w:rsid w:val="4C4A0649"/>
    <w:rsid w:val="4C712918"/>
    <w:rsid w:val="4C7E5ECA"/>
    <w:rsid w:val="4C876AA5"/>
    <w:rsid w:val="4CFD207A"/>
    <w:rsid w:val="4D0E00FB"/>
    <w:rsid w:val="4D176606"/>
    <w:rsid w:val="4DDB1900"/>
    <w:rsid w:val="4DE118D7"/>
    <w:rsid w:val="4DEC4FB0"/>
    <w:rsid w:val="4DF12C6A"/>
    <w:rsid w:val="4DF728DE"/>
    <w:rsid w:val="4E075D8A"/>
    <w:rsid w:val="4E3100DB"/>
    <w:rsid w:val="4E802496"/>
    <w:rsid w:val="4EC00FAD"/>
    <w:rsid w:val="4EC25C4C"/>
    <w:rsid w:val="4F1162B1"/>
    <w:rsid w:val="4F6A5237"/>
    <w:rsid w:val="4F897F8C"/>
    <w:rsid w:val="4F9843DC"/>
    <w:rsid w:val="4FC62A8C"/>
    <w:rsid w:val="4FE20F0D"/>
    <w:rsid w:val="4FE51552"/>
    <w:rsid w:val="4FE9227C"/>
    <w:rsid w:val="4FFF225E"/>
    <w:rsid w:val="50146059"/>
    <w:rsid w:val="501F076B"/>
    <w:rsid w:val="50234D73"/>
    <w:rsid w:val="503919C8"/>
    <w:rsid w:val="50504C4B"/>
    <w:rsid w:val="50691F89"/>
    <w:rsid w:val="50965D34"/>
    <w:rsid w:val="509852A1"/>
    <w:rsid w:val="509C6E7C"/>
    <w:rsid w:val="50EB6588"/>
    <w:rsid w:val="511A51CF"/>
    <w:rsid w:val="514214F3"/>
    <w:rsid w:val="51426622"/>
    <w:rsid w:val="5162104E"/>
    <w:rsid w:val="519C2A38"/>
    <w:rsid w:val="525A4C7E"/>
    <w:rsid w:val="527C2B79"/>
    <w:rsid w:val="53376A95"/>
    <w:rsid w:val="53A039CC"/>
    <w:rsid w:val="53A1505A"/>
    <w:rsid w:val="53A771E4"/>
    <w:rsid w:val="53B365F1"/>
    <w:rsid w:val="53E8391D"/>
    <w:rsid w:val="53F8259A"/>
    <w:rsid w:val="54063E08"/>
    <w:rsid w:val="54150459"/>
    <w:rsid w:val="54276559"/>
    <w:rsid w:val="543437E8"/>
    <w:rsid w:val="5449598D"/>
    <w:rsid w:val="545C53CD"/>
    <w:rsid w:val="54923F7B"/>
    <w:rsid w:val="549B53E1"/>
    <w:rsid w:val="54C42E34"/>
    <w:rsid w:val="54ED50CA"/>
    <w:rsid w:val="54F73313"/>
    <w:rsid w:val="54F80955"/>
    <w:rsid w:val="551B3BA4"/>
    <w:rsid w:val="55443AAA"/>
    <w:rsid w:val="555170A7"/>
    <w:rsid w:val="555A729D"/>
    <w:rsid w:val="555E6135"/>
    <w:rsid w:val="556040C2"/>
    <w:rsid w:val="5587536D"/>
    <w:rsid w:val="559B174B"/>
    <w:rsid w:val="55B82C86"/>
    <w:rsid w:val="55CE0CF4"/>
    <w:rsid w:val="55D42AEF"/>
    <w:rsid w:val="56B22A9C"/>
    <w:rsid w:val="56EB2919"/>
    <w:rsid w:val="57071DCE"/>
    <w:rsid w:val="575D71A5"/>
    <w:rsid w:val="57711651"/>
    <w:rsid w:val="578D7073"/>
    <w:rsid w:val="57A35858"/>
    <w:rsid w:val="57B72A76"/>
    <w:rsid w:val="57C3426C"/>
    <w:rsid w:val="57CE1F93"/>
    <w:rsid w:val="57F22AEF"/>
    <w:rsid w:val="5800185F"/>
    <w:rsid w:val="5842556B"/>
    <w:rsid w:val="5858054C"/>
    <w:rsid w:val="586B6CE9"/>
    <w:rsid w:val="588743D1"/>
    <w:rsid w:val="5887701A"/>
    <w:rsid w:val="588D6FE8"/>
    <w:rsid w:val="58A35E63"/>
    <w:rsid w:val="58F8115D"/>
    <w:rsid w:val="593322A7"/>
    <w:rsid w:val="59A7104B"/>
    <w:rsid w:val="59C0439F"/>
    <w:rsid w:val="59C7413C"/>
    <w:rsid w:val="59F74815"/>
    <w:rsid w:val="5A13112F"/>
    <w:rsid w:val="5A516BE1"/>
    <w:rsid w:val="5AA07A4F"/>
    <w:rsid w:val="5ABE2233"/>
    <w:rsid w:val="5AD923F2"/>
    <w:rsid w:val="5AE76118"/>
    <w:rsid w:val="5B3C3CDF"/>
    <w:rsid w:val="5B653C0C"/>
    <w:rsid w:val="5B927870"/>
    <w:rsid w:val="5BDF5D95"/>
    <w:rsid w:val="5BF81289"/>
    <w:rsid w:val="5BFE7528"/>
    <w:rsid w:val="5C005533"/>
    <w:rsid w:val="5C433822"/>
    <w:rsid w:val="5CA8241B"/>
    <w:rsid w:val="5DA30B87"/>
    <w:rsid w:val="5DBB01D1"/>
    <w:rsid w:val="5DCA27C3"/>
    <w:rsid w:val="5E111CB0"/>
    <w:rsid w:val="5E2467F1"/>
    <w:rsid w:val="5E466C45"/>
    <w:rsid w:val="5E6D23AA"/>
    <w:rsid w:val="5E8B185E"/>
    <w:rsid w:val="5E9E15C4"/>
    <w:rsid w:val="5EE84C5C"/>
    <w:rsid w:val="5F0210A2"/>
    <w:rsid w:val="5F1A2B43"/>
    <w:rsid w:val="5F5539F0"/>
    <w:rsid w:val="5F7C5849"/>
    <w:rsid w:val="5FB837BB"/>
    <w:rsid w:val="5FB929FB"/>
    <w:rsid w:val="60544F50"/>
    <w:rsid w:val="60602BB7"/>
    <w:rsid w:val="60A10779"/>
    <w:rsid w:val="60A7620C"/>
    <w:rsid w:val="60C43183"/>
    <w:rsid w:val="60CC405A"/>
    <w:rsid w:val="612D13A4"/>
    <w:rsid w:val="61320666"/>
    <w:rsid w:val="61954B1F"/>
    <w:rsid w:val="61A702C3"/>
    <w:rsid w:val="61B76A65"/>
    <w:rsid w:val="61E11758"/>
    <w:rsid w:val="61E215D8"/>
    <w:rsid w:val="61F82909"/>
    <w:rsid w:val="61FC697A"/>
    <w:rsid w:val="621B3775"/>
    <w:rsid w:val="62284A84"/>
    <w:rsid w:val="623338B6"/>
    <w:rsid w:val="62364782"/>
    <w:rsid w:val="623D2CE7"/>
    <w:rsid w:val="62606C84"/>
    <w:rsid w:val="62AB2F7A"/>
    <w:rsid w:val="62C55364"/>
    <w:rsid w:val="63521160"/>
    <w:rsid w:val="6394356A"/>
    <w:rsid w:val="639D6491"/>
    <w:rsid w:val="63C17E4E"/>
    <w:rsid w:val="63C61B2C"/>
    <w:rsid w:val="63D40BE9"/>
    <w:rsid w:val="63DB0016"/>
    <w:rsid w:val="63E045B2"/>
    <w:rsid w:val="64102431"/>
    <w:rsid w:val="64197872"/>
    <w:rsid w:val="648853F0"/>
    <w:rsid w:val="64A5243A"/>
    <w:rsid w:val="64DB186B"/>
    <w:rsid w:val="64EB3877"/>
    <w:rsid w:val="64F531DE"/>
    <w:rsid w:val="65254347"/>
    <w:rsid w:val="65373578"/>
    <w:rsid w:val="653D3A23"/>
    <w:rsid w:val="65493B02"/>
    <w:rsid w:val="65910CEE"/>
    <w:rsid w:val="65A0047F"/>
    <w:rsid w:val="65AE1218"/>
    <w:rsid w:val="65D765B6"/>
    <w:rsid w:val="66565093"/>
    <w:rsid w:val="667529F9"/>
    <w:rsid w:val="668A6137"/>
    <w:rsid w:val="66E37820"/>
    <w:rsid w:val="66F22CAA"/>
    <w:rsid w:val="671F124A"/>
    <w:rsid w:val="675B1F57"/>
    <w:rsid w:val="677A33C6"/>
    <w:rsid w:val="67831912"/>
    <w:rsid w:val="681F6961"/>
    <w:rsid w:val="68610A2F"/>
    <w:rsid w:val="68805514"/>
    <w:rsid w:val="68AB764B"/>
    <w:rsid w:val="68D35B6D"/>
    <w:rsid w:val="68D81573"/>
    <w:rsid w:val="690B6B3F"/>
    <w:rsid w:val="69316E2F"/>
    <w:rsid w:val="694E2071"/>
    <w:rsid w:val="69766163"/>
    <w:rsid w:val="697A3B33"/>
    <w:rsid w:val="69B365FE"/>
    <w:rsid w:val="69C21805"/>
    <w:rsid w:val="69D44760"/>
    <w:rsid w:val="69D50776"/>
    <w:rsid w:val="69E91EAC"/>
    <w:rsid w:val="6A520EC7"/>
    <w:rsid w:val="6A530A9C"/>
    <w:rsid w:val="6A954CB5"/>
    <w:rsid w:val="6AEC429E"/>
    <w:rsid w:val="6AF7260E"/>
    <w:rsid w:val="6AF87E20"/>
    <w:rsid w:val="6B322639"/>
    <w:rsid w:val="6BD54C76"/>
    <w:rsid w:val="6C077ECC"/>
    <w:rsid w:val="6C595D1A"/>
    <w:rsid w:val="6C636C38"/>
    <w:rsid w:val="6CBB56E0"/>
    <w:rsid w:val="6D0E4765"/>
    <w:rsid w:val="6D465EE3"/>
    <w:rsid w:val="6D4F65A0"/>
    <w:rsid w:val="6D620188"/>
    <w:rsid w:val="6D7E5723"/>
    <w:rsid w:val="6D82208E"/>
    <w:rsid w:val="6DB0568D"/>
    <w:rsid w:val="6DB34098"/>
    <w:rsid w:val="6DB36AFE"/>
    <w:rsid w:val="6DB545B6"/>
    <w:rsid w:val="6DC43A08"/>
    <w:rsid w:val="6DDA34E4"/>
    <w:rsid w:val="6DE02FB4"/>
    <w:rsid w:val="6E514CED"/>
    <w:rsid w:val="6E52235F"/>
    <w:rsid w:val="6E7D6E22"/>
    <w:rsid w:val="6E952C30"/>
    <w:rsid w:val="6EB563D5"/>
    <w:rsid w:val="6ED92677"/>
    <w:rsid w:val="6EFE1F56"/>
    <w:rsid w:val="6F225983"/>
    <w:rsid w:val="6F60051B"/>
    <w:rsid w:val="6F843582"/>
    <w:rsid w:val="6FD25111"/>
    <w:rsid w:val="6FE44231"/>
    <w:rsid w:val="6FFC5590"/>
    <w:rsid w:val="70094432"/>
    <w:rsid w:val="700D07D1"/>
    <w:rsid w:val="70457711"/>
    <w:rsid w:val="70494F0E"/>
    <w:rsid w:val="70583B19"/>
    <w:rsid w:val="706D1DD0"/>
    <w:rsid w:val="707B7789"/>
    <w:rsid w:val="70856B87"/>
    <w:rsid w:val="70D527EE"/>
    <w:rsid w:val="70FD3883"/>
    <w:rsid w:val="71314F55"/>
    <w:rsid w:val="715B5300"/>
    <w:rsid w:val="71601E17"/>
    <w:rsid w:val="71687E19"/>
    <w:rsid w:val="717A440A"/>
    <w:rsid w:val="71A14547"/>
    <w:rsid w:val="71D27F8A"/>
    <w:rsid w:val="720349D2"/>
    <w:rsid w:val="72247A19"/>
    <w:rsid w:val="72373313"/>
    <w:rsid w:val="724A1BCB"/>
    <w:rsid w:val="72553024"/>
    <w:rsid w:val="729240D2"/>
    <w:rsid w:val="72A974F0"/>
    <w:rsid w:val="72E90C14"/>
    <w:rsid w:val="73017DDA"/>
    <w:rsid w:val="73051A78"/>
    <w:rsid w:val="73122968"/>
    <w:rsid w:val="731F5D5E"/>
    <w:rsid w:val="734C3B00"/>
    <w:rsid w:val="734F680B"/>
    <w:rsid w:val="737F4299"/>
    <w:rsid w:val="73AC7072"/>
    <w:rsid w:val="73C51AD5"/>
    <w:rsid w:val="741C4DD8"/>
    <w:rsid w:val="741E793C"/>
    <w:rsid w:val="744E5382"/>
    <w:rsid w:val="745E3944"/>
    <w:rsid w:val="74E7787D"/>
    <w:rsid w:val="74FF72D9"/>
    <w:rsid w:val="75415232"/>
    <w:rsid w:val="754B411D"/>
    <w:rsid w:val="75857A30"/>
    <w:rsid w:val="759F1313"/>
    <w:rsid w:val="75D43A11"/>
    <w:rsid w:val="75FB5C72"/>
    <w:rsid w:val="7635099D"/>
    <w:rsid w:val="76537204"/>
    <w:rsid w:val="76AF6E1A"/>
    <w:rsid w:val="76B351EB"/>
    <w:rsid w:val="76C6543A"/>
    <w:rsid w:val="76EB4DFD"/>
    <w:rsid w:val="771B11CB"/>
    <w:rsid w:val="773A5201"/>
    <w:rsid w:val="77762421"/>
    <w:rsid w:val="77B56B1F"/>
    <w:rsid w:val="77B74331"/>
    <w:rsid w:val="780F09F4"/>
    <w:rsid w:val="781B1D11"/>
    <w:rsid w:val="78553E5A"/>
    <w:rsid w:val="78621B61"/>
    <w:rsid w:val="78A90480"/>
    <w:rsid w:val="78B10D68"/>
    <w:rsid w:val="79201507"/>
    <w:rsid w:val="797329FE"/>
    <w:rsid w:val="79823784"/>
    <w:rsid w:val="79C344C3"/>
    <w:rsid w:val="79CF67E2"/>
    <w:rsid w:val="79ED6E4F"/>
    <w:rsid w:val="7A04250F"/>
    <w:rsid w:val="7A364017"/>
    <w:rsid w:val="7A570AB8"/>
    <w:rsid w:val="7A8265E1"/>
    <w:rsid w:val="7A981C2D"/>
    <w:rsid w:val="7B004CC1"/>
    <w:rsid w:val="7B304A6A"/>
    <w:rsid w:val="7B58352F"/>
    <w:rsid w:val="7B686D42"/>
    <w:rsid w:val="7B841746"/>
    <w:rsid w:val="7BE623C2"/>
    <w:rsid w:val="7BF84B96"/>
    <w:rsid w:val="7C072576"/>
    <w:rsid w:val="7C1B48AC"/>
    <w:rsid w:val="7C4272E6"/>
    <w:rsid w:val="7C430363"/>
    <w:rsid w:val="7C6C5AC7"/>
    <w:rsid w:val="7CC6544B"/>
    <w:rsid w:val="7CFD7FF4"/>
    <w:rsid w:val="7D0239FF"/>
    <w:rsid w:val="7D175396"/>
    <w:rsid w:val="7D5E40CD"/>
    <w:rsid w:val="7D817EAF"/>
    <w:rsid w:val="7DB91F8C"/>
    <w:rsid w:val="7DCD56F2"/>
    <w:rsid w:val="7E550154"/>
    <w:rsid w:val="7ECF2786"/>
    <w:rsid w:val="7ED3201B"/>
    <w:rsid w:val="7EE80B30"/>
    <w:rsid w:val="7EFB2D4B"/>
    <w:rsid w:val="7EFF1EEE"/>
    <w:rsid w:val="7F001CE7"/>
    <w:rsid w:val="7F2122CC"/>
    <w:rsid w:val="7F6D7FB0"/>
    <w:rsid w:val="7FE47E50"/>
    <w:rsid w:val="7FF8479F"/>
    <w:rsid w:val="7FFB186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35" w:semiHidden="0" w:name="caption"/>
    <w:lsdException w:qFormat="1"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qFormat/>
    <w:uiPriority w:val="0"/>
    <w:pPr>
      <w:keepNext/>
      <w:keepLines/>
      <w:widowControl w:val="0"/>
      <w:spacing w:after="0" w:line="312" w:lineRule="auto"/>
      <w:ind w:left="0" w:right="0" w:firstLine="720" w:firstLineChars="200"/>
      <w:jc w:val="both"/>
      <w:outlineLvl w:val="2"/>
    </w:pPr>
    <w:rPr>
      <w:rFonts w:ascii="Times New Roman" w:hAnsi="Times New Roman" w:eastAsia="宋体" w:cs="Times New Roman"/>
      <w:b/>
      <w:bCs/>
      <w:kern w:val="2"/>
      <w:sz w:val="24"/>
      <w:szCs w:val="24"/>
      <w:lang w:val="en-US" w:eastAsia="zh-CN" w:bidi="ar-SA"/>
    </w:rPr>
  </w:style>
  <w:style w:type="paragraph" w:styleId="6">
    <w:name w:val="heading 4"/>
    <w:basedOn w:val="1"/>
    <w:next w:val="1"/>
    <w:qFormat/>
    <w:uiPriority w:val="0"/>
    <w:pPr>
      <w:keepNext/>
      <w:keepLines/>
      <w:spacing w:before="280" w:after="290" w:line="376" w:lineRule="auto"/>
      <w:outlineLvl w:val="3"/>
    </w:pPr>
    <w:rPr>
      <w:rFonts w:ascii="Arial" w:hAnsi="Arial" w:eastAsia="黑体"/>
      <w:b/>
      <w:bCs/>
      <w:kern w:val="0"/>
      <w:sz w:val="28"/>
      <w:szCs w:val="28"/>
    </w:rPr>
  </w:style>
  <w:style w:type="character" w:default="1" w:styleId="34">
    <w:name w:val="Default Paragraph Font"/>
    <w:semiHidden/>
    <w:qFormat/>
    <w:uiPriority w:val="0"/>
  </w:style>
  <w:style w:type="table" w:default="1" w:styleId="32">
    <w:name w:val="Normal Table"/>
    <w:semiHidden/>
    <w:qFormat/>
    <w:uiPriority w:val="0"/>
    <w:tblPr>
      <w:tblCellMar>
        <w:top w:w="0" w:type="dxa"/>
        <w:left w:w="108" w:type="dxa"/>
        <w:bottom w:w="0" w:type="dxa"/>
        <w:right w:w="108" w:type="dxa"/>
      </w:tblCellMar>
    </w:tblPr>
  </w:style>
  <w:style w:type="paragraph" w:customStyle="1" w:styleId="2">
    <w:name w:val="_Style 4"/>
    <w:next w:val="1"/>
    <w:qFormat/>
    <w:uiPriority w:val="1"/>
    <w:pPr>
      <w:widowControl w:val="0"/>
      <w:jc w:val="both"/>
    </w:pPr>
    <w:rPr>
      <w:rFonts w:ascii="Times New Roman" w:hAnsi="Times New Roman" w:eastAsia="仿宋_GB2312" w:cs="Times New Roman"/>
      <w:kern w:val="2"/>
      <w:sz w:val="24"/>
      <w:szCs w:val="22"/>
      <w:lang w:val="en-US" w:eastAsia="zh-CN" w:bidi="ar-SA"/>
    </w:rPr>
  </w:style>
  <w:style w:type="paragraph" w:styleId="7">
    <w:name w:val="Normal Indent"/>
    <w:basedOn w:val="1"/>
    <w:next w:val="8"/>
    <w:qFormat/>
    <w:uiPriority w:val="0"/>
    <w:pPr>
      <w:spacing w:before="120" w:after="120" w:line="440" w:lineRule="exact"/>
      <w:ind w:firstLine="567"/>
    </w:pPr>
    <w:rPr>
      <w:sz w:val="28"/>
    </w:rPr>
  </w:style>
  <w:style w:type="paragraph" w:customStyle="1" w:styleId="8">
    <w:name w:val="样式 正文文本 + 首行缩进:  2 字符"/>
    <w:basedOn w:val="9"/>
    <w:qFormat/>
    <w:uiPriority w:val="99"/>
    <w:pPr>
      <w:spacing w:after="200" w:line="480" w:lineRule="exact"/>
      <w:ind w:firstLine="480" w:firstLineChars="200"/>
    </w:pPr>
    <w:rPr>
      <w:rFonts w:ascii="宋体" w:hAnsi="宋体"/>
      <w:sz w:val="24"/>
    </w:rPr>
  </w:style>
  <w:style w:type="paragraph" w:styleId="9">
    <w:name w:val="Body Text"/>
    <w:basedOn w:val="1"/>
    <w:next w:val="1"/>
    <w:link w:val="41"/>
    <w:qFormat/>
    <w:uiPriority w:val="0"/>
    <w:pPr>
      <w:widowControl/>
      <w:snapToGrid w:val="0"/>
      <w:spacing w:before="60" w:after="160" w:line="259" w:lineRule="auto"/>
      <w:ind w:right="113"/>
    </w:pPr>
    <w:rPr>
      <w:kern w:val="0"/>
      <w:sz w:val="18"/>
      <w:szCs w:val="20"/>
    </w:rPr>
  </w:style>
  <w:style w:type="paragraph" w:styleId="10">
    <w:name w:val="caption"/>
    <w:basedOn w:val="1"/>
    <w:next w:val="1"/>
    <w:qFormat/>
    <w:uiPriority w:val="35"/>
    <w:pPr>
      <w:snapToGrid w:val="0"/>
      <w:spacing w:before="160" w:after="160" w:line="288" w:lineRule="auto"/>
      <w:ind w:firstLine="510" w:firstLineChars="200"/>
    </w:pPr>
    <w:rPr>
      <w:rFonts w:ascii="Arial" w:hAnsi="Arial" w:eastAsia="黑体"/>
      <w:color w:val="000000"/>
      <w:sz w:val="24"/>
      <w:szCs w:val="20"/>
    </w:rPr>
  </w:style>
  <w:style w:type="paragraph" w:styleId="11">
    <w:name w:val="toa heading"/>
    <w:basedOn w:val="1"/>
    <w:next w:val="1"/>
    <w:qFormat/>
    <w:uiPriority w:val="0"/>
    <w:pPr>
      <w:spacing w:before="120" w:after="120" w:line="360" w:lineRule="auto"/>
      <w:ind w:firstLine="200" w:firstLineChars="200"/>
      <w:jc w:val="left"/>
    </w:pPr>
    <w:rPr>
      <w:sz w:val="24"/>
      <w:u w:val="single"/>
    </w:rPr>
  </w:style>
  <w:style w:type="paragraph" w:styleId="12">
    <w:name w:val="annotation text"/>
    <w:basedOn w:val="1"/>
    <w:link w:val="40"/>
    <w:semiHidden/>
    <w:qFormat/>
    <w:uiPriority w:val="0"/>
    <w:pPr>
      <w:jc w:val="left"/>
    </w:pPr>
    <w:rPr>
      <w:kern w:val="0"/>
      <w:sz w:val="24"/>
      <w:szCs w:val="20"/>
    </w:rPr>
  </w:style>
  <w:style w:type="paragraph" w:styleId="13">
    <w:name w:val="Body Text Indent"/>
    <w:basedOn w:val="1"/>
    <w:next w:val="14"/>
    <w:link w:val="42"/>
    <w:qFormat/>
    <w:uiPriority w:val="0"/>
    <w:pPr>
      <w:spacing w:after="120"/>
      <w:ind w:left="420" w:leftChars="200"/>
    </w:pPr>
    <w:rPr>
      <w:kern w:val="0"/>
      <w:sz w:val="24"/>
      <w:szCs w:val="20"/>
    </w:rPr>
  </w:style>
  <w:style w:type="paragraph" w:styleId="14">
    <w:name w:val="Body Text Indent 2"/>
    <w:basedOn w:val="1"/>
    <w:next w:val="11"/>
    <w:qFormat/>
    <w:uiPriority w:val="0"/>
    <w:pPr>
      <w:adjustRightInd w:val="0"/>
      <w:ind w:firstLine="567"/>
      <w:textAlignment w:val="baseline"/>
    </w:pPr>
    <w:rPr>
      <w:rFonts w:ascii="宋体" w:hAnsi="宋体"/>
      <w:kern w:val="0"/>
      <w:sz w:val="28"/>
      <w:szCs w:val="28"/>
    </w:rPr>
  </w:style>
  <w:style w:type="paragraph" w:styleId="15">
    <w:name w:val="Block Text"/>
    <w:basedOn w:val="1"/>
    <w:next w:val="1"/>
    <w:qFormat/>
    <w:uiPriority w:val="0"/>
    <w:pPr>
      <w:wordWrap/>
      <w:snapToGrid w:val="0"/>
      <w:spacing w:line="0" w:lineRule="atLeast"/>
      <w:ind w:left="-57" w:right="-57"/>
      <w:jc w:val="center"/>
    </w:pPr>
    <w:rPr>
      <w:spacing w:val="-12"/>
      <w:w w:val="90"/>
      <w:sz w:val="21"/>
    </w:rPr>
  </w:style>
  <w:style w:type="paragraph" w:styleId="16">
    <w:name w:val="Plain Text"/>
    <w:basedOn w:val="1"/>
    <w:next w:val="17"/>
    <w:qFormat/>
    <w:uiPriority w:val="0"/>
    <w:pPr>
      <w:spacing w:line="480" w:lineRule="exact"/>
    </w:pPr>
    <w:rPr>
      <w:rFonts w:ascii="宋体" w:hAnsi="Courier New"/>
      <w:sz w:val="28"/>
      <w:szCs w:val="21"/>
    </w:rPr>
  </w:style>
  <w:style w:type="paragraph" w:customStyle="1" w:styleId="17">
    <w:name w:val="表内文字"/>
    <w:basedOn w:val="1"/>
    <w:qFormat/>
    <w:uiPriority w:val="0"/>
    <w:pPr>
      <w:suppressAutoHyphens/>
      <w:wordWrap w:val="0"/>
      <w:spacing w:line="360" w:lineRule="atLeast"/>
      <w:ind w:firstLine="960" w:firstLineChars="200"/>
      <w:jc w:val="center"/>
    </w:pPr>
    <w:rPr>
      <w:rFonts w:ascii="Times New Roman" w:hAnsi="Times New Roman" w:eastAsia="宋体"/>
      <w:kern w:val="0"/>
      <w:sz w:val="24"/>
      <w:szCs w:val="24"/>
    </w:rPr>
  </w:style>
  <w:style w:type="paragraph" w:styleId="18">
    <w:name w:val="Date"/>
    <w:basedOn w:val="1"/>
    <w:next w:val="1"/>
    <w:link w:val="44"/>
    <w:qFormat/>
    <w:uiPriority w:val="0"/>
    <w:pPr>
      <w:ind w:left="100" w:leftChars="2500"/>
    </w:pPr>
    <w:rPr>
      <w:kern w:val="0"/>
      <w:sz w:val="24"/>
      <w:szCs w:val="20"/>
    </w:rPr>
  </w:style>
  <w:style w:type="paragraph" w:styleId="19">
    <w:name w:val="Balloon Text"/>
    <w:basedOn w:val="1"/>
    <w:link w:val="45"/>
    <w:semiHidden/>
    <w:qFormat/>
    <w:uiPriority w:val="0"/>
    <w:rPr>
      <w:kern w:val="0"/>
      <w:sz w:val="18"/>
      <w:szCs w:val="20"/>
    </w:rPr>
  </w:style>
  <w:style w:type="paragraph" w:styleId="20">
    <w:name w:val="footer"/>
    <w:basedOn w:val="1"/>
    <w:next w:val="1"/>
    <w:link w:val="46"/>
    <w:qFormat/>
    <w:uiPriority w:val="99"/>
    <w:pPr>
      <w:tabs>
        <w:tab w:val="center" w:pos="4153"/>
        <w:tab w:val="right" w:pos="8306"/>
      </w:tabs>
      <w:snapToGrid w:val="0"/>
      <w:jc w:val="left"/>
    </w:pPr>
    <w:rPr>
      <w:kern w:val="0"/>
      <w:sz w:val="18"/>
      <w:szCs w:val="20"/>
    </w:rPr>
  </w:style>
  <w:style w:type="paragraph" w:styleId="21">
    <w:name w:val="header"/>
    <w:basedOn w:val="1"/>
    <w:next w:val="22"/>
    <w:link w:val="43"/>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22">
    <w:name w:val="样式5"/>
    <w:basedOn w:val="23"/>
    <w:qFormat/>
    <w:uiPriority w:val="0"/>
    <w:pPr>
      <w:spacing w:line="580" w:lineRule="exact"/>
      <w:ind w:firstLine="720" w:firstLineChars="300"/>
    </w:pPr>
    <w:rPr>
      <w:rFonts w:ascii="黑体" w:eastAsia="黑体"/>
      <w:kern w:val="2"/>
    </w:rPr>
  </w:style>
  <w:style w:type="paragraph" w:customStyle="1" w:styleId="23">
    <w:name w:val="正文1"/>
    <w:next w:val="1"/>
    <w:qFormat/>
    <w:uiPriority w:val="0"/>
    <w:pPr>
      <w:widowControl w:val="0"/>
      <w:suppressAutoHyphens/>
      <w:spacing w:line="520" w:lineRule="atLeast"/>
      <w:ind w:firstLine="680"/>
      <w:jc w:val="both"/>
    </w:pPr>
    <w:rPr>
      <w:rFonts w:ascii="Times New Roman" w:hAnsi="Times New Roman" w:eastAsia="方正楷体简体" w:cs="Times New Roman"/>
      <w:spacing w:val="18"/>
      <w:sz w:val="32"/>
      <w:lang w:val="en-US" w:eastAsia="zh-CN" w:bidi="ar-SA"/>
    </w:rPr>
  </w:style>
  <w:style w:type="paragraph" w:styleId="24">
    <w:name w:val="toc 1"/>
    <w:basedOn w:val="1"/>
    <w:next w:val="1"/>
    <w:qFormat/>
    <w:uiPriority w:val="0"/>
  </w:style>
  <w:style w:type="paragraph" w:styleId="25">
    <w:name w:val="index 9"/>
    <w:basedOn w:val="1"/>
    <w:next w:val="1"/>
    <w:qFormat/>
    <w:uiPriority w:val="0"/>
    <w:pPr>
      <w:ind w:left="3360"/>
      <w:jc w:val="left"/>
    </w:pPr>
    <w:rPr>
      <w:rFonts w:ascii="Times New Roman" w:hAnsi="Times New Roman" w:eastAsia="宋体" w:cs="Times New Roman"/>
    </w:rPr>
  </w:style>
  <w:style w:type="paragraph" w:styleId="26">
    <w:name w:val="table of figures"/>
    <w:basedOn w:val="1"/>
    <w:next w:val="1"/>
    <w:unhideWhenUsed/>
    <w:qFormat/>
    <w:uiPriority w:val="0"/>
    <w:pPr>
      <w:ind w:left="200" w:leftChars="200" w:hanging="200" w:hangingChars="200"/>
    </w:pPr>
  </w:style>
  <w:style w:type="paragraph" w:styleId="27">
    <w:name w:val="toc 2"/>
    <w:basedOn w:val="1"/>
    <w:next w:val="1"/>
    <w:qFormat/>
    <w:uiPriority w:val="0"/>
    <w:pPr>
      <w:ind w:left="420" w:leftChars="200"/>
    </w:pPr>
  </w:style>
  <w:style w:type="paragraph" w:styleId="28">
    <w:name w:val="Normal (Web)"/>
    <w:basedOn w:val="1"/>
    <w:link w:val="47"/>
    <w:qFormat/>
    <w:uiPriority w:val="0"/>
    <w:pPr>
      <w:widowControl/>
      <w:spacing w:before="100" w:beforeAutospacing="1" w:after="100" w:afterAutospacing="1"/>
      <w:jc w:val="left"/>
    </w:pPr>
    <w:rPr>
      <w:rFonts w:ascii="宋体" w:hAnsi="宋体"/>
      <w:kern w:val="0"/>
      <w:sz w:val="24"/>
      <w:szCs w:val="20"/>
    </w:rPr>
  </w:style>
  <w:style w:type="paragraph" w:styleId="29">
    <w:name w:val="annotation subject"/>
    <w:basedOn w:val="12"/>
    <w:next w:val="12"/>
    <w:link w:val="48"/>
    <w:semiHidden/>
    <w:qFormat/>
    <w:uiPriority w:val="0"/>
    <w:rPr>
      <w:b/>
      <w:sz w:val="24"/>
      <w:szCs w:val="20"/>
    </w:rPr>
  </w:style>
  <w:style w:type="paragraph" w:styleId="30">
    <w:name w:val="Body Text First Indent"/>
    <w:basedOn w:val="9"/>
    <w:unhideWhenUsed/>
    <w:qFormat/>
    <w:uiPriority w:val="0"/>
    <w:pPr>
      <w:spacing w:beforeLines="0" w:after="120" w:afterLines="0"/>
      <w:ind w:firstLine="420" w:firstLineChars="100"/>
    </w:pPr>
    <w:rPr>
      <w:rFonts w:hint="default"/>
      <w:sz w:val="24"/>
    </w:rPr>
  </w:style>
  <w:style w:type="paragraph" w:styleId="31">
    <w:name w:val="Body Text First Indent 2"/>
    <w:basedOn w:val="13"/>
    <w:next w:val="1"/>
    <w:qFormat/>
    <w:uiPriority w:val="0"/>
    <w:pPr>
      <w:spacing w:after="120" w:line="240" w:lineRule="auto"/>
      <w:ind w:left="420" w:leftChars="200" w:firstLine="420"/>
    </w:pPr>
    <w:rPr>
      <w:kern w:val="2"/>
      <w:sz w:val="21"/>
    </w:rPr>
  </w:style>
  <w:style w:type="table" w:styleId="33">
    <w:name w:val="Table Grid"/>
    <w:basedOn w:val="32"/>
    <w:qFormat/>
    <w:uiPriority w:val="0"/>
    <w:rPr>
      <w:lang w:val="en-US" w:eastAsia="zh-CN"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page number"/>
    <w:basedOn w:val="34"/>
    <w:qFormat/>
    <w:uiPriority w:val="0"/>
  </w:style>
  <w:style w:type="character" w:styleId="36">
    <w:name w:val="Emphasis"/>
    <w:basedOn w:val="34"/>
    <w:qFormat/>
    <w:uiPriority w:val="0"/>
    <w:rPr>
      <w:i/>
    </w:rPr>
  </w:style>
  <w:style w:type="character" w:styleId="37">
    <w:name w:val="Hyperlink"/>
    <w:basedOn w:val="34"/>
    <w:qFormat/>
    <w:uiPriority w:val="0"/>
    <w:rPr>
      <w:color w:val="0000FF"/>
      <w:u w:val="single"/>
    </w:rPr>
  </w:style>
  <w:style w:type="character" w:styleId="38">
    <w:name w:val="annotation reference"/>
    <w:semiHidden/>
    <w:qFormat/>
    <w:uiPriority w:val="0"/>
    <w:rPr>
      <w:sz w:val="21"/>
    </w:rPr>
  </w:style>
  <w:style w:type="paragraph" w:customStyle="1" w:styleId="39">
    <w:name w:val="默认段落"/>
    <w:qFormat/>
    <w:uiPriority w:val="0"/>
    <w:pPr>
      <w:widowControl w:val="0"/>
      <w:jc w:val="both"/>
    </w:pPr>
    <w:rPr>
      <w:rFonts w:ascii="Calibri" w:hAnsi="Calibri" w:eastAsia="宋体" w:cs="Times New Roman"/>
      <w:kern w:val="2"/>
      <w:sz w:val="21"/>
      <w:lang w:val="en-US" w:eastAsia="zh-CN" w:bidi="ar-SA"/>
    </w:rPr>
  </w:style>
  <w:style w:type="character" w:customStyle="1" w:styleId="40">
    <w:name w:val="批注文字 Char"/>
    <w:link w:val="12"/>
    <w:qFormat/>
    <w:uiPriority w:val="0"/>
    <w:rPr>
      <w:rFonts w:ascii="Times New Roman" w:hAnsi="Times New Roman" w:eastAsia="宋体"/>
      <w:sz w:val="24"/>
    </w:rPr>
  </w:style>
  <w:style w:type="character" w:customStyle="1" w:styleId="41">
    <w:name w:val="正文文本 Char"/>
    <w:link w:val="9"/>
    <w:qFormat/>
    <w:uiPriority w:val="0"/>
    <w:rPr>
      <w:sz w:val="18"/>
    </w:rPr>
  </w:style>
  <w:style w:type="character" w:customStyle="1" w:styleId="42">
    <w:name w:val="正文文本缩进 Char"/>
    <w:link w:val="13"/>
    <w:semiHidden/>
    <w:qFormat/>
    <w:uiPriority w:val="0"/>
    <w:rPr>
      <w:rFonts w:ascii="Times New Roman" w:hAnsi="Times New Roman" w:eastAsia="宋体"/>
      <w:sz w:val="24"/>
    </w:rPr>
  </w:style>
  <w:style w:type="character" w:customStyle="1" w:styleId="43">
    <w:name w:val="页眉 Char"/>
    <w:link w:val="21"/>
    <w:qFormat/>
    <w:uiPriority w:val="0"/>
    <w:rPr>
      <w:sz w:val="18"/>
    </w:rPr>
  </w:style>
  <w:style w:type="character" w:customStyle="1" w:styleId="44">
    <w:name w:val="日期 Char"/>
    <w:link w:val="18"/>
    <w:qFormat/>
    <w:uiPriority w:val="0"/>
    <w:rPr>
      <w:rFonts w:ascii="Times New Roman" w:hAnsi="Times New Roman" w:eastAsia="宋体"/>
      <w:sz w:val="24"/>
    </w:rPr>
  </w:style>
  <w:style w:type="character" w:customStyle="1" w:styleId="45">
    <w:name w:val="批注框文本 Char"/>
    <w:link w:val="19"/>
    <w:semiHidden/>
    <w:qFormat/>
    <w:uiPriority w:val="0"/>
    <w:rPr>
      <w:rFonts w:ascii="Times New Roman" w:hAnsi="Times New Roman" w:eastAsia="宋体"/>
      <w:sz w:val="18"/>
    </w:rPr>
  </w:style>
  <w:style w:type="character" w:customStyle="1" w:styleId="46">
    <w:name w:val="页脚 Char"/>
    <w:link w:val="20"/>
    <w:qFormat/>
    <w:uiPriority w:val="99"/>
    <w:rPr>
      <w:sz w:val="18"/>
    </w:rPr>
  </w:style>
  <w:style w:type="character" w:customStyle="1" w:styleId="47">
    <w:name w:val="普通(网站) Char"/>
    <w:link w:val="28"/>
    <w:qFormat/>
    <w:uiPriority w:val="0"/>
    <w:rPr>
      <w:rFonts w:ascii="宋体" w:hAnsi="宋体" w:eastAsia="宋体"/>
      <w:sz w:val="24"/>
    </w:rPr>
  </w:style>
  <w:style w:type="character" w:customStyle="1" w:styleId="48">
    <w:name w:val="批注主题 Char"/>
    <w:link w:val="29"/>
    <w:semiHidden/>
    <w:qFormat/>
    <w:uiPriority w:val="0"/>
    <w:rPr>
      <w:rFonts w:ascii="Times New Roman" w:hAnsi="Times New Roman" w:eastAsia="宋体"/>
      <w:b/>
      <w:kern w:val="2"/>
      <w:sz w:val="24"/>
    </w:rPr>
  </w:style>
  <w:style w:type="paragraph" w:customStyle="1" w:styleId="49">
    <w:name w:val="标题3"/>
    <w:basedOn w:val="50"/>
    <w:qFormat/>
    <w:uiPriority w:val="0"/>
    <w:pPr>
      <w:spacing w:afterLines="50" w:line="360" w:lineRule="auto"/>
      <w:ind w:firstLine="482" w:firstLineChars="200"/>
    </w:pPr>
    <w:rPr>
      <w:rFonts w:cs="宋体"/>
      <w:b/>
      <w:bCs/>
      <w:sz w:val="24"/>
    </w:rPr>
  </w:style>
  <w:style w:type="paragraph" w:customStyle="1" w:styleId="50">
    <w:name w:val="正文2"/>
    <w:qFormat/>
    <w:uiPriority w:val="99"/>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51">
    <w:name w:val="正文 首行缩进:  2 字符"/>
    <w:basedOn w:val="1"/>
    <w:semiHidden/>
    <w:qFormat/>
    <w:uiPriority w:val="0"/>
    <w:pPr>
      <w:spacing w:line="520" w:lineRule="exact"/>
      <w:ind w:firstLine="480" w:firstLineChars="200"/>
    </w:pPr>
    <w:rPr>
      <w:kern w:val="44"/>
      <w:sz w:val="24"/>
    </w:rPr>
  </w:style>
  <w:style w:type="character" w:customStyle="1" w:styleId="52">
    <w:name w:val="表格 Char"/>
    <w:link w:val="53"/>
    <w:qFormat/>
    <w:uiPriority w:val="0"/>
    <w:rPr>
      <w:rFonts w:ascii="宋体"/>
      <w:sz w:val="21"/>
    </w:rPr>
  </w:style>
  <w:style w:type="paragraph" w:customStyle="1" w:styleId="53">
    <w:name w:val="表格"/>
    <w:basedOn w:val="7"/>
    <w:next w:val="1"/>
    <w:link w:val="52"/>
    <w:qFormat/>
    <w:uiPriority w:val="0"/>
    <w:pPr>
      <w:adjustRightInd w:val="0"/>
      <w:snapToGrid w:val="0"/>
      <w:spacing w:beforeLines="10" w:afterLines="10" w:line="259" w:lineRule="auto"/>
      <w:jc w:val="center"/>
    </w:pPr>
    <w:rPr>
      <w:rFonts w:ascii="宋体"/>
      <w:kern w:val="0"/>
      <w:szCs w:val="20"/>
    </w:rPr>
  </w:style>
  <w:style w:type="paragraph" w:customStyle="1" w:styleId="54">
    <w:name w:val="表头"/>
    <w:basedOn w:val="55"/>
    <w:next w:val="1"/>
    <w:qFormat/>
    <w:uiPriority w:val="0"/>
    <w:pPr>
      <w:spacing w:line="360" w:lineRule="auto"/>
      <w:ind w:firstLine="300" w:firstLineChars="300"/>
    </w:pPr>
    <w:rPr>
      <w:rFonts w:eastAsia="黑体"/>
      <w:sz w:val="24"/>
      <w:szCs w:val="24"/>
    </w:rPr>
  </w:style>
  <w:style w:type="paragraph" w:customStyle="1" w:styleId="55">
    <w:name w:val="标题4"/>
    <w:basedOn w:val="4"/>
    <w:qFormat/>
    <w:uiPriority w:val="0"/>
    <w:pPr>
      <w:ind w:firstLine="200" w:firstLineChars="200"/>
      <w:outlineLvl w:val="9"/>
    </w:pPr>
    <w:rPr>
      <w:sz w:val="24"/>
    </w:rPr>
  </w:style>
  <w:style w:type="character" w:customStyle="1" w:styleId="56">
    <w:name w:val="日期 字符"/>
    <w:semiHidden/>
    <w:qFormat/>
    <w:uiPriority w:val="0"/>
    <w:rPr>
      <w:rFonts w:ascii="Times New Roman" w:hAnsi="Times New Roman" w:eastAsia="宋体"/>
      <w:sz w:val="24"/>
    </w:rPr>
  </w:style>
  <w:style w:type="character" w:customStyle="1" w:styleId="57">
    <w:name w:val="页脚 字符"/>
    <w:basedOn w:val="34"/>
    <w:qFormat/>
    <w:uiPriority w:val="99"/>
  </w:style>
  <w:style w:type="character" w:customStyle="1" w:styleId="58">
    <w:name w:val="批注文字 字符1"/>
    <w:semiHidden/>
    <w:qFormat/>
    <w:uiPriority w:val="0"/>
    <w:rPr>
      <w:rFonts w:ascii="Times New Roman" w:hAnsi="Times New Roman" w:eastAsia="宋体"/>
      <w:sz w:val="24"/>
    </w:rPr>
  </w:style>
  <w:style w:type="character" w:customStyle="1" w:styleId="59">
    <w:name w:val="正文文本 字符1"/>
    <w:semiHidden/>
    <w:qFormat/>
    <w:uiPriority w:val="0"/>
    <w:rPr>
      <w:rFonts w:ascii="Times New Roman" w:hAnsi="Times New Roman" w:eastAsia="宋体"/>
      <w:sz w:val="24"/>
    </w:rPr>
  </w:style>
  <w:style w:type="paragraph" w:customStyle="1" w:styleId="60">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61">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62">
    <w:name w:val="Default"/>
    <w:basedOn w:val="63"/>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63">
    <w:name w:val="标题 段落4级"/>
    <w:qFormat/>
    <w:uiPriority w:val="0"/>
    <w:pPr>
      <w:spacing w:line="500" w:lineRule="exact"/>
      <w:outlineLvl w:val="3"/>
    </w:pPr>
    <w:rPr>
      <w:rFonts w:ascii="Times New Roman" w:hAnsi="Times New Roman" w:eastAsia="仿宋_GB2312" w:cs="Calibri"/>
      <w:b/>
      <w:kern w:val="2"/>
      <w:sz w:val="28"/>
      <w:szCs w:val="24"/>
      <w:lang w:val="en-US" w:eastAsia="zh-CN" w:bidi="ar-SA"/>
    </w:rPr>
  </w:style>
  <w:style w:type="paragraph" w:customStyle="1" w:styleId="64">
    <w:name w:val="Body Text Indent"/>
    <w:basedOn w:val="1"/>
    <w:qFormat/>
    <w:uiPriority w:val="0"/>
    <w:pPr>
      <w:widowControl w:val="0"/>
      <w:ind w:firstLine="560" w:firstLineChars="200"/>
      <w:jc w:val="both"/>
    </w:pPr>
    <w:rPr>
      <w:rFonts w:ascii="Calibri" w:hAnsi="Calibri" w:cs="Calibri"/>
      <w:kern w:val="2"/>
      <w:sz w:val="28"/>
    </w:rPr>
  </w:style>
  <w:style w:type="table" w:customStyle="1" w:styleId="65">
    <w:name w:val="Table Normal"/>
    <w:unhideWhenUsed/>
    <w:qFormat/>
    <w:uiPriority w:val="0"/>
    <w:tblPr>
      <w:tblCellMar>
        <w:top w:w="0" w:type="dxa"/>
        <w:left w:w="0" w:type="dxa"/>
        <w:bottom w:w="0" w:type="dxa"/>
        <w:right w:w="0" w:type="dxa"/>
      </w:tblCellMar>
    </w:tblPr>
  </w:style>
  <w:style w:type="paragraph" w:customStyle="1" w:styleId="66">
    <w:name w:val="reader-word-layer"/>
    <w:basedOn w:val="1"/>
    <w:qFormat/>
    <w:uiPriority w:val="0"/>
    <w:pPr>
      <w:widowControl/>
      <w:adjustRightInd/>
      <w:spacing w:before="100" w:beforeAutospacing="1" w:after="100" w:afterAutospacing="1" w:line="240" w:lineRule="auto"/>
      <w:textAlignment w:val="auto"/>
    </w:pPr>
    <w:rPr>
      <w:rFonts w:ascii="宋体" w:hAnsi="宋体" w:cs="宋体"/>
    </w:rPr>
  </w:style>
  <w:style w:type="paragraph" w:customStyle="1" w:styleId="67">
    <w:name w:val="表格正文"/>
    <w:basedOn w:val="53"/>
    <w:qFormat/>
    <w:uiPriority w:val="0"/>
    <w:pPr>
      <w:spacing w:line="360" w:lineRule="exact"/>
      <w:jc w:val="center"/>
    </w:pPr>
  </w:style>
  <w:style w:type="paragraph" w:customStyle="1" w:styleId="68">
    <w:name w:val="正"/>
    <w:basedOn w:val="1"/>
    <w:qFormat/>
    <w:uiPriority w:val="0"/>
    <w:pPr>
      <w:ind w:firstLine="200"/>
    </w:pPr>
    <w:rPr>
      <w:sz w:val="24"/>
    </w:rPr>
  </w:style>
  <w:style w:type="paragraph" w:customStyle="1" w:styleId="69">
    <w:name w:val="Table Paragraph"/>
    <w:basedOn w:val="1"/>
    <w:qFormat/>
    <w:uiPriority w:val="1"/>
    <w:pPr>
      <w:suppressAutoHyphens w:val="0"/>
      <w:wordWrap/>
      <w:spacing w:line="240" w:lineRule="auto"/>
      <w:ind w:firstLine="0" w:firstLineChars="0"/>
      <w:jc w:val="left"/>
    </w:pPr>
    <w:rPr>
      <w:rFonts w:ascii="Calibri" w:hAnsi="Calibri"/>
      <w:sz w:val="22"/>
      <w:szCs w:val="22"/>
      <w:lang w:eastAsia="en-US"/>
    </w:rPr>
  </w:style>
  <w:style w:type="paragraph" w:customStyle="1" w:styleId="70">
    <w:name w:val="样式1"/>
    <w:basedOn w:val="50"/>
    <w:qFormat/>
    <w:uiPriority w:val="0"/>
    <w:pPr>
      <w:ind w:firstLine="0"/>
    </w:pPr>
  </w:style>
  <w:style w:type="paragraph" w:customStyle="1" w:styleId="71">
    <w:name w:val="表样式1"/>
    <w:basedOn w:val="1"/>
    <w:qFormat/>
    <w:uiPriority w:val="0"/>
    <w:pPr>
      <w:snapToGrid w:val="0"/>
      <w:jc w:val="center"/>
    </w:pPr>
    <w:rPr>
      <w:rFonts w:ascii="Times New Roman" w:hAnsi="Times New Roman"/>
      <w:color w:val="000000"/>
      <w:szCs w:val="21"/>
    </w:rPr>
  </w:style>
  <w:style w:type="paragraph" w:customStyle="1" w:styleId="72">
    <w:name w:val="报告书"/>
    <w:basedOn w:val="1"/>
    <w:qFormat/>
    <w:uiPriority w:val="0"/>
    <w:pPr>
      <w:spacing w:line="360" w:lineRule="auto"/>
      <w:ind w:firstLine="482"/>
    </w:pPr>
  </w:style>
  <w:style w:type="paragraph" w:customStyle="1" w:styleId="73">
    <w:name w:val="表内"/>
    <w:basedOn w:val="1"/>
    <w:qFormat/>
    <w:uiPriority w:val="0"/>
    <w:pPr>
      <w:jc w:val="center"/>
    </w:pPr>
    <w:rPr>
      <w:sz w:val="21"/>
      <w:szCs w:val="24"/>
    </w:rPr>
  </w:style>
  <w:style w:type="paragraph" w:customStyle="1" w:styleId="74">
    <w:name w:val="A表格内容"/>
    <w:basedOn w:val="1"/>
    <w:qFormat/>
    <w:uiPriority w:val="0"/>
    <w:pPr>
      <w:spacing w:line="240" w:lineRule="atLeast"/>
      <w:jc w:val="center"/>
    </w:pPr>
    <w:rPr>
      <w:rFonts w:ascii="Times New Roman" w:hAnsi="Times New Roman"/>
      <w:sz w:val="21"/>
      <w:szCs w:val="21"/>
    </w:rPr>
  </w:style>
  <w:style w:type="table" w:customStyle="1" w:styleId="75">
    <w:name w:val="无左右网格"/>
    <w:basedOn w:val="32"/>
    <w:qFormat/>
    <w:uiPriority w:val="99"/>
    <w:pPr>
      <w:spacing w:line="240" w:lineRule="atLeast"/>
      <w:jc w:val="center"/>
    </w:pPr>
    <w:rPr>
      <w:sz w:val="21"/>
    </w:rPr>
    <w:tblPr>
      <w:tblBorders>
        <w:top w:val="single" w:color="auto" w:sz="4" w:space="0"/>
        <w:bottom w:val="single" w:color="auto" w:sz="4" w:space="0"/>
        <w:insideH w:val="single" w:color="auto" w:sz="4" w:space="0"/>
        <w:insideV w:val="single" w:color="auto" w:sz="4" w:space="0"/>
      </w:tblBorders>
    </w:tblPr>
    <w:tcPr>
      <w:vAlign w:val="center"/>
    </w:tcPr>
  </w:style>
  <w:style w:type="paragraph" w:customStyle="1" w:styleId="76">
    <w:name w:val="表格文字"/>
    <w:basedOn w:val="16"/>
    <w:qFormat/>
    <w:uiPriority w:val="0"/>
    <w:pPr>
      <w:spacing w:line="240" w:lineRule="auto"/>
      <w:ind w:firstLine="0" w:firstLineChars="0"/>
      <w:jc w:val="center"/>
    </w:pPr>
    <w:rPr>
      <w:rFonts w:ascii="Times New Roman" w:hAnsi="Times New Roman" w:cs="Times New Roman"/>
      <w:kern w:val="0"/>
      <w:szCs w:val="20"/>
    </w:rPr>
  </w:style>
  <w:style w:type="paragraph" w:customStyle="1" w:styleId="77">
    <w:name w:val="BodyText1I"/>
    <w:basedOn w:val="78"/>
    <w:next w:val="80"/>
    <w:qFormat/>
    <w:uiPriority w:val="0"/>
    <w:pPr>
      <w:spacing w:after="120" w:line="360" w:lineRule="atLeast"/>
      <w:ind w:firstLine="420" w:firstLineChars="100"/>
    </w:pPr>
    <w:rPr>
      <w:sz w:val="24"/>
      <w:szCs w:val="24"/>
    </w:rPr>
  </w:style>
  <w:style w:type="paragraph" w:customStyle="1" w:styleId="78">
    <w:name w:val="BodyText"/>
    <w:basedOn w:val="1"/>
    <w:next w:val="79"/>
    <w:qFormat/>
    <w:uiPriority w:val="0"/>
    <w:pPr>
      <w:snapToGrid w:val="0"/>
      <w:spacing w:before="60" w:after="160" w:line="259" w:lineRule="auto"/>
      <w:ind w:right="113"/>
    </w:pPr>
    <w:rPr>
      <w:kern w:val="0"/>
      <w:sz w:val="18"/>
      <w:szCs w:val="20"/>
    </w:rPr>
  </w:style>
  <w:style w:type="paragraph" w:customStyle="1" w:styleId="79">
    <w:name w:val="UserStyle_15"/>
    <w:basedOn w:val="1"/>
    <w:qFormat/>
    <w:uiPriority w:val="0"/>
  </w:style>
  <w:style w:type="paragraph" w:customStyle="1" w:styleId="80">
    <w:name w:val="Heading4"/>
    <w:basedOn w:val="1"/>
    <w:next w:val="1"/>
    <w:qFormat/>
    <w:uiPriority w:val="0"/>
    <w:pPr>
      <w:keepNext/>
      <w:keepLines/>
      <w:spacing w:line="440" w:lineRule="exact"/>
      <w:ind w:firstLine="200" w:firstLineChars="200"/>
    </w:pPr>
    <w:rPr>
      <w:rFonts w:ascii="Calibri Light" w:hAnsi="Calibri Light"/>
      <w:sz w:val="24"/>
      <w:szCs w:val="28"/>
    </w:rPr>
  </w:style>
  <w:style w:type="character" w:customStyle="1" w:styleId="81">
    <w:name w:val="NormalCharacter"/>
    <w:semiHidden/>
    <w:qFormat/>
    <w:uiPriority w:val="0"/>
  </w:style>
  <w:style w:type="paragraph" w:customStyle="1" w:styleId="82">
    <w:name w:val="图名表头"/>
    <w:basedOn w:val="1"/>
    <w:qFormat/>
    <w:uiPriority w:val="0"/>
    <w:pPr>
      <w:suppressAutoHyphens w:val="0"/>
      <w:wordWrap/>
      <w:adjustRightInd w:val="0"/>
      <w:ind w:firstLine="0" w:firstLineChars="0"/>
      <w:jc w:val="center"/>
      <w:textAlignment w:val="baseline"/>
    </w:pPr>
    <w:rPr>
      <w:rFonts w:ascii="Times New Roman" w:hAnsi="Times New Roman" w:eastAsia="方正仿宋简体" w:cs="Times New Roman"/>
      <w:kern w:val="2"/>
    </w:rPr>
  </w:style>
  <w:style w:type="paragraph" w:customStyle="1" w:styleId="83">
    <w:name w:val="1、大表格内"/>
    <w:basedOn w:val="1"/>
    <w:qFormat/>
    <w:uiPriority w:val="0"/>
    <w:pPr>
      <w:keepNext/>
      <w:keepLines/>
      <w:autoSpaceDE w:val="0"/>
      <w:autoSpaceDN w:val="0"/>
      <w:adjustRightInd w:val="0"/>
      <w:spacing w:line="360" w:lineRule="auto"/>
      <w:ind w:firstLine="480" w:firstLineChars="200"/>
      <w:textAlignment w:val="bottom"/>
    </w:pPr>
    <w:rPr>
      <w:rFonts w:ascii="Times New Roman" w:hAnsi="Times New Roman" w:eastAsia="宋体" w:cs="Times New Roman"/>
      <w:kern w:val="0"/>
      <w:sz w:val="24"/>
    </w:rPr>
  </w:style>
  <w:style w:type="paragraph" w:customStyle="1" w:styleId="84">
    <w:name w:val="我的正文"/>
    <w:qFormat/>
    <w:uiPriority w:val="0"/>
    <w:pPr>
      <w:spacing w:line="360" w:lineRule="auto"/>
      <w:ind w:firstLine="200" w:firstLineChars="200"/>
    </w:pPr>
    <w:rPr>
      <w:rFonts w:ascii="Times New Roman" w:hAnsi="Times New Roman" w:eastAsia="仿宋_GB2312" w:cs="Times New Roman"/>
      <w:kern w:val="2"/>
      <w:sz w:val="24"/>
      <w:szCs w:val="24"/>
      <w:lang w:val="en-US" w:eastAsia="zh-CN" w:bidi="ar-SA"/>
    </w:rPr>
  </w:style>
  <w:style w:type="paragraph" w:customStyle="1" w:styleId="85">
    <w:name w:val="正文_7"/>
    <w:qFormat/>
    <w:uiPriority w:val="0"/>
    <w:pPr>
      <w:widowControl w:val="0"/>
      <w:jc w:val="both"/>
    </w:pPr>
    <w:rPr>
      <w:rFonts w:ascii="Calibri" w:hAnsi="Calibri" w:eastAsia="宋体" w:cs="Times New Roman"/>
      <w:kern w:val="2"/>
      <w:sz w:val="21"/>
      <w:lang w:val="en-US" w:eastAsia="zh-CN" w:bidi="ar-SA"/>
    </w:rPr>
  </w:style>
  <w:style w:type="paragraph" w:customStyle="1" w:styleId="86">
    <w:name w:val="【正文】"/>
    <w:basedOn w:val="1"/>
    <w:qFormat/>
    <w:uiPriority w:val="0"/>
    <w:pPr>
      <w:spacing w:line="440" w:lineRule="exact"/>
      <w:ind w:firstLine="544" w:firstLineChars="200"/>
    </w:pPr>
    <w:rPr>
      <w:szCs w:val="20"/>
    </w:rPr>
  </w:style>
  <w:style w:type="paragraph" w:customStyle="1" w:styleId="87">
    <w:name w:val="表1-"/>
    <w:qFormat/>
    <w:uiPriority w:val="0"/>
    <w:pPr>
      <w:numPr>
        <w:ilvl w:val="0"/>
        <w:numId w:val="1"/>
      </w:numPr>
      <w:tabs>
        <w:tab w:val="left" w:pos="0"/>
      </w:tabs>
      <w:ind w:left="0" w:firstLine="0"/>
      <w:jc w:val="center"/>
    </w:pPr>
    <w:rPr>
      <w:rFonts w:ascii="Times New Roman" w:hAnsi="Times New Roman" w:eastAsia="宋体" w:cs="Times New Roman"/>
      <w:b/>
      <w:sz w:val="21"/>
      <w:szCs w:val="21"/>
      <w:lang w:val="en-US" w:eastAsia="zh-CN" w:bidi="ar-SA"/>
    </w:rPr>
  </w:style>
  <w:style w:type="paragraph" w:customStyle="1" w:styleId="88">
    <w:name w:val="报告正文"/>
    <w:basedOn w:val="1"/>
    <w:qFormat/>
    <w:uiPriority w:val="0"/>
    <w:pPr>
      <w:spacing w:line="480" w:lineRule="exact"/>
    </w:pPr>
    <w:rPr>
      <w:sz w:val="24"/>
      <w:szCs w:val="22"/>
    </w:rPr>
  </w:style>
  <w:style w:type="paragraph" w:customStyle="1" w:styleId="89">
    <w:name w:val="Body text|1"/>
    <w:basedOn w:val="1"/>
    <w:qFormat/>
    <w:uiPriority w:val="0"/>
    <w:pPr>
      <w:widowControl w:val="0"/>
      <w:shd w:val="clear" w:color="auto" w:fill="auto"/>
      <w:spacing w:line="374" w:lineRule="auto"/>
      <w:ind w:firstLine="400"/>
    </w:pPr>
    <w:rPr>
      <w:rFonts w:ascii="宋体" w:hAnsi="宋体" w:eastAsia="宋体" w:cs="宋体"/>
      <w:sz w:val="22"/>
      <w:szCs w:val="22"/>
      <w:u w:val="none"/>
      <w:shd w:val="clear" w:color="auto" w:fill="auto"/>
      <w:lang w:val="zh-TW" w:eastAsia="zh-TW" w:bidi="zh-TW"/>
    </w:rPr>
  </w:style>
  <w:style w:type="paragraph" w:customStyle="1" w:styleId="90">
    <w:name w:val="表头及表尾"/>
    <w:qFormat/>
    <w:uiPriority w:val="0"/>
    <w:pPr>
      <w:tabs>
        <w:tab w:val="center" w:pos="4200"/>
        <w:tab w:val="right" w:pos="8400"/>
      </w:tabs>
      <w:adjustRightInd w:val="0"/>
      <w:snapToGrid w:val="0"/>
      <w:spacing w:line="360" w:lineRule="auto"/>
      <w:jc w:val="center"/>
    </w:pPr>
    <w:rPr>
      <w:rFonts w:ascii="Calibri" w:hAnsi="Calibri" w:eastAsia="宋体" w:cs="Times New Roman"/>
      <w:b/>
      <w:snapToGrid w:val="0"/>
      <w:sz w:val="21"/>
      <w:szCs w:val="21"/>
      <w:lang w:val="en-US" w:eastAsia="zh-CN" w:bidi="ar-SA"/>
    </w:rPr>
  </w:style>
  <w:style w:type="paragraph" w:customStyle="1" w:styleId="91">
    <w:name w:val="表格内容"/>
    <w:basedOn w:val="7"/>
    <w:qFormat/>
    <w:uiPriority w:val="0"/>
    <w:pPr>
      <w:overflowPunct w:val="0"/>
      <w:adjustRightInd w:val="0"/>
      <w:snapToGrid w:val="0"/>
      <w:spacing w:before="40" w:after="60" w:line="200" w:lineRule="atLeast"/>
      <w:ind w:firstLine="0"/>
      <w:textAlignment w:val="baseline"/>
    </w:pPr>
    <w:rPr>
      <w:rFonts w:ascii="Arial" w:hAnsi="Arial" w:eastAsia="FangSong_GB2312"/>
      <w:kern w:val="0"/>
    </w:rPr>
  </w:style>
  <w:style w:type="table" w:customStyle="1" w:styleId="92">
    <w:name w:val="Table Grid_0"/>
    <w:basedOn w:val="32"/>
    <w:qFormat/>
    <w:uiPriority w:val="0"/>
    <w:rPr>
      <w:rFonts w:eastAsia="仿宋"/>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3">
    <w:name w:val="图图"/>
    <w:basedOn w:val="1"/>
    <w:qFormat/>
    <w:uiPriority w:val="0"/>
    <w:pPr>
      <w:spacing w:line="240" w:lineRule="auto"/>
      <w:ind w:firstLine="0" w:firstLineChars="0"/>
      <w:jc w:val="center"/>
    </w:pPr>
    <w:rPr>
      <w:sz w:val="21"/>
    </w:rPr>
  </w:style>
  <w:style w:type="paragraph" w:customStyle="1" w:styleId="94">
    <w:name w:val="_Style 1"/>
    <w:basedOn w:val="1"/>
    <w:qFormat/>
    <w:uiPriority w:val="0"/>
    <w:pPr>
      <w:widowControl/>
      <w:ind w:left="720"/>
      <w:contextualSpacing/>
      <w:jc w:val="left"/>
    </w:pPr>
    <w:rPr>
      <w:rFonts w:ascii="Calibri" w:hAnsi="Calibri"/>
      <w:kern w:val="0"/>
      <w:sz w:val="24"/>
      <w:lang w:eastAsia="en-US" w:bidi="en-US"/>
    </w:rPr>
  </w:style>
  <w:style w:type="character" w:customStyle="1" w:styleId="95">
    <w:name w:val="font21"/>
    <w:basedOn w:val="34"/>
    <w:qFormat/>
    <w:uiPriority w:val="0"/>
    <w:rPr>
      <w:rFonts w:hint="default" w:ascii="Arial" w:hAnsi="Arial" w:cs="Arial"/>
      <w:color w:val="000000"/>
      <w:sz w:val="24"/>
      <w:szCs w:val="24"/>
      <w:u w:val="none"/>
    </w:rPr>
  </w:style>
  <w:style w:type="character" w:customStyle="1" w:styleId="96">
    <w:name w:val="font11"/>
    <w:basedOn w:val="34"/>
    <w:qFormat/>
    <w:uiPriority w:val="0"/>
    <w:rPr>
      <w:rFonts w:hint="default" w:ascii="仿宋_GB2312" w:eastAsia="仿宋_GB2312" w:cs="仿宋_GB2312"/>
      <w:color w:val="000000"/>
      <w:sz w:val="24"/>
      <w:szCs w:val="24"/>
      <w:u w:val="none"/>
    </w:rPr>
  </w:style>
  <w:style w:type="character" w:customStyle="1" w:styleId="97">
    <w:name w:val="font31"/>
    <w:basedOn w:val="34"/>
    <w:qFormat/>
    <w:uiPriority w:val="0"/>
    <w:rPr>
      <w:rFonts w:hint="eastAsia" w:ascii="宋体" w:hAnsi="宋体" w:eastAsia="宋体" w:cs="宋体"/>
      <w:color w:val="000000"/>
      <w:sz w:val="24"/>
      <w:szCs w:val="24"/>
      <w:u w:val="none"/>
    </w:rPr>
  </w:style>
  <w:style w:type="character" w:customStyle="1" w:styleId="98">
    <w:name w:val="font41"/>
    <w:basedOn w:val="34"/>
    <w:qFormat/>
    <w:uiPriority w:val="0"/>
    <w:rPr>
      <w:rFonts w:hint="eastAsia" w:ascii="宋体" w:hAnsi="宋体" w:eastAsia="宋体" w:cs="宋体"/>
      <w:color w:val="000000"/>
      <w:sz w:val="24"/>
      <w:szCs w:val="24"/>
      <w:u w:val="none"/>
    </w:rPr>
  </w:style>
  <w:style w:type="paragraph" w:customStyle="1" w:styleId="99">
    <w:name w:val="11报告表正文*"/>
    <w:basedOn w:val="1"/>
    <w:qFormat/>
    <w:uiPriority w:val="0"/>
    <w:pPr>
      <w:spacing w:line="480" w:lineRule="exact"/>
      <w:ind w:firstLine="200" w:firstLineChars="200"/>
    </w:pPr>
    <w:rPr>
      <w:sz w:val="24"/>
      <w:szCs w:val="21"/>
      <w:lang w:val="zh-CN"/>
    </w:rPr>
  </w:style>
  <w:style w:type="paragraph" w:customStyle="1" w:styleId="100">
    <w:name w:val="中文报告书样式"/>
    <w:basedOn w:val="1"/>
    <w:qFormat/>
    <w:uiPriority w:val="0"/>
    <w:pPr>
      <w:adjustRightInd w:val="0"/>
      <w:spacing w:line="480" w:lineRule="atLeast"/>
      <w:ind w:firstLine="482"/>
      <w:textAlignment w:val="baseline"/>
    </w:pPr>
    <w:rPr>
      <w:kern w:val="24"/>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2.png" Type="http://schemas.openxmlformats.org/officeDocument/2006/relationships/image"/><Relationship Id="rId11" Target="media/image3.png" Type="http://schemas.openxmlformats.org/officeDocument/2006/relationships/image"/><Relationship Id="rId12" Target="media/image4.png" Type="http://schemas.openxmlformats.org/officeDocument/2006/relationships/image"/><Relationship Id="rId13" Target="media/image5.png" Type="http://schemas.openxmlformats.org/officeDocument/2006/relationships/image"/><Relationship Id="rId14" Target="media/image6.png" Type="http://schemas.openxmlformats.org/officeDocument/2006/relationships/image"/><Relationship Id="rId15" Target="media/image7.png" Type="http://schemas.openxmlformats.org/officeDocument/2006/relationships/image"/><Relationship Id="rId16" Target="http://www.biaozhi.net/eNews/news/200602/0029_0000000909.shtml" TargetMode="External" Type="http://schemas.openxmlformats.org/officeDocument/2006/relationships/hyperlink"/><Relationship Id="rId17" Target="media/image8.png" Type="http://schemas.openxmlformats.org/officeDocument/2006/relationships/image"/><Relationship Id="rId18" Target="media/image9.png" Type="http://schemas.openxmlformats.org/officeDocument/2006/relationships/image"/><Relationship Id="rId19" Target="media/image10.png" Type="http://schemas.openxmlformats.org/officeDocument/2006/relationships/image"/><Relationship Id="rId2" Target="settings.xml" Type="http://schemas.openxmlformats.org/officeDocument/2006/relationships/settings"/><Relationship Id="rId20" Target="media/image11.png" Type="http://schemas.openxmlformats.org/officeDocument/2006/relationships/image"/><Relationship Id="rId21" Target="media/image12.png" Type="http://schemas.openxmlformats.org/officeDocument/2006/relationships/image"/><Relationship Id="rId22" Target="media/image13.emf" Type="http://schemas.openxmlformats.org/officeDocument/2006/relationships/image"/><Relationship Id="rId23" Target="../customXml/item1.xml" Type="http://schemas.openxmlformats.org/officeDocument/2006/relationships/customXml"/><Relationship Id="rId24" Target="numbering.xml" Type="http://schemas.openxmlformats.org/officeDocument/2006/relationships/numbering"/><Relationship Id="rId25"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footer5.xml" Type="http://schemas.openxmlformats.org/officeDocument/2006/relationships/footer"/><Relationship Id="rId8" Target="theme/theme1.xml" Type="http://schemas.openxmlformats.org/officeDocument/2006/relationships/theme"/><Relationship Id="rId9" Target="media/image1.png"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91</Pages>
  <Words>600</Words>
  <Characters>719</Characters>
  <Lines>13</Lines>
  <Paragraphs>3</Paragraphs>
  <TotalTime>134</TotalTime>
  <ScaleCrop>false</ScaleCrop>
  <LinksUpToDate>false</LinksUpToDate>
  <CharactersWithSpaces>765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2020-12-24T01:29:00Z</dcterms:created>
  <dc:creator>lhj</dc:creator>
  <cp:lastModifiedBy>LYQ</cp:lastModifiedBy>
  <cp:lastPrinted>2025-06-13T05:34:00Z</cp:lastPrinted>
  <dcterms:modified xsi:type="dcterms:W3CDTF">2025-10-20T03:38:06Z</dcterms:modified>
  <cp:revision>37</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2271C7BEE7FC4DFBAE589BE95B4B4AE9_13</vt:lpwstr>
  </property>
  <property fmtid="{D5CDD505-2E9C-101B-9397-08002B2CF9AE}" pid="4" name="KSOTemplateDocerSaveRecord">
    <vt:lpwstr>eyJoZGlkIjoiMDZkZTQxN2EwNmY0NjQwMGUxYzQxY2E1NzEyZGZmOGYiLCJ1c2VySWQiOiI0NDIyNzQyMDQifQ==</vt:lpwstr>
  </property>
</Properties>
</file>