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6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6"/>
        <w:gridCol w:w="3402"/>
        <w:gridCol w:w="567"/>
      </w:tblGrid>
      <w:tr w14:paraId="7A913D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14:paraId="5AD3F50E">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序号</w:t>
            </w:r>
          </w:p>
        </w:tc>
        <w:tc>
          <w:tcPr>
            <w:tcW w:w="850" w:type="dxa"/>
            <w:tcBorders>
              <w:tl2br w:val="nil"/>
              <w:tr2bl w:val="nil"/>
            </w:tcBorders>
            <w:shd w:val="clear" w:color="auto" w:fill="auto"/>
            <w:vAlign w:val="center"/>
          </w:tcPr>
          <w:p w14:paraId="1FB3A228">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14:paraId="01EAC75A">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类型</w:t>
            </w:r>
          </w:p>
        </w:tc>
        <w:tc>
          <w:tcPr>
            <w:tcW w:w="1134" w:type="dxa"/>
            <w:tcBorders>
              <w:tl2br w:val="nil"/>
              <w:tr2bl w:val="nil"/>
            </w:tcBorders>
            <w:shd w:val="clear" w:color="auto" w:fill="auto"/>
            <w:vAlign w:val="center"/>
          </w:tcPr>
          <w:p w14:paraId="7412999E">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14:paraId="1BBD6547">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事项</w:t>
            </w:r>
          </w:p>
        </w:tc>
        <w:tc>
          <w:tcPr>
            <w:tcW w:w="3118" w:type="dxa"/>
            <w:tcBorders>
              <w:tl2br w:val="nil"/>
              <w:tr2bl w:val="nil"/>
            </w:tcBorders>
            <w:shd w:val="clear" w:color="auto" w:fill="auto"/>
            <w:vAlign w:val="center"/>
          </w:tcPr>
          <w:p w14:paraId="5B29584D">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实施依据</w:t>
            </w:r>
          </w:p>
        </w:tc>
        <w:tc>
          <w:tcPr>
            <w:tcW w:w="1134" w:type="dxa"/>
            <w:tcBorders>
              <w:tl2br w:val="nil"/>
              <w:tr2bl w:val="nil"/>
            </w:tcBorders>
            <w:shd w:val="clear" w:color="auto" w:fill="auto"/>
            <w:vAlign w:val="center"/>
          </w:tcPr>
          <w:p w14:paraId="31B0F601">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省级</w:t>
            </w:r>
          </w:p>
          <w:p w14:paraId="1FAC9676">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主管部门</w:t>
            </w:r>
          </w:p>
        </w:tc>
        <w:tc>
          <w:tcPr>
            <w:tcW w:w="964" w:type="dxa"/>
            <w:tcBorders>
              <w:tl2br w:val="nil"/>
              <w:tr2bl w:val="nil"/>
            </w:tcBorders>
            <w:shd w:val="clear" w:color="auto" w:fill="auto"/>
            <w:vAlign w:val="center"/>
          </w:tcPr>
          <w:p w14:paraId="0DC0383A">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实施</w:t>
            </w:r>
          </w:p>
          <w:p w14:paraId="0C6FD206">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层级</w:t>
            </w:r>
          </w:p>
        </w:tc>
        <w:tc>
          <w:tcPr>
            <w:tcW w:w="3966" w:type="dxa"/>
            <w:tcBorders>
              <w:tl2br w:val="nil"/>
              <w:tr2bl w:val="nil"/>
            </w:tcBorders>
            <w:shd w:val="clear" w:color="auto" w:fill="auto"/>
            <w:vAlign w:val="center"/>
          </w:tcPr>
          <w:p w14:paraId="3A5E6BDA">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责任事项</w:t>
            </w:r>
          </w:p>
        </w:tc>
        <w:tc>
          <w:tcPr>
            <w:tcW w:w="3402" w:type="dxa"/>
            <w:tcBorders>
              <w:tl2br w:val="nil"/>
              <w:tr2bl w:val="nil"/>
            </w:tcBorders>
            <w:shd w:val="clear" w:color="auto" w:fill="auto"/>
            <w:vAlign w:val="center"/>
          </w:tcPr>
          <w:p w14:paraId="1F8F8052">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追责情形</w:t>
            </w:r>
          </w:p>
        </w:tc>
        <w:tc>
          <w:tcPr>
            <w:tcW w:w="567" w:type="dxa"/>
            <w:tcBorders>
              <w:tl2br w:val="nil"/>
              <w:tr2bl w:val="nil"/>
            </w:tcBorders>
            <w:shd w:val="clear" w:color="auto" w:fill="auto"/>
            <w:vAlign w:val="center"/>
          </w:tcPr>
          <w:p w14:paraId="484DD69E">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备注</w:t>
            </w:r>
          </w:p>
        </w:tc>
      </w:tr>
      <w:tr w14:paraId="31ACE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BE9F43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1</w:t>
            </w:r>
          </w:p>
        </w:tc>
        <w:tc>
          <w:tcPr>
            <w:tcW w:w="850" w:type="dxa"/>
            <w:tcBorders>
              <w:tl2br w:val="nil"/>
              <w:tr2bl w:val="nil"/>
            </w:tcBorders>
            <w:shd w:val="clear" w:color="auto" w:fill="auto"/>
            <w:vAlign w:val="center"/>
          </w:tcPr>
          <w:p w14:paraId="6805A58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32869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建设工程最高限价备案</w:t>
            </w:r>
          </w:p>
        </w:tc>
        <w:tc>
          <w:tcPr>
            <w:tcW w:w="3118" w:type="dxa"/>
            <w:tcBorders>
              <w:tl2br w:val="nil"/>
              <w:tr2bl w:val="nil"/>
            </w:tcBorders>
            <w:shd w:val="clear" w:color="auto" w:fill="auto"/>
            <w:vAlign w:val="center"/>
          </w:tcPr>
          <w:p w14:paraId="25362BBE">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1.《建筑工程施工发包与承包计价管理办法》（建设部令第16号）第四条 国务院住房城乡建设主管部门负责全国工程发承包计价工作的管理。第六条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w:t>
            </w:r>
          </w:p>
          <w:p w14:paraId="6CD6E835">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2.《河北省建筑条例》（河北省人民代表大会常务委员会公告第22号）第二十四条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14:paraId="613F56D5">
            <w:pPr>
              <w:widowControl/>
              <w:spacing w:line="200" w:lineRule="exact"/>
              <w:textAlignment w:val="center"/>
              <w:rPr>
                <w:rFonts w:ascii="仿宋_GB2312" w:hAnsi="仿宋_GB2312" w:eastAsia="仿宋_GB2312" w:cs="仿宋_GB2312"/>
                <w:color w:val="000000"/>
                <w:kern w:val="0"/>
                <w:sz w:val="15"/>
                <w:szCs w:val="15"/>
                <w:lang w:bidi="ar"/>
              </w:rPr>
            </w:pPr>
            <w:r>
              <w:rPr>
                <w:rFonts w:hint="eastAsia" w:ascii="仿宋_GB2312" w:hAnsi="仿宋_GB2312" w:eastAsia="仿宋_GB2312" w:cs="仿宋_GB2312"/>
                <w:color w:val="000000"/>
                <w:kern w:val="0"/>
                <w:sz w:val="15"/>
                <w:szCs w:val="15"/>
                <w:lang w:bidi="ar"/>
              </w:rPr>
              <w:t xml:space="preserve">3.《河北省建筑工程造价管理办法》（河北省人民政府令[2014]8号 根据2022年1月9日河北省人民政府令〔2022〕第1号修正）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  </w:t>
            </w:r>
          </w:p>
          <w:p w14:paraId="0EF25DAE">
            <w:pPr>
              <w:widowControl/>
              <w:spacing w:line="200" w:lineRule="exac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lang w:bidi="ar"/>
              </w:rPr>
              <w:t>4.《河北省建筑工程最高限价和竣工结算备案监督管理办法》（冀建法[2007]315号）第四条 省建设行政主管部门负责全省国有投融资建筑工程最高限价和竣工结算备案的监督管理，具体监督管理工作委托省工程建设造价管理机构实施。设区市和县（市）建设行政主管部门负责本行政区域内国有投融资建筑工程最高限价和竣工结算备案的监督管理，具体工作可以委托其所属的工程造价管理机构实施。第五条 中央托管项目国有投融资建筑工程、省重点建设项目国有投融资建筑工程及省建设行政主管部门负责监督招标的国有投融资建筑工程的最高限价成果文件、竣工结算文件，向省工程建设造价管理机构告知或者备案；其它国有投融资建筑工程的最高限价成果文件、竣工结算文件，向工程所在地设区市、县（市）建设行政主管部门或者其委托的造价管理机构告知或者备案。</w:t>
            </w:r>
          </w:p>
        </w:tc>
        <w:tc>
          <w:tcPr>
            <w:tcW w:w="1134" w:type="dxa"/>
            <w:tcBorders>
              <w:tl2br w:val="nil"/>
              <w:tr2bl w:val="nil"/>
            </w:tcBorders>
            <w:shd w:val="clear" w:color="auto" w:fill="auto"/>
            <w:vAlign w:val="center"/>
          </w:tcPr>
          <w:p w14:paraId="4F647C2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05D2B08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42D689B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1.受理阶段责任：一次性告知应提交的材料。</w:t>
            </w:r>
          </w:p>
          <w:p w14:paraId="420BD67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2.审查阶段责任：提出审查意见，信息公开。</w:t>
            </w:r>
          </w:p>
          <w:p w14:paraId="72F9FCF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3.决定阶段责任：做出准予备案或不予备案的决定；按时办结；法定告知。</w:t>
            </w:r>
          </w:p>
          <w:p w14:paraId="76D5452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4.送达阶段责任：予备案的，出具备案手续；不予备案的，履行告知手续。</w:t>
            </w:r>
          </w:p>
          <w:p w14:paraId="5822729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5.实施监督责任：加强监督检查；依法查处违规行为；维护建筑市场秩序。</w:t>
            </w:r>
          </w:p>
        </w:tc>
        <w:tc>
          <w:tcPr>
            <w:tcW w:w="3402" w:type="dxa"/>
            <w:tcBorders>
              <w:tl2br w:val="nil"/>
              <w:tr2bl w:val="nil"/>
            </w:tcBorders>
            <w:shd w:val="clear" w:color="auto" w:fill="auto"/>
            <w:vAlign w:val="center"/>
          </w:tcPr>
          <w:p w14:paraId="620AA99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因不履行或不正确履行行政职责，有下列情形的，相关告知人员应承担相应责任：</w:t>
            </w:r>
          </w:p>
          <w:p w14:paraId="2A85F2A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1.对符合法定条件的行政备案申请不予以受理的；</w:t>
            </w:r>
          </w:p>
          <w:p w14:paraId="1CDA95A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2.不在办公场所公示依法应当公示的材料的；</w:t>
            </w:r>
          </w:p>
          <w:p w14:paraId="72EF739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3.徇私舞弊，不按法定程序擅自颁发或出具有行政备案证明的；</w:t>
            </w:r>
          </w:p>
          <w:p w14:paraId="597CABE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4.对不符合法定条件的申请人准予备案或者超越法定职责权做出准予备案决定的；</w:t>
            </w:r>
          </w:p>
          <w:p w14:paraId="7C8900B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5.申请人提交的申请材料不齐全、不符合法定形式，故意不一次性告知申请人必须补正的全部内容的；</w:t>
            </w:r>
          </w:p>
          <w:p w14:paraId="7161026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6.未依法说明不受理行政备案申请或者不予备案的理由的；</w:t>
            </w:r>
          </w:p>
          <w:p w14:paraId="741E178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7.在受理行政备案过程中索取或者收受他人财物谋取其他利益的；</w:t>
            </w:r>
          </w:p>
          <w:p w14:paraId="04E9847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8.在受理行政备案过程中故意刁难，对符合法定条件的申请人不予行政备案或者不在法定期限内做出行政备案决定的。</w:t>
            </w:r>
          </w:p>
        </w:tc>
        <w:tc>
          <w:tcPr>
            <w:tcW w:w="567" w:type="dxa"/>
            <w:tcBorders>
              <w:tl2br w:val="nil"/>
              <w:tr2bl w:val="nil"/>
            </w:tcBorders>
            <w:shd w:val="clear" w:color="auto" w:fill="auto"/>
            <w:vAlign w:val="center"/>
          </w:tcPr>
          <w:p w14:paraId="25136608">
            <w:pPr>
              <w:spacing w:line="240" w:lineRule="exact"/>
              <w:jc w:val="center"/>
              <w:rPr>
                <w:rFonts w:ascii="仿宋_GB2312" w:hAnsi="仿宋_GB2312" w:eastAsia="仿宋_GB2312" w:cs="仿宋_GB2312"/>
                <w:color w:val="000000"/>
                <w:sz w:val="18"/>
                <w:szCs w:val="18"/>
              </w:rPr>
            </w:pPr>
          </w:p>
        </w:tc>
      </w:tr>
      <w:tr w14:paraId="280A6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48F7D1">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2</w:t>
            </w:r>
          </w:p>
        </w:tc>
        <w:tc>
          <w:tcPr>
            <w:tcW w:w="850" w:type="dxa"/>
            <w:tcBorders>
              <w:tl2br w:val="nil"/>
              <w:tr2bl w:val="nil"/>
            </w:tcBorders>
            <w:shd w:val="clear" w:color="auto" w:fill="auto"/>
            <w:vAlign w:val="center"/>
          </w:tcPr>
          <w:p w14:paraId="00F756D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1D7D3BB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建筑起重机械租赁单位备案</w:t>
            </w:r>
          </w:p>
        </w:tc>
        <w:tc>
          <w:tcPr>
            <w:tcW w:w="3118" w:type="dxa"/>
            <w:tcBorders>
              <w:tl2br w:val="nil"/>
              <w:tr2bl w:val="nil"/>
            </w:tcBorders>
            <w:shd w:val="clear" w:color="auto" w:fill="auto"/>
            <w:vAlign w:val="center"/>
          </w:tcPr>
          <w:p w14:paraId="3D88D7B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1.《建筑起重机械安全监督管理规定》（原建设部令第166号）第五条 出租单位在建筑起重机械首次出租前，自购建筑起重机械的使用单位在建筑起重机械首次安装前，应当持建筑起重机械特种设备制造许可证、产品合格证和制造监督检验证明到本单位工商注册所在地县级以上地方人民政府建设主管部门办理备案。 </w:t>
            </w:r>
          </w:p>
          <w:p w14:paraId="46203F0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2.《建筑起重机械备案登记办法》（建质[2008]76号）第五条 建筑起重机械出租单位或者自购建筑起重机械使用单位(以下简称“产权单位”)在建筑起重机械首次出租或安装前,应当向本单位工商注册所在地县级以上地方人民政府建设主管部门(以下简称“设备备案机关”)办理备案。</w:t>
            </w:r>
          </w:p>
        </w:tc>
        <w:tc>
          <w:tcPr>
            <w:tcW w:w="1134" w:type="dxa"/>
            <w:tcBorders>
              <w:tl2br w:val="nil"/>
              <w:tr2bl w:val="nil"/>
            </w:tcBorders>
            <w:shd w:val="clear" w:color="auto" w:fill="auto"/>
            <w:vAlign w:val="center"/>
          </w:tcPr>
          <w:p w14:paraId="3D670DA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0C0E867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3FBF78E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14:paraId="04A50E3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2.审查环节责任：对申请人提交的备案材料进行审查，符合备案条件的，予以备案，不符合条件的，不予以备案，并告知理由。</w:t>
            </w:r>
          </w:p>
          <w:p w14:paraId="25CD6EB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3.备案环节责任：符合条件应及时办理告知手续。</w:t>
            </w:r>
          </w:p>
          <w:p w14:paraId="486AECA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4.监管环节责任：采取法律法规规定的各种形式加强备案后续监管。</w:t>
            </w:r>
          </w:p>
          <w:p w14:paraId="5D6CDC0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5.其他法律法规规章规定的应履行的责任。</w:t>
            </w:r>
          </w:p>
        </w:tc>
        <w:tc>
          <w:tcPr>
            <w:tcW w:w="3402" w:type="dxa"/>
            <w:tcBorders>
              <w:tl2br w:val="nil"/>
              <w:tr2bl w:val="nil"/>
            </w:tcBorders>
            <w:shd w:val="clear" w:color="auto" w:fill="auto"/>
            <w:vAlign w:val="center"/>
          </w:tcPr>
          <w:p w14:paraId="25FCBDB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26E6DC1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1.不在办公场所公示依法应当公示的材料的；</w:t>
            </w:r>
          </w:p>
          <w:p w14:paraId="180E5F7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2.符合申报条件不予受理、不予办理的；</w:t>
            </w:r>
          </w:p>
          <w:p w14:paraId="1757FF9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3.不符合申报条件予以受理、办理的；</w:t>
            </w:r>
          </w:p>
          <w:p w14:paraId="0386D83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4.执法人员玩忽职守、滥用职权、</w:t>
            </w:r>
            <w:bookmarkStart w:id="0" w:name="_GoBack"/>
            <w:bookmarkEnd w:id="0"/>
            <w:r>
              <w:rPr>
                <w:rFonts w:hint="eastAsia" w:ascii="仿宋_GB2312" w:hAnsi="仿宋_GB2312" w:eastAsia="仿宋_GB2312" w:cs="仿宋_GB2312"/>
                <w:color w:val="000000"/>
                <w:kern w:val="0"/>
                <w:sz w:val="18"/>
                <w:szCs w:val="18"/>
                <w:lang w:eastAsia="zh-CN" w:bidi="ar"/>
              </w:rPr>
              <w:t>徇私舞弊</w:t>
            </w:r>
            <w:r>
              <w:rPr>
                <w:rFonts w:hint="eastAsia" w:ascii="仿宋_GB2312" w:hAnsi="仿宋_GB2312" w:eastAsia="仿宋_GB2312" w:cs="仿宋_GB2312"/>
                <w:color w:val="000000"/>
                <w:kern w:val="0"/>
                <w:sz w:val="18"/>
                <w:szCs w:val="18"/>
                <w:lang w:bidi="ar"/>
              </w:rPr>
              <w:t>的；</w:t>
            </w:r>
          </w:p>
          <w:p w14:paraId="1434A13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5.其他违反法律法规规章规定的行为。</w:t>
            </w:r>
          </w:p>
        </w:tc>
        <w:tc>
          <w:tcPr>
            <w:tcW w:w="567" w:type="dxa"/>
            <w:tcBorders>
              <w:tl2br w:val="nil"/>
              <w:tr2bl w:val="nil"/>
            </w:tcBorders>
            <w:shd w:val="clear" w:color="auto" w:fill="auto"/>
            <w:vAlign w:val="center"/>
          </w:tcPr>
          <w:p w14:paraId="387AED26">
            <w:pPr>
              <w:spacing w:line="240" w:lineRule="exact"/>
              <w:jc w:val="center"/>
              <w:rPr>
                <w:rFonts w:ascii="仿宋_GB2312" w:hAnsi="仿宋_GB2312" w:eastAsia="仿宋_GB2312" w:cs="仿宋_GB2312"/>
                <w:color w:val="000000"/>
                <w:sz w:val="18"/>
                <w:szCs w:val="18"/>
              </w:rPr>
            </w:pPr>
          </w:p>
        </w:tc>
      </w:tr>
      <w:tr w14:paraId="3624E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7D2C4AE">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3</w:t>
            </w:r>
          </w:p>
        </w:tc>
        <w:tc>
          <w:tcPr>
            <w:tcW w:w="850" w:type="dxa"/>
            <w:tcBorders>
              <w:tl2br w:val="nil"/>
              <w:tr2bl w:val="nil"/>
            </w:tcBorders>
            <w:shd w:val="clear" w:color="auto" w:fill="auto"/>
            <w:vAlign w:val="center"/>
          </w:tcPr>
          <w:p w14:paraId="64511AE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103523A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招标文件备案</w:t>
            </w:r>
          </w:p>
        </w:tc>
        <w:tc>
          <w:tcPr>
            <w:tcW w:w="3118" w:type="dxa"/>
            <w:tcBorders>
              <w:tl2br w:val="nil"/>
              <w:tr2bl w:val="nil"/>
            </w:tcBorders>
            <w:shd w:val="clear" w:color="auto" w:fill="auto"/>
            <w:vAlign w:val="center"/>
          </w:tcPr>
          <w:p w14:paraId="2C9036D6">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1.《中华人民共和国招标投标法》（主席令第21号）第十九条 招标人应当根据招标项目的特点和需要编制招标文件。招标文件应当包括招标项目的技术要求、对投标人资格审查的标准、投标报价要求和评标标准等所有实质性要求和条件以及拟签订合同的主要条款。国家对招标项目的技术、标准有规定的，招标人应当按照其规定在招标文件中提出相应要求。招标项目需要划分标段、确定工期的，招标人应当合理划分标段、确定工期，并在招标文件中载明。</w:t>
            </w:r>
          </w:p>
          <w:p w14:paraId="2C1D0FC0">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2.《房屋建筑和市政基础设施工程施工招标投标管理办法》（建设部令第89号） 第十八条 依法必须进行施工招标的工程，招标人应当在招标文件发出的同时，将招标文件报工程所在地的县级以上地方人民政府建设行政主管部门备案，但实施电子招标投标的项目除外。建设行政主管部门发现招标文件有违反法律、法规内容的，应当责令招标人改正。第十九条 招标人对已发出的招标文件进行必要的澄清或者修改的，应当在招标文件要求提交投标文件截止时间至少15日前，以书面形式通知所有招标文件收受人，并同时报工程所在地的县级以上地方人民政府建设行政主管部门备案，但实施电子招标投标的项目除外。该澄清或者修改的内容为招标文件的组成部分。</w:t>
            </w:r>
          </w:p>
          <w:p w14:paraId="7F2F53BF">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3.《河北省建筑条例》（河北省第十届人民代表大会常务委员会公告第22号）第十四条 招标人在发出招标文件的同时，应当将招标文件报工程所在地县级以上人民政府建设行政主管部门备案。</w:t>
            </w:r>
          </w:p>
        </w:tc>
        <w:tc>
          <w:tcPr>
            <w:tcW w:w="1134" w:type="dxa"/>
            <w:tcBorders>
              <w:tl2br w:val="nil"/>
              <w:tr2bl w:val="nil"/>
            </w:tcBorders>
            <w:shd w:val="clear" w:color="auto" w:fill="auto"/>
            <w:vAlign w:val="center"/>
          </w:tcPr>
          <w:p w14:paraId="53EC17D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F40321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7FA836A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招标文件，即提交备案申请；申请资料齐全、符合法定要求的，应当受理申请；申请资料不齐全或者不符合法定要求的，应当告知申请人需要补正的全部内容；不得要求申请人提交无关的材料；不符合条件的，不予受理。</w:t>
            </w:r>
          </w:p>
          <w:p w14:paraId="7400295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14:paraId="2EF7F26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0374CB2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6ADB733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14:paraId="73EC1A2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14:paraId="2F82D10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14:paraId="4FA1259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14:paraId="044F1AF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14:paraId="359C123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14:paraId="7A8E945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14:paraId="0674D25F">
            <w:pPr>
              <w:spacing w:line="240" w:lineRule="exact"/>
              <w:jc w:val="center"/>
              <w:rPr>
                <w:rFonts w:ascii="仿宋_GB2312" w:hAnsi="仿宋_GB2312" w:eastAsia="仿宋_GB2312" w:cs="仿宋_GB2312"/>
                <w:color w:val="000000"/>
                <w:sz w:val="18"/>
                <w:szCs w:val="18"/>
              </w:rPr>
            </w:pPr>
          </w:p>
        </w:tc>
      </w:tr>
      <w:tr w14:paraId="4DBF5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A70F024">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4</w:t>
            </w:r>
          </w:p>
        </w:tc>
        <w:tc>
          <w:tcPr>
            <w:tcW w:w="850" w:type="dxa"/>
            <w:tcBorders>
              <w:tl2br w:val="nil"/>
              <w:tr2bl w:val="nil"/>
            </w:tcBorders>
            <w:shd w:val="clear" w:color="auto" w:fill="auto"/>
            <w:vAlign w:val="center"/>
          </w:tcPr>
          <w:p w14:paraId="223DB93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61097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建设工程竣工验收消防备案</w:t>
            </w:r>
          </w:p>
        </w:tc>
        <w:tc>
          <w:tcPr>
            <w:tcW w:w="3118" w:type="dxa"/>
            <w:tcBorders>
              <w:tl2br w:val="nil"/>
              <w:tr2bl w:val="nil"/>
            </w:tcBorders>
            <w:shd w:val="clear" w:color="auto" w:fill="auto"/>
            <w:vAlign w:val="center"/>
          </w:tcPr>
          <w:p w14:paraId="0F3A86F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《中华人民共和国消防法》第十三条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第十四条 建设工程消防设计审查、消防验收、备案和抽查的具体办法，由国务院住房和城乡建设主管部门规定。</w:t>
            </w:r>
          </w:p>
        </w:tc>
        <w:tc>
          <w:tcPr>
            <w:tcW w:w="1134" w:type="dxa"/>
            <w:tcBorders>
              <w:tl2br w:val="nil"/>
              <w:tr2bl w:val="nil"/>
            </w:tcBorders>
            <w:shd w:val="clear" w:color="auto" w:fill="auto"/>
            <w:vAlign w:val="center"/>
          </w:tcPr>
          <w:p w14:paraId="569340A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190BDBF">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73728F2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1.受理责任：公示应当提交的材料，一次性告知补正材料，依法受理或不予受理（不予受理应当告知理由）。</w:t>
            </w:r>
          </w:p>
          <w:p w14:paraId="233AF9E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建设工程消防设计审查验收管理暂行规定》（住建部第51号令）第三十五条，消防设计审查验收主管部门收到建设单位备案材料后，对备案材料齐全的，应当出具备案凭证；备案材料不齐全的，应当一次性告知需要补正的全部内容。第三十六条消防设计审查验收主管部门应当对备案的其他建设工程进行抽查。抽查工作推行“双随机、一公开”制度,随机抽取检查对象,随机选派检查人员。抽取比例由省、自治区、直辖市人民政府住房和城乡建设主管部门，结合辖区内消防设计、施工质量情况确定，并向社会公示。消防设计审查验收主管部门应当自其他建设工程被确定为检查对象之日起十五个工作日内，按照建设工程消防验收有关规定完成检查，制作检查记录。检查结果应当通知建设单位，并向社会公示。</w:t>
            </w:r>
          </w:p>
          <w:p w14:paraId="2C7E50B9">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3.决定责任；作出行政许可或者不予行政许可决定，法定告知（不予许可的应当书面告知理由）。</w:t>
            </w:r>
          </w:p>
          <w:p w14:paraId="44AB88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4、送达责任：准予许可的制发送达许可证，按规定进行信息公开。</w:t>
            </w:r>
          </w:p>
        </w:tc>
        <w:tc>
          <w:tcPr>
            <w:tcW w:w="3402" w:type="dxa"/>
            <w:tcBorders>
              <w:tl2br w:val="nil"/>
              <w:tr2bl w:val="nil"/>
            </w:tcBorders>
            <w:shd w:val="clear" w:color="auto" w:fill="auto"/>
            <w:tcMar>
              <w:top w:w="15" w:type="dxa"/>
              <w:left w:w="0" w:type="dxa"/>
              <w:bottom w:w="15" w:type="dxa"/>
              <w:right w:w="0" w:type="dxa"/>
            </w:tcMar>
            <w:vAlign w:val="center"/>
          </w:tcPr>
          <w:p w14:paraId="1A07BA7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5CDD18D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1.对符合法定条件的行政许可申请不予受理的；</w:t>
            </w:r>
          </w:p>
          <w:p w14:paraId="18B95D9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2.不在办公场所公示依法应当公示的材料的；</w:t>
            </w:r>
          </w:p>
          <w:p w14:paraId="5B153D6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3.在受理、审查、决定行政许可过程中，未向申请人、利害关系人履行法定告知义务的；</w:t>
            </w:r>
          </w:p>
          <w:p w14:paraId="673CC3D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4.申请人提交的申请材料不齐全、不符合法定形式，不一次告知申请人必须补正的全部内容的；</w:t>
            </w:r>
          </w:p>
          <w:p w14:paraId="05783E1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5.未依法说明不受理行政许可申请或者不予行政许可的理由的；</w:t>
            </w:r>
          </w:p>
          <w:p w14:paraId="047BA08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6.对不符合消防安全要求的消防设计文件、建设工程、场所准予审查合格、消防验收合格、消防安全检查合格的；</w:t>
            </w:r>
          </w:p>
          <w:p w14:paraId="1A510EE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7.无故拖延消防设计审查、消防验收、消防安全检查，不在法定期限内履行职责的；</w:t>
            </w:r>
          </w:p>
          <w:p w14:paraId="3C87A35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8.利用职务为用户、建设单位指定或者变相指定消防产品的品牌、销售单位或者消防技术服务机构、消防设施施工单位的；</w:t>
            </w:r>
          </w:p>
          <w:p w14:paraId="70BA2AC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9.其他滥用职权、玩忽职守、徇私舞弊的行为。</w:t>
            </w:r>
          </w:p>
          <w:p w14:paraId="020C0A9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10.其他违反法律法规规章文件规定行为。</w:t>
            </w:r>
          </w:p>
        </w:tc>
        <w:tc>
          <w:tcPr>
            <w:tcW w:w="567" w:type="dxa"/>
            <w:tcBorders>
              <w:tl2br w:val="nil"/>
              <w:tr2bl w:val="nil"/>
            </w:tcBorders>
            <w:shd w:val="clear" w:color="auto" w:fill="auto"/>
            <w:tcMar>
              <w:left w:w="0" w:type="dxa"/>
              <w:right w:w="0" w:type="dxa"/>
            </w:tcMar>
            <w:vAlign w:val="center"/>
          </w:tcPr>
          <w:p w14:paraId="7D900B01">
            <w:pPr>
              <w:spacing w:line="240" w:lineRule="exact"/>
              <w:jc w:val="center"/>
              <w:rPr>
                <w:rFonts w:ascii="仿宋_GB2312" w:hAnsi="仿宋_GB2312" w:eastAsia="仿宋_GB2312" w:cs="仿宋_GB2312"/>
                <w:color w:val="000000"/>
                <w:sz w:val="18"/>
                <w:szCs w:val="18"/>
              </w:rPr>
            </w:pPr>
          </w:p>
        </w:tc>
      </w:tr>
      <w:tr w14:paraId="2E7950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F4A947">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5</w:t>
            </w:r>
          </w:p>
        </w:tc>
        <w:tc>
          <w:tcPr>
            <w:tcW w:w="850" w:type="dxa"/>
            <w:tcBorders>
              <w:tl2br w:val="nil"/>
              <w:tr2bl w:val="nil"/>
            </w:tcBorders>
            <w:shd w:val="clear" w:color="auto" w:fill="auto"/>
            <w:vAlign w:val="center"/>
          </w:tcPr>
          <w:p w14:paraId="76E788D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43B66E4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民用建筑节能验收备案</w:t>
            </w:r>
          </w:p>
        </w:tc>
        <w:tc>
          <w:tcPr>
            <w:tcW w:w="3118" w:type="dxa"/>
            <w:tcBorders>
              <w:tl2br w:val="nil"/>
              <w:tr2bl w:val="nil"/>
            </w:tcBorders>
            <w:shd w:val="clear" w:color="auto" w:fill="auto"/>
            <w:vAlign w:val="center"/>
          </w:tcPr>
          <w:p w14:paraId="3BA8FFD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《河北省民用建筑节能条例》（2009年7月30日河北省第十一届人民代表大会常务委员会公告第17号）第十七条 民用建筑工程的建设单位、设计单位、施工图审查机构、施工单位、监理单位、工程质量检测机构和注册执业人员，应当执行民用建筑节能标准不符合民用建筑节能标准的民用建筑工程，不得批准开工建设;擅自开工建设的，不予批准预售;已经建成或者销售的，不予竣工验收备案，不予产权初始登记。</w:t>
            </w:r>
          </w:p>
        </w:tc>
        <w:tc>
          <w:tcPr>
            <w:tcW w:w="1134" w:type="dxa"/>
            <w:tcBorders>
              <w:tl2br w:val="nil"/>
              <w:tr2bl w:val="nil"/>
            </w:tcBorders>
            <w:shd w:val="clear" w:color="auto" w:fill="auto"/>
            <w:vAlign w:val="center"/>
          </w:tcPr>
          <w:p w14:paraId="5E06982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1874461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32BF00D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14:paraId="0D8FF959">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14:paraId="620E0F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14:paraId="270272D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3EFDDEF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14:paraId="4C419C7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14:paraId="6996ABB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w:t>
            </w:r>
            <w:r>
              <w:rPr>
                <w:rFonts w:hint="eastAsia" w:ascii="仿宋_GB2312" w:hAnsi="仿宋_GB2312" w:eastAsia="仿宋_GB2312" w:cs="仿宋_GB2312"/>
                <w:color w:val="000000"/>
                <w:kern w:val="0"/>
                <w:sz w:val="18"/>
                <w:szCs w:val="18"/>
                <w:lang w:eastAsia="zh-CN" w:bidi="ar"/>
              </w:rPr>
              <w:t>徇私舞弊</w:t>
            </w:r>
            <w:r>
              <w:rPr>
                <w:rFonts w:hint="eastAsia" w:ascii="仿宋_GB2312" w:hAnsi="仿宋_GB2312" w:eastAsia="仿宋_GB2312" w:cs="仿宋_GB2312"/>
                <w:color w:val="000000"/>
                <w:kern w:val="0"/>
                <w:sz w:val="18"/>
                <w:szCs w:val="18"/>
                <w:lang w:bidi="ar"/>
              </w:rPr>
              <w:t>的；</w:t>
            </w:r>
          </w:p>
          <w:p w14:paraId="455679F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14:paraId="72D4D7AD">
            <w:pPr>
              <w:spacing w:line="240" w:lineRule="exact"/>
              <w:jc w:val="center"/>
              <w:rPr>
                <w:rFonts w:ascii="仿宋_GB2312" w:hAnsi="仿宋_GB2312" w:eastAsia="仿宋_GB2312" w:cs="仿宋_GB2312"/>
                <w:color w:val="000000"/>
                <w:sz w:val="18"/>
                <w:szCs w:val="18"/>
              </w:rPr>
            </w:pPr>
          </w:p>
        </w:tc>
      </w:tr>
      <w:tr w14:paraId="270B7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C8DCE25">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6</w:t>
            </w:r>
          </w:p>
        </w:tc>
        <w:tc>
          <w:tcPr>
            <w:tcW w:w="850" w:type="dxa"/>
            <w:tcBorders>
              <w:tl2br w:val="nil"/>
              <w:tr2bl w:val="nil"/>
            </w:tcBorders>
            <w:shd w:val="clear" w:color="auto" w:fill="auto"/>
            <w:vAlign w:val="center"/>
          </w:tcPr>
          <w:p w14:paraId="6C83A49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188DAD1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招标人对已发出的招标的招标文件进行必要的澄清或者修改的备案</w:t>
            </w:r>
          </w:p>
        </w:tc>
        <w:tc>
          <w:tcPr>
            <w:tcW w:w="3118" w:type="dxa"/>
            <w:tcBorders>
              <w:tl2br w:val="nil"/>
              <w:tr2bl w:val="nil"/>
            </w:tcBorders>
            <w:shd w:val="clear" w:color="auto" w:fill="auto"/>
            <w:vAlign w:val="center"/>
          </w:tcPr>
          <w:p w14:paraId="58D71682">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1.《中华人民共和国招标投标法》（主席令第21号）第十九条 招标人应当根据招标项目的特点和需要编制招标文件。招标文件应当包括招标项目的技术要求、对投标人资格审查的标准、投标报价要求和评标标准等所有实质性要求和条件以及拟签订合同的主要条款。国家对招标项目的技术、标准有规定的，招标人应当按照其规定在招标文件中提出相应要求。招标项目需要划分标段、确定工期的，招标人应当合理划分标段、确定工期，并在招标文件中载明。</w:t>
            </w:r>
          </w:p>
          <w:p w14:paraId="7BE389FC">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2.《房屋建筑和市政基础设施工程施工招标投标管理办法》（建设部令第89号）第十八条 依法必须进行施工招标的工程，招标人应当在招标文件发出的同时，将招标文件报工程所在地的县级以上地方人民政府建设行政主管部门备案，但实施电子招标投标的项目除外。建设行政主管部门发现招标文件有违反法律、法规内容的，应当责令招标人改正。第十九条 招标人对已发出的招标文件进行必要的澄清或者修改的，应当在招标文件要求提交投标文件截止时间至少15日前，以书面形式通知所有招标文件收受人，并同时报工程所在地的县级以上地方人民政府建设行政主管部门备案，但实施电子招标投标的项目除外。该澄清或者修改的内容为招标文件的组成部分。</w:t>
            </w:r>
          </w:p>
          <w:p w14:paraId="2B6315E8">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3.《河北省建筑条例》（河北省第十届人民代表大会常务委员会公告第22号）第十四条 招标人在发出招标文件的同时，应当将招标文件报工程所在地县级以上人民政府建设行政主管部门备案。</w:t>
            </w:r>
          </w:p>
        </w:tc>
        <w:tc>
          <w:tcPr>
            <w:tcW w:w="1134" w:type="dxa"/>
            <w:tcBorders>
              <w:tl2br w:val="nil"/>
              <w:tr2bl w:val="nil"/>
            </w:tcBorders>
            <w:shd w:val="clear" w:color="auto" w:fill="auto"/>
            <w:vAlign w:val="center"/>
          </w:tcPr>
          <w:p w14:paraId="26D968A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0518FEF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5163A16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招标文件，即提交备案申请；申请资料齐全、符合法定要求的，应当受理申请；申请资料不齐全或者不符合法定要求的，应当告知申请人需要补正的全部内容；不得要求申请人提交无关的材料；不符合条件的，不予受理。</w:t>
            </w:r>
          </w:p>
          <w:p w14:paraId="487810D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14:paraId="6F6A835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28BCB83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39646CD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14:paraId="53A27A7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14:paraId="1247D8C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14:paraId="1DC4481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14:paraId="053FD57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14:paraId="1099996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14:paraId="5C1A7ED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14:paraId="2910A550">
            <w:pPr>
              <w:spacing w:line="240" w:lineRule="exact"/>
              <w:jc w:val="center"/>
              <w:rPr>
                <w:rFonts w:ascii="仿宋_GB2312" w:hAnsi="仿宋_GB2312" w:eastAsia="仿宋_GB2312" w:cs="仿宋_GB2312"/>
                <w:color w:val="000000"/>
                <w:sz w:val="18"/>
                <w:szCs w:val="18"/>
              </w:rPr>
            </w:pPr>
          </w:p>
        </w:tc>
      </w:tr>
      <w:tr w14:paraId="67B1E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EFDD472">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7</w:t>
            </w:r>
          </w:p>
        </w:tc>
        <w:tc>
          <w:tcPr>
            <w:tcW w:w="850" w:type="dxa"/>
            <w:tcBorders>
              <w:tl2br w:val="nil"/>
              <w:tr2bl w:val="nil"/>
            </w:tcBorders>
            <w:shd w:val="clear" w:color="auto" w:fill="auto"/>
            <w:vAlign w:val="center"/>
          </w:tcPr>
          <w:p w14:paraId="3303A77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4EFE66F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房地产开发项目备案</w:t>
            </w:r>
          </w:p>
        </w:tc>
        <w:tc>
          <w:tcPr>
            <w:tcW w:w="3118" w:type="dxa"/>
            <w:tcBorders>
              <w:tl2br w:val="nil"/>
              <w:tr2bl w:val="nil"/>
            </w:tcBorders>
            <w:shd w:val="clear" w:color="auto" w:fill="auto"/>
            <w:vAlign w:val="center"/>
          </w:tcPr>
          <w:p w14:paraId="185AA02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1.《城市房地产开发经营管理条例》第十八条 房地产开发企业应当将房地产开发项目建设过程中的主要事项记录在房地产开发项目手册中，并定期送房地产开发主管部门备案。</w:t>
            </w:r>
          </w:p>
          <w:p w14:paraId="694C177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2.《河北省城市房地产开发经营管理规定》第十四条 房地产开发企业应当按规定将房地产开发项目建设过程中的下列事项如实记录在房地产开发项目手册中，并分别于每年的6月底和12月底前送房地产开发主管部门备案：（一）项目的性质、规模和开发期限；（二）经批准的规划设计方案；（三）资本金到位和开发建设投资完成情况；（四）拆迁补偿安置情况；（五）开工日期和建设进度情况；（六）按规定应当记录的其他事项。</w:t>
            </w:r>
          </w:p>
        </w:tc>
        <w:tc>
          <w:tcPr>
            <w:tcW w:w="1134" w:type="dxa"/>
            <w:tcBorders>
              <w:tl2br w:val="nil"/>
              <w:tr2bl w:val="nil"/>
            </w:tcBorders>
            <w:shd w:val="clear" w:color="auto" w:fill="auto"/>
            <w:vAlign w:val="center"/>
          </w:tcPr>
          <w:p w14:paraId="74212ED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5217D70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5B125019">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14:paraId="368B107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14:paraId="3B29222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14:paraId="3667B8C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4D66022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14:paraId="0623926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14:paraId="40F1D95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w:t>
            </w:r>
            <w:r>
              <w:rPr>
                <w:rFonts w:hint="eastAsia" w:ascii="仿宋_GB2312" w:hAnsi="仿宋_GB2312" w:eastAsia="仿宋_GB2312" w:cs="仿宋_GB2312"/>
                <w:color w:val="000000"/>
                <w:kern w:val="0"/>
                <w:sz w:val="18"/>
                <w:szCs w:val="18"/>
                <w:lang w:eastAsia="zh-CN" w:bidi="ar"/>
              </w:rPr>
              <w:t>徇私舞弊</w:t>
            </w:r>
            <w:r>
              <w:rPr>
                <w:rFonts w:hint="eastAsia" w:ascii="仿宋_GB2312" w:hAnsi="仿宋_GB2312" w:eastAsia="仿宋_GB2312" w:cs="仿宋_GB2312"/>
                <w:color w:val="000000"/>
                <w:kern w:val="0"/>
                <w:sz w:val="18"/>
                <w:szCs w:val="18"/>
                <w:lang w:bidi="ar"/>
              </w:rPr>
              <w:t>的；</w:t>
            </w:r>
          </w:p>
          <w:p w14:paraId="2A63AF8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14:paraId="654CFACB">
            <w:pPr>
              <w:spacing w:line="240" w:lineRule="exact"/>
              <w:jc w:val="center"/>
              <w:rPr>
                <w:rFonts w:ascii="仿宋_GB2312" w:hAnsi="仿宋_GB2312" w:eastAsia="仿宋_GB2312" w:cs="仿宋_GB2312"/>
                <w:color w:val="000000"/>
                <w:sz w:val="18"/>
                <w:szCs w:val="18"/>
              </w:rPr>
            </w:pPr>
          </w:p>
        </w:tc>
      </w:tr>
      <w:tr w14:paraId="1CD80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7443800">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8</w:t>
            </w:r>
          </w:p>
        </w:tc>
        <w:tc>
          <w:tcPr>
            <w:tcW w:w="850" w:type="dxa"/>
            <w:tcBorders>
              <w:tl2br w:val="nil"/>
              <w:tr2bl w:val="nil"/>
            </w:tcBorders>
            <w:shd w:val="clear" w:color="auto" w:fill="auto"/>
            <w:vAlign w:val="center"/>
          </w:tcPr>
          <w:p w14:paraId="7F39BB2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2C86C8E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招标人自行办理招标备案</w:t>
            </w:r>
          </w:p>
        </w:tc>
        <w:tc>
          <w:tcPr>
            <w:tcW w:w="3118" w:type="dxa"/>
            <w:tcBorders>
              <w:tl2br w:val="nil"/>
              <w:tr2bl w:val="nil"/>
            </w:tcBorders>
            <w:shd w:val="clear" w:color="auto" w:fill="auto"/>
            <w:vAlign w:val="center"/>
          </w:tcPr>
          <w:p w14:paraId="08B6791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1.《中华人民共和国招标投标法》（主席令第21号）第十二条 依法必须进行招标的项目，招标人自行办理招标事宜的，应当向有关行政监督部门备案。</w:t>
            </w:r>
          </w:p>
          <w:p w14:paraId="5914683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2.《房屋建筑和市政基础设施工程施工招标投标管理办法》（建设部令第89号）第十一条 依法必须进行施工招标的工程，招标人自行办理施工招标事宜的，应当具有编制招标文件和组织评标的能力。</w:t>
            </w:r>
          </w:p>
          <w:p w14:paraId="2760B90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3.《河北省实施＜中华人民共和国招标投标法＞办法》（省九届人大公告第54号）第十二条 依法必须进行招标的项目，招标人自行办理招标事宜的，应当向有关行政监督部门备案。</w:t>
            </w:r>
          </w:p>
        </w:tc>
        <w:tc>
          <w:tcPr>
            <w:tcW w:w="1134" w:type="dxa"/>
            <w:tcBorders>
              <w:tl2br w:val="nil"/>
              <w:tr2bl w:val="nil"/>
            </w:tcBorders>
            <w:shd w:val="clear" w:color="auto" w:fill="auto"/>
            <w:vAlign w:val="center"/>
          </w:tcPr>
          <w:p w14:paraId="5D91467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77EAA2D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2EEBF4D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备案资料，即提交备案申请。申请资料齐全、符合法定要求的，应当受理申请；申请资料不齐全或者不符合法定要求的，应当告知申请人需要补正的全部内容；不得要求申请人提交无关的材料；不符合条件的，不予受理。</w:t>
            </w:r>
          </w:p>
          <w:p w14:paraId="78844AE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14:paraId="6A11078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2BBD699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3E66EF8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14:paraId="5AF886A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14:paraId="307A4FE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14:paraId="495E7EB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14:paraId="0FC503F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14:paraId="1068DB0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14:paraId="3C1D4F4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14:paraId="4777C9D9">
            <w:pPr>
              <w:spacing w:line="240" w:lineRule="exact"/>
              <w:jc w:val="center"/>
              <w:rPr>
                <w:rFonts w:ascii="仿宋_GB2312" w:hAnsi="仿宋_GB2312" w:eastAsia="仿宋_GB2312" w:cs="仿宋_GB2312"/>
                <w:color w:val="000000"/>
                <w:sz w:val="18"/>
                <w:szCs w:val="18"/>
              </w:rPr>
            </w:pPr>
          </w:p>
        </w:tc>
      </w:tr>
      <w:tr w14:paraId="4DBF9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5773E09">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9</w:t>
            </w:r>
          </w:p>
        </w:tc>
        <w:tc>
          <w:tcPr>
            <w:tcW w:w="850" w:type="dxa"/>
            <w:tcBorders>
              <w:tl2br w:val="nil"/>
              <w:tr2bl w:val="nil"/>
            </w:tcBorders>
            <w:shd w:val="clear" w:color="auto" w:fill="auto"/>
            <w:vAlign w:val="center"/>
          </w:tcPr>
          <w:p w14:paraId="03CB8D1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D232FA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物业服务收费标准及相关管理规定备案</w:t>
            </w:r>
          </w:p>
        </w:tc>
        <w:tc>
          <w:tcPr>
            <w:tcW w:w="3118" w:type="dxa"/>
            <w:tcBorders>
              <w:tl2br w:val="nil"/>
              <w:tr2bl w:val="nil"/>
            </w:tcBorders>
            <w:shd w:val="clear" w:color="auto" w:fill="auto"/>
            <w:vAlign w:val="center"/>
          </w:tcPr>
          <w:p w14:paraId="4698202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《河北省物业服务收费管理实施办法》（冀价经费[2014]12号）第八条 设区市、县(市)房地产行政主管部门会同同级价格主管部门负责制定本行政区域内物业服务等级标准并对执行情况进行监督管理。第九条 实行政府指导价的住宅区公共性物业服务收费，由设区市、(市)人民政府价格主管部门会同同级房地产行政主管部门根据物业服务等级标准等因素，制定相应的等级基准价及其浮动幅度和相关物业服务收费标准，并向社会公布。各设区市、省直管县、扩权县(市)制定的物业服务收费标准及相关管理规定应及时向省级价格主管部门和房地产行政主管部门备案。其它县(市)制定的物业服务收费标准及相关管理规定应及时向设区市价格和房地产行政主管部门备案。物业服务收费等级基准价应根据社会平均成本变动情况适时调整，可建立与当地社会平均工资水平联动机</w:t>
            </w:r>
          </w:p>
          <w:p w14:paraId="526D067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制。</w:t>
            </w:r>
          </w:p>
        </w:tc>
        <w:tc>
          <w:tcPr>
            <w:tcW w:w="1134" w:type="dxa"/>
            <w:tcBorders>
              <w:tl2br w:val="nil"/>
              <w:tr2bl w:val="nil"/>
            </w:tcBorders>
            <w:shd w:val="clear" w:color="auto" w:fill="auto"/>
            <w:vAlign w:val="center"/>
          </w:tcPr>
          <w:p w14:paraId="3FF506F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6DF81ED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09F727A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w:t>
            </w:r>
          </w:p>
          <w:p w14:paraId="66B564A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2.审查责任：审核有关材料，符合要求的，给予审核通过；</w:t>
            </w:r>
          </w:p>
          <w:p w14:paraId="127A57B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3.决定责任:做出申请人是否通过确认的决定；不符合要求的，应当书面通知申请人；</w:t>
            </w:r>
          </w:p>
          <w:p w14:paraId="137AFD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14:paraId="72A5A1E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536E0C4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1.对符合受理条件的申请不予受理的；</w:t>
            </w:r>
          </w:p>
          <w:p w14:paraId="3E501A8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2.未严格按照相关政策履行义</w:t>
            </w:r>
          </w:p>
          <w:p w14:paraId="2F5F177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务，对应当予以认定的不予认定，或者对不应认定的予以认定的；</w:t>
            </w:r>
          </w:p>
          <w:p w14:paraId="0E3DD12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3.未作出书面告知行为的；</w:t>
            </w:r>
          </w:p>
          <w:p w14:paraId="4F2BEE9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14:paraId="640653C2">
            <w:pPr>
              <w:spacing w:line="240" w:lineRule="exact"/>
              <w:jc w:val="center"/>
              <w:rPr>
                <w:rFonts w:ascii="仿宋_GB2312" w:hAnsi="仿宋_GB2312" w:eastAsia="仿宋_GB2312" w:cs="仿宋_GB2312"/>
                <w:color w:val="000000"/>
                <w:sz w:val="18"/>
                <w:szCs w:val="18"/>
              </w:rPr>
            </w:pPr>
          </w:p>
        </w:tc>
      </w:tr>
      <w:tr w14:paraId="661AF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B30EB3">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10</w:t>
            </w:r>
          </w:p>
        </w:tc>
        <w:tc>
          <w:tcPr>
            <w:tcW w:w="850" w:type="dxa"/>
            <w:tcBorders>
              <w:tl2br w:val="nil"/>
              <w:tr2bl w:val="nil"/>
            </w:tcBorders>
            <w:shd w:val="clear" w:color="auto" w:fill="auto"/>
            <w:vAlign w:val="center"/>
          </w:tcPr>
          <w:p w14:paraId="322222C8">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5DE0A7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三级（含）以上开发资质备案</w:t>
            </w:r>
          </w:p>
        </w:tc>
        <w:tc>
          <w:tcPr>
            <w:tcW w:w="3118" w:type="dxa"/>
            <w:tcBorders>
              <w:tl2br w:val="nil"/>
              <w:tr2bl w:val="nil"/>
            </w:tcBorders>
            <w:shd w:val="clear" w:color="auto" w:fill="auto"/>
            <w:vAlign w:val="center"/>
          </w:tcPr>
          <w:p w14:paraId="2B102A2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河北省建设厅关于房地产开发企业资质审批有关问题的通知》（冀建房[2008]623号）六、关于审批结果的备案“直接向省建设厅申请二、三级资质的企业，省建设厅在许可后向设区市房地产开发主管部门通报；被许可的企业持资质证书和申报表到市、县房地产开发主管部门备案登记。</w:t>
            </w:r>
          </w:p>
        </w:tc>
        <w:tc>
          <w:tcPr>
            <w:tcW w:w="1134" w:type="dxa"/>
            <w:tcBorders>
              <w:tl2br w:val="nil"/>
              <w:tr2bl w:val="nil"/>
            </w:tcBorders>
            <w:shd w:val="clear" w:color="auto" w:fill="auto"/>
            <w:vAlign w:val="center"/>
          </w:tcPr>
          <w:p w14:paraId="70EFDDA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0AA9928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3353879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1.受理责任：公示应当提交的材料，一次性告知补正材料，依法备案或不予备案（不予备案应当告知理由）。</w:t>
            </w:r>
          </w:p>
          <w:p w14:paraId="2EB2508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2.审查责任：按照《河北省建设厅关于房地产开发企业资质审批有关问题的通知》（冀建房[2008]623号）有关规定，对提交的备案材料进行审查。</w:t>
            </w:r>
          </w:p>
          <w:p w14:paraId="0D0D5A8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3.决定责任；作出申请人是否通过确认的决定；不符合要求的，应当书面通知申请人。</w:t>
            </w:r>
          </w:p>
          <w:p w14:paraId="364673A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4.送达责任：通过确认的，对企业信息及时变更登记。</w:t>
            </w:r>
          </w:p>
          <w:p w14:paraId="25410EE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5.事后监管责任：对三级（含）以上开发资质企业活动进行监督检查，并根据检查情况作出警告、责令整改、报审批部门依法降低资质等级或者注销其资质证书。</w:t>
            </w:r>
          </w:p>
          <w:p w14:paraId="7E1A891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5A9371B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609009A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1.未严格按照相关政策、法律、法规履行备案义务，对应当予以备案的不予备案，或者对不应备案的予以备案；</w:t>
            </w:r>
          </w:p>
          <w:p w14:paraId="36BB617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2.工作中玩忽职守、滥用职权的；</w:t>
            </w:r>
          </w:p>
          <w:p w14:paraId="69A575F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3.办理三级（含）以上开发资质备案，索取或者收受他人财物或者谋取其他利益的；</w:t>
            </w:r>
          </w:p>
          <w:p w14:paraId="2E4DAB7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4.其他违反法律法规规章文件规定的行为。</w:t>
            </w:r>
          </w:p>
        </w:tc>
        <w:tc>
          <w:tcPr>
            <w:tcW w:w="567" w:type="dxa"/>
            <w:tcBorders>
              <w:tl2br w:val="nil"/>
              <w:tr2bl w:val="nil"/>
            </w:tcBorders>
            <w:shd w:val="clear" w:color="auto" w:fill="auto"/>
            <w:vAlign w:val="center"/>
          </w:tcPr>
          <w:p w14:paraId="4FFE268B">
            <w:pPr>
              <w:spacing w:line="240" w:lineRule="exact"/>
              <w:jc w:val="center"/>
              <w:rPr>
                <w:rFonts w:ascii="仿宋_GB2312" w:hAnsi="仿宋_GB2312" w:eastAsia="仿宋_GB2312" w:cs="仿宋_GB2312"/>
                <w:color w:val="000000"/>
                <w:sz w:val="18"/>
                <w:szCs w:val="18"/>
              </w:rPr>
            </w:pPr>
          </w:p>
        </w:tc>
      </w:tr>
      <w:tr w14:paraId="3544FD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C7CCB03">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11</w:t>
            </w:r>
          </w:p>
        </w:tc>
        <w:tc>
          <w:tcPr>
            <w:tcW w:w="850" w:type="dxa"/>
            <w:tcBorders>
              <w:tl2br w:val="nil"/>
              <w:tr2bl w:val="nil"/>
            </w:tcBorders>
            <w:shd w:val="clear" w:color="auto" w:fill="auto"/>
            <w:vAlign w:val="center"/>
          </w:tcPr>
          <w:p w14:paraId="203B7EB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51DC15E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房地产开发项目转让备案</w:t>
            </w:r>
          </w:p>
        </w:tc>
        <w:tc>
          <w:tcPr>
            <w:tcW w:w="3118" w:type="dxa"/>
            <w:tcBorders>
              <w:tl2br w:val="nil"/>
              <w:tr2bl w:val="nil"/>
            </w:tcBorders>
            <w:shd w:val="clear" w:color="auto" w:fill="auto"/>
            <w:vAlign w:val="center"/>
          </w:tcPr>
          <w:p w14:paraId="49A57683">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《城市房地产开发经营管理条例》第二十条 转让房地产开发项目，转让人和受让人应当自土地使用权变更登记手续办理完毕之日起30日内，持房地产开发项目转让合同到房地产开发主管部门备案。</w:t>
            </w:r>
          </w:p>
        </w:tc>
        <w:tc>
          <w:tcPr>
            <w:tcW w:w="1134" w:type="dxa"/>
            <w:tcBorders>
              <w:tl2br w:val="nil"/>
              <w:tr2bl w:val="nil"/>
            </w:tcBorders>
            <w:shd w:val="clear" w:color="auto" w:fill="auto"/>
            <w:vAlign w:val="center"/>
          </w:tcPr>
          <w:p w14:paraId="2EC0DF71">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5A65E1E6">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67082F2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1.受理责任：公示应当提交的材料，一次性告知补正材料，依法备案或不予备案（不予备案应当告知理由）。</w:t>
            </w:r>
          </w:p>
          <w:p w14:paraId="073672E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2.审查责任：按照《城市房地产开发经营管理条例》有关规定，对提交的备案材料进行审查。</w:t>
            </w:r>
          </w:p>
          <w:p w14:paraId="6021BCC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3.决定责任；作出申请人是否通过确认的决定；不符合要求的，应当书面通知申请人。</w:t>
            </w:r>
          </w:p>
          <w:p w14:paraId="4CDAACA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4.送达责任：通过确认的，对企业及项目信息及时变更登记。</w:t>
            </w:r>
          </w:p>
          <w:p w14:paraId="700C926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5.事后监管责任：对房地产开发项目转让备案活动进行监督检查，并根据检查情况向有关部门移交违法违规行为线索。</w:t>
            </w:r>
          </w:p>
          <w:p w14:paraId="6652ED8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5AF68C3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522B878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1.未严格按照相关政策、法律、法规履行备案义务，对应当予以备案的不予备案，或者对不应备案的予以备案；</w:t>
            </w:r>
          </w:p>
          <w:p w14:paraId="093B01D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2.工作中玩忽职守、滥用职权的；</w:t>
            </w:r>
          </w:p>
          <w:p w14:paraId="68EE455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3.办理房地产开发项目转让备案，索取或者收受他人财物或者谋取其他利益的；</w:t>
            </w:r>
          </w:p>
          <w:p w14:paraId="43F625B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4.其他违反法律法规规章文件规定的行为。</w:t>
            </w:r>
          </w:p>
        </w:tc>
        <w:tc>
          <w:tcPr>
            <w:tcW w:w="567" w:type="dxa"/>
            <w:tcBorders>
              <w:tl2br w:val="nil"/>
              <w:tr2bl w:val="nil"/>
            </w:tcBorders>
            <w:shd w:val="clear" w:color="auto" w:fill="auto"/>
            <w:vAlign w:val="center"/>
          </w:tcPr>
          <w:p w14:paraId="43A1EF9D">
            <w:pPr>
              <w:spacing w:line="240" w:lineRule="exact"/>
              <w:jc w:val="center"/>
              <w:rPr>
                <w:rFonts w:ascii="仿宋_GB2312" w:hAnsi="仿宋_GB2312" w:eastAsia="仿宋_GB2312" w:cs="仿宋_GB2312"/>
                <w:color w:val="000000"/>
                <w:sz w:val="18"/>
                <w:szCs w:val="18"/>
              </w:rPr>
            </w:pPr>
          </w:p>
        </w:tc>
      </w:tr>
      <w:tr w14:paraId="0991B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1DDC1F1">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12</w:t>
            </w:r>
          </w:p>
        </w:tc>
        <w:tc>
          <w:tcPr>
            <w:tcW w:w="850" w:type="dxa"/>
            <w:tcBorders>
              <w:tl2br w:val="nil"/>
              <w:tr2bl w:val="nil"/>
            </w:tcBorders>
            <w:shd w:val="clear" w:color="auto" w:fill="auto"/>
            <w:vAlign w:val="center"/>
          </w:tcPr>
          <w:p w14:paraId="36DF807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2063B23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施工扬尘备案</w:t>
            </w:r>
          </w:p>
        </w:tc>
        <w:tc>
          <w:tcPr>
            <w:tcW w:w="3118" w:type="dxa"/>
            <w:tcBorders>
              <w:tl2br w:val="nil"/>
              <w:tr2bl w:val="nil"/>
            </w:tcBorders>
            <w:shd w:val="clear" w:color="auto" w:fill="auto"/>
            <w:vAlign w:val="center"/>
          </w:tcPr>
          <w:p w14:paraId="05FFAA3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1.《中华人民共和国大气污染防治法》第六十九条 从事房屋建筑、市政基础设施建设、河道整治以及建筑物拆除等施工单位，应当向负责监督管理扬尘污染防治的主管部门备案。</w:t>
            </w:r>
          </w:p>
          <w:p w14:paraId="36DC14F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2.《河北省大气污染防治条例》第三十七条 从事各类工程建设等施工活动以及物料运输、堆放和其他产生扬尘污染物的建设单位和施工单位，应当向所在地人民政府负责监督管理扬尘污染防治的主管部门备案，并采取措施防止产生扬尘污染。</w:t>
            </w:r>
          </w:p>
        </w:tc>
        <w:tc>
          <w:tcPr>
            <w:tcW w:w="1134" w:type="dxa"/>
            <w:tcBorders>
              <w:tl2br w:val="nil"/>
              <w:tr2bl w:val="nil"/>
            </w:tcBorders>
            <w:shd w:val="clear" w:color="auto" w:fill="auto"/>
            <w:vAlign w:val="center"/>
          </w:tcPr>
          <w:p w14:paraId="44238B4E">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E92E2D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62FC68E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1.受理责任:依法应当提交的材料;一次性告知补正材料;依法受理或不予受理扬尘治理实施方案。</w:t>
            </w:r>
          </w:p>
          <w:p w14:paraId="1E1A54A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2.审查责任:审核扬尘治理实施方案，符合要求的，组织有关人员对建筑施工工地等进行现场检查；现场检查符合要求的，纳入日常监管。</w:t>
            </w:r>
          </w:p>
          <w:p w14:paraId="3B0E251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3.决定责任:做出申请人是否通过确认的决定；不符合要求的，应当书面通知申请人。</w:t>
            </w:r>
          </w:p>
          <w:p w14:paraId="738ED04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4.送达责任:通过确认的，予以备案。</w:t>
            </w:r>
          </w:p>
          <w:p w14:paraId="35E6A8B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5.事后监管责任:对已备案的进行日常监督检查，并根据检查情况作出警告、责令改正或处罚的决定。</w:t>
            </w:r>
          </w:p>
          <w:p w14:paraId="47B4C57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7447B42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19C8825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1.对符合受理条件的行政认定申请不予受理的；</w:t>
            </w:r>
          </w:p>
          <w:p w14:paraId="16FFB62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14:paraId="0ED42AB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3.不依法履行监督职责或者监督不力；</w:t>
            </w:r>
          </w:p>
          <w:p w14:paraId="1AAFF71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4.从事监督检查的工作人员滥用职权、徇私舞弊、玩忽职守的；</w:t>
            </w:r>
          </w:p>
          <w:p w14:paraId="7646A83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5.从事监督检查的工作人员索贿、受贿，谋取不正当利益的；</w:t>
            </w:r>
          </w:p>
          <w:p w14:paraId="097FDC0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6.其他违反法律法规规章文件规定的行为。</w:t>
            </w:r>
          </w:p>
        </w:tc>
        <w:tc>
          <w:tcPr>
            <w:tcW w:w="567" w:type="dxa"/>
            <w:tcBorders>
              <w:tl2br w:val="nil"/>
              <w:tr2bl w:val="nil"/>
            </w:tcBorders>
            <w:shd w:val="clear" w:color="auto" w:fill="auto"/>
            <w:vAlign w:val="center"/>
          </w:tcPr>
          <w:p w14:paraId="04C354EF">
            <w:pPr>
              <w:spacing w:line="240" w:lineRule="exact"/>
              <w:jc w:val="center"/>
              <w:rPr>
                <w:rFonts w:ascii="仿宋_GB2312" w:hAnsi="仿宋_GB2312" w:eastAsia="仿宋_GB2312" w:cs="仿宋_GB2312"/>
                <w:color w:val="000000"/>
                <w:sz w:val="18"/>
                <w:szCs w:val="18"/>
              </w:rPr>
            </w:pPr>
          </w:p>
        </w:tc>
      </w:tr>
      <w:tr w14:paraId="5772F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9B2BC42">
            <w:pPr>
              <w:widowControl/>
              <w:spacing w:line="240" w:lineRule="exact"/>
              <w:jc w:val="center"/>
              <w:textAlignment w:val="center"/>
              <w:rPr>
                <w:rFonts w:hint="default" w:ascii="仿宋_GB2312" w:hAnsi="仿宋_GB2312"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13</w:t>
            </w:r>
          </w:p>
        </w:tc>
        <w:tc>
          <w:tcPr>
            <w:tcW w:w="850" w:type="dxa"/>
            <w:tcBorders>
              <w:tl2br w:val="nil"/>
              <w:tr2bl w:val="nil"/>
            </w:tcBorders>
            <w:shd w:val="clear" w:color="auto" w:fill="auto"/>
            <w:vAlign w:val="center"/>
          </w:tcPr>
          <w:p w14:paraId="07BD5708">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1D70B12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市政公用设施抗震设防专项论证备案</w:t>
            </w:r>
          </w:p>
        </w:tc>
        <w:tc>
          <w:tcPr>
            <w:tcW w:w="3118" w:type="dxa"/>
            <w:tcBorders>
              <w:tl2br w:val="nil"/>
              <w:tr2bl w:val="nil"/>
            </w:tcBorders>
            <w:shd w:val="clear" w:color="auto" w:fill="auto"/>
            <w:vAlign w:val="center"/>
          </w:tcPr>
          <w:p w14:paraId="60052F1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《市政公用设施抗灾设防管理规定》（住建部1号令）第四条 县级以上地方人民政府建设主管部门依法负责本行政区域内市政公用设施抗灾设防的具体管理工作。第十五条　市政公用设施抗震专项论证的内容包括：市政公用设施的抗震设防类别、抗震设防烈度及设计地震动参数的采用、场地类型和场地抗震性能、抗震概念设计、抗震计算、抗震及防止次生灾害措施、基础抗震性能等。对有特殊要求的工程，还应当论证其地震应急处置方案和健康监测方案设计。第十六条 国家或者省、自治区、直辖市的市政公用设施抗震专项论证专家库成员分别由国务院住房城乡建设主管部门和省、自治区、直辖市人民政府建设主管部门公布。第十八条 对应当进行抗灾设防专项论证、抗震专项论证、抗风专项论证的市政公用设施，建设单位应当在提交施工图的同时将专项论证意见送施工图审查机构。</w:t>
            </w:r>
          </w:p>
        </w:tc>
        <w:tc>
          <w:tcPr>
            <w:tcW w:w="1134" w:type="dxa"/>
            <w:tcBorders>
              <w:tl2br w:val="nil"/>
              <w:tr2bl w:val="nil"/>
            </w:tcBorders>
            <w:shd w:val="clear" w:color="auto" w:fill="auto"/>
            <w:vAlign w:val="center"/>
          </w:tcPr>
          <w:p w14:paraId="4B18EBBC">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726960C">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2261881C">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1.受理责任：公示依法应当提交的材料；一次性告知补正材料、依法受理或不予受理（不予受理的应当告知理由）                        </w:t>
            </w:r>
          </w:p>
          <w:p w14:paraId="48F48631">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2.检查责任：确定提交资料是否符合要求。    </w:t>
            </w:r>
          </w:p>
          <w:p w14:paraId="1196F701">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3.决定责任：资料齐全的，由政务服务中心住建局窗口予以备案，不合格的由政务服务中心住建局窗口告知存在问题，整改后重新报备。                    </w:t>
            </w:r>
          </w:p>
          <w:p w14:paraId="730C16C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14:paraId="13991E40">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14:paraId="13B312C3">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1.在抗震管理工作中玩忽职守、滥用职权、徇私舞弊情节轻微的；</w:t>
            </w:r>
          </w:p>
          <w:p w14:paraId="7272323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14:paraId="56C5D03A">
            <w:pPr>
              <w:spacing w:line="240" w:lineRule="exact"/>
              <w:jc w:val="left"/>
              <w:rPr>
                <w:rFonts w:ascii="仿宋_GB2312" w:hAnsi="仿宋_GB2312" w:eastAsia="仿宋_GB2312" w:cs="仿宋_GB2312"/>
                <w:color w:val="000000"/>
                <w:sz w:val="18"/>
                <w:szCs w:val="18"/>
              </w:rPr>
            </w:pPr>
          </w:p>
        </w:tc>
      </w:tr>
      <w:tr w14:paraId="1BB232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BB7F3F7">
            <w:pPr>
              <w:widowControl/>
              <w:spacing w:line="240" w:lineRule="exact"/>
              <w:jc w:val="center"/>
              <w:textAlignment w:val="center"/>
              <w:rPr>
                <w:rFonts w:hint="default" w:ascii="仿宋_GB2312" w:hAnsi="仿宋_GB2312"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14</w:t>
            </w:r>
          </w:p>
        </w:tc>
        <w:tc>
          <w:tcPr>
            <w:tcW w:w="850" w:type="dxa"/>
            <w:tcBorders>
              <w:tl2br w:val="nil"/>
              <w:tr2bl w:val="nil"/>
            </w:tcBorders>
            <w:shd w:val="clear" w:color="auto" w:fill="auto"/>
            <w:vAlign w:val="center"/>
          </w:tcPr>
          <w:p w14:paraId="6666C5E3">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592E5AC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房地产估价机构备案（初审）</w:t>
            </w:r>
          </w:p>
        </w:tc>
        <w:tc>
          <w:tcPr>
            <w:tcW w:w="3118" w:type="dxa"/>
            <w:tcBorders>
              <w:tl2br w:val="nil"/>
              <w:tr2bl w:val="nil"/>
            </w:tcBorders>
            <w:shd w:val="clear" w:color="auto" w:fill="auto"/>
            <w:vAlign w:val="center"/>
          </w:tcPr>
          <w:p w14:paraId="2C6AA44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《房地产估价机构管理办法》第十条 申请核定房地产估价机构资质等级，应当如实向资质许可机关提交下列材料：（一）房地产估价机构资质等级申请表（一式二份，加盖申报机构公章）；（二）房地产估价机构原资质证书正本复印件、副本原件；（三）营业执照正、副本复印件（加盖申报机构公章）；　　（四）出资证明复印件（加盖申报机构公章）；　（五）法定代表人或者执行合伙人的任职文件复印件（加盖申报机构公章）；（六）专职注册房地产估价师证明；（七）固定经营服务场所的证明；（八）经工商行政管理部门备案的公司章程或者合伙协议复印件（加盖申报机构公章）及有关估价质量管理、估价档案管理、财务管理等企业内部管理制度的文件、申报机构信用档案信息；（九）随机抽查的在申请核定资质等级之日前3年内申报机构所完成的1份房地产估价报告复印件（一式二份，加盖申报机构公章）。申请人应当对其提交的申请材料实质内容的真实性负责。</w:t>
            </w:r>
          </w:p>
        </w:tc>
        <w:tc>
          <w:tcPr>
            <w:tcW w:w="1134" w:type="dxa"/>
            <w:tcBorders>
              <w:tl2br w:val="nil"/>
              <w:tr2bl w:val="nil"/>
            </w:tcBorders>
            <w:shd w:val="clear" w:color="auto" w:fill="auto"/>
            <w:vAlign w:val="center"/>
          </w:tcPr>
          <w:p w14:paraId="42741345">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2C23F5F7">
            <w:pPr>
              <w:widowControl/>
              <w:spacing w:line="240" w:lineRule="exact"/>
              <w:jc w:val="center"/>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79977E0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14:paraId="6B242496">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2.审查责任:审核申报材料，符合要求的，组织有关人员现场察看。</w:t>
            </w:r>
          </w:p>
          <w:p w14:paraId="5A8205F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3.决定责任:做出申请人是否通过确认的决定；不符合要求的，应当书面通知申请人。</w:t>
            </w:r>
          </w:p>
          <w:p w14:paraId="748B29E2">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4.送达责任:通过确认的，给予通过批文。</w:t>
            </w:r>
          </w:p>
          <w:p w14:paraId="0809EC5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5.其他法律法规规章文件规定应履行的责任。</w:t>
            </w:r>
          </w:p>
        </w:tc>
        <w:tc>
          <w:tcPr>
            <w:tcW w:w="3402" w:type="dxa"/>
            <w:tcBorders>
              <w:tl2br w:val="nil"/>
              <w:tr2bl w:val="nil"/>
            </w:tcBorders>
            <w:shd w:val="clear" w:color="auto" w:fill="auto"/>
            <w:vAlign w:val="center"/>
          </w:tcPr>
          <w:p w14:paraId="67D1FF68">
            <w:pPr>
              <w:widowControl/>
              <w:spacing w:line="240" w:lineRule="exact"/>
              <w:jc w:val="left"/>
              <w:textAlignment w:val="center"/>
              <w:rPr>
                <w:rFonts w:ascii="仿宋_GB2312" w:hAnsi="宋体" w:eastAsia="仿宋_GB2312" w:cs="仿宋_GB2312"/>
                <w:color w:val="000000"/>
                <w:kern w:val="0"/>
                <w:sz w:val="18"/>
                <w:szCs w:val="18"/>
                <w:lang w:bidi="ar"/>
              </w:rPr>
            </w:pPr>
          </w:p>
          <w:p w14:paraId="61B177BF">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14:paraId="678AD4E8">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1.对不符合法定条件的申请人准予房地产估价机构资质许可或者超越职权作出准予房地产估价机构资质许可决定的；</w:t>
            </w:r>
          </w:p>
          <w:p w14:paraId="35027D77">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2.对符合法定条件的申请人不予房地产估价机构资质许可或者不在法定期限内作出准予房地产估价机构资质许可决定的；</w:t>
            </w:r>
          </w:p>
          <w:p w14:paraId="1604A214">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3.利用职务上的便利，收受他人财物或者其他利益的；</w:t>
            </w:r>
          </w:p>
          <w:p w14:paraId="0526865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宋体" w:eastAsia="仿宋_GB2312" w:cs="仿宋_GB2312"/>
                <w:kern w:val="0"/>
                <w:sz w:val="18"/>
                <w:szCs w:val="18"/>
                <w:lang w:bidi="ar"/>
              </w:rPr>
              <w:t>4.不履行监督管理职责，或者发现违法行为不予查处的。</w:t>
            </w:r>
          </w:p>
        </w:tc>
        <w:tc>
          <w:tcPr>
            <w:tcW w:w="567" w:type="dxa"/>
            <w:tcBorders>
              <w:tl2br w:val="nil"/>
              <w:tr2bl w:val="nil"/>
            </w:tcBorders>
            <w:shd w:val="clear" w:color="auto" w:fill="auto"/>
            <w:vAlign w:val="center"/>
          </w:tcPr>
          <w:p w14:paraId="0023450A">
            <w:pPr>
              <w:spacing w:line="240" w:lineRule="exact"/>
              <w:jc w:val="center"/>
              <w:rPr>
                <w:rFonts w:ascii="仿宋_GB2312" w:hAnsi="仿宋_GB2312" w:eastAsia="仿宋_GB2312" w:cs="仿宋_GB2312"/>
                <w:color w:val="000000"/>
                <w:sz w:val="18"/>
                <w:szCs w:val="18"/>
              </w:rPr>
            </w:pPr>
          </w:p>
        </w:tc>
      </w:tr>
      <w:tr w14:paraId="5F83A3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3872CD8">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15</w:t>
            </w:r>
          </w:p>
        </w:tc>
        <w:tc>
          <w:tcPr>
            <w:tcW w:w="850" w:type="dxa"/>
            <w:tcBorders>
              <w:tl2br w:val="nil"/>
              <w:tr2bl w:val="nil"/>
            </w:tcBorders>
            <w:shd w:val="clear" w:color="auto" w:fill="auto"/>
            <w:vAlign w:val="center"/>
          </w:tcPr>
          <w:p w14:paraId="1FE349E1">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8C73F85">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租赁合同网签备案</w:t>
            </w:r>
          </w:p>
        </w:tc>
        <w:tc>
          <w:tcPr>
            <w:tcW w:w="3118" w:type="dxa"/>
            <w:tcBorders>
              <w:tl2br w:val="nil"/>
              <w:tr2bl w:val="nil"/>
            </w:tcBorders>
            <w:shd w:val="clear" w:color="auto" w:fill="auto"/>
            <w:vAlign w:val="center"/>
          </w:tcPr>
          <w:p w14:paraId="14B6736C">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1.《中华人民共和国城市房地产管理法》第五十四条 房屋租赁，出租人和承租人应当签订书面租赁合同，约定租赁期限、租赁用途、租赁价格、修缮责任等条款，以及双方的其他权利和义务，并向房产管理部门登记备案。</w:t>
            </w:r>
          </w:p>
          <w:p w14:paraId="14F99F7A">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2.《住房城乡建设部关于进一步规范和加强房屋网签备案工作的指导意见》（建房〔2018〕128号）</w:t>
            </w:r>
          </w:p>
          <w:p w14:paraId="35355625">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3.《住房和城乡建设部关于印发房屋交易合同网签备案业务规范（试行）的通知》（建房规〔2019〕5号）</w:t>
            </w:r>
          </w:p>
          <w:p w14:paraId="6A85438C">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4.《关于印发全国房屋网签备案业务数据标准的通知》（建办房[2020]14号）</w:t>
            </w:r>
          </w:p>
          <w:p w14:paraId="671BBD1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5.《秦皇岛市进一步规范和加强房屋网签备案工作的实施意见》（市政府办公室、2019年7月12日发）</w:t>
            </w:r>
          </w:p>
          <w:p w14:paraId="0FE0186D">
            <w:pPr>
              <w:widowControl/>
              <w:spacing w:line="240" w:lineRule="exact"/>
              <w:jc w:val="left"/>
              <w:textAlignment w:val="center"/>
              <w:rPr>
                <w:rFonts w:ascii="仿宋_GB2312" w:hAnsi="宋体" w:eastAsia="仿宋_GB2312" w:cs="仿宋_GB2312"/>
                <w:color w:val="000000"/>
                <w:kern w:val="0"/>
                <w:sz w:val="18"/>
                <w:szCs w:val="18"/>
                <w:lang w:bidi="ar"/>
              </w:rPr>
            </w:pPr>
          </w:p>
        </w:tc>
        <w:tc>
          <w:tcPr>
            <w:tcW w:w="1134" w:type="dxa"/>
            <w:tcBorders>
              <w:tl2br w:val="nil"/>
              <w:tr2bl w:val="nil"/>
            </w:tcBorders>
            <w:shd w:val="clear" w:color="auto" w:fill="auto"/>
            <w:vAlign w:val="center"/>
          </w:tcPr>
          <w:p w14:paraId="30AC8CD2">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660349EF">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17D36AB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1.受理责任:公示租赁网签备案流程及相关资料。</w:t>
            </w:r>
          </w:p>
          <w:p w14:paraId="5DDF3A5F">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2.监管责任:维护租赁双方的合法权益。</w:t>
            </w:r>
          </w:p>
          <w:p w14:paraId="36A70437">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6669EEED">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w:t>
            </w:r>
            <w:r>
              <w:rPr>
                <w:rFonts w:hint="eastAsia" w:ascii="仿宋_GB2312" w:hAnsi="宋体" w:eastAsia="仿宋_GB2312" w:cs="仿宋_GB2312"/>
                <w:kern w:val="0"/>
                <w:sz w:val="18"/>
                <w:szCs w:val="18"/>
                <w:lang w:bidi="ar"/>
              </w:rPr>
              <w:t>，行政机关及相关工作人员应承担相应责任：</w:t>
            </w:r>
          </w:p>
          <w:p w14:paraId="029C4D93">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14:paraId="20878273">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p w14:paraId="3E38D552">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3.其他违反法律法规规章文件规定的行为。</w:t>
            </w:r>
          </w:p>
        </w:tc>
        <w:tc>
          <w:tcPr>
            <w:tcW w:w="567" w:type="dxa"/>
            <w:tcBorders>
              <w:tl2br w:val="nil"/>
              <w:tr2bl w:val="nil"/>
            </w:tcBorders>
            <w:shd w:val="clear" w:color="auto" w:fill="auto"/>
            <w:vAlign w:val="center"/>
          </w:tcPr>
          <w:p w14:paraId="57188C2D">
            <w:pPr>
              <w:spacing w:line="240" w:lineRule="exact"/>
              <w:jc w:val="center"/>
              <w:rPr>
                <w:rFonts w:ascii="仿宋_GB2312" w:hAnsi="仿宋_GB2312" w:eastAsia="仿宋_GB2312" w:cs="仿宋_GB2312"/>
                <w:color w:val="000000"/>
                <w:sz w:val="18"/>
                <w:szCs w:val="18"/>
              </w:rPr>
            </w:pPr>
          </w:p>
        </w:tc>
      </w:tr>
      <w:tr w14:paraId="1FA3A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27C9804">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16</w:t>
            </w:r>
          </w:p>
        </w:tc>
        <w:tc>
          <w:tcPr>
            <w:tcW w:w="850" w:type="dxa"/>
            <w:tcBorders>
              <w:tl2br w:val="nil"/>
              <w:tr2bl w:val="nil"/>
            </w:tcBorders>
            <w:shd w:val="clear" w:color="auto" w:fill="auto"/>
            <w:vAlign w:val="center"/>
          </w:tcPr>
          <w:p w14:paraId="5D02BD10">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1BDCB1B2">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抵押合同网签备案</w:t>
            </w:r>
          </w:p>
        </w:tc>
        <w:tc>
          <w:tcPr>
            <w:tcW w:w="3118" w:type="dxa"/>
            <w:tcBorders>
              <w:tl2br w:val="nil"/>
              <w:tr2bl w:val="nil"/>
            </w:tcBorders>
            <w:shd w:val="clear" w:color="auto" w:fill="auto"/>
            <w:vAlign w:val="center"/>
          </w:tcPr>
          <w:p w14:paraId="5C19DA59">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1.《中华人民共和国城市房地产管理法》</w:t>
            </w:r>
          </w:p>
          <w:p w14:paraId="58BFD0B3">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2.建办房[2015]45号《房屋交易与产权管理工作导则》（住建部办公厅）</w:t>
            </w:r>
          </w:p>
          <w:p w14:paraId="6CE75259">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3.建房[2017]215号《关于规范购房融资和加强反洗钱工作的通知》（住建部、人民银行、银监会）</w:t>
            </w:r>
          </w:p>
          <w:p w14:paraId="2D0533D7">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4.建房[2018]128号《关于进一步规范和加强房屋网签备案工作的指导意见》（住建部）</w:t>
            </w:r>
          </w:p>
          <w:p w14:paraId="5704D065">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5.冀建房市函[2019]41号《关于全面推行房屋网签备案制度加快系统联网工作的通知》（省住建厅）</w:t>
            </w:r>
          </w:p>
          <w:p w14:paraId="12A508D9">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6.冀建房市函[2019]47号《关于加快推进房屋网签备案联网工作的通知》（省住建厅）</w:t>
            </w:r>
          </w:p>
          <w:p w14:paraId="6FAC72DE">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7.《秦皇岛市进一步规范和加强房屋网签备案工作的实施意见》（市政府办公室、2019年7月12日发）</w:t>
            </w:r>
          </w:p>
          <w:p w14:paraId="1493E8E9">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8.建房规[2019]5号《关于印发房屋交易合同网签备案业务规范（试行）的通知》（住建部）</w:t>
            </w:r>
          </w:p>
          <w:p w14:paraId="2F0F047C">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9.秦建笺[2019]369号《关于在全市范围内开展房屋抵押合同网签备案工作的通告》（秦皇岛市住建局）</w:t>
            </w:r>
          </w:p>
          <w:p w14:paraId="107889FE">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10.建房规[2020]4号《关于提升房屋网签备案服务效能的意见》（住建部）</w:t>
            </w:r>
          </w:p>
          <w:p w14:paraId="45E7DA55">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11.建办房[2020]14号《关于印发全国房屋网签备案业务数据标准的通知》（住建部办公厅）</w:t>
            </w:r>
          </w:p>
          <w:p w14:paraId="48B6F5F0">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kern w:val="0"/>
                <w:sz w:val="18"/>
                <w:szCs w:val="18"/>
                <w:lang w:bidi="ar"/>
              </w:rPr>
              <w:t>12.其他相关法律、法规、规章等。</w:t>
            </w:r>
          </w:p>
        </w:tc>
        <w:tc>
          <w:tcPr>
            <w:tcW w:w="1134" w:type="dxa"/>
            <w:tcBorders>
              <w:tl2br w:val="nil"/>
              <w:tr2bl w:val="nil"/>
            </w:tcBorders>
            <w:shd w:val="clear" w:color="auto" w:fill="auto"/>
            <w:vAlign w:val="center"/>
          </w:tcPr>
          <w:p w14:paraId="332D2778">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139FBE37">
            <w:pPr>
              <w:widowControl/>
              <w:spacing w:line="240" w:lineRule="exact"/>
              <w:jc w:val="center"/>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493B9907">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1.核验责任:对抵押房源、权利主体、提交资料以及录入信息进行核验，符合要求的给予核验通过，不符合要求的驳回。</w:t>
            </w:r>
          </w:p>
          <w:p w14:paraId="73EDCB80">
            <w:pPr>
              <w:widowControl/>
              <w:spacing w:line="240" w:lineRule="exact"/>
              <w:jc w:val="left"/>
              <w:textAlignment w:val="center"/>
              <w:rPr>
                <w:rFonts w:ascii="Times New Roman" w:hAnsi="Times New Roman" w:eastAsia="宋体" w:cs="Times New Roman"/>
                <w:szCs w:val="21"/>
              </w:rPr>
            </w:pPr>
            <w:r>
              <w:rPr>
                <w:rFonts w:hint="eastAsia" w:ascii="仿宋_GB2312" w:hAnsi="宋体" w:eastAsia="仿宋_GB2312" w:cs="仿宋_GB2312"/>
                <w:color w:val="000000"/>
                <w:kern w:val="0"/>
                <w:sz w:val="18"/>
                <w:szCs w:val="18"/>
                <w:lang w:bidi="ar"/>
              </w:rPr>
              <w:t>2.监管责任:对未按要求办理抵押合同网签备案的金融机构或抵押权人进行监督检查。</w:t>
            </w:r>
          </w:p>
          <w:p w14:paraId="649ECA3A">
            <w:pPr>
              <w:widowControl/>
              <w:spacing w:line="240" w:lineRule="exact"/>
              <w:jc w:val="left"/>
              <w:textAlignment w:val="center"/>
              <w:rPr>
                <w:rFonts w:hint="eastAsia"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6CEBEC0B">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因不履行或不正确履行行政职责，有下列情形的，行政机关及相关工作人员应承担相应责任：</w:t>
            </w:r>
          </w:p>
          <w:p w14:paraId="798B7094">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14:paraId="74AEF47A">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2.对符合办理条件的申请不予受理的；</w:t>
            </w:r>
          </w:p>
          <w:p w14:paraId="13B6B8F5">
            <w:pPr>
              <w:widowControl/>
              <w:spacing w:line="240" w:lineRule="exact"/>
              <w:jc w:val="left"/>
              <w:textAlignment w:val="center"/>
              <w:rPr>
                <w:rFonts w:hint="eastAsia"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3.其他违反法律、法规、规章、文件规定的行为。</w:t>
            </w:r>
          </w:p>
          <w:p w14:paraId="7B1C4E46">
            <w:pPr>
              <w:widowControl/>
              <w:spacing w:line="240" w:lineRule="exact"/>
              <w:jc w:val="left"/>
              <w:textAlignment w:val="center"/>
              <w:rPr>
                <w:rFonts w:hint="eastAsia" w:ascii="仿宋_GB2312" w:hAnsi="宋体" w:eastAsia="仿宋_GB2312" w:cs="仿宋_GB2312"/>
                <w:color w:val="000000"/>
                <w:kern w:val="0"/>
                <w:sz w:val="18"/>
                <w:szCs w:val="18"/>
                <w:lang w:bidi="ar"/>
              </w:rPr>
            </w:pPr>
          </w:p>
        </w:tc>
        <w:tc>
          <w:tcPr>
            <w:tcW w:w="567" w:type="dxa"/>
            <w:tcBorders>
              <w:tl2br w:val="nil"/>
              <w:tr2bl w:val="nil"/>
            </w:tcBorders>
            <w:shd w:val="clear" w:color="auto" w:fill="auto"/>
            <w:vAlign w:val="center"/>
          </w:tcPr>
          <w:p w14:paraId="354065B0">
            <w:pPr>
              <w:spacing w:line="240" w:lineRule="exact"/>
              <w:jc w:val="center"/>
              <w:rPr>
                <w:rFonts w:ascii="仿宋_GB2312" w:hAnsi="仿宋_GB2312" w:eastAsia="仿宋_GB2312" w:cs="仿宋_GB2312"/>
                <w:color w:val="000000"/>
                <w:sz w:val="18"/>
                <w:szCs w:val="18"/>
              </w:rPr>
            </w:pPr>
          </w:p>
        </w:tc>
      </w:tr>
      <w:tr w14:paraId="2ECCC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0A3E26">
            <w:pPr>
              <w:widowControl/>
              <w:spacing w:line="240" w:lineRule="exact"/>
              <w:jc w:val="center"/>
              <w:textAlignment w:val="center"/>
              <w:rPr>
                <w:rFonts w:hint="default" w:ascii="仿宋_GB2312" w:hAnsi="宋体" w:eastAsia="仿宋_GB2312" w:cs="仿宋_GB2312"/>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17</w:t>
            </w:r>
          </w:p>
        </w:tc>
        <w:tc>
          <w:tcPr>
            <w:tcW w:w="850" w:type="dxa"/>
            <w:tcBorders>
              <w:tl2br w:val="nil"/>
              <w:tr2bl w:val="nil"/>
            </w:tcBorders>
            <w:shd w:val="clear" w:color="auto" w:fill="auto"/>
            <w:vAlign w:val="center"/>
          </w:tcPr>
          <w:p w14:paraId="310BC8E5">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46227029">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商品房现房销售备案</w:t>
            </w:r>
          </w:p>
        </w:tc>
        <w:tc>
          <w:tcPr>
            <w:tcW w:w="3118" w:type="dxa"/>
            <w:tcBorders>
              <w:tl2br w:val="nil"/>
              <w:tr2bl w:val="nil"/>
            </w:tcBorders>
            <w:shd w:val="clear" w:color="auto" w:fill="auto"/>
            <w:vAlign w:val="center"/>
          </w:tcPr>
          <w:p w14:paraId="34CA72FA">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《商品房销售管理办法》第八条 房地产开发企业应当在商品房现售前将房地产开发项目手册及符合商品房现售条件的有关证明文件报送房地产开发主管部门备案。</w:t>
            </w:r>
          </w:p>
        </w:tc>
        <w:tc>
          <w:tcPr>
            <w:tcW w:w="1134" w:type="dxa"/>
            <w:tcBorders>
              <w:tl2br w:val="nil"/>
              <w:tr2bl w:val="nil"/>
            </w:tcBorders>
            <w:shd w:val="clear" w:color="auto" w:fill="auto"/>
            <w:vAlign w:val="center"/>
          </w:tcPr>
          <w:p w14:paraId="5D6DFE8D">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23ADD4B">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3D79842F">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14:paraId="61D82931">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2.审查责任:审核推荐意见和有关材料，符合要求的，组织有关人员现场察看。</w:t>
            </w:r>
          </w:p>
          <w:p w14:paraId="41E1AE34">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3.决定责任:做出申请人是否通过确认的决定；不符合要求的，应当书面通知申请人。</w:t>
            </w:r>
          </w:p>
          <w:p w14:paraId="6F88163A">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4.送达责任:通过确认的，颁发商品房现售备案证。</w:t>
            </w:r>
          </w:p>
          <w:p w14:paraId="46A34EEE">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5.其他法律法规规章文件规定应履行的责任。</w:t>
            </w:r>
          </w:p>
        </w:tc>
        <w:tc>
          <w:tcPr>
            <w:tcW w:w="3402" w:type="dxa"/>
            <w:tcBorders>
              <w:tl2br w:val="nil"/>
              <w:tr2bl w:val="nil"/>
            </w:tcBorders>
            <w:shd w:val="clear" w:color="auto" w:fill="auto"/>
            <w:vAlign w:val="center"/>
          </w:tcPr>
          <w:p w14:paraId="16114547">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w:t>
            </w:r>
            <w:r>
              <w:rPr>
                <w:rFonts w:hint="eastAsia" w:ascii="仿宋_GB2312" w:hAnsi="宋体" w:eastAsia="仿宋_GB2312" w:cs="仿宋_GB2312"/>
                <w:kern w:val="0"/>
                <w:sz w:val="18"/>
                <w:szCs w:val="18"/>
                <w:lang w:bidi="ar"/>
              </w:rPr>
              <w:t>的，行政机关及相关工作人员应承担相应责任：</w:t>
            </w:r>
          </w:p>
          <w:p w14:paraId="6C3E3E3B">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1.在商品房销售管理工作中玩忽职守、滥用职权、徇私舞弊的；</w:t>
            </w:r>
          </w:p>
          <w:p w14:paraId="362FF2BD">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14:paraId="7D88D5DB">
            <w:pPr>
              <w:spacing w:line="240" w:lineRule="exact"/>
              <w:jc w:val="center"/>
              <w:rPr>
                <w:rFonts w:ascii="仿宋_GB2312" w:hAnsi="仿宋_GB2312" w:eastAsia="仿宋_GB2312" w:cs="仿宋_GB2312"/>
                <w:color w:val="000000"/>
                <w:sz w:val="18"/>
                <w:szCs w:val="18"/>
              </w:rPr>
            </w:pPr>
          </w:p>
        </w:tc>
      </w:tr>
      <w:tr w14:paraId="18FA42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053E4F2">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18</w:t>
            </w:r>
          </w:p>
        </w:tc>
        <w:tc>
          <w:tcPr>
            <w:tcW w:w="850" w:type="dxa"/>
            <w:tcBorders>
              <w:tl2br w:val="nil"/>
              <w:tr2bl w:val="nil"/>
            </w:tcBorders>
            <w:shd w:val="clear" w:color="auto" w:fill="auto"/>
            <w:vAlign w:val="center"/>
          </w:tcPr>
          <w:p w14:paraId="69724D2A">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5D082004">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房地产经纪机构备案</w:t>
            </w:r>
          </w:p>
        </w:tc>
        <w:tc>
          <w:tcPr>
            <w:tcW w:w="3118" w:type="dxa"/>
            <w:tcBorders>
              <w:tl2br w:val="nil"/>
              <w:tr2bl w:val="nil"/>
            </w:tcBorders>
            <w:shd w:val="clear" w:color="auto" w:fill="auto"/>
            <w:vAlign w:val="center"/>
          </w:tcPr>
          <w:p w14:paraId="2B85AC51">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《房地产经纪管理办法》第五条 县级以上人民政府建设(房地产)主管部门、价格主管部门、人力资源和社会保障主管部门应当按照职责分工，分别负责房地产经纪活动的监督和管理、第十一条房地产经纪机构及其分支机构应当自领取营业执照之日起30日内，到所在直辖市、市、县人民政府建设(房地产)主管部门备案、第二十八条 建设(房地产)主管部门、价格主管部门应当通过现场巡查、合同抽查、投诉受理等方式，</w:t>
            </w:r>
            <w:r>
              <w:rPr>
                <w:rFonts w:hint="eastAsia" w:ascii="仿宋_GB2312" w:hAnsi="宋体" w:eastAsia="仿宋_GB2312" w:cs="仿宋_GB2312"/>
                <w:color w:val="000000"/>
                <w:kern w:val="0"/>
                <w:sz w:val="18"/>
                <w:szCs w:val="18"/>
                <w:lang w:eastAsia="zh-CN" w:bidi="ar"/>
              </w:rPr>
              <w:t>采</w:t>
            </w:r>
            <w:r>
              <w:rPr>
                <w:rFonts w:hint="eastAsia" w:ascii="仿宋_GB2312" w:hAnsi="宋体" w:eastAsia="仿宋_GB2312" w:cs="仿宋_GB2312"/>
                <w:color w:val="000000"/>
                <w:kern w:val="0"/>
                <w:sz w:val="18"/>
                <w:szCs w:val="18"/>
                <w:lang w:bidi="ar"/>
              </w:rPr>
              <w:t>取约谈、记入信用档案、媒体曝光等措施，对房地产经纪机构和房地产经纪人员进行监督。</w:t>
            </w:r>
          </w:p>
          <w:p w14:paraId="0DF210DC">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《中华人民共和国城市房地产管理法》第五十八条 房地产中介服务机构应当具备下列条件:（一）有自己的名称和组织机构；（二）有固定的服务场所；（三）有必要的财产和经费；（四）有足够数量的专业人员；（五）法律、行政法规规定的其他条件。设立房地产中介服务机构，应当向工商行政管理部门申请设立登记，领取营业执照后，方可开业。</w:t>
            </w:r>
          </w:p>
        </w:tc>
        <w:tc>
          <w:tcPr>
            <w:tcW w:w="1134" w:type="dxa"/>
            <w:tcBorders>
              <w:tl2br w:val="nil"/>
              <w:tr2bl w:val="nil"/>
            </w:tcBorders>
            <w:shd w:val="clear" w:color="auto" w:fill="auto"/>
            <w:vAlign w:val="center"/>
          </w:tcPr>
          <w:p w14:paraId="1456A257">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01DF5B77">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283D6938">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1.受理责任:公示依法应当提交的材料;一次性告知提交材料;依法受理或不予受理意见。</w:t>
            </w:r>
          </w:p>
          <w:p w14:paraId="2A9AEC08">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2.审查责任:审核报卷相关材料，符合要求的，进行受理并上报。</w:t>
            </w:r>
          </w:p>
        </w:tc>
        <w:tc>
          <w:tcPr>
            <w:tcW w:w="3402" w:type="dxa"/>
            <w:tcBorders>
              <w:tl2br w:val="nil"/>
              <w:tr2bl w:val="nil"/>
            </w:tcBorders>
            <w:shd w:val="clear" w:color="auto" w:fill="auto"/>
            <w:vAlign w:val="center"/>
          </w:tcPr>
          <w:p w14:paraId="65D8914F">
            <w:pPr>
              <w:widowControl/>
              <w:spacing w:line="240" w:lineRule="exact"/>
              <w:jc w:val="left"/>
              <w:textAlignment w:val="center"/>
              <w:rPr>
                <w:rFonts w:ascii="仿宋_GB2312" w:hAnsi="宋体" w:eastAsia="仿宋_GB2312" w:cs="仿宋_GB2312"/>
                <w:color w:val="000000"/>
                <w:kern w:val="0"/>
                <w:sz w:val="18"/>
                <w:szCs w:val="18"/>
                <w:lang w:bidi="ar"/>
              </w:rPr>
            </w:pPr>
          </w:p>
          <w:p w14:paraId="470C751F">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w:t>
            </w:r>
            <w:r>
              <w:rPr>
                <w:rFonts w:hint="eastAsia" w:ascii="仿宋_GB2312" w:hAnsi="宋体" w:eastAsia="仿宋_GB2312" w:cs="仿宋_GB2312"/>
                <w:kern w:val="0"/>
                <w:sz w:val="18"/>
                <w:szCs w:val="18"/>
                <w:lang w:bidi="ar"/>
              </w:rPr>
              <w:t>的，行政机关及相关工作人员应承担相应责任：</w:t>
            </w:r>
          </w:p>
          <w:p w14:paraId="2456A529">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1.在工作中玩忽职守、徇私舞弊、滥用职权的：</w:t>
            </w:r>
          </w:p>
          <w:p w14:paraId="64AFF4D2">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14:paraId="708C9870">
            <w:pPr>
              <w:spacing w:line="240" w:lineRule="exact"/>
              <w:jc w:val="center"/>
              <w:rPr>
                <w:rFonts w:ascii="仿宋_GB2312" w:hAnsi="仿宋_GB2312" w:eastAsia="仿宋_GB2312" w:cs="仿宋_GB2312"/>
                <w:color w:val="000000"/>
                <w:sz w:val="18"/>
                <w:szCs w:val="18"/>
              </w:rPr>
            </w:pPr>
          </w:p>
        </w:tc>
      </w:tr>
      <w:tr w14:paraId="4F28D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2071B96">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19</w:t>
            </w:r>
          </w:p>
        </w:tc>
        <w:tc>
          <w:tcPr>
            <w:tcW w:w="850" w:type="dxa"/>
            <w:tcBorders>
              <w:tl2br w:val="nil"/>
              <w:tr2bl w:val="nil"/>
            </w:tcBorders>
            <w:shd w:val="clear" w:color="auto" w:fill="auto"/>
            <w:vAlign w:val="center"/>
          </w:tcPr>
          <w:p w14:paraId="36366D46">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0E2165AA">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存量房合同备案</w:t>
            </w:r>
          </w:p>
        </w:tc>
        <w:tc>
          <w:tcPr>
            <w:tcW w:w="3118" w:type="dxa"/>
            <w:tcBorders>
              <w:tl2br w:val="nil"/>
              <w:tr2bl w:val="nil"/>
            </w:tcBorders>
            <w:shd w:val="clear" w:color="auto" w:fill="auto"/>
            <w:vAlign w:val="center"/>
          </w:tcPr>
          <w:p w14:paraId="7FDEA0F3">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1.《中华人民共和国城市房地产管理法》第五十四条 房屋租赁，出租人和承租人应当签订书面租赁合同，约定租赁期限、租赁用途、租赁价格、修缮责任等条款，以及双方的其他权利和义务，并向房产管理部门登记备案。</w:t>
            </w:r>
          </w:p>
          <w:p w14:paraId="2678EE44">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2.《房屋交易与产权管理工作导则》（建办房[2015]45号）</w:t>
            </w:r>
          </w:p>
          <w:p w14:paraId="2781BEB5">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3.《住房城乡建设部关于进一步规范和加强房屋网签备案工作的指导意见》（建房【2018】128号）</w:t>
            </w:r>
          </w:p>
          <w:p w14:paraId="35694325">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4.《住房和城乡建设部关于印发房屋交易合同网签备案业务规范（试行）的通知》（建房规〔2019〕5号）</w:t>
            </w:r>
          </w:p>
          <w:p w14:paraId="12B02A39">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5.《住建部关于提升房屋网签备案服务效能的意见》（建房规【2020】4号）6.《关于印发全国房屋网签备案业务数据标准的通知》（建办房[2020]14号）</w:t>
            </w:r>
          </w:p>
        </w:tc>
        <w:tc>
          <w:tcPr>
            <w:tcW w:w="1134" w:type="dxa"/>
            <w:tcBorders>
              <w:tl2br w:val="nil"/>
              <w:tr2bl w:val="nil"/>
            </w:tcBorders>
            <w:shd w:val="clear" w:color="auto" w:fill="auto"/>
            <w:vAlign w:val="center"/>
          </w:tcPr>
          <w:p w14:paraId="61539AC0">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7AB43EE">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241FB8B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1.受理责任:公示应当提交的材料;一次性告知补正材料。</w:t>
            </w:r>
          </w:p>
          <w:p w14:paraId="2E86156E">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2.审查责任:符合存量房交易条件，办理网签并备案赋码。</w:t>
            </w:r>
          </w:p>
          <w:p w14:paraId="1C571857">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3.解释备案责任：对政策规定的具体含义和出现新的情况适用问题进行解释；按规定向有关机关备案。</w:t>
            </w:r>
          </w:p>
          <w:p w14:paraId="4B43CB09">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14:paraId="77B0D0C3">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因不履行或不正确履行行政职责，有下列情形的，行政机关及相关工作人员应承担相应责任：</w:t>
            </w:r>
          </w:p>
          <w:p w14:paraId="088BA604">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1.在工作中玩忽职守、徇私舞弊的；</w:t>
            </w:r>
          </w:p>
          <w:p w14:paraId="0E517F4F">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kern w:val="0"/>
                <w:sz w:val="18"/>
                <w:szCs w:val="18"/>
                <w:lang w:bidi="ar"/>
              </w:rPr>
              <w:t>2.其他违反法律法规规章文件规定的行为。</w:t>
            </w:r>
          </w:p>
        </w:tc>
        <w:tc>
          <w:tcPr>
            <w:tcW w:w="567" w:type="dxa"/>
            <w:tcBorders>
              <w:tl2br w:val="nil"/>
              <w:tr2bl w:val="nil"/>
            </w:tcBorders>
            <w:shd w:val="clear" w:color="auto" w:fill="auto"/>
            <w:vAlign w:val="center"/>
          </w:tcPr>
          <w:p w14:paraId="15F00868">
            <w:pPr>
              <w:spacing w:line="240" w:lineRule="exact"/>
              <w:jc w:val="center"/>
              <w:rPr>
                <w:rFonts w:ascii="仿宋_GB2312" w:hAnsi="仿宋_GB2312" w:eastAsia="仿宋_GB2312" w:cs="仿宋_GB2312"/>
                <w:color w:val="000000"/>
                <w:sz w:val="18"/>
                <w:szCs w:val="18"/>
              </w:rPr>
            </w:pPr>
          </w:p>
        </w:tc>
      </w:tr>
      <w:tr w14:paraId="53CA91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F07CD3">
            <w:pPr>
              <w:widowControl/>
              <w:spacing w:line="240" w:lineRule="exact"/>
              <w:jc w:val="center"/>
              <w:textAlignment w:val="center"/>
              <w:rPr>
                <w:rFonts w:hint="default" w:ascii="宋体" w:hAnsi="宋体" w:eastAsia="宋体" w:cs="宋体"/>
                <w:color w:val="000000"/>
                <w:kern w:val="0"/>
                <w:sz w:val="18"/>
                <w:szCs w:val="18"/>
                <w:lang w:val="en-US" w:eastAsia="zh-CN" w:bidi="ar"/>
              </w:rPr>
            </w:pPr>
            <w:r>
              <w:rPr>
                <w:rFonts w:hint="eastAsia" w:ascii="仿宋_GB2312" w:hAnsi="宋体" w:eastAsia="仿宋_GB2312" w:cs="仿宋_GB2312"/>
                <w:color w:val="000000"/>
                <w:kern w:val="0"/>
                <w:sz w:val="18"/>
                <w:szCs w:val="18"/>
                <w:lang w:val="en-US" w:eastAsia="zh-CN" w:bidi="ar"/>
              </w:rPr>
              <w:t>20</w:t>
            </w:r>
          </w:p>
        </w:tc>
        <w:tc>
          <w:tcPr>
            <w:tcW w:w="850" w:type="dxa"/>
            <w:tcBorders>
              <w:tl2br w:val="nil"/>
              <w:tr2bl w:val="nil"/>
            </w:tcBorders>
            <w:shd w:val="clear" w:color="auto" w:fill="auto"/>
            <w:vAlign w:val="center"/>
          </w:tcPr>
          <w:p w14:paraId="74B6C1C1">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行政备案</w:t>
            </w:r>
          </w:p>
        </w:tc>
        <w:tc>
          <w:tcPr>
            <w:tcW w:w="1134" w:type="dxa"/>
            <w:tcBorders>
              <w:tl2br w:val="nil"/>
              <w:tr2bl w:val="nil"/>
            </w:tcBorders>
            <w:shd w:val="clear" w:color="auto" w:fill="auto"/>
            <w:vAlign w:val="center"/>
          </w:tcPr>
          <w:p w14:paraId="63E86284">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小区物业企业招投标备案</w:t>
            </w:r>
          </w:p>
        </w:tc>
        <w:tc>
          <w:tcPr>
            <w:tcW w:w="3118" w:type="dxa"/>
            <w:tcBorders>
              <w:tl2br w:val="nil"/>
              <w:tr2bl w:val="nil"/>
            </w:tcBorders>
            <w:shd w:val="clear" w:color="auto" w:fill="auto"/>
            <w:vAlign w:val="center"/>
          </w:tcPr>
          <w:p w14:paraId="55563492">
            <w:pPr>
              <w:widowControl/>
              <w:spacing w:line="240" w:lineRule="exact"/>
              <w:jc w:val="left"/>
              <w:textAlignment w:val="center"/>
              <w:rPr>
                <w:rFonts w:ascii="仿宋_GB2312" w:hAnsi="宋体" w:eastAsia="仿宋_GB2312" w:cs="仿宋_GB2312"/>
                <w:color w:val="000000"/>
                <w:kern w:val="0"/>
                <w:sz w:val="18"/>
                <w:szCs w:val="18"/>
                <w:lang w:bidi="ar"/>
              </w:rPr>
            </w:pPr>
          </w:p>
          <w:p w14:paraId="3B62A850">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 xml:space="preserve"> 《前期物业管理招标投标管理暂行办法》（建住房[2003]130号）第十三条 经资格预审后，公开招标的招标人应当向资格预审合格的投标申请人发出资格预审合格通知书，告知获取招标文件的时间、地点和方法，并同时向资格不合格的投标申请人告知资格预审结果。在资格预审合格的投标申请人过多时，可以由招标人从中选择不少于 5 家资格预审合格的投标申请人</w:t>
            </w:r>
          </w:p>
        </w:tc>
        <w:tc>
          <w:tcPr>
            <w:tcW w:w="1134" w:type="dxa"/>
            <w:tcBorders>
              <w:tl2br w:val="nil"/>
              <w:tr2bl w:val="nil"/>
            </w:tcBorders>
            <w:shd w:val="clear" w:color="auto" w:fill="auto"/>
            <w:vAlign w:val="center"/>
          </w:tcPr>
          <w:p w14:paraId="78137A1B">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120E92A9">
            <w:pPr>
              <w:widowControl/>
              <w:spacing w:line="240" w:lineRule="exact"/>
              <w:jc w:val="center"/>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4AD83F64">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1.受理责任:公示依法应当提交的材料;一次性告知补正材料。</w:t>
            </w:r>
          </w:p>
          <w:p w14:paraId="471ED1B3">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2.审查责任：审核有关材料，符合要求的，给予审核通过。</w:t>
            </w:r>
          </w:p>
          <w:p w14:paraId="3046410F">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3.决定责任:做出申请人是否通过的决定；不符合要求的，应当书面通知申请人。</w:t>
            </w:r>
          </w:p>
          <w:p w14:paraId="174F0537">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4.其他法律法规规章文件规定应履行的责任。</w:t>
            </w:r>
          </w:p>
        </w:tc>
        <w:tc>
          <w:tcPr>
            <w:tcW w:w="3402" w:type="dxa"/>
            <w:tcBorders>
              <w:tl2br w:val="nil"/>
              <w:tr2bl w:val="nil"/>
            </w:tcBorders>
            <w:shd w:val="clear" w:color="auto" w:fill="auto"/>
            <w:vAlign w:val="center"/>
          </w:tcPr>
          <w:p w14:paraId="6C34007F">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因不履行或不正确履行行政职责，有下列情形的，行政机关及相关工作人员应承担相应责任：</w:t>
            </w:r>
          </w:p>
          <w:p w14:paraId="4D496041">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1.对符合受理条件的申请不予受理的；</w:t>
            </w:r>
          </w:p>
          <w:p w14:paraId="01ABFEAD">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2.未严格按照相关政策履行义务，对应当予以备案的不予备案，或者对不应备案的予以备案的；</w:t>
            </w:r>
          </w:p>
          <w:p w14:paraId="271BA79B">
            <w:pPr>
              <w:widowControl/>
              <w:spacing w:line="240" w:lineRule="exact"/>
              <w:jc w:val="left"/>
              <w:textAlignment w:val="center"/>
              <w:rPr>
                <w:rFonts w:ascii="仿宋_GB2312" w:hAnsi="宋体" w:eastAsia="仿宋_GB2312" w:cs="仿宋_GB2312"/>
                <w:color w:val="000000"/>
                <w:kern w:val="0"/>
                <w:sz w:val="18"/>
                <w:szCs w:val="18"/>
                <w:lang w:bidi="ar"/>
              </w:rPr>
            </w:pPr>
            <w:r>
              <w:rPr>
                <w:rFonts w:hint="eastAsia" w:ascii="仿宋_GB2312" w:hAnsi="宋体" w:eastAsia="仿宋_GB2312" w:cs="仿宋_GB2312"/>
                <w:color w:val="000000"/>
                <w:kern w:val="0"/>
                <w:sz w:val="18"/>
                <w:szCs w:val="18"/>
                <w:lang w:bidi="ar"/>
              </w:rPr>
              <w:t>3.未作出书面告知行为的；</w:t>
            </w:r>
          </w:p>
          <w:p w14:paraId="3D8BE0F8">
            <w:pPr>
              <w:widowControl/>
              <w:spacing w:line="240" w:lineRule="exact"/>
              <w:jc w:val="left"/>
              <w:textAlignment w:val="center"/>
              <w:rPr>
                <w:rFonts w:ascii="仿宋_GB2312" w:hAnsi="宋体" w:eastAsia="仿宋_GB2312" w:cs="仿宋_GB2312"/>
                <w:kern w:val="0"/>
                <w:sz w:val="18"/>
                <w:szCs w:val="18"/>
                <w:lang w:bidi="ar"/>
              </w:rPr>
            </w:pPr>
            <w:r>
              <w:rPr>
                <w:rFonts w:hint="eastAsia" w:ascii="仿宋_GB2312" w:hAnsi="宋体"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14:paraId="633B1E1E">
            <w:pPr>
              <w:spacing w:line="240" w:lineRule="exact"/>
              <w:jc w:val="center"/>
              <w:rPr>
                <w:rFonts w:ascii="仿宋_GB2312" w:hAnsi="仿宋_GB2312" w:eastAsia="仿宋_GB2312" w:cs="仿宋_GB2312"/>
                <w:color w:val="000000"/>
                <w:sz w:val="18"/>
                <w:szCs w:val="18"/>
              </w:rPr>
            </w:pPr>
          </w:p>
        </w:tc>
      </w:tr>
    </w:tbl>
    <w:p w14:paraId="269A7475"/>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39175951"/>
    <w:rsid w:val="00573A5D"/>
    <w:rsid w:val="00995BC1"/>
    <w:rsid w:val="0C861831"/>
    <w:rsid w:val="13C03ABA"/>
    <w:rsid w:val="17611047"/>
    <w:rsid w:val="1D4129A6"/>
    <w:rsid w:val="39175951"/>
    <w:rsid w:val="408F2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character" w:customStyle="1" w:styleId="4">
    <w:name w:val="font41"/>
    <w:basedOn w:val="3"/>
    <w:qFormat/>
    <w:uiPriority w:val="0"/>
    <w:rPr>
      <w:rFonts w:hint="eastAsia" w:ascii="仿宋_GB2312" w:eastAsia="仿宋_GB2312" w:cs="仿宋_GB2312"/>
      <w:color w:val="000000"/>
      <w:sz w:val="16"/>
      <w:szCs w:val="16"/>
      <w:u w:val="none"/>
    </w:rPr>
  </w:style>
  <w:style w:type="character" w:customStyle="1" w:styleId="5">
    <w:name w:val="font01"/>
    <w:basedOn w:val="3"/>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13129</Words>
  <Characters>13550</Characters>
  <Lines>131</Lines>
  <Paragraphs>37</Paragraphs>
  <TotalTime>23</TotalTime>
  <ScaleCrop>false</ScaleCrop>
  <LinksUpToDate>false</LinksUpToDate>
  <CharactersWithSpaces>13650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2022-10-24T13:51:00Z</dcterms:created>
  <dc:creator>frank</dc:creator>
  <cp:lastModifiedBy>WPS_1659145126</cp:lastModifiedBy>
  <dcterms:modified xsi:type="dcterms:W3CDTF">2025-10-20T08:43:01Z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1E2B4573C18C479A93496585AC7DB459</vt:lpwstr>
  </property>
  <property fmtid="{D5CDD505-2E9C-101B-9397-08002B2CF9AE}" pid="4" name="KSOTemplateDocerSaveRecord">
    <vt:lpwstr>eyJoZGlkIjoiZmJmMDFkYTI2MTM0ODIwMWFjOWUxMWE3ZjM2ZTBhZDUiLCJ1c2VySWQiOiIxMzkyNTEzOTI5In0=</vt:lpwstr>
  </property>
</Properties>
</file>