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tbl>
      <w:tblPr>
        <w:tblStyle w:val="2"/>
        <w:tblW w:w="15682"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auto"/>
        <w:tblLayout w:type="fixed"/>
        <w:tblCellMar>
          <w:top w:w="15" w:type="dxa"/>
          <w:left w:w="15" w:type="dxa"/>
          <w:bottom w:w="15" w:type="dxa"/>
          <w:right w:w="15" w:type="dxa"/>
        </w:tblCellMar>
      </w:tblPr>
      <w:tblGrid>
        <w:gridCol w:w="544"/>
        <w:gridCol w:w="850"/>
        <w:gridCol w:w="1134"/>
        <w:gridCol w:w="3118"/>
        <w:gridCol w:w="1134"/>
        <w:gridCol w:w="964"/>
        <w:gridCol w:w="3969"/>
        <w:gridCol w:w="3402"/>
        <w:gridCol w:w="567"/>
      </w:tblGrid>
      <w:tr w14:paraId="15349B7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auto"/>
          <w:tblCellMar>
            <w:top w:w="15" w:type="dxa"/>
            <w:left w:w="15" w:type="dxa"/>
            <w:bottom w:w="15" w:type="dxa"/>
            <w:right w:w="15" w:type="dxa"/>
          </w:tblCellMar>
        </w:tblPrEx>
        <w:trPr>
          <w:trHeight w:val="567" w:hRule="atLeast"/>
          <w:tblHeader/>
        </w:trPr>
        <w:tc>
          <w:tcPr>
            <w:tcW w:w="544" w:type="dxa"/>
            <w:tcBorders>
              <w:tl2br w:val="nil"/>
              <w:tr2bl w:val="nil"/>
            </w:tcBorders>
            <w:shd w:val="clear" w:color="auto" w:fill="auto"/>
            <w:tcMar>
              <w:top w:w="0" w:type="dxa"/>
              <w:left w:w="0" w:type="dxa"/>
              <w:bottom w:w="0" w:type="dxa"/>
              <w:right w:w="0" w:type="dxa"/>
            </w:tcMar>
            <w:vAlign w:val="center"/>
          </w:tcPr>
          <w:p w14:paraId="4F6042A6">
            <w:pPr>
              <w:keepNext w:val="0"/>
              <w:keepLines w:val="0"/>
              <w:widowControl/>
              <w:suppressLineNumbers w:val="0"/>
              <w:jc w:val="center"/>
              <w:textAlignment w:val="center"/>
              <w:rPr>
                <w:rFonts w:ascii="黑体" w:hAnsi="宋体" w:eastAsia="黑体" w:cs="黑体"/>
                <w:i w:val="0"/>
                <w:color w:val="000000"/>
                <w:sz w:val="24"/>
                <w:szCs w:val="24"/>
                <w:u w:val="none"/>
              </w:rPr>
            </w:pPr>
            <w:r>
              <w:rPr>
                <w:rFonts w:hint="eastAsia" w:ascii="黑体" w:hAnsi="宋体" w:eastAsia="黑体" w:cs="黑体"/>
                <w:i w:val="0"/>
                <w:color w:val="000000"/>
                <w:kern w:val="0"/>
                <w:sz w:val="24"/>
                <w:szCs w:val="24"/>
                <w:u w:val="none"/>
                <w:lang w:val="en-US" w:eastAsia="zh-CN" w:bidi="ar"/>
              </w:rPr>
              <w:t>序号</w:t>
            </w:r>
          </w:p>
        </w:tc>
        <w:tc>
          <w:tcPr>
            <w:tcW w:w="850" w:type="dxa"/>
            <w:tcBorders>
              <w:tl2br w:val="nil"/>
              <w:tr2bl w:val="nil"/>
            </w:tcBorders>
            <w:shd w:val="clear" w:color="auto" w:fill="auto"/>
            <w:vAlign w:val="center"/>
          </w:tcPr>
          <w:p w14:paraId="7B5CEDCA">
            <w:pPr>
              <w:keepNext w:val="0"/>
              <w:keepLines w:val="0"/>
              <w:widowControl/>
              <w:suppressLineNumbers w:val="0"/>
              <w:jc w:val="center"/>
              <w:textAlignment w:val="center"/>
              <w:rPr>
                <w:rFonts w:hint="eastAsia" w:ascii="黑体" w:hAnsi="宋体" w:eastAsia="黑体" w:cs="黑体"/>
                <w:i w:val="0"/>
                <w:color w:val="000000"/>
                <w:sz w:val="24"/>
                <w:szCs w:val="24"/>
                <w:u w:val="none"/>
              </w:rPr>
            </w:pPr>
            <w:r>
              <w:rPr>
                <w:rFonts w:hint="eastAsia" w:ascii="黑体" w:hAnsi="宋体" w:eastAsia="黑体" w:cs="黑体"/>
                <w:i w:val="0"/>
                <w:color w:val="000000"/>
                <w:kern w:val="0"/>
                <w:sz w:val="24"/>
                <w:szCs w:val="24"/>
                <w:u w:val="none"/>
                <w:lang w:val="en-US" w:eastAsia="zh-CN" w:bidi="ar"/>
              </w:rPr>
              <w:t>权力</w:t>
            </w:r>
            <w:r>
              <w:rPr>
                <w:rFonts w:hint="eastAsia" w:ascii="黑体" w:hAnsi="宋体" w:eastAsia="黑体" w:cs="黑体"/>
                <w:i w:val="0"/>
                <w:color w:val="000000"/>
                <w:kern w:val="0"/>
                <w:sz w:val="24"/>
                <w:szCs w:val="24"/>
                <w:u w:val="none"/>
                <w:lang w:val="en-US" w:eastAsia="zh-CN" w:bidi="ar"/>
              </w:rPr>
              <w:br w:type="textWrapping"/>
            </w:r>
            <w:r>
              <w:rPr>
                <w:rFonts w:hint="eastAsia" w:ascii="黑体" w:hAnsi="宋体" w:eastAsia="黑体" w:cs="黑体"/>
                <w:i w:val="0"/>
                <w:color w:val="000000"/>
                <w:kern w:val="0"/>
                <w:sz w:val="24"/>
                <w:szCs w:val="24"/>
                <w:u w:val="none"/>
                <w:lang w:val="en-US" w:eastAsia="zh-CN" w:bidi="ar"/>
              </w:rPr>
              <w:t>类型</w:t>
            </w:r>
          </w:p>
        </w:tc>
        <w:tc>
          <w:tcPr>
            <w:tcW w:w="1134" w:type="dxa"/>
            <w:tcBorders>
              <w:tl2br w:val="nil"/>
              <w:tr2bl w:val="nil"/>
            </w:tcBorders>
            <w:shd w:val="clear" w:color="auto" w:fill="auto"/>
            <w:vAlign w:val="center"/>
          </w:tcPr>
          <w:p w14:paraId="61754BCF">
            <w:pPr>
              <w:keepNext w:val="0"/>
              <w:keepLines w:val="0"/>
              <w:widowControl/>
              <w:suppressLineNumbers w:val="0"/>
              <w:jc w:val="center"/>
              <w:textAlignment w:val="center"/>
              <w:rPr>
                <w:rFonts w:hint="eastAsia" w:ascii="黑体" w:hAnsi="宋体" w:eastAsia="黑体" w:cs="黑体"/>
                <w:i w:val="0"/>
                <w:color w:val="000000"/>
                <w:sz w:val="24"/>
                <w:szCs w:val="24"/>
                <w:u w:val="none"/>
              </w:rPr>
            </w:pPr>
            <w:r>
              <w:rPr>
                <w:rFonts w:hint="eastAsia" w:ascii="黑体" w:hAnsi="宋体" w:eastAsia="黑体" w:cs="黑体"/>
                <w:i w:val="0"/>
                <w:color w:val="000000"/>
                <w:kern w:val="0"/>
                <w:sz w:val="24"/>
                <w:szCs w:val="24"/>
                <w:u w:val="none"/>
                <w:lang w:val="en-US" w:eastAsia="zh-CN" w:bidi="ar"/>
              </w:rPr>
              <w:t>权力</w:t>
            </w:r>
            <w:r>
              <w:rPr>
                <w:rFonts w:hint="eastAsia" w:ascii="黑体" w:hAnsi="宋体" w:eastAsia="黑体" w:cs="黑体"/>
                <w:i w:val="0"/>
                <w:color w:val="000000"/>
                <w:kern w:val="0"/>
                <w:sz w:val="24"/>
                <w:szCs w:val="24"/>
                <w:u w:val="none"/>
                <w:lang w:val="en-US" w:eastAsia="zh-CN" w:bidi="ar"/>
              </w:rPr>
              <w:br w:type="textWrapping"/>
            </w:r>
            <w:r>
              <w:rPr>
                <w:rFonts w:hint="eastAsia" w:ascii="黑体" w:hAnsi="宋体" w:eastAsia="黑体" w:cs="黑体"/>
                <w:i w:val="0"/>
                <w:color w:val="000000"/>
                <w:kern w:val="0"/>
                <w:sz w:val="24"/>
                <w:szCs w:val="24"/>
                <w:u w:val="none"/>
                <w:lang w:val="en-US" w:eastAsia="zh-CN" w:bidi="ar"/>
              </w:rPr>
              <w:t>事项</w:t>
            </w:r>
          </w:p>
        </w:tc>
        <w:tc>
          <w:tcPr>
            <w:tcW w:w="3118" w:type="dxa"/>
            <w:tcBorders>
              <w:tl2br w:val="nil"/>
              <w:tr2bl w:val="nil"/>
            </w:tcBorders>
            <w:shd w:val="clear" w:color="auto" w:fill="auto"/>
            <w:vAlign w:val="center"/>
          </w:tcPr>
          <w:p w14:paraId="28C953FA">
            <w:pPr>
              <w:keepNext w:val="0"/>
              <w:keepLines w:val="0"/>
              <w:widowControl/>
              <w:suppressLineNumbers w:val="0"/>
              <w:jc w:val="center"/>
              <w:textAlignment w:val="center"/>
              <w:rPr>
                <w:rFonts w:hint="eastAsia" w:ascii="黑体" w:hAnsi="宋体" w:eastAsia="黑体" w:cs="黑体"/>
                <w:i w:val="0"/>
                <w:color w:val="000000"/>
                <w:sz w:val="24"/>
                <w:szCs w:val="24"/>
                <w:u w:val="none"/>
              </w:rPr>
            </w:pPr>
            <w:r>
              <w:rPr>
                <w:rFonts w:hint="eastAsia" w:ascii="黑体" w:hAnsi="宋体" w:eastAsia="黑体" w:cs="黑体"/>
                <w:i w:val="0"/>
                <w:color w:val="000000"/>
                <w:kern w:val="0"/>
                <w:sz w:val="24"/>
                <w:szCs w:val="24"/>
                <w:u w:val="none"/>
                <w:lang w:val="en-US" w:eastAsia="zh-CN" w:bidi="ar"/>
              </w:rPr>
              <w:t>实施依据</w:t>
            </w:r>
          </w:p>
        </w:tc>
        <w:tc>
          <w:tcPr>
            <w:tcW w:w="1134" w:type="dxa"/>
            <w:tcBorders>
              <w:tl2br w:val="nil"/>
              <w:tr2bl w:val="nil"/>
            </w:tcBorders>
            <w:shd w:val="clear" w:color="auto" w:fill="auto"/>
            <w:vAlign w:val="center"/>
          </w:tcPr>
          <w:p w14:paraId="05A0D102">
            <w:pPr>
              <w:keepNext w:val="0"/>
              <w:keepLines w:val="0"/>
              <w:widowControl/>
              <w:suppressLineNumbers w:val="0"/>
              <w:jc w:val="center"/>
              <w:textAlignment w:val="center"/>
              <w:rPr>
                <w:rFonts w:hint="eastAsia" w:ascii="黑体" w:hAnsi="宋体" w:eastAsia="黑体" w:cs="黑体"/>
                <w:i w:val="0"/>
                <w:color w:val="000000"/>
                <w:kern w:val="0"/>
                <w:sz w:val="24"/>
                <w:szCs w:val="24"/>
                <w:u w:val="none"/>
                <w:lang w:val="en-US" w:eastAsia="zh-CN" w:bidi="ar"/>
              </w:rPr>
            </w:pPr>
            <w:r>
              <w:rPr>
                <w:rFonts w:hint="eastAsia" w:ascii="黑体" w:hAnsi="宋体" w:eastAsia="黑体" w:cs="黑体"/>
                <w:i w:val="0"/>
                <w:color w:val="000000"/>
                <w:kern w:val="0"/>
                <w:sz w:val="24"/>
                <w:szCs w:val="24"/>
                <w:u w:val="none"/>
                <w:lang w:val="en-US" w:eastAsia="zh-CN" w:bidi="ar"/>
              </w:rPr>
              <w:t>省级</w:t>
            </w:r>
          </w:p>
          <w:p w14:paraId="38CC046B">
            <w:pPr>
              <w:keepNext w:val="0"/>
              <w:keepLines w:val="0"/>
              <w:widowControl/>
              <w:suppressLineNumbers w:val="0"/>
              <w:jc w:val="center"/>
              <w:textAlignment w:val="center"/>
              <w:rPr>
                <w:rFonts w:hint="eastAsia" w:ascii="黑体" w:hAnsi="宋体" w:eastAsia="黑体" w:cs="黑体"/>
                <w:i w:val="0"/>
                <w:color w:val="000000"/>
                <w:sz w:val="24"/>
                <w:szCs w:val="24"/>
                <w:u w:val="none"/>
              </w:rPr>
            </w:pPr>
            <w:r>
              <w:rPr>
                <w:rFonts w:hint="eastAsia" w:ascii="黑体" w:hAnsi="宋体" w:eastAsia="黑体" w:cs="黑体"/>
                <w:i w:val="0"/>
                <w:color w:val="000000"/>
                <w:kern w:val="0"/>
                <w:sz w:val="24"/>
                <w:szCs w:val="24"/>
                <w:u w:val="none"/>
                <w:lang w:val="en-US" w:eastAsia="zh-CN" w:bidi="ar"/>
              </w:rPr>
              <w:t>主管部门</w:t>
            </w:r>
          </w:p>
        </w:tc>
        <w:tc>
          <w:tcPr>
            <w:tcW w:w="964" w:type="dxa"/>
            <w:tcBorders>
              <w:tl2br w:val="nil"/>
              <w:tr2bl w:val="nil"/>
            </w:tcBorders>
            <w:shd w:val="clear" w:color="auto" w:fill="auto"/>
            <w:vAlign w:val="center"/>
          </w:tcPr>
          <w:p w14:paraId="7008E871">
            <w:pPr>
              <w:keepNext w:val="0"/>
              <w:keepLines w:val="0"/>
              <w:widowControl/>
              <w:suppressLineNumbers w:val="0"/>
              <w:jc w:val="center"/>
              <w:textAlignment w:val="center"/>
              <w:rPr>
                <w:rFonts w:hint="eastAsia" w:ascii="黑体" w:hAnsi="宋体" w:eastAsia="黑体" w:cs="黑体"/>
                <w:i w:val="0"/>
                <w:color w:val="000000"/>
                <w:kern w:val="0"/>
                <w:sz w:val="24"/>
                <w:szCs w:val="24"/>
                <w:u w:val="none"/>
                <w:lang w:val="en-US" w:eastAsia="zh-CN" w:bidi="ar"/>
              </w:rPr>
            </w:pPr>
            <w:r>
              <w:rPr>
                <w:rFonts w:hint="eastAsia" w:ascii="黑体" w:hAnsi="宋体" w:eastAsia="黑体" w:cs="黑体"/>
                <w:i w:val="0"/>
                <w:color w:val="000000"/>
                <w:kern w:val="0"/>
                <w:sz w:val="24"/>
                <w:szCs w:val="24"/>
                <w:u w:val="none"/>
                <w:lang w:val="en-US" w:eastAsia="zh-CN" w:bidi="ar"/>
              </w:rPr>
              <w:t>实施</w:t>
            </w:r>
          </w:p>
          <w:p w14:paraId="370EA072">
            <w:pPr>
              <w:keepNext w:val="0"/>
              <w:keepLines w:val="0"/>
              <w:widowControl/>
              <w:suppressLineNumbers w:val="0"/>
              <w:jc w:val="center"/>
              <w:textAlignment w:val="center"/>
              <w:rPr>
                <w:rFonts w:hint="eastAsia" w:ascii="黑体" w:hAnsi="宋体" w:eastAsia="黑体" w:cs="黑体"/>
                <w:i w:val="0"/>
                <w:color w:val="000000"/>
                <w:sz w:val="24"/>
                <w:szCs w:val="24"/>
                <w:u w:val="none"/>
              </w:rPr>
            </w:pPr>
            <w:r>
              <w:rPr>
                <w:rFonts w:hint="eastAsia" w:ascii="黑体" w:hAnsi="宋体" w:eastAsia="黑体" w:cs="黑体"/>
                <w:i w:val="0"/>
                <w:color w:val="000000"/>
                <w:kern w:val="0"/>
                <w:sz w:val="24"/>
                <w:szCs w:val="24"/>
                <w:u w:val="none"/>
                <w:lang w:val="en-US" w:eastAsia="zh-CN" w:bidi="ar"/>
              </w:rPr>
              <w:t>层级</w:t>
            </w:r>
          </w:p>
        </w:tc>
        <w:tc>
          <w:tcPr>
            <w:tcW w:w="3969" w:type="dxa"/>
            <w:tcBorders>
              <w:tl2br w:val="nil"/>
              <w:tr2bl w:val="nil"/>
            </w:tcBorders>
            <w:shd w:val="clear" w:color="auto" w:fill="auto"/>
            <w:vAlign w:val="center"/>
          </w:tcPr>
          <w:p w14:paraId="3FBC6F3B">
            <w:pPr>
              <w:keepNext w:val="0"/>
              <w:keepLines w:val="0"/>
              <w:widowControl/>
              <w:suppressLineNumbers w:val="0"/>
              <w:jc w:val="center"/>
              <w:textAlignment w:val="center"/>
              <w:rPr>
                <w:rFonts w:hint="eastAsia" w:ascii="黑体" w:hAnsi="宋体" w:eastAsia="黑体" w:cs="黑体"/>
                <w:i w:val="0"/>
                <w:color w:val="000000"/>
                <w:sz w:val="24"/>
                <w:szCs w:val="24"/>
                <w:u w:val="none"/>
              </w:rPr>
            </w:pPr>
            <w:r>
              <w:rPr>
                <w:rFonts w:hint="eastAsia" w:ascii="黑体" w:hAnsi="宋体" w:eastAsia="黑体" w:cs="黑体"/>
                <w:i w:val="0"/>
                <w:color w:val="000000"/>
                <w:kern w:val="0"/>
                <w:sz w:val="24"/>
                <w:szCs w:val="24"/>
                <w:u w:val="none"/>
                <w:lang w:val="en-US" w:eastAsia="zh-CN" w:bidi="ar"/>
              </w:rPr>
              <w:t>责任事项</w:t>
            </w:r>
          </w:p>
        </w:tc>
        <w:tc>
          <w:tcPr>
            <w:tcW w:w="3402" w:type="dxa"/>
            <w:tcBorders>
              <w:tl2br w:val="nil"/>
              <w:tr2bl w:val="nil"/>
            </w:tcBorders>
            <w:shd w:val="clear" w:color="auto" w:fill="auto"/>
            <w:vAlign w:val="center"/>
          </w:tcPr>
          <w:p w14:paraId="5945E717">
            <w:pPr>
              <w:keepNext w:val="0"/>
              <w:keepLines w:val="0"/>
              <w:widowControl/>
              <w:suppressLineNumbers w:val="0"/>
              <w:jc w:val="center"/>
              <w:textAlignment w:val="center"/>
              <w:rPr>
                <w:rFonts w:hint="eastAsia" w:ascii="黑体" w:hAnsi="宋体" w:eastAsia="黑体" w:cs="黑体"/>
                <w:i w:val="0"/>
                <w:color w:val="000000"/>
                <w:sz w:val="24"/>
                <w:szCs w:val="24"/>
                <w:u w:val="none"/>
              </w:rPr>
            </w:pPr>
            <w:r>
              <w:rPr>
                <w:rFonts w:hint="eastAsia" w:ascii="黑体" w:hAnsi="宋体" w:eastAsia="黑体" w:cs="黑体"/>
                <w:i w:val="0"/>
                <w:color w:val="000000"/>
                <w:kern w:val="0"/>
                <w:sz w:val="24"/>
                <w:szCs w:val="24"/>
                <w:u w:val="none"/>
                <w:lang w:val="en-US" w:eastAsia="zh-CN" w:bidi="ar"/>
              </w:rPr>
              <w:t>追责情形</w:t>
            </w:r>
          </w:p>
        </w:tc>
        <w:tc>
          <w:tcPr>
            <w:tcW w:w="567" w:type="dxa"/>
            <w:tcBorders>
              <w:tl2br w:val="nil"/>
              <w:tr2bl w:val="nil"/>
            </w:tcBorders>
            <w:shd w:val="clear" w:color="auto" w:fill="auto"/>
            <w:tcMar>
              <w:top w:w="0" w:type="dxa"/>
              <w:left w:w="0" w:type="dxa"/>
              <w:bottom w:w="0" w:type="dxa"/>
              <w:right w:w="0" w:type="dxa"/>
            </w:tcMar>
            <w:vAlign w:val="center"/>
          </w:tcPr>
          <w:p w14:paraId="084FC443">
            <w:pPr>
              <w:keepNext w:val="0"/>
              <w:keepLines w:val="0"/>
              <w:widowControl/>
              <w:suppressLineNumbers w:val="0"/>
              <w:jc w:val="center"/>
              <w:textAlignment w:val="center"/>
              <w:rPr>
                <w:rFonts w:hint="eastAsia" w:ascii="黑体" w:hAnsi="宋体" w:eastAsia="黑体" w:cs="黑体"/>
                <w:i w:val="0"/>
                <w:color w:val="000000"/>
                <w:sz w:val="24"/>
                <w:szCs w:val="24"/>
                <w:u w:val="none"/>
              </w:rPr>
            </w:pPr>
            <w:r>
              <w:rPr>
                <w:rFonts w:hint="eastAsia" w:ascii="黑体" w:hAnsi="宋体" w:eastAsia="黑体" w:cs="黑体"/>
                <w:i w:val="0"/>
                <w:color w:val="000000"/>
                <w:kern w:val="0"/>
                <w:sz w:val="24"/>
                <w:szCs w:val="24"/>
                <w:u w:val="none"/>
                <w:lang w:val="en-US" w:eastAsia="zh-CN" w:bidi="ar"/>
              </w:rPr>
              <w:t>备注</w:t>
            </w:r>
          </w:p>
        </w:tc>
      </w:tr>
      <w:tr w14:paraId="6321A3E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shd w:val="clear" w:color="auto" w:fill="auto"/>
          <w:tblCellMar>
            <w:top w:w="15" w:type="dxa"/>
            <w:left w:w="15" w:type="dxa"/>
            <w:bottom w:w="15" w:type="dxa"/>
            <w:right w:w="15" w:type="dxa"/>
          </w:tblCellMar>
        </w:tblPrEx>
        <w:trPr>
          <w:trHeight w:val="8957" w:hRule="atLeast"/>
        </w:trPr>
        <w:tc>
          <w:tcPr>
            <w:tcW w:w="544" w:type="dxa"/>
            <w:tcBorders>
              <w:tl2br w:val="nil"/>
              <w:tr2bl w:val="nil"/>
            </w:tcBorders>
            <w:shd w:val="clear" w:color="auto" w:fill="auto"/>
            <w:vAlign w:val="center"/>
          </w:tcPr>
          <w:p w14:paraId="18B658DF">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8</w:t>
            </w:r>
          </w:p>
        </w:tc>
        <w:tc>
          <w:tcPr>
            <w:tcW w:w="850" w:type="dxa"/>
            <w:tcBorders>
              <w:tl2br w:val="nil"/>
              <w:tr2bl w:val="nil"/>
            </w:tcBorders>
            <w:shd w:val="clear" w:color="auto" w:fill="auto"/>
            <w:vAlign w:val="center"/>
          </w:tcPr>
          <w:p w14:paraId="5988F59F">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行政许可</w:t>
            </w:r>
          </w:p>
        </w:tc>
        <w:tc>
          <w:tcPr>
            <w:tcW w:w="1134" w:type="dxa"/>
            <w:tcBorders>
              <w:tl2br w:val="nil"/>
              <w:tr2bl w:val="nil"/>
            </w:tcBorders>
            <w:shd w:val="clear" w:color="auto" w:fill="auto"/>
            <w:vAlign w:val="center"/>
          </w:tcPr>
          <w:p w14:paraId="59BB380A">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建筑起重机械使用登记</w:t>
            </w:r>
          </w:p>
        </w:tc>
        <w:tc>
          <w:tcPr>
            <w:tcW w:w="3118" w:type="dxa"/>
            <w:tcBorders>
              <w:tl2br w:val="nil"/>
              <w:tr2bl w:val="nil"/>
            </w:tcBorders>
            <w:shd w:val="clear" w:color="auto" w:fill="auto"/>
            <w:vAlign w:val="center"/>
          </w:tcPr>
          <w:p w14:paraId="297FBA8C">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1.《中华人民共和国特种设备安全法》（2013年6月29日中华人民共和国主席令第4号）第三十三条 特种设备使用单位应当在特种设备投入使用前或者投入使用后三十日内，向负责特种设备安全监督管理的部门办理使用登记，取得使用登记证书。登记标志应当置于该特种设备的显著位置。</w:t>
            </w:r>
            <w:r>
              <w:rPr>
                <w:rFonts w:hint="eastAsia" w:ascii="仿宋_GB2312" w:hAnsi="仿宋_GB2312" w:eastAsia="仿宋_GB2312" w:cs="仿宋_GB2312"/>
                <w:i w:val="0"/>
                <w:color w:val="000000"/>
                <w:kern w:val="0"/>
                <w:sz w:val="18"/>
                <w:szCs w:val="18"/>
                <w:u w:val="none"/>
                <w:lang w:val="en-US" w:eastAsia="zh-CN" w:bidi="ar"/>
              </w:rPr>
              <w:br w:type="textWrapping"/>
            </w:r>
            <w:r>
              <w:rPr>
                <w:rFonts w:hint="eastAsia" w:ascii="仿宋_GB2312" w:hAnsi="仿宋_GB2312" w:eastAsia="仿宋_GB2312" w:cs="仿宋_GB2312"/>
                <w:i w:val="0"/>
                <w:color w:val="000000"/>
                <w:kern w:val="0"/>
                <w:sz w:val="18"/>
                <w:szCs w:val="18"/>
                <w:u w:val="none"/>
                <w:lang w:val="en-US" w:eastAsia="zh-CN" w:bidi="ar"/>
              </w:rPr>
              <w:t>2.《</w:t>
            </w:r>
            <w:bookmarkStart w:id="0" w:name="_GoBack"/>
            <w:bookmarkEnd w:id="0"/>
            <w:r>
              <w:rPr>
                <w:rFonts w:hint="eastAsia" w:ascii="仿宋_GB2312" w:hAnsi="仿宋_GB2312" w:eastAsia="仿宋_GB2312" w:cs="仿宋_GB2312"/>
                <w:i w:val="0"/>
                <w:color w:val="000000"/>
                <w:kern w:val="0"/>
                <w:sz w:val="18"/>
                <w:szCs w:val="18"/>
                <w:u w:val="none"/>
                <w:lang w:val="en-US" w:eastAsia="zh-CN" w:bidi="ar"/>
              </w:rPr>
              <w:t>特种设备安全监察条例》（国务院第549号）第二十五条 特种设备在投入使用前或者投入使用后30日内，特种设备使用单位应当向直辖市或者设区的市的特种设备安全监督管理部门登记。登记标志应当置于或者附着于该特种设备的显著位置。</w:t>
            </w:r>
            <w:r>
              <w:rPr>
                <w:rFonts w:hint="eastAsia" w:ascii="仿宋_GB2312" w:hAnsi="仿宋_GB2312" w:eastAsia="仿宋_GB2312" w:cs="仿宋_GB2312"/>
                <w:i w:val="0"/>
                <w:color w:val="000000"/>
                <w:kern w:val="0"/>
                <w:sz w:val="18"/>
                <w:szCs w:val="18"/>
                <w:u w:val="none"/>
                <w:lang w:val="en-US" w:eastAsia="zh-CN" w:bidi="ar"/>
              </w:rPr>
              <w:br w:type="textWrapping"/>
            </w:r>
            <w:r>
              <w:rPr>
                <w:rFonts w:hint="eastAsia" w:ascii="仿宋_GB2312" w:hAnsi="仿宋_GB2312" w:eastAsia="仿宋_GB2312" w:cs="仿宋_GB2312"/>
                <w:i w:val="0"/>
                <w:color w:val="000000"/>
                <w:kern w:val="0"/>
                <w:sz w:val="18"/>
                <w:szCs w:val="18"/>
                <w:u w:val="none"/>
                <w:lang w:val="en-US" w:eastAsia="zh-CN" w:bidi="ar"/>
              </w:rPr>
              <w:t>3.《建筑起重机械安全监督管理规定》（2008年1月28日原建设部令第166号）第十七条 使用单位应当自建筑起重机械安装验收合格之日起30日内，将建筑起重机械安装验收资料、建筑起重机械安全管理制度、特种作业人员名单等，向工程所在地县级以上地方人民政府建设主管部门办理建筑起重机械使用登记。登记标志置于或者附着于该设备的显著位置。</w:t>
            </w:r>
          </w:p>
        </w:tc>
        <w:tc>
          <w:tcPr>
            <w:tcW w:w="1134" w:type="dxa"/>
            <w:tcBorders>
              <w:tl2br w:val="nil"/>
              <w:tr2bl w:val="nil"/>
            </w:tcBorders>
            <w:shd w:val="clear" w:color="auto" w:fill="auto"/>
            <w:vAlign w:val="center"/>
          </w:tcPr>
          <w:p w14:paraId="729B6FF5">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省住建厅</w:t>
            </w:r>
          </w:p>
        </w:tc>
        <w:tc>
          <w:tcPr>
            <w:tcW w:w="964" w:type="dxa"/>
            <w:tcBorders>
              <w:tl2br w:val="nil"/>
              <w:tr2bl w:val="nil"/>
            </w:tcBorders>
            <w:shd w:val="clear" w:color="auto" w:fill="auto"/>
            <w:vAlign w:val="center"/>
          </w:tcPr>
          <w:p w14:paraId="43617755">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center"/>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市级、县级</w:t>
            </w:r>
          </w:p>
        </w:tc>
        <w:tc>
          <w:tcPr>
            <w:tcW w:w="3969" w:type="dxa"/>
            <w:tcBorders>
              <w:tl2br w:val="nil"/>
              <w:tr2bl w:val="nil"/>
            </w:tcBorders>
            <w:shd w:val="clear" w:color="auto" w:fill="auto"/>
            <w:vAlign w:val="center"/>
          </w:tcPr>
          <w:p w14:paraId="0CFA3598">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1.受理环节责任：查验申请材料，材料不完整的，应当一次性告知申请人需要补正的全部材料；收到申请人提交的全部补正材料后，应当作出受理或者不予受理的决定，不予受理的，应当告知理由。</w:t>
            </w:r>
            <w:r>
              <w:rPr>
                <w:rFonts w:hint="eastAsia" w:ascii="仿宋_GB2312" w:hAnsi="仿宋_GB2312" w:eastAsia="仿宋_GB2312" w:cs="仿宋_GB2312"/>
                <w:i w:val="0"/>
                <w:color w:val="000000"/>
                <w:kern w:val="0"/>
                <w:sz w:val="18"/>
                <w:szCs w:val="18"/>
                <w:u w:val="none"/>
                <w:lang w:val="en-US" w:eastAsia="zh-CN" w:bidi="ar"/>
              </w:rPr>
              <w:br w:type="textWrapping"/>
            </w:r>
            <w:r>
              <w:rPr>
                <w:rFonts w:hint="eastAsia" w:ascii="仿宋_GB2312" w:hAnsi="仿宋_GB2312" w:eastAsia="仿宋_GB2312" w:cs="仿宋_GB2312"/>
                <w:i w:val="0"/>
                <w:color w:val="000000"/>
                <w:kern w:val="0"/>
                <w:sz w:val="18"/>
                <w:szCs w:val="18"/>
                <w:u w:val="none"/>
                <w:lang w:val="en-US" w:eastAsia="zh-CN" w:bidi="ar"/>
              </w:rPr>
              <w:t>2.审查环节责任：对申请人提交的备案材料进行审查，符合备案条件的，予以备案，不符合条件的，不予以备案，并告知理由。</w:t>
            </w:r>
            <w:r>
              <w:rPr>
                <w:rFonts w:hint="eastAsia" w:ascii="仿宋_GB2312" w:hAnsi="仿宋_GB2312" w:eastAsia="仿宋_GB2312" w:cs="仿宋_GB2312"/>
                <w:i w:val="0"/>
                <w:color w:val="000000"/>
                <w:kern w:val="0"/>
                <w:sz w:val="18"/>
                <w:szCs w:val="18"/>
                <w:u w:val="none"/>
                <w:lang w:val="en-US" w:eastAsia="zh-CN" w:bidi="ar"/>
              </w:rPr>
              <w:br w:type="textWrapping"/>
            </w:r>
            <w:r>
              <w:rPr>
                <w:rFonts w:hint="eastAsia" w:ascii="仿宋_GB2312" w:hAnsi="仿宋_GB2312" w:eastAsia="仿宋_GB2312" w:cs="仿宋_GB2312"/>
                <w:i w:val="0"/>
                <w:color w:val="000000"/>
                <w:kern w:val="0"/>
                <w:sz w:val="18"/>
                <w:szCs w:val="18"/>
                <w:u w:val="none"/>
                <w:lang w:val="en-US" w:eastAsia="zh-CN" w:bidi="ar"/>
              </w:rPr>
              <w:t>3.备案环节责任：符合条件应及时办理告知手续。</w:t>
            </w:r>
            <w:r>
              <w:rPr>
                <w:rFonts w:hint="eastAsia" w:ascii="仿宋_GB2312" w:hAnsi="仿宋_GB2312" w:eastAsia="仿宋_GB2312" w:cs="仿宋_GB2312"/>
                <w:i w:val="0"/>
                <w:color w:val="000000"/>
                <w:kern w:val="0"/>
                <w:sz w:val="18"/>
                <w:szCs w:val="18"/>
                <w:u w:val="none"/>
                <w:lang w:val="en-US" w:eastAsia="zh-CN" w:bidi="ar"/>
              </w:rPr>
              <w:br w:type="textWrapping"/>
            </w:r>
            <w:r>
              <w:rPr>
                <w:rFonts w:hint="eastAsia" w:ascii="仿宋_GB2312" w:hAnsi="仿宋_GB2312" w:eastAsia="仿宋_GB2312" w:cs="仿宋_GB2312"/>
                <w:i w:val="0"/>
                <w:color w:val="000000"/>
                <w:kern w:val="0"/>
                <w:sz w:val="18"/>
                <w:szCs w:val="18"/>
                <w:u w:val="none"/>
                <w:lang w:val="en-US" w:eastAsia="zh-CN" w:bidi="ar"/>
              </w:rPr>
              <w:t>4.监管环节责任：采取法律法规规定的各种形式加强备案后续监管。</w:t>
            </w:r>
          </w:p>
          <w:p w14:paraId="083B1C33">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5.其他法律法规规章规定的应履行的责任。</w:t>
            </w:r>
          </w:p>
        </w:tc>
        <w:tc>
          <w:tcPr>
            <w:tcW w:w="3402" w:type="dxa"/>
            <w:tcBorders>
              <w:tl2br w:val="nil"/>
              <w:tr2bl w:val="nil"/>
            </w:tcBorders>
            <w:shd w:val="clear" w:color="auto" w:fill="auto"/>
            <w:vAlign w:val="center"/>
          </w:tcPr>
          <w:p w14:paraId="7EAFC4EF">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kern w:val="0"/>
                <w:sz w:val="18"/>
                <w:szCs w:val="18"/>
                <w:u w:val="none"/>
                <w:lang w:val="en-US" w:eastAsia="zh-CN" w:bidi="ar"/>
              </w:rPr>
            </w:pPr>
            <w:r>
              <w:rPr>
                <w:rFonts w:hint="eastAsia" w:ascii="仿宋_GB2312" w:hAnsi="仿宋_GB2312" w:eastAsia="仿宋_GB2312" w:cs="仿宋_GB2312"/>
                <w:i w:val="0"/>
                <w:color w:val="000000"/>
                <w:kern w:val="0"/>
                <w:sz w:val="18"/>
                <w:szCs w:val="18"/>
                <w:u w:val="none"/>
                <w:lang w:val="en-US" w:eastAsia="zh-CN" w:bidi="ar"/>
              </w:rPr>
              <w:t>因不履行或不正确履行行政职责，有下列情形的，行政机关及相关工作人员应承担相应责任：</w:t>
            </w:r>
          </w:p>
          <w:p w14:paraId="67AD34AF">
            <w:pPr>
              <w:keepNext w:val="0"/>
              <w:keepLines w:val="0"/>
              <w:pageBreakBefore w:val="0"/>
              <w:widowControl/>
              <w:suppressLineNumbers w:val="0"/>
              <w:kinsoku/>
              <w:wordWrap/>
              <w:overflowPunct/>
              <w:topLinePunct w:val="0"/>
              <w:autoSpaceDE/>
              <w:autoSpaceDN/>
              <w:bidi w:val="0"/>
              <w:adjustRightInd/>
              <w:snapToGrid/>
              <w:spacing w:afterAutospacing="0"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1.不在办公场所公示依法应当公示的材料的。</w:t>
            </w:r>
            <w:r>
              <w:rPr>
                <w:rFonts w:hint="eastAsia" w:ascii="仿宋_GB2312" w:hAnsi="仿宋_GB2312" w:eastAsia="仿宋_GB2312" w:cs="仿宋_GB2312"/>
                <w:i w:val="0"/>
                <w:color w:val="000000"/>
                <w:kern w:val="0"/>
                <w:sz w:val="18"/>
                <w:szCs w:val="18"/>
                <w:u w:val="none"/>
                <w:lang w:val="en-US" w:eastAsia="zh-CN" w:bidi="ar"/>
              </w:rPr>
              <w:br w:type="textWrapping"/>
            </w:r>
            <w:r>
              <w:rPr>
                <w:rFonts w:hint="eastAsia" w:ascii="仿宋_GB2312" w:hAnsi="仿宋_GB2312" w:eastAsia="仿宋_GB2312" w:cs="仿宋_GB2312"/>
                <w:i w:val="0"/>
                <w:color w:val="000000"/>
                <w:kern w:val="0"/>
                <w:sz w:val="18"/>
                <w:szCs w:val="18"/>
                <w:u w:val="none"/>
                <w:lang w:val="en-US" w:eastAsia="zh-CN" w:bidi="ar"/>
              </w:rPr>
              <w:t>2.符合申报条件不予受理、不予办理的。</w:t>
            </w:r>
            <w:r>
              <w:rPr>
                <w:rFonts w:hint="eastAsia" w:ascii="仿宋_GB2312" w:hAnsi="仿宋_GB2312" w:eastAsia="仿宋_GB2312" w:cs="仿宋_GB2312"/>
                <w:i w:val="0"/>
                <w:color w:val="000000"/>
                <w:kern w:val="0"/>
                <w:sz w:val="18"/>
                <w:szCs w:val="18"/>
                <w:u w:val="none"/>
                <w:lang w:val="en-US" w:eastAsia="zh-CN" w:bidi="ar"/>
              </w:rPr>
              <w:br w:type="textWrapping"/>
            </w:r>
            <w:r>
              <w:rPr>
                <w:rFonts w:hint="eastAsia" w:ascii="仿宋_GB2312" w:hAnsi="仿宋_GB2312" w:eastAsia="仿宋_GB2312" w:cs="仿宋_GB2312"/>
                <w:i w:val="0"/>
                <w:color w:val="000000"/>
                <w:kern w:val="0"/>
                <w:sz w:val="18"/>
                <w:szCs w:val="18"/>
                <w:u w:val="none"/>
                <w:lang w:val="en-US" w:eastAsia="zh-CN" w:bidi="ar"/>
              </w:rPr>
              <w:t>3.不符合申报条件予以受理、办理的。</w:t>
            </w:r>
            <w:r>
              <w:rPr>
                <w:rFonts w:hint="eastAsia" w:ascii="仿宋_GB2312" w:hAnsi="仿宋_GB2312" w:eastAsia="仿宋_GB2312" w:cs="仿宋_GB2312"/>
                <w:i w:val="0"/>
                <w:color w:val="000000"/>
                <w:kern w:val="0"/>
                <w:sz w:val="18"/>
                <w:szCs w:val="18"/>
                <w:u w:val="none"/>
                <w:lang w:val="en-US" w:eastAsia="zh-CN" w:bidi="ar"/>
              </w:rPr>
              <w:br w:type="textWrapping"/>
            </w:r>
            <w:r>
              <w:rPr>
                <w:rFonts w:hint="eastAsia" w:ascii="仿宋_GB2312" w:hAnsi="仿宋_GB2312" w:eastAsia="仿宋_GB2312" w:cs="仿宋_GB2312"/>
                <w:i w:val="0"/>
                <w:color w:val="000000"/>
                <w:kern w:val="0"/>
                <w:sz w:val="18"/>
                <w:szCs w:val="18"/>
                <w:u w:val="none"/>
                <w:lang w:val="en-US" w:eastAsia="zh-CN" w:bidi="ar"/>
              </w:rPr>
              <w:t>4.执法人员玩忽职守、滥用职权、徇私舞弊的。</w:t>
            </w:r>
            <w:r>
              <w:rPr>
                <w:rFonts w:hint="eastAsia" w:ascii="仿宋_GB2312" w:hAnsi="仿宋_GB2312" w:eastAsia="仿宋_GB2312" w:cs="仿宋_GB2312"/>
                <w:i w:val="0"/>
                <w:color w:val="000000"/>
                <w:kern w:val="0"/>
                <w:sz w:val="18"/>
                <w:szCs w:val="18"/>
                <w:u w:val="none"/>
                <w:lang w:val="en-US" w:eastAsia="zh-CN" w:bidi="ar"/>
              </w:rPr>
              <w:br w:type="textWrapping"/>
            </w:r>
            <w:r>
              <w:rPr>
                <w:rFonts w:hint="eastAsia" w:ascii="仿宋_GB2312" w:hAnsi="仿宋_GB2312" w:eastAsia="仿宋_GB2312" w:cs="仿宋_GB2312"/>
                <w:i w:val="0"/>
                <w:color w:val="000000"/>
                <w:kern w:val="0"/>
                <w:sz w:val="18"/>
                <w:szCs w:val="18"/>
                <w:u w:val="none"/>
                <w:lang w:val="en-US" w:eastAsia="zh-CN" w:bidi="ar"/>
              </w:rPr>
              <w:t>5.其他违反法律法规规章规定的行为。</w:t>
            </w:r>
          </w:p>
        </w:tc>
        <w:tc>
          <w:tcPr>
            <w:tcW w:w="567" w:type="dxa"/>
            <w:tcBorders>
              <w:tl2br w:val="nil"/>
              <w:tr2bl w:val="nil"/>
            </w:tcBorders>
            <w:shd w:val="clear" w:color="auto" w:fill="auto"/>
            <w:tcMar>
              <w:top w:w="0" w:type="dxa"/>
              <w:left w:w="0" w:type="dxa"/>
              <w:bottom w:w="0" w:type="dxa"/>
              <w:right w:w="0" w:type="dxa"/>
            </w:tcMar>
            <w:vAlign w:val="center"/>
          </w:tcPr>
          <w:p w14:paraId="4D75DABF">
            <w:pPr>
              <w:keepNext w:val="0"/>
              <w:keepLines w:val="0"/>
              <w:pageBreakBefore w:val="0"/>
              <w:widowControl/>
              <w:suppressLineNumbers w:val="0"/>
              <w:kinsoku/>
              <w:wordWrap/>
              <w:overflowPunct/>
              <w:topLinePunct w:val="0"/>
              <w:autoSpaceDE/>
              <w:autoSpaceDN/>
              <w:bidi w:val="0"/>
              <w:adjustRightInd/>
              <w:snapToGrid/>
              <w:spacing w:line="240" w:lineRule="exact"/>
              <w:ind w:left="0" w:leftChars="0" w:right="0" w:rightChars="0" w:firstLine="0" w:firstLineChars="0"/>
              <w:jc w:val="left"/>
              <w:textAlignment w:val="center"/>
              <w:outlineLvl w:val="9"/>
              <w:rPr>
                <w:rFonts w:hint="eastAsia" w:ascii="仿宋_GB2312" w:hAnsi="仿宋_GB2312" w:eastAsia="仿宋_GB2312" w:cs="仿宋_GB2312"/>
                <w:i w:val="0"/>
                <w:color w:val="000000"/>
                <w:sz w:val="18"/>
                <w:szCs w:val="18"/>
                <w:u w:val="none"/>
              </w:rPr>
            </w:pPr>
            <w:r>
              <w:rPr>
                <w:rFonts w:hint="eastAsia" w:ascii="仿宋_GB2312" w:hAnsi="仿宋_GB2312" w:eastAsia="仿宋_GB2312" w:cs="仿宋_GB2312"/>
                <w:i w:val="0"/>
                <w:color w:val="000000"/>
                <w:kern w:val="0"/>
                <w:sz w:val="18"/>
                <w:szCs w:val="18"/>
                <w:u w:val="none"/>
                <w:lang w:val="en-US" w:eastAsia="zh-CN" w:bidi="ar"/>
              </w:rPr>
              <w:t>市县区同权，按区域划分</w:t>
            </w:r>
          </w:p>
        </w:tc>
      </w:tr>
    </w:tbl>
    <w:p w14:paraId="1522BF52">
      <w:pPr>
        <w:keepNext w:val="0"/>
        <w:keepLines w:val="0"/>
        <w:pageBreakBefore w:val="0"/>
        <w:kinsoku/>
        <w:wordWrap/>
        <w:overflowPunct/>
        <w:topLinePunct w:val="0"/>
        <w:autoSpaceDE/>
        <w:autoSpaceDN/>
        <w:bidi w:val="0"/>
        <w:adjustRightInd/>
        <w:snapToGrid/>
        <w:spacing w:line="240" w:lineRule="exact"/>
        <w:ind w:left="0" w:leftChars="0" w:right="0" w:rightChars="0" w:firstLine="0" w:firstLineChars="0"/>
        <w:outlineLvl w:val="9"/>
        <w:rPr>
          <w:rFonts w:hint="eastAsia" w:ascii="仿宋_GB2312" w:hAnsi="仿宋_GB2312" w:eastAsia="仿宋_GB2312" w:cs="仿宋_GB2312"/>
          <w:sz w:val="18"/>
          <w:szCs w:val="18"/>
        </w:rPr>
      </w:pPr>
    </w:p>
    <w:p w14:paraId="150CE95B">
      <w:pPr>
        <w:keepNext w:val="0"/>
        <w:keepLines w:val="0"/>
        <w:pageBreakBefore w:val="0"/>
        <w:kinsoku/>
        <w:wordWrap/>
        <w:overflowPunct/>
        <w:topLinePunct w:val="0"/>
        <w:autoSpaceDE/>
        <w:autoSpaceDN/>
        <w:bidi w:val="0"/>
        <w:adjustRightInd/>
        <w:snapToGrid/>
        <w:spacing w:line="240" w:lineRule="exact"/>
        <w:ind w:left="0" w:leftChars="0" w:right="0" w:rightChars="0" w:firstLine="0" w:firstLineChars="0"/>
        <w:outlineLvl w:val="9"/>
        <w:rPr>
          <w:rFonts w:hint="eastAsia" w:ascii="仿宋_GB2312" w:hAnsi="仿宋_GB2312" w:eastAsia="仿宋_GB2312" w:cs="仿宋_GB2312"/>
          <w:sz w:val="18"/>
          <w:szCs w:val="18"/>
        </w:rPr>
      </w:pPr>
    </w:p>
    <w:p w14:paraId="3BBC6239">
      <w:pPr>
        <w:keepNext w:val="0"/>
        <w:keepLines w:val="0"/>
        <w:pageBreakBefore w:val="0"/>
        <w:kinsoku/>
        <w:wordWrap/>
        <w:overflowPunct/>
        <w:topLinePunct w:val="0"/>
        <w:autoSpaceDE/>
        <w:autoSpaceDN/>
        <w:bidi w:val="0"/>
        <w:adjustRightInd/>
        <w:snapToGrid/>
        <w:spacing w:line="240" w:lineRule="exact"/>
        <w:ind w:left="0" w:leftChars="0" w:right="0" w:rightChars="0" w:firstLine="0" w:firstLineChars="0"/>
        <w:outlineLvl w:val="9"/>
        <w:rPr>
          <w:rFonts w:hint="eastAsia" w:ascii="仿宋_GB2312" w:hAnsi="仿宋_GB2312" w:eastAsia="仿宋_GB2312" w:cs="仿宋_GB2312"/>
          <w:sz w:val="18"/>
          <w:szCs w:val="18"/>
        </w:rPr>
      </w:pPr>
    </w:p>
    <w:sectPr>
      <w:pgSz w:w="16838" w:h="11906" w:orient="landscape"/>
      <w:pgMar w:top="720" w:right="720" w:bottom="720" w:left="720" w:header="851" w:footer="992" w:gutter="0"/>
      <w:pgBorders w:offsetFrom="page">
        <w:top w:val="none" w:sz="0" w:space="0"/>
        <w:left w:val="none" w:sz="0" w:space="0"/>
        <w:bottom w:val="none" w:sz="0" w:space="0"/>
        <w:right w:val="none" w:sz="0" w:space="0"/>
      </w:pgBorders>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altName w:val="仿宋"/>
    <w:panose1 w:val="02010609030101010101"/>
    <w:charset w:val="86"/>
    <w:family w:val="auto"/>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TE0ZGViNGFkYzdjNDkyMGNhY2RlNjBmMzEzNGE1NDUifQ=="/>
  </w:docVars>
  <w:rsids>
    <w:rsidRoot w:val="7E0E61AE"/>
    <w:rsid w:val="0DEB7DD0"/>
    <w:rsid w:val="6A3855ED"/>
    <w:rsid w:val="7AE36791"/>
    <w:rsid w:val="7C6316DE"/>
    <w:rsid w:val="7E0E61AE"/>
    <w:rsid w:val="7EF12B4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3">
    <w:name w:val="Default Paragraph Font"/>
    <w:semiHidden/>
    <w:qFormat/>
    <w:uiPriority w:val="0"/>
  </w:style>
  <w:style w:type="table" w:default="1" w:styleId="2">
    <w:name w:val="Normal Table"/>
    <w:semiHidden/>
    <w:qFormat/>
    <w:uiPriority w:val="0"/>
    <w:tblPr>
      <w:tblCellMar>
        <w:top w:w="0" w:type="dxa"/>
        <w:left w:w="108" w:type="dxa"/>
        <w:bottom w:w="0" w:type="dxa"/>
        <w:right w:w="108" w:type="dxa"/>
      </w:tblCellMar>
    </w:tblPr>
  </w:style>
  <w:style w:type="character" w:customStyle="1" w:styleId="4">
    <w:name w:val="font51"/>
    <w:basedOn w:val="3"/>
    <w:qFormat/>
    <w:uiPriority w:val="0"/>
    <w:rPr>
      <w:rFonts w:hint="eastAsia" w:ascii="仿宋_GB2312" w:eastAsia="仿宋_GB2312" w:cs="仿宋_GB2312"/>
      <w:color w:val="000000"/>
      <w:sz w:val="16"/>
      <w:szCs w:val="16"/>
      <w:u w:val="none"/>
    </w:rPr>
  </w:style>
  <w:style w:type="character" w:customStyle="1" w:styleId="5">
    <w:name w:val="font11"/>
    <w:basedOn w:val="3"/>
    <w:qFormat/>
    <w:uiPriority w:val="0"/>
    <w:rPr>
      <w:rFonts w:hint="eastAsia" w:ascii="仿宋_GB2312" w:eastAsia="仿宋_GB2312" w:cs="仿宋_GB2312"/>
      <w:color w:val="FF0000"/>
      <w:sz w:val="16"/>
      <w:szCs w:val="16"/>
      <w:u w:val="none"/>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805</Words>
  <Characters>832</Characters>
  <Lines>0</Lines>
  <Paragraphs>0</Paragraphs>
  <TotalTime>40</TotalTime>
  <ScaleCrop>false</ScaleCrop>
  <LinksUpToDate>false</LinksUpToDate>
  <CharactersWithSpaces>835</CharactersWithSpaces>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2022-09-23T01:39:00Z</dcterms:created>
  <dc:creator>Administrator</dc:creator>
  <cp:lastModifiedBy>WPS_1659145126</cp:lastModifiedBy>
  <cp:lastPrinted>2023-09-26T07:23:00Z</cp:lastPrinted>
  <dcterms:modified xsi:type="dcterms:W3CDTF">2025-10-20T08:43:24Z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2052-12.1.0.22529</vt:lpwstr>
  </property>
  <property fmtid="{D5CDD505-2E9C-101B-9397-08002B2CF9AE}" pid="3" name="ICV">
    <vt:lpwstr>FEF68D42083C4274A491FB6103C547B2_12</vt:lpwstr>
  </property>
  <property fmtid="{D5CDD505-2E9C-101B-9397-08002B2CF9AE}" pid="4" name="KSOTemplateDocerSaveRecord">
    <vt:lpwstr>eyJoZGlkIjoiZmJmMDFkYTI2MTM0ODIwMWFjOWUxMWE3ZjM2ZTBhZDUiLCJ1c2VySWQiOiIxMzkyNTEzOTI5In0=</vt:lpwstr>
  </property>
</Properties>
</file>