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
        <w:tblW w:w="1567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15" w:type="dxa"/>
          <w:left w:w="15" w:type="dxa"/>
          <w:bottom w:w="15" w:type="dxa"/>
          <w:right w:w="15" w:type="dxa"/>
        </w:tblCellMar>
      </w:tblPr>
      <w:tblGrid>
        <w:gridCol w:w="544"/>
        <w:gridCol w:w="849"/>
        <w:gridCol w:w="1134"/>
        <w:gridCol w:w="3117"/>
        <w:gridCol w:w="1134"/>
        <w:gridCol w:w="963"/>
        <w:gridCol w:w="3968"/>
        <w:gridCol w:w="3402"/>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567" w:hRule="atLeast"/>
        </w:trPr>
        <w:tc>
          <w:tcPr>
            <w:tcW w:w="544" w:type="dxa"/>
            <w:tcBorders>
              <w:tl2br w:val="nil"/>
              <w:tr2bl w:val="nil"/>
            </w:tcBorders>
            <w:shd w:val="clear" w:color="auto" w:fill="auto"/>
            <w:vAlign w:val="center"/>
          </w:tcPr>
          <w:p>
            <w:pPr>
              <w:keepNext w:val="0"/>
              <w:keepLines w:val="0"/>
              <w:widowControl/>
              <w:suppressLineNumbers w:val="0"/>
              <w:jc w:val="center"/>
              <w:textAlignment w:val="center"/>
              <w:rPr>
                <w:rFonts w:ascii="黑体" w:hAnsi="宋体" w:eastAsia="黑体" w:cs="黑体"/>
                <w:i w:val="0"/>
                <w:color w:val="auto"/>
                <w:sz w:val="24"/>
                <w:szCs w:val="24"/>
                <w:u w:val="none"/>
              </w:rPr>
            </w:pPr>
            <w:r>
              <w:rPr>
                <w:rFonts w:hint="eastAsia" w:ascii="黑体" w:hAnsi="宋体" w:eastAsia="黑体" w:cs="黑体"/>
                <w:i w:val="0"/>
                <w:color w:val="auto"/>
                <w:kern w:val="0"/>
                <w:sz w:val="24"/>
                <w:szCs w:val="24"/>
                <w:u w:val="none"/>
                <w:lang w:val="en-US" w:eastAsia="zh-CN" w:bidi="ar"/>
              </w:rPr>
              <w:t>序号</w:t>
            </w:r>
          </w:p>
        </w:tc>
        <w:tc>
          <w:tcPr>
            <w:tcW w:w="84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auto"/>
                <w:kern w:val="0"/>
                <w:sz w:val="24"/>
                <w:szCs w:val="24"/>
                <w:u w:val="none"/>
                <w:lang w:val="en-US" w:eastAsia="zh-CN" w:bidi="ar"/>
              </w:rPr>
            </w:pPr>
            <w:r>
              <w:rPr>
                <w:rFonts w:hint="eastAsia" w:ascii="黑体" w:hAnsi="宋体" w:eastAsia="黑体" w:cs="黑体"/>
                <w:i w:val="0"/>
                <w:color w:val="auto"/>
                <w:kern w:val="0"/>
                <w:sz w:val="24"/>
                <w:szCs w:val="24"/>
                <w:u w:val="none"/>
                <w:lang w:val="en-US" w:eastAsia="zh-CN" w:bidi="ar"/>
              </w:rPr>
              <w:t>权力</w:t>
            </w:r>
          </w:p>
          <w:p>
            <w:pPr>
              <w:keepNext w:val="0"/>
              <w:keepLines w:val="0"/>
              <w:widowControl/>
              <w:suppressLineNumbers w:val="0"/>
              <w:jc w:val="center"/>
              <w:textAlignment w:val="center"/>
              <w:rPr>
                <w:rFonts w:hint="eastAsia" w:ascii="黑体" w:hAnsi="宋体" w:eastAsia="黑体" w:cs="黑体"/>
                <w:i w:val="0"/>
                <w:color w:val="auto"/>
                <w:sz w:val="24"/>
                <w:szCs w:val="24"/>
                <w:u w:val="none"/>
              </w:rPr>
            </w:pPr>
            <w:r>
              <w:rPr>
                <w:rFonts w:hint="eastAsia" w:ascii="黑体" w:hAnsi="宋体" w:eastAsia="黑体" w:cs="黑体"/>
                <w:i w:val="0"/>
                <w:color w:val="auto"/>
                <w:kern w:val="0"/>
                <w:sz w:val="24"/>
                <w:szCs w:val="24"/>
                <w:u w:val="none"/>
                <w:lang w:val="en-US" w:eastAsia="zh-CN" w:bidi="ar"/>
              </w:rPr>
              <w:t>类型</w:t>
            </w:r>
          </w:p>
        </w:tc>
        <w:tc>
          <w:tcPr>
            <w:tcW w:w="113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auto"/>
                <w:sz w:val="24"/>
                <w:szCs w:val="24"/>
                <w:u w:val="none"/>
              </w:rPr>
            </w:pPr>
            <w:r>
              <w:rPr>
                <w:rFonts w:hint="eastAsia" w:ascii="黑体" w:hAnsi="宋体" w:eastAsia="黑体" w:cs="黑体"/>
                <w:i w:val="0"/>
                <w:color w:val="auto"/>
                <w:kern w:val="0"/>
                <w:sz w:val="24"/>
                <w:szCs w:val="24"/>
                <w:u w:val="none"/>
                <w:lang w:val="en-US" w:eastAsia="zh-CN" w:bidi="ar"/>
              </w:rPr>
              <w:t>权力事项</w:t>
            </w:r>
          </w:p>
        </w:tc>
        <w:tc>
          <w:tcPr>
            <w:tcW w:w="3117"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auto"/>
                <w:sz w:val="24"/>
                <w:szCs w:val="24"/>
                <w:u w:val="none"/>
              </w:rPr>
            </w:pPr>
            <w:r>
              <w:rPr>
                <w:rFonts w:hint="eastAsia" w:ascii="黑体" w:hAnsi="宋体" w:eastAsia="黑体" w:cs="黑体"/>
                <w:i w:val="0"/>
                <w:color w:val="auto"/>
                <w:kern w:val="0"/>
                <w:sz w:val="24"/>
                <w:szCs w:val="24"/>
                <w:u w:val="none"/>
                <w:lang w:val="en-US" w:eastAsia="zh-CN" w:bidi="ar"/>
              </w:rPr>
              <w:t>实施依据</w:t>
            </w:r>
          </w:p>
        </w:tc>
        <w:tc>
          <w:tcPr>
            <w:tcW w:w="113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auto"/>
                <w:kern w:val="0"/>
                <w:sz w:val="24"/>
                <w:szCs w:val="24"/>
                <w:u w:val="none"/>
                <w:lang w:val="en-US" w:eastAsia="zh-CN" w:bidi="ar"/>
              </w:rPr>
            </w:pPr>
            <w:r>
              <w:rPr>
                <w:rFonts w:hint="eastAsia" w:ascii="黑体" w:hAnsi="宋体" w:eastAsia="黑体" w:cs="黑体"/>
                <w:i w:val="0"/>
                <w:color w:val="auto"/>
                <w:kern w:val="0"/>
                <w:sz w:val="24"/>
                <w:szCs w:val="24"/>
                <w:u w:val="none"/>
                <w:lang w:val="en-US" w:eastAsia="zh-CN" w:bidi="ar"/>
              </w:rPr>
              <w:t>省级</w:t>
            </w:r>
          </w:p>
          <w:p>
            <w:pPr>
              <w:keepNext w:val="0"/>
              <w:keepLines w:val="0"/>
              <w:widowControl/>
              <w:suppressLineNumbers w:val="0"/>
              <w:jc w:val="center"/>
              <w:textAlignment w:val="center"/>
              <w:rPr>
                <w:rFonts w:hint="eastAsia" w:ascii="黑体" w:hAnsi="宋体" w:eastAsia="黑体" w:cs="黑体"/>
                <w:i w:val="0"/>
                <w:color w:val="auto"/>
                <w:sz w:val="24"/>
                <w:szCs w:val="24"/>
                <w:u w:val="none"/>
              </w:rPr>
            </w:pPr>
            <w:r>
              <w:rPr>
                <w:rFonts w:hint="eastAsia" w:ascii="黑体" w:hAnsi="宋体" w:eastAsia="黑体" w:cs="黑体"/>
                <w:i w:val="0"/>
                <w:color w:val="auto"/>
                <w:kern w:val="0"/>
                <w:sz w:val="24"/>
                <w:szCs w:val="24"/>
                <w:u w:val="none"/>
                <w:lang w:val="en-US" w:eastAsia="zh-CN" w:bidi="ar"/>
              </w:rPr>
              <w:t>主管部门</w:t>
            </w:r>
          </w:p>
        </w:tc>
        <w:tc>
          <w:tcPr>
            <w:tcW w:w="963"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auto"/>
                <w:kern w:val="0"/>
                <w:sz w:val="24"/>
                <w:szCs w:val="24"/>
                <w:u w:val="none"/>
                <w:lang w:val="en-US" w:eastAsia="zh-CN" w:bidi="ar"/>
              </w:rPr>
            </w:pPr>
            <w:r>
              <w:rPr>
                <w:rFonts w:hint="eastAsia" w:ascii="黑体" w:hAnsi="宋体" w:eastAsia="黑体" w:cs="黑体"/>
                <w:i w:val="0"/>
                <w:color w:val="auto"/>
                <w:kern w:val="0"/>
                <w:sz w:val="24"/>
                <w:szCs w:val="24"/>
                <w:u w:val="none"/>
                <w:lang w:val="en-US" w:eastAsia="zh-CN" w:bidi="ar"/>
              </w:rPr>
              <w:t>实施</w:t>
            </w:r>
          </w:p>
          <w:p>
            <w:pPr>
              <w:keepNext w:val="0"/>
              <w:keepLines w:val="0"/>
              <w:widowControl/>
              <w:suppressLineNumbers w:val="0"/>
              <w:jc w:val="center"/>
              <w:textAlignment w:val="center"/>
              <w:rPr>
                <w:rFonts w:hint="eastAsia" w:ascii="黑体" w:hAnsi="宋体" w:eastAsia="黑体" w:cs="黑体"/>
                <w:i w:val="0"/>
                <w:color w:val="auto"/>
                <w:sz w:val="24"/>
                <w:szCs w:val="24"/>
                <w:u w:val="none"/>
              </w:rPr>
            </w:pPr>
            <w:r>
              <w:rPr>
                <w:rFonts w:hint="eastAsia" w:ascii="黑体" w:hAnsi="宋体" w:eastAsia="黑体" w:cs="黑体"/>
                <w:i w:val="0"/>
                <w:color w:val="auto"/>
                <w:kern w:val="0"/>
                <w:sz w:val="24"/>
                <w:szCs w:val="24"/>
                <w:u w:val="none"/>
                <w:lang w:val="en-US" w:eastAsia="zh-CN" w:bidi="ar"/>
              </w:rPr>
              <w:t>层级</w:t>
            </w:r>
          </w:p>
        </w:tc>
        <w:tc>
          <w:tcPr>
            <w:tcW w:w="3968"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auto"/>
                <w:sz w:val="24"/>
                <w:szCs w:val="24"/>
                <w:u w:val="none"/>
              </w:rPr>
            </w:pPr>
            <w:r>
              <w:rPr>
                <w:rFonts w:hint="eastAsia" w:ascii="黑体" w:hAnsi="宋体" w:eastAsia="黑体" w:cs="黑体"/>
                <w:i w:val="0"/>
                <w:color w:val="auto"/>
                <w:kern w:val="0"/>
                <w:sz w:val="24"/>
                <w:szCs w:val="24"/>
                <w:u w:val="none"/>
                <w:lang w:val="en-US" w:eastAsia="zh-CN" w:bidi="ar"/>
              </w:rPr>
              <w:t>责任事项</w:t>
            </w:r>
          </w:p>
        </w:tc>
        <w:tc>
          <w:tcPr>
            <w:tcW w:w="3402" w:type="dxa"/>
            <w:tcBorders>
              <w:tl2br w:val="nil"/>
              <w:tr2bl w:val="nil"/>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auto"/>
                <w:sz w:val="24"/>
                <w:szCs w:val="24"/>
                <w:u w:val="none"/>
              </w:rPr>
            </w:pPr>
            <w:r>
              <w:rPr>
                <w:rFonts w:hint="eastAsia" w:ascii="黑体" w:hAnsi="宋体" w:eastAsia="黑体" w:cs="黑体"/>
                <w:i w:val="0"/>
                <w:color w:val="auto"/>
                <w:kern w:val="0"/>
                <w:sz w:val="24"/>
                <w:szCs w:val="24"/>
                <w:u w:val="none"/>
                <w:lang w:val="en-US" w:eastAsia="zh-CN" w:bidi="ar"/>
              </w:rPr>
              <w:t>追责情形</w:t>
            </w:r>
          </w:p>
        </w:tc>
        <w:tc>
          <w:tcPr>
            <w:tcW w:w="567" w:type="dxa"/>
            <w:tcBorders>
              <w:tl2br w:val="nil"/>
              <w:tr2bl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lang w:val="en-US" w:eastAsia="zh-CN"/>
              </w:rPr>
            </w:pPr>
            <w:r>
              <w:rPr>
                <w:rFonts w:hint="eastAsia" w:ascii="仿宋_GB2312" w:hAnsi="仿宋_GB2312" w:eastAsia="仿宋_GB2312" w:cs="仿宋_GB2312"/>
                <w:i w:val="0"/>
                <w:color w:val="auto"/>
                <w:sz w:val="18"/>
                <w:szCs w:val="18"/>
                <w:u w:val="none"/>
                <w:lang w:val="en-US" w:eastAsia="zh-CN"/>
              </w:rPr>
              <w:t>1</w:t>
            </w:r>
          </w:p>
        </w:tc>
        <w:tc>
          <w:tcPr>
            <w:tcW w:w="84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lang w:val="en-US" w:eastAsia="zh-CN"/>
              </w:rPr>
            </w:pPr>
            <w:r>
              <w:rPr>
                <w:rFonts w:hint="eastAsia" w:ascii="仿宋_GB2312" w:hAnsi="仿宋_GB2312" w:eastAsia="仿宋_GB2312" w:cs="仿宋_GB2312"/>
                <w:i w:val="0"/>
                <w:color w:val="auto"/>
                <w:kern w:val="0"/>
                <w:sz w:val="18"/>
                <w:szCs w:val="18"/>
                <w:u w:val="none"/>
                <w:lang w:val="en-US" w:eastAsia="zh-CN" w:bidi="ar"/>
              </w:rPr>
              <w:t>行政征收</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国有土地上房屋征收</w:t>
            </w:r>
          </w:p>
        </w:tc>
        <w:tc>
          <w:tcPr>
            <w:tcW w:w="3117"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城市房地产管理法》第六条：为了公共利益的需要，国家可以征收国有土地上单位和个人的房屋，并依法给予拆迁补偿，维护被征收人的合法权益；征收个人住宅的，还应当保障被征收人的居住条件。具体办法由国务院规定。</w:t>
            </w:r>
            <w:r>
              <w:rPr>
                <w:rFonts w:hint="eastAsia" w:ascii="仿宋_GB2312" w:hAnsi="仿宋_GB2312" w:eastAsia="仿宋_GB2312" w:cs="仿宋_GB2312"/>
                <w:i w:val="0"/>
                <w:color w:val="auto"/>
                <w:kern w:val="0"/>
                <w:sz w:val="18"/>
                <w:szCs w:val="18"/>
                <w:u w:val="none"/>
                <w:lang w:val="en-US" w:eastAsia="zh-CN" w:bidi="ar"/>
              </w:rPr>
              <w:br w:type="textWrapping"/>
            </w:r>
            <w:r>
              <w:rPr>
                <w:rFonts w:hint="eastAsia" w:ascii="仿宋_GB2312" w:hAnsi="仿宋_GB2312" w:eastAsia="仿宋_GB2312" w:cs="仿宋_GB2312"/>
                <w:i w:val="0"/>
                <w:color w:val="auto"/>
                <w:kern w:val="0"/>
                <w:sz w:val="18"/>
                <w:szCs w:val="18"/>
                <w:u w:val="none"/>
                <w:lang w:val="en-US" w:eastAsia="zh-CN" w:bidi="ar"/>
              </w:rPr>
              <w:t>2.《国有土地上房屋征收与补偿条例》第二条：为了公共利益的需要，征收国有土地上单位、个人的房屋，应当对被征收房屋所有权人给予公平补偿。</w:t>
            </w:r>
            <w:r>
              <w:rPr>
                <w:rFonts w:hint="eastAsia" w:ascii="仿宋_GB2312" w:hAnsi="仿宋_GB2312" w:eastAsia="仿宋_GB2312" w:cs="仿宋_GB2312"/>
                <w:i w:val="0"/>
                <w:color w:val="auto"/>
                <w:kern w:val="0"/>
                <w:sz w:val="18"/>
                <w:szCs w:val="18"/>
                <w:u w:val="none"/>
                <w:lang w:val="en-US" w:eastAsia="zh-CN" w:bidi="ar"/>
              </w:rPr>
              <w:br w:type="textWrapping"/>
            </w:r>
            <w:r>
              <w:rPr>
                <w:rFonts w:hint="eastAsia" w:ascii="仿宋_GB2312" w:hAnsi="仿宋_GB2312" w:eastAsia="仿宋_GB2312" w:cs="仿宋_GB2312"/>
                <w:i w:val="0"/>
                <w:color w:val="auto"/>
                <w:kern w:val="0"/>
                <w:sz w:val="18"/>
                <w:szCs w:val="18"/>
                <w:u w:val="none"/>
                <w:lang w:val="en-US" w:eastAsia="zh-CN" w:bidi="ar"/>
              </w:rPr>
              <w:t xml:space="preserve"> 3.《国有土地上房屋征收与补偿条例》第四条：市、县级人民政府负责本行政区域的房屋征收与补偿工作。市、县级人民政府确定的房屋征收部门组织实施本行政区域的房屋征收与补偿工作。市、县级人民政府有关部门应当依照本条例的规定和本级人民政府规定的职责分工，互相配合，保障房屋征收与补偿工作的顺利进行。</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bookmarkStart w:id="0" w:name="_GoBack"/>
            <w:bookmarkEnd w:id="0"/>
            <w:r>
              <w:rPr>
                <w:rFonts w:hint="eastAsia" w:ascii="仿宋_GB2312" w:hAnsi="仿宋_GB2312" w:eastAsia="仿宋_GB2312" w:cs="仿宋_GB2312"/>
                <w:i w:val="0"/>
                <w:color w:val="auto"/>
                <w:kern w:val="0"/>
                <w:sz w:val="18"/>
                <w:szCs w:val="18"/>
                <w:u w:val="none"/>
                <w:lang w:val="en-US" w:eastAsia="zh-CN" w:bidi="ar"/>
              </w:rPr>
              <w:t>省住建厅</w:t>
            </w:r>
          </w:p>
        </w:tc>
        <w:tc>
          <w:tcPr>
            <w:tcW w:w="963"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县级</w:t>
            </w:r>
          </w:p>
        </w:tc>
        <w:tc>
          <w:tcPr>
            <w:tcW w:w="396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（1）房屋调查登记阶段：对房屋征收范围内的权属、用途、建筑面积等情况组织调查登记，并在房屋征收范围内向被征收人公布调查结果；</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拟定征收补偿方案并征求意见阶段：拟定征收补偿方案并上报，对征收补偿方案的合法性和合理性进行论证并公布征求公众意见，书面通知有关部门暂停办理在房屋征收范围内实施新建、扩建、改建房屋和改变房屋用途等行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（3）公布征收决定阶段：作出房屋征收决定并进行公告，内容应当有征收补偿方案和行政复议行政诉讼权利等事项，同时做好房屋征收与补偿的宣传、解释等工作；</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（4）征收实施阶段：将评估机构出具的分户初步评估结果在征收范围内向征收人公示，与被征收人签订房屋征收补偿协议，建立房屋征收补偿档案，并将每户补偿情况在房屋征收范围内向被征收人公布；</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（5）其他法律法规规章文件规定履行的责任情形。</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县级人民政府及房屋征收部门的工作人员在房屋征收与补偿工作中不履行本条例规定的职责，或者滥用职权、玩忽职守、徇私舞弊的，由上级人民政府或者本级人民政府责令改正，通报批评;造成损失的，依法承担赔偿责任;对直接负责的主管人员和其他直接责任人员，依法给予处分;构成犯罪的，依法追究刑事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（1）无法定依据征收的；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（2）擅自设立或者增加征收项目，擅自改变征收范围和标准的；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（3）违反法定程序实行征收的；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（4）截留、私分或者挪用征收、征用款物的；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（5）其他违法实施征收、征用的。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tc>
        <w:tc>
          <w:tcPr>
            <w:tcW w:w="567" w:type="dxa"/>
            <w:tcBorders>
              <w:tl2br w:val="nil"/>
              <w:tr2bl w:val="nil"/>
            </w:tcBorders>
            <w:shd w:val="clear" w:color="auto" w:fill="auto"/>
            <w:vAlign w:val="center"/>
          </w:tcPr>
          <w:p>
            <w:pPr>
              <w:rPr>
                <w:rFonts w:hint="eastAsia" w:ascii="仿宋_GB2312" w:hAnsi="仿宋_GB2312" w:eastAsia="仿宋_GB2312" w:cs="仿宋_GB2312"/>
                <w:i w:val="0"/>
                <w:color w:val="auto"/>
                <w:sz w:val="18"/>
                <w:szCs w:val="18"/>
                <w:u w:val="none"/>
              </w:rPr>
            </w:pPr>
          </w:p>
        </w:tc>
      </w:tr>
    </w:tbl>
    <w:p>
      <w:pPr>
        <w:rPr>
          <w:rFonts w:hint="eastAsia" w:eastAsiaTheme="minorEastAsia"/>
          <w:lang w:eastAsia="zh-CN"/>
        </w:rPr>
      </w:pPr>
    </w:p>
    <w:sectPr>
      <w:pgSz w:w="16838" w:h="11906" w:orient="landscape"/>
      <w:pgMar w:top="720" w:right="720" w:bottom="720" w:left="720" w:header="851" w:footer="992" w:gutter="0"/>
      <w:pgBorders w:offsetFrom="page">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E0ZGViNGFkYzdjNDkyMGNhY2RlNjBmMzEzNGE1NDUifQ=="/>
  </w:docVars>
  <w:rsids>
    <w:rsidRoot w:val="33F82FB5"/>
    <w:rsid w:val="03F1578E"/>
    <w:rsid w:val="09A576FA"/>
    <w:rsid w:val="0D0403EA"/>
    <w:rsid w:val="23E7671D"/>
    <w:rsid w:val="295372BB"/>
    <w:rsid w:val="2AC633CF"/>
    <w:rsid w:val="33F82FB5"/>
    <w:rsid w:val="340706E9"/>
    <w:rsid w:val="3884080D"/>
    <w:rsid w:val="3B61689A"/>
    <w:rsid w:val="4AB870E3"/>
    <w:rsid w:val="4BB55076"/>
    <w:rsid w:val="54210D44"/>
    <w:rsid w:val="59F760A3"/>
    <w:rsid w:val="6B340F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956</Words>
  <Characters>959</Characters>
  <Lines>0</Lines>
  <Paragraphs>0</Paragraphs>
  <TotalTime>229</TotalTime>
  <ScaleCrop>false</ScaleCrop>
  <LinksUpToDate>false</LinksUpToDate>
  <CharactersWithSpaces>960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2022-09-05T09:06:00Z</dcterms:created>
  <dc:creator>Administrator</dc:creator>
  <cp:lastModifiedBy>Administrator</cp:lastModifiedBy>
  <cp:lastPrinted>2023-09-15T07:19:00Z</cp:lastPrinted>
  <dcterms:modified xsi:type="dcterms:W3CDTF">2023-09-26T07:34:10Z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261C16638BF84ED183FBBEA69C270D98_13</vt:lpwstr>
  </property>
</Properties>
</file>