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8"/>
        <w:gridCol w:w="3402"/>
        <w:gridCol w:w="567"/>
      </w:tblGrid>
      <w:tr w14:paraId="58BE6E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tcMar>
              <w:top w:w="15" w:type="dxa"/>
              <w:left w:w="0" w:type="dxa"/>
              <w:bottom w:w="15" w:type="dxa"/>
              <w:right w:w="0" w:type="dxa"/>
            </w:tcMar>
            <w:vAlign w:val="center"/>
          </w:tcPr>
          <w:p w14:paraId="08180AE3">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70699101">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0D3682E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0EFAB3C5">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75DD7C57">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4FC413AA">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52859A6B">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34F659FC">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31025F20">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67132145">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8" w:type="dxa"/>
            <w:tcBorders>
              <w:tl2br w:val="nil"/>
              <w:tr2bl w:val="nil"/>
            </w:tcBorders>
            <w:shd w:val="clear" w:color="auto" w:fill="auto"/>
            <w:vAlign w:val="center"/>
          </w:tcPr>
          <w:p w14:paraId="5CE886D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03E29B40">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09FFD202">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14:paraId="44EDAB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5DC0AE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1</w:t>
            </w:r>
          </w:p>
        </w:tc>
        <w:tc>
          <w:tcPr>
            <w:tcW w:w="850" w:type="dxa"/>
            <w:tcBorders>
              <w:tl2br w:val="nil"/>
              <w:tr2bl w:val="nil"/>
            </w:tcBorders>
            <w:shd w:val="clear" w:color="auto" w:fill="auto"/>
            <w:vAlign w:val="center"/>
          </w:tcPr>
          <w:p w14:paraId="24FCD9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其他权力</w:t>
            </w:r>
          </w:p>
        </w:tc>
        <w:tc>
          <w:tcPr>
            <w:tcW w:w="1134" w:type="dxa"/>
            <w:tcBorders>
              <w:tl2br w:val="nil"/>
              <w:tr2bl w:val="nil"/>
            </w:tcBorders>
            <w:shd w:val="clear" w:color="auto" w:fill="auto"/>
            <w:vAlign w:val="center"/>
          </w:tcPr>
          <w:p w14:paraId="2F03E9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公租房租金收缴</w:t>
            </w:r>
          </w:p>
        </w:tc>
        <w:tc>
          <w:tcPr>
            <w:tcW w:w="3118" w:type="dxa"/>
            <w:tcBorders>
              <w:tl2br w:val="nil"/>
              <w:tr2bl w:val="nil"/>
            </w:tcBorders>
            <w:shd w:val="clear" w:color="auto" w:fill="auto"/>
            <w:vAlign w:val="center"/>
          </w:tcPr>
          <w:p w14:paraId="7530EE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1.《河北省人民政府关于完善和落实城市住房保障制度切实解决低收入家庭住房问题的若干意见》（冀政[2007]95号）第八章第三十七条 各市、县（市）要整合房产管理部门现有事业机构编制资源，成立廉租住房和经济适用住房管理中心，作为非营利性事业机构具体负责廉租住房的购建、维修管理、租赁住房补贴发放、经济适用住房项目前期准备和销售代理等事宜。</w:t>
            </w:r>
          </w:p>
          <w:p w14:paraId="6803136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2.《河北省城镇住房保障办法（试行）》（河北省人民政府第6号令）第一章第7条  设区的市、县（市）住房保障部门主管本行政区域的城镇住房保障工作，其所属的城镇住房保障业务办理机构具体办理城镇住房保障事务。</w:t>
            </w:r>
          </w:p>
        </w:tc>
        <w:tc>
          <w:tcPr>
            <w:tcW w:w="1134" w:type="dxa"/>
            <w:tcBorders>
              <w:tl2br w:val="nil"/>
              <w:tr2bl w:val="nil"/>
            </w:tcBorders>
            <w:shd w:val="clear" w:color="auto" w:fill="auto"/>
            <w:vAlign w:val="center"/>
          </w:tcPr>
          <w:p w14:paraId="5AE82E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7A813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14:paraId="790DF0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p>
          <w:p w14:paraId="5C638F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1.受理责任:公示依法应当公示的内容；向承租家庭说明租金收缴依据及计算方式。</w:t>
            </w:r>
          </w:p>
          <w:p w14:paraId="7D38F1F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2.监管责任:维护租赁双方的合法权益。</w:t>
            </w:r>
          </w:p>
          <w:p w14:paraId="16D0AC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3.其他法律法规规章规定应履行的责任。</w:t>
            </w:r>
          </w:p>
          <w:p w14:paraId="5F327E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p>
        </w:tc>
        <w:tc>
          <w:tcPr>
            <w:tcW w:w="3402" w:type="dxa"/>
            <w:tcBorders>
              <w:tl2br w:val="nil"/>
              <w:tr2bl w:val="nil"/>
            </w:tcBorders>
            <w:shd w:val="clear" w:color="auto" w:fill="auto"/>
            <w:vAlign w:val="center"/>
          </w:tcPr>
          <w:p w14:paraId="18BF33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A2FBD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1.未按规定履行住房保障职责的；</w:t>
            </w:r>
          </w:p>
          <w:p w14:paraId="7E8731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2.其他玩忽职守、徇私舞弊、滥用职权的行为；</w:t>
            </w:r>
          </w:p>
          <w:p w14:paraId="3F6B6D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5E56F2E2">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auto"/>
                <w:sz w:val="18"/>
                <w:szCs w:val="18"/>
                <w:u w:val="none"/>
              </w:rPr>
            </w:pPr>
          </w:p>
        </w:tc>
      </w:tr>
      <w:tr w14:paraId="3E78BE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162F8D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2</w:t>
            </w:r>
          </w:p>
        </w:tc>
        <w:tc>
          <w:tcPr>
            <w:tcW w:w="850" w:type="dxa"/>
            <w:tcBorders>
              <w:tl2br w:val="nil"/>
              <w:tr2bl w:val="nil"/>
            </w:tcBorders>
            <w:shd w:val="clear" w:color="auto" w:fill="auto"/>
            <w:vAlign w:val="center"/>
          </w:tcPr>
          <w:p w14:paraId="087214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其他权力</w:t>
            </w:r>
          </w:p>
        </w:tc>
        <w:tc>
          <w:tcPr>
            <w:tcW w:w="1134" w:type="dxa"/>
            <w:tcBorders>
              <w:tl2br w:val="nil"/>
              <w:tr2bl w:val="nil"/>
            </w:tcBorders>
            <w:shd w:val="clear" w:color="auto" w:fill="auto"/>
            <w:vAlign w:val="center"/>
          </w:tcPr>
          <w:p w14:paraId="322B98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房屋交易资金监管</w:t>
            </w:r>
          </w:p>
        </w:tc>
        <w:tc>
          <w:tcPr>
            <w:tcW w:w="3118" w:type="dxa"/>
            <w:tcBorders>
              <w:tl2br w:val="nil"/>
              <w:tr2bl w:val="nil"/>
            </w:tcBorders>
            <w:shd w:val="clear" w:color="auto" w:fill="auto"/>
            <w:vAlign w:val="center"/>
          </w:tcPr>
          <w:p w14:paraId="4E7203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1.《中华人民共和国城市房地产管理法》（中华人民共和国主席令第32号）第四十五条 商品房预售，商品房预售所得款项，必须用于有关工程建设；</w:t>
            </w:r>
          </w:p>
          <w:p w14:paraId="76F7C1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2.《城市商品房预售管理办法》（建设部令第131号）第十一条 开发企业预售商品房所得款项应当用于有关的工程建设。</w:t>
            </w:r>
          </w:p>
          <w:p w14:paraId="375E1E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3.《住房城乡建设部关于进一步规范和加强房屋网签备案工作的指导意见》（建房〔2018〕128号）第十三条 严格落实商品房预售资金监管制度，预售资金全部纳入监管账户，保证建设工程竣工交付。</w:t>
            </w:r>
          </w:p>
          <w:p w14:paraId="625AF7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4.住房和城乡建设部、人民银行、银保监会《关于规范商品房预售资金监管的意见》（建房〔2022〕16号）</w:t>
            </w:r>
          </w:p>
          <w:p w14:paraId="1F5B53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5.河北省住房和城乡建设厅《关于进一步加强商品房预售管理的通知》（冀建房市〔2019〕7号）</w:t>
            </w:r>
          </w:p>
        </w:tc>
        <w:tc>
          <w:tcPr>
            <w:tcW w:w="1134" w:type="dxa"/>
            <w:tcBorders>
              <w:tl2br w:val="nil"/>
              <w:tr2bl w:val="nil"/>
            </w:tcBorders>
            <w:shd w:val="clear" w:color="auto" w:fill="auto"/>
            <w:vAlign w:val="center"/>
          </w:tcPr>
          <w:p w14:paraId="6B58E4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D4A1D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市级、县级</w:t>
            </w:r>
          </w:p>
        </w:tc>
        <w:tc>
          <w:tcPr>
            <w:tcW w:w="3968" w:type="dxa"/>
            <w:tcBorders>
              <w:tl2br w:val="nil"/>
              <w:tr2bl w:val="nil"/>
            </w:tcBorders>
            <w:shd w:val="clear" w:color="auto" w:fill="auto"/>
            <w:vAlign w:val="center"/>
          </w:tcPr>
          <w:p w14:paraId="514E14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p>
          <w:p w14:paraId="7B72AA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1.公示环节责任：公示依法应当公示的内容；说明房屋交易资金监管的途径和方法。</w:t>
            </w:r>
          </w:p>
          <w:p w14:paraId="253042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2.受理环节责任：对公示内容予以说明、解释；一次性告知需要补正的全部材料内容；应当与其他行政机关共享有关信息。</w:t>
            </w:r>
          </w:p>
          <w:p w14:paraId="22DABB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3.审查环节责任：对申请材料的实质内容进行核实。</w:t>
            </w:r>
          </w:p>
          <w:p w14:paraId="29A94D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4.送达环节责任：按照法定的途径和方式将相关文书在规定时间内送达开发企业（或委托代理人）；依据相关规定对监督结果予以公开，方便公众查阅。</w:t>
            </w:r>
          </w:p>
          <w:p w14:paraId="21782D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5.监管环节责任：实施机关应当按照事中事后监管制度的要求对房屋交易资金监管的情况的监督检查；应当将监督检查的情况和处理结果予以记录归档，并通过一定方式向社会公众开放查阅。</w:t>
            </w:r>
          </w:p>
          <w:p w14:paraId="3846CF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279DDE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52205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1.在工作中玩忽职守、徇私舞弊的；</w:t>
            </w:r>
          </w:p>
          <w:p w14:paraId="51ADCB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2.其他违反法律法规规章文件规定的行为；</w:t>
            </w:r>
          </w:p>
          <w:p w14:paraId="178DDF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44A2888F">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宋体" w:eastAsia="仿宋_GB2312" w:cs="仿宋_GB2312"/>
                <w:i w:val="0"/>
                <w:color w:val="000000"/>
                <w:sz w:val="18"/>
                <w:szCs w:val="18"/>
                <w:u w:val="none"/>
              </w:rPr>
            </w:pPr>
          </w:p>
        </w:tc>
      </w:tr>
      <w:tr w14:paraId="2EBBE1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5D7363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3</w:t>
            </w:r>
          </w:p>
        </w:tc>
        <w:tc>
          <w:tcPr>
            <w:tcW w:w="850" w:type="dxa"/>
            <w:tcBorders>
              <w:tl2br w:val="nil"/>
              <w:tr2bl w:val="nil"/>
            </w:tcBorders>
            <w:shd w:val="clear" w:color="auto" w:fill="auto"/>
            <w:vAlign w:val="center"/>
          </w:tcPr>
          <w:p w14:paraId="31E8C0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其他权力</w:t>
            </w:r>
          </w:p>
        </w:tc>
        <w:tc>
          <w:tcPr>
            <w:tcW w:w="1134" w:type="dxa"/>
            <w:tcBorders>
              <w:tl2br w:val="nil"/>
              <w:tr2bl w:val="nil"/>
            </w:tcBorders>
            <w:shd w:val="clear" w:color="auto" w:fill="auto"/>
            <w:vAlign w:val="center"/>
          </w:tcPr>
          <w:p w14:paraId="06C565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住宅专项维修资金使用审核</w:t>
            </w:r>
          </w:p>
        </w:tc>
        <w:tc>
          <w:tcPr>
            <w:tcW w:w="3118" w:type="dxa"/>
            <w:tcBorders>
              <w:tl2br w:val="nil"/>
              <w:tr2bl w:val="nil"/>
            </w:tcBorders>
            <w:shd w:val="clear" w:color="auto" w:fill="auto"/>
            <w:vAlign w:val="center"/>
          </w:tcPr>
          <w:p w14:paraId="58F7D9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《住宅专项维修资金管理办法》（建设部财政部令第165号）第五条 国务院建设主管部门会同国务院财政部门负责全国住宅专项维修资金的指导和监督工作。县级以上城市人民政府建设（房地产）主管部门会同同级财政部门负责本行政区域内住宅专项维修资金的指导和监督工作。</w:t>
            </w:r>
          </w:p>
        </w:tc>
        <w:tc>
          <w:tcPr>
            <w:tcW w:w="1134" w:type="dxa"/>
            <w:tcBorders>
              <w:tl2br w:val="nil"/>
              <w:tr2bl w:val="nil"/>
            </w:tcBorders>
            <w:shd w:val="clear" w:color="auto" w:fill="auto"/>
            <w:vAlign w:val="center"/>
          </w:tcPr>
          <w:p w14:paraId="7D5899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5D2E64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14:paraId="72B28817">
            <w:pPr>
              <w:widowControl/>
              <w:spacing w:line="240" w:lineRule="exact"/>
              <w:jc w:val="left"/>
              <w:textAlignment w:val="center"/>
              <w:rPr>
                <w:rFonts w:hint="eastAsia" w:ascii="仿宋_GB2312" w:hAnsi="宋体" w:eastAsia="仿宋_GB2312" w:cs="仿宋_GB2312"/>
                <w:color w:val="auto"/>
                <w:kern w:val="0"/>
                <w:sz w:val="18"/>
                <w:szCs w:val="18"/>
                <w:lang w:eastAsia="zh-CN"/>
              </w:rPr>
            </w:pPr>
            <w:r>
              <w:rPr>
                <w:rFonts w:hint="eastAsia" w:ascii="仿宋_GB2312" w:hAnsi="宋体" w:eastAsia="仿宋_GB2312" w:cs="仿宋_GB2312"/>
                <w:i w:val="0"/>
                <w:color w:val="auto"/>
                <w:kern w:val="0"/>
                <w:sz w:val="18"/>
                <w:szCs w:val="18"/>
                <w:u w:val="none"/>
                <w:lang w:val="en-US" w:eastAsia="zh-CN" w:bidi="ar"/>
              </w:rPr>
              <w:t>1</w:t>
            </w:r>
            <w:r>
              <w:rPr>
                <w:rFonts w:hint="eastAsia" w:ascii="仿宋_GB2312" w:hAnsi="宋体" w:eastAsia="仿宋_GB2312" w:cs="仿宋_GB2312"/>
                <w:color w:val="auto"/>
                <w:kern w:val="0"/>
                <w:sz w:val="18"/>
                <w:szCs w:val="18"/>
              </w:rPr>
              <w:t>.前勘环节责任：明确告知是否符合维修资金使用条件。</w:t>
            </w:r>
          </w:p>
          <w:p w14:paraId="2F7B707F">
            <w:pPr>
              <w:widowControl/>
              <w:spacing w:line="240" w:lineRule="exact"/>
              <w:jc w:val="left"/>
              <w:textAlignment w:val="center"/>
              <w:rPr>
                <w:rFonts w:hint="eastAsia" w:ascii="仿宋_GB2312" w:hAnsi="宋体" w:eastAsia="仿宋_GB2312" w:cs="仿宋_GB2312"/>
                <w:color w:val="auto"/>
                <w:kern w:val="0"/>
                <w:sz w:val="18"/>
                <w:szCs w:val="18"/>
              </w:rPr>
            </w:pPr>
            <w:r>
              <w:rPr>
                <w:rFonts w:hint="eastAsia" w:ascii="仿宋_GB2312" w:hAnsi="宋体" w:eastAsia="仿宋_GB2312" w:cs="仿宋_GB2312"/>
                <w:color w:val="auto"/>
                <w:kern w:val="0"/>
                <w:sz w:val="18"/>
                <w:szCs w:val="18"/>
              </w:rPr>
              <w:t xml:space="preserve">2.受理环节责任：公示依法应当提交的材料；一次性告知补正材料、依法受理或不予受理（不予受理的应当告知理由）  </w:t>
            </w:r>
          </w:p>
          <w:p w14:paraId="20DAE3E7">
            <w:pPr>
              <w:widowControl/>
              <w:spacing w:line="240" w:lineRule="exact"/>
              <w:jc w:val="left"/>
              <w:textAlignment w:val="center"/>
              <w:rPr>
                <w:rFonts w:hint="eastAsia" w:ascii="仿宋_GB2312" w:hAnsi="宋体" w:eastAsia="仿宋_GB2312" w:cs="仿宋_GB2312"/>
                <w:color w:val="auto"/>
                <w:kern w:val="0"/>
                <w:sz w:val="18"/>
                <w:szCs w:val="18"/>
                <w:lang w:eastAsia="zh-CN"/>
              </w:rPr>
            </w:pPr>
            <w:r>
              <w:rPr>
                <w:rFonts w:hint="eastAsia" w:ascii="仿宋_GB2312" w:hAnsi="宋体" w:eastAsia="仿宋_GB2312" w:cs="仿宋_GB2312"/>
                <w:color w:val="auto"/>
                <w:kern w:val="0"/>
                <w:sz w:val="18"/>
                <w:szCs w:val="18"/>
              </w:rPr>
              <w:t>3.审查环节责任：对申请材料的实质内容进行核实。</w:t>
            </w:r>
          </w:p>
          <w:p w14:paraId="391ECEF9">
            <w:pPr>
              <w:widowControl/>
              <w:spacing w:line="240" w:lineRule="exact"/>
              <w:jc w:val="left"/>
              <w:textAlignment w:val="center"/>
              <w:rPr>
                <w:rFonts w:hint="eastAsia" w:ascii="仿宋_GB2312" w:hAnsi="宋体" w:eastAsia="仿宋_GB2312" w:cs="仿宋_GB2312"/>
                <w:color w:val="auto"/>
                <w:kern w:val="0"/>
                <w:sz w:val="18"/>
                <w:szCs w:val="18"/>
              </w:rPr>
            </w:pPr>
            <w:r>
              <w:rPr>
                <w:rFonts w:hint="eastAsia" w:ascii="仿宋_GB2312" w:hAnsi="宋体" w:eastAsia="仿宋_GB2312" w:cs="仿宋_GB2312"/>
                <w:color w:val="auto"/>
                <w:kern w:val="0"/>
                <w:sz w:val="18"/>
                <w:szCs w:val="18"/>
              </w:rPr>
              <w:t>4.公示环节责任：按照要求对使用项目进行公示，对公示过程进行监管。</w:t>
            </w:r>
          </w:p>
          <w:p w14:paraId="5D894B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color w:val="auto"/>
                <w:kern w:val="0"/>
                <w:sz w:val="18"/>
                <w:szCs w:val="18"/>
              </w:rPr>
              <w:t>5.审批环节责任：依法依规对使用项目进行审批。6.其他法律法规规章规定应履行的责任。</w:t>
            </w:r>
          </w:p>
        </w:tc>
        <w:tc>
          <w:tcPr>
            <w:tcW w:w="3402" w:type="dxa"/>
            <w:tcBorders>
              <w:tl2br w:val="nil"/>
              <w:tr2bl w:val="nil"/>
            </w:tcBorders>
            <w:shd w:val="clear" w:color="auto" w:fill="auto"/>
            <w:vAlign w:val="center"/>
          </w:tcPr>
          <w:p w14:paraId="2C123D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4BB4D8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1.利用职务上的便利，收受他人财物或者其他好处，不依法履行监督管理职责，或者发现违法行为不予查处的；</w:t>
            </w:r>
          </w:p>
          <w:p w14:paraId="5F5F47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2.截留、挪用或者侵占住宅专项维修资金等资金的；</w:t>
            </w:r>
          </w:p>
          <w:p w14:paraId="4A8CBC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390B10C9">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auto"/>
                <w:sz w:val="18"/>
                <w:szCs w:val="18"/>
                <w:u w:val="none"/>
              </w:rPr>
            </w:pPr>
          </w:p>
        </w:tc>
      </w:tr>
      <w:tr w14:paraId="36F93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757095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4</w:t>
            </w:r>
          </w:p>
        </w:tc>
        <w:tc>
          <w:tcPr>
            <w:tcW w:w="850" w:type="dxa"/>
            <w:tcBorders>
              <w:tl2br w:val="nil"/>
              <w:tr2bl w:val="nil"/>
            </w:tcBorders>
            <w:shd w:val="clear" w:color="auto" w:fill="auto"/>
            <w:vAlign w:val="center"/>
          </w:tcPr>
          <w:p w14:paraId="7B3E3F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其他权力</w:t>
            </w:r>
          </w:p>
        </w:tc>
        <w:tc>
          <w:tcPr>
            <w:tcW w:w="1134" w:type="dxa"/>
            <w:tcBorders>
              <w:tl2br w:val="nil"/>
              <w:tr2bl w:val="nil"/>
            </w:tcBorders>
            <w:shd w:val="clear" w:color="auto" w:fill="auto"/>
            <w:vAlign w:val="center"/>
          </w:tcPr>
          <w:p w14:paraId="5910EC5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单位自建经济适用住房销售许可</w:t>
            </w:r>
          </w:p>
        </w:tc>
        <w:tc>
          <w:tcPr>
            <w:tcW w:w="3118" w:type="dxa"/>
            <w:tcBorders>
              <w:tl2br w:val="nil"/>
              <w:tr2bl w:val="nil"/>
            </w:tcBorders>
            <w:shd w:val="clear" w:color="auto" w:fill="auto"/>
            <w:vAlign w:val="center"/>
          </w:tcPr>
          <w:p w14:paraId="7F3567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1.《经济适用住房管理办法》（建住房【2007】258 号）第二十四条 经济适用住房管理应建立严格的准入和退出机制。经济适用住房由市、县人民政府按限定的价格，统一组织向符合购房条件的低收入家庭出售。经济适用住房供应实行申请、审核、公示和轮候制度。市、县人民政府应当制定经济适用住房申请、审核、公示和轮候的具体办法，并向社会公布。第三十五条 单位集资合作建房是经济适用住房的组成部分，其建设标准、优惠政策、供应对象、产权关系等均按照经济适用住房的有关规定严格执行。单位集资合作建房应当纳入当地经济适用住房建设计划和用地计划管理。</w:t>
            </w:r>
          </w:p>
          <w:p w14:paraId="674E94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2. 《关于完善和落实城市住房保障制度切实解决低收入家庭住房问题的若干意见》（冀政[2007]95 号）十七 单位集资合作建房是经济适用住房的组成部分，其建设标准、优惠政策、供应对象、产权关系等均按照经济适用住房的有关规定严格执行。单位集资合作建房应当纳入当地经济适用住房建设计划和用地计划管理。购房人在取得经济适用住房的《房屋所有权证》后，可以将所购经济适用住房转让，但必须交由市、县(市)廉租住房和经济适用住房管理中心代理，以市、县(市)政府价格管理部门会同住房保障管理部门核定的价格，转让给取得《经济适用住房准购证》的家庭。</w:t>
            </w:r>
          </w:p>
        </w:tc>
        <w:tc>
          <w:tcPr>
            <w:tcW w:w="1134" w:type="dxa"/>
            <w:tcBorders>
              <w:tl2br w:val="nil"/>
              <w:tr2bl w:val="nil"/>
            </w:tcBorders>
            <w:shd w:val="clear" w:color="auto" w:fill="auto"/>
            <w:vAlign w:val="center"/>
          </w:tcPr>
          <w:p w14:paraId="35FF23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FE7FC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市级、县级</w:t>
            </w:r>
          </w:p>
        </w:tc>
        <w:tc>
          <w:tcPr>
            <w:tcW w:w="3968" w:type="dxa"/>
            <w:tcBorders>
              <w:tl2br w:val="nil"/>
              <w:tr2bl w:val="nil"/>
            </w:tcBorders>
            <w:shd w:val="clear" w:color="auto" w:fill="auto"/>
            <w:vAlign w:val="center"/>
          </w:tcPr>
          <w:p w14:paraId="498572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14:paraId="4CBCC5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2.审查责任：审核有关材料，符合要求的，给予审核通过；</w:t>
            </w:r>
          </w:p>
          <w:p w14:paraId="22F695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3.决定责任:做出申请人是否通过的决定；不符合要求的，应当书面通知申请人；</w:t>
            </w:r>
          </w:p>
          <w:p w14:paraId="61AA91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0BC980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599204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14:paraId="559DE0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14:paraId="17B60C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14:paraId="087A85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sz w:val="18"/>
                <w:szCs w:val="18"/>
                <w:u w:val="none"/>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14:paraId="0CA04E37">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14:paraId="41D63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2EF3C1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lang w:val="en-US" w:eastAsia="zh-CN"/>
              </w:rPr>
            </w:pPr>
            <w:r>
              <w:rPr>
                <w:rFonts w:hint="eastAsia" w:ascii="仿宋_GB2312" w:hAnsi="宋体" w:eastAsia="仿宋_GB2312" w:cs="仿宋_GB2312"/>
                <w:i w:val="0"/>
                <w:color w:val="000000"/>
                <w:sz w:val="18"/>
                <w:szCs w:val="18"/>
                <w:u w:val="none"/>
                <w:lang w:val="en-US" w:eastAsia="zh-CN"/>
              </w:rPr>
              <w:t>5</w:t>
            </w:r>
          </w:p>
        </w:tc>
        <w:tc>
          <w:tcPr>
            <w:tcW w:w="850" w:type="dxa"/>
            <w:tcBorders>
              <w:tl2br w:val="nil"/>
              <w:tr2bl w:val="nil"/>
            </w:tcBorders>
            <w:shd w:val="clear" w:color="auto" w:fill="auto"/>
            <w:vAlign w:val="center"/>
          </w:tcPr>
          <w:p w14:paraId="001062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其他权力</w:t>
            </w:r>
          </w:p>
        </w:tc>
        <w:tc>
          <w:tcPr>
            <w:tcW w:w="1134" w:type="dxa"/>
            <w:tcBorders>
              <w:tl2br w:val="nil"/>
              <w:tr2bl w:val="nil"/>
            </w:tcBorders>
            <w:shd w:val="clear" w:color="auto" w:fill="auto"/>
            <w:vAlign w:val="center"/>
          </w:tcPr>
          <w:p w14:paraId="4B2989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建设工程招投标投诉处理</w:t>
            </w:r>
          </w:p>
        </w:tc>
        <w:tc>
          <w:tcPr>
            <w:tcW w:w="3118" w:type="dxa"/>
            <w:tcBorders>
              <w:tl2br w:val="nil"/>
              <w:tr2bl w:val="nil"/>
            </w:tcBorders>
            <w:shd w:val="clear" w:color="auto" w:fill="auto"/>
            <w:vAlign w:val="center"/>
          </w:tcPr>
          <w:p w14:paraId="7200EBD6">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6"/>
                <w:szCs w:val="16"/>
                <w:u w:val="none"/>
                <w:lang w:val="en-US" w:eastAsia="zh-CN" w:bidi="ar"/>
              </w:rPr>
            </w:pPr>
            <w:r>
              <w:rPr>
                <w:rFonts w:hint="eastAsia" w:ascii="仿宋_GB2312" w:hAnsi="宋体" w:eastAsia="仿宋_GB2312" w:cs="仿宋_GB2312"/>
                <w:i w:val="0"/>
                <w:color w:val="auto"/>
                <w:kern w:val="0"/>
                <w:sz w:val="16"/>
                <w:szCs w:val="16"/>
                <w:u w:val="none"/>
                <w:lang w:val="en-US" w:eastAsia="zh-CN" w:bidi="ar"/>
              </w:rPr>
              <w:t>1.《中华人民共和国招标投标法》（主席令第21号）第六十五条 投标人和其他利害关系人认为招标投标活动不符合本法有关规定的，有权向招标人提出异议或者依法向有关行政监督部门投。</w:t>
            </w:r>
          </w:p>
          <w:p w14:paraId="09C2C870">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6"/>
                <w:szCs w:val="16"/>
                <w:u w:val="none"/>
                <w:lang w:val="en-US" w:eastAsia="zh-CN" w:bidi="ar"/>
              </w:rPr>
            </w:pPr>
            <w:r>
              <w:rPr>
                <w:rFonts w:hint="eastAsia" w:ascii="仿宋_GB2312" w:hAnsi="宋体" w:eastAsia="仿宋_GB2312" w:cs="仿宋_GB2312"/>
                <w:i w:val="0"/>
                <w:color w:val="auto"/>
                <w:kern w:val="0"/>
                <w:sz w:val="16"/>
                <w:szCs w:val="16"/>
                <w:u w:val="none"/>
                <w:lang w:val="en-US" w:eastAsia="zh-CN" w:bidi="ar"/>
              </w:rPr>
              <w:t>2.《</w:t>
            </w:r>
            <w:bookmarkStart w:id="0" w:name="_GoBack"/>
            <w:bookmarkEnd w:id="0"/>
            <w:r>
              <w:rPr>
                <w:rFonts w:hint="eastAsia" w:ascii="仿宋_GB2312" w:hAnsi="宋体" w:eastAsia="仿宋_GB2312" w:cs="仿宋_GB2312"/>
                <w:i w:val="0"/>
                <w:color w:val="auto"/>
                <w:kern w:val="0"/>
                <w:sz w:val="16"/>
                <w:szCs w:val="16"/>
                <w:u w:val="none"/>
                <w:lang w:val="en-US" w:eastAsia="zh-CN" w:bidi="ar"/>
              </w:rPr>
              <w:t>中华人民共和国招标投标法实施条例》(国务院令第613号)第五章投诉与处；投诉与处理第六十条 投标人或者其他利害关系人认为招标投标活动不符合法律、行政法规规定的，可以自知道或者应当知道之日起10日内向有关行政监督部门投诉。投诉应当有明确的请求和必要的证明材料。就本条例第二十二条、第四十四条、第五十四条规定事项投诉的，应当先向招标人提出异议，异议答复期间不计算在前款规定的期限内。第六十一条 投诉人就同一事项向两个以上有权受理的行政监督部门投诉的，由最先收到投诉的行政监督部门负责处理。行政监督部门应当自收到投诉之日起3个工作日内决定是否受理投诉，并自受理投诉之日起30个工作日内作出书面处理决定；需要检验、检测、鉴定、专家评审的，所需时间不计算在内。投诉人捏造事实、伪造材料或者以非法手段取得证明材料进行投诉的，行政监督部门应当予以驳回。第六十二条 行政监督部门处理投诉，有权查阅、复制有关文件、资料，调查有关情况，相关单位和人员应当予以配合。必要时，行政监督部门可以责令暂停招标投标活动。行政监督部门的工作人员对监督检查过程中知悉的国家秘密、商业秘密，应当依法予以保密。</w:t>
            </w:r>
          </w:p>
          <w:p w14:paraId="206AD9FC">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宋体" w:eastAsia="仿宋_GB2312" w:cs="仿宋_GB2312"/>
                <w:i w:val="0"/>
                <w:color w:val="FF0000"/>
                <w:sz w:val="18"/>
                <w:szCs w:val="18"/>
                <w:u w:val="none"/>
              </w:rPr>
            </w:pPr>
            <w:r>
              <w:rPr>
                <w:rFonts w:hint="eastAsia" w:ascii="仿宋_GB2312" w:hAnsi="宋体" w:eastAsia="仿宋_GB2312" w:cs="仿宋_GB2312"/>
                <w:i w:val="0"/>
                <w:color w:val="auto"/>
                <w:kern w:val="0"/>
                <w:sz w:val="16"/>
                <w:szCs w:val="16"/>
                <w:u w:val="none"/>
                <w:lang w:val="en-US" w:eastAsia="zh-CN" w:bidi="ar"/>
              </w:rPr>
              <w:t>3.《工程建设项目招标投标活动投诉处理办法》（七部委令第11号）第三条 投标人或者其他利害关系人认为招标投标活动不符合法律、法规和规章规定的，有权依法向有关行政监督部门投诉。第四条各级发展改革、工业和信息化、住房城乡建设、水利、交通运输、铁道、商务、民航等招标投标活动行政监督部门，依照《国务院办公厅印发国务院有关部门实施招标投标活动行政监督的职责分工的意见的通知》(国办发〔2000〕34号)和地方各级人民政府规定的职责分工，受理投诉并依法做出处理决定。</w:t>
            </w:r>
          </w:p>
        </w:tc>
        <w:tc>
          <w:tcPr>
            <w:tcW w:w="1134" w:type="dxa"/>
            <w:tcBorders>
              <w:tl2br w:val="nil"/>
              <w:tr2bl w:val="nil"/>
            </w:tcBorders>
            <w:shd w:val="clear" w:color="auto" w:fill="auto"/>
            <w:vAlign w:val="center"/>
          </w:tcPr>
          <w:p w14:paraId="378C85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CB2C8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市级、县级</w:t>
            </w:r>
          </w:p>
        </w:tc>
        <w:tc>
          <w:tcPr>
            <w:tcW w:w="3968" w:type="dxa"/>
            <w:tcBorders>
              <w:tl2br w:val="nil"/>
              <w:tr2bl w:val="nil"/>
            </w:tcBorders>
            <w:shd w:val="clear" w:color="auto" w:fill="auto"/>
            <w:vAlign w:val="center"/>
          </w:tcPr>
          <w:p w14:paraId="06F25A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受理责任：（1）投诉人提交符合法定要求的投诉材料，同时提交申请。（2）申请资料齐全、符合法定要求的，应当受理申请；（3）申请资料不齐全或者不符合法定要求的，应当告知申请人需要补正的全部内容；不得要求申请人提交无关的材料；（4）不符合条件的，不予受理。</w:t>
            </w:r>
          </w:p>
          <w:p w14:paraId="5B9E79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2.处理责任：符合法定受理要求的，调查取证审查后作出处理决定。</w:t>
            </w:r>
          </w:p>
          <w:p w14:paraId="5D4857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14:paraId="73797F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ED0D8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1.对符合投诉受理条件而不予备案的；</w:t>
            </w:r>
          </w:p>
          <w:p w14:paraId="6F6225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2.对不符合条件规定的投诉申请予以受理的；</w:t>
            </w:r>
          </w:p>
          <w:p w14:paraId="5F4240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3.在处理投诉时，变相收取费用的；</w:t>
            </w:r>
          </w:p>
          <w:p w14:paraId="3D94C8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4.在处理投诉过程中玩忽职守、滥用职权的；</w:t>
            </w:r>
          </w:p>
          <w:p w14:paraId="225B33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kern w:val="0"/>
                <w:sz w:val="18"/>
                <w:szCs w:val="18"/>
                <w:u w:val="none"/>
                <w:lang w:val="en-US" w:eastAsia="zh-CN" w:bidi="ar"/>
              </w:rPr>
            </w:pPr>
            <w:r>
              <w:rPr>
                <w:rFonts w:hint="eastAsia" w:ascii="仿宋_GB2312" w:hAnsi="宋体" w:eastAsia="仿宋_GB2312" w:cs="仿宋_GB2312"/>
                <w:i w:val="0"/>
                <w:color w:val="000000"/>
                <w:kern w:val="0"/>
                <w:sz w:val="18"/>
                <w:szCs w:val="18"/>
                <w:u w:val="none"/>
                <w:lang w:val="en-US" w:eastAsia="zh-CN" w:bidi="ar"/>
              </w:rPr>
              <w:t>5.在处理投诉过程中发生腐败行为的；</w:t>
            </w:r>
          </w:p>
          <w:p w14:paraId="3B6714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000000"/>
                <w:sz w:val="18"/>
                <w:szCs w:val="18"/>
                <w:u w:val="none"/>
              </w:rPr>
            </w:pPr>
            <w:r>
              <w:rPr>
                <w:rFonts w:hint="eastAsia" w:ascii="仿宋_GB2312" w:hAnsi="宋体"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714244DB">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14:paraId="651311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45661852">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i w:val="0"/>
                <w:iCs w:val="0"/>
                <w:color w:val="auto"/>
                <w:sz w:val="20"/>
                <w:szCs w:val="20"/>
                <w:u w:val="none"/>
                <w:lang w:val="en-US" w:eastAsia="zh-CN"/>
              </w:rPr>
              <w:t>6</w:t>
            </w:r>
          </w:p>
        </w:tc>
        <w:tc>
          <w:tcPr>
            <w:tcW w:w="850" w:type="dxa"/>
            <w:tcBorders>
              <w:tl2br w:val="nil"/>
              <w:tr2bl w:val="nil"/>
            </w:tcBorders>
            <w:shd w:val="clear" w:color="auto" w:fill="auto"/>
            <w:vAlign w:val="center"/>
          </w:tcPr>
          <w:p w14:paraId="650F508D">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其他权力</w:t>
            </w:r>
          </w:p>
        </w:tc>
        <w:tc>
          <w:tcPr>
            <w:tcW w:w="1134" w:type="dxa"/>
            <w:tcBorders>
              <w:tl2br w:val="nil"/>
              <w:tr2bl w:val="nil"/>
            </w:tcBorders>
            <w:shd w:val="clear" w:color="auto" w:fill="auto"/>
            <w:vAlign w:val="center"/>
          </w:tcPr>
          <w:p w14:paraId="596BF125">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 w:hAnsi="仿宋" w:eastAsia="仿宋" w:cs="仿宋"/>
                <w:b w:val="0"/>
                <w:bCs w:val="0"/>
                <w:color w:val="000000"/>
                <w:szCs w:val="21"/>
                <w:lang w:eastAsia="zh-CN"/>
              </w:rPr>
              <w:t>开展农村住房安全评定工作</w:t>
            </w:r>
          </w:p>
        </w:tc>
        <w:tc>
          <w:tcPr>
            <w:tcW w:w="3118" w:type="dxa"/>
            <w:tcBorders>
              <w:tl2br w:val="nil"/>
              <w:tr2bl w:val="nil"/>
            </w:tcBorders>
            <w:shd w:val="clear" w:color="auto" w:fill="auto"/>
            <w:vAlign w:val="center"/>
          </w:tcPr>
          <w:p w14:paraId="5D9ACCAE">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eastAsia="仿宋_GB2312" w:cs="仿宋_GB2312"/>
                <w:kern w:val="0"/>
                <w:sz w:val="21"/>
                <w:szCs w:val="21"/>
                <w:lang w:eastAsia="zh-CN"/>
              </w:rPr>
              <w:t>秦皇岛市抚宁区住房和城乡建设局等四部门关于印发</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2025年度农村低收入群体等重点对象住房安全保障工作实施方案</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抚建</w:t>
            </w:r>
            <w:r>
              <w:rPr>
                <w:rFonts w:hint="eastAsia" w:ascii="仿宋_GB2312" w:eastAsia="仿宋_GB2312" w:cs="仿宋_GB2312"/>
                <w:kern w:val="0"/>
                <w:sz w:val="21"/>
                <w:szCs w:val="21"/>
              </w:rPr>
              <w:t>〔20</w:t>
            </w:r>
            <w:r>
              <w:rPr>
                <w:rFonts w:hint="eastAsia" w:ascii="仿宋_GB2312" w:eastAsia="仿宋_GB2312" w:cs="仿宋_GB2312"/>
                <w:kern w:val="0"/>
                <w:sz w:val="21"/>
                <w:szCs w:val="21"/>
                <w:lang w:val="en-US" w:eastAsia="zh-CN"/>
              </w:rPr>
              <w:t>25</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14</w:t>
            </w:r>
            <w:r>
              <w:rPr>
                <w:rFonts w:hint="eastAsia" w:ascii="仿宋_GB2312" w:eastAsia="仿宋_GB2312" w:cs="仿宋_GB2312"/>
                <w:kern w:val="0"/>
                <w:sz w:val="21"/>
                <w:szCs w:val="21"/>
              </w:rPr>
              <w:t>号）</w:t>
            </w:r>
          </w:p>
        </w:tc>
        <w:tc>
          <w:tcPr>
            <w:tcW w:w="1134" w:type="dxa"/>
            <w:tcBorders>
              <w:tl2br w:val="nil"/>
              <w:tr2bl w:val="nil"/>
            </w:tcBorders>
            <w:shd w:val="clear" w:color="auto" w:fill="auto"/>
            <w:vAlign w:val="center"/>
          </w:tcPr>
          <w:p w14:paraId="1B7E56CD">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5041BE6">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仿宋_GB2312" w:eastAsia="仿宋_GB2312" w:cs="仿宋_GB2312"/>
                <w:color w:val="000000"/>
                <w:kern w:val="0"/>
                <w:sz w:val="18"/>
                <w:szCs w:val="18"/>
              </w:rPr>
              <w:t>县级</w:t>
            </w:r>
          </w:p>
        </w:tc>
        <w:tc>
          <w:tcPr>
            <w:tcW w:w="3968" w:type="dxa"/>
            <w:tcBorders>
              <w:tl2br w:val="nil"/>
              <w:tr2bl w:val="nil"/>
            </w:tcBorders>
            <w:shd w:val="clear" w:color="auto" w:fill="auto"/>
            <w:vAlign w:val="center"/>
          </w:tcPr>
          <w:p w14:paraId="7DF3D3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14:paraId="488EB5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2.审查责任：审核有关材料，符合要求的，给予审核通过；</w:t>
            </w:r>
          </w:p>
          <w:p w14:paraId="43FDECF8">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14:paraId="1457B4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52B5C7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14:paraId="3BEAA1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14:paraId="2654E5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14:paraId="5EC4DEBB">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2"/>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14:paraId="1665C09A">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14:paraId="5903F0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51D518E8">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i w:val="0"/>
                <w:iCs w:val="0"/>
                <w:color w:val="auto"/>
                <w:kern w:val="0"/>
                <w:sz w:val="20"/>
                <w:szCs w:val="20"/>
                <w:u w:val="none"/>
                <w:lang w:val="en-US" w:eastAsia="zh-CN"/>
              </w:rPr>
              <w:t>7</w:t>
            </w:r>
          </w:p>
        </w:tc>
        <w:tc>
          <w:tcPr>
            <w:tcW w:w="850" w:type="dxa"/>
            <w:tcBorders>
              <w:tl2br w:val="nil"/>
              <w:tr2bl w:val="nil"/>
            </w:tcBorders>
            <w:shd w:val="clear" w:color="auto" w:fill="auto"/>
            <w:vAlign w:val="center"/>
          </w:tcPr>
          <w:p w14:paraId="6DC45B95">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其他权力</w:t>
            </w:r>
          </w:p>
        </w:tc>
        <w:tc>
          <w:tcPr>
            <w:tcW w:w="1134" w:type="dxa"/>
            <w:tcBorders>
              <w:tl2br w:val="nil"/>
              <w:tr2bl w:val="nil"/>
            </w:tcBorders>
            <w:shd w:val="clear" w:color="auto" w:fill="auto"/>
            <w:vAlign w:val="center"/>
          </w:tcPr>
          <w:p w14:paraId="2FA9CBDF">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 w:hAnsi="仿宋" w:eastAsia="仿宋" w:cs="仿宋"/>
                <w:b w:val="0"/>
                <w:bCs w:val="0"/>
                <w:color w:val="000000"/>
                <w:szCs w:val="21"/>
                <w:lang w:eastAsia="zh-CN"/>
              </w:rPr>
              <w:t>房屋安全评估</w:t>
            </w:r>
          </w:p>
        </w:tc>
        <w:tc>
          <w:tcPr>
            <w:tcW w:w="3118" w:type="dxa"/>
            <w:tcBorders>
              <w:tl2br w:val="nil"/>
              <w:tr2bl w:val="nil"/>
            </w:tcBorders>
            <w:shd w:val="clear" w:color="auto" w:fill="auto"/>
            <w:vAlign w:val="center"/>
          </w:tcPr>
          <w:p w14:paraId="4B93678A">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eastAsia="仿宋_GB2312" w:cs="仿宋_GB2312"/>
                <w:kern w:val="0"/>
                <w:sz w:val="21"/>
                <w:szCs w:val="21"/>
                <w:lang w:eastAsia="zh-CN"/>
              </w:rPr>
              <w:t>秦皇岛市抚宁区人民政府办公室印发</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农村房屋安全隐患整治工作</w:t>
            </w:r>
            <w:r>
              <w:rPr>
                <w:rFonts w:hint="eastAsia" w:ascii="仿宋_GB2312" w:eastAsia="仿宋_GB2312" w:cs="仿宋_GB2312"/>
                <w:kern w:val="0"/>
                <w:sz w:val="21"/>
                <w:szCs w:val="21"/>
                <w:lang w:val="en-US" w:eastAsia="zh-CN"/>
              </w:rPr>
              <w:t>实施方案</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抚政办字</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2020</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64</w:t>
            </w:r>
            <w:r>
              <w:rPr>
                <w:rFonts w:hint="eastAsia" w:ascii="仿宋_GB2312" w:eastAsia="仿宋_GB2312" w:cs="仿宋_GB2312"/>
                <w:kern w:val="0"/>
                <w:sz w:val="21"/>
                <w:szCs w:val="21"/>
              </w:rPr>
              <w:t>号）</w:t>
            </w:r>
            <w:r>
              <w:rPr>
                <w:rFonts w:hint="eastAsia" w:ascii="仿宋_GB2312" w:eastAsia="仿宋_GB2312" w:cs="仿宋_GB2312"/>
                <w:kern w:val="0"/>
                <w:sz w:val="21"/>
                <w:szCs w:val="21"/>
              </w:rPr>
              <w:br w:type="textWrapping"/>
            </w:r>
          </w:p>
        </w:tc>
        <w:tc>
          <w:tcPr>
            <w:tcW w:w="1134" w:type="dxa"/>
            <w:tcBorders>
              <w:tl2br w:val="nil"/>
              <w:tr2bl w:val="nil"/>
            </w:tcBorders>
            <w:shd w:val="clear" w:color="auto" w:fill="auto"/>
            <w:vAlign w:val="center"/>
          </w:tcPr>
          <w:p w14:paraId="3A4E6CD1">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53D9C4F">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仿宋_GB2312" w:eastAsia="仿宋_GB2312" w:cs="仿宋_GB2312"/>
                <w:color w:val="000000"/>
                <w:kern w:val="0"/>
                <w:sz w:val="18"/>
                <w:szCs w:val="18"/>
              </w:rPr>
              <w:t>县级</w:t>
            </w:r>
          </w:p>
        </w:tc>
        <w:tc>
          <w:tcPr>
            <w:tcW w:w="3968" w:type="dxa"/>
            <w:tcBorders>
              <w:tl2br w:val="nil"/>
              <w:tr2bl w:val="nil"/>
            </w:tcBorders>
            <w:shd w:val="clear" w:color="auto" w:fill="auto"/>
            <w:vAlign w:val="center"/>
          </w:tcPr>
          <w:p w14:paraId="6A23CB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14:paraId="01FAB1B1">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2.其他法律法规规章文件规定应履行的责任。</w:t>
            </w:r>
          </w:p>
        </w:tc>
        <w:tc>
          <w:tcPr>
            <w:tcW w:w="3402" w:type="dxa"/>
            <w:tcBorders>
              <w:tl2br w:val="nil"/>
              <w:tr2bl w:val="nil"/>
            </w:tcBorders>
            <w:shd w:val="clear" w:color="auto" w:fill="auto"/>
            <w:vAlign w:val="center"/>
          </w:tcPr>
          <w:p w14:paraId="65B3D9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6F7BE7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14:paraId="441F76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14:paraId="38BD11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14:paraId="7B3197E8">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14:paraId="2E7B4EC0">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r w14:paraId="7F6BD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tcMar>
              <w:top w:w="15" w:type="dxa"/>
              <w:left w:w="0" w:type="dxa"/>
              <w:bottom w:w="15" w:type="dxa"/>
              <w:right w:w="0" w:type="dxa"/>
            </w:tcMar>
            <w:vAlign w:val="center"/>
          </w:tcPr>
          <w:p w14:paraId="20F302F6">
            <w:pPr>
              <w:keepNext w:val="0"/>
              <w:keepLines w:val="0"/>
              <w:pageBreakBefore w:val="0"/>
              <w:widowControl/>
              <w:numPr>
                <w:ilvl w:val="0"/>
                <w:numId w:val="0"/>
              </w:numPr>
              <w:suppressLineNumbers w:val="0"/>
              <w:kinsoku/>
              <w:wordWrap/>
              <w:overflowPunct/>
              <w:topLinePunct w:val="0"/>
              <w:autoSpaceDE/>
              <w:autoSpaceDN/>
              <w:adjustRightInd/>
              <w:snapToGrid/>
              <w:spacing w:line="240" w:lineRule="exact"/>
              <w:ind w:left="0" w:leftChars="0" w:firstLine="0" w:firstLineChars="0"/>
              <w:jc w:val="both"/>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8</w:t>
            </w:r>
          </w:p>
        </w:tc>
        <w:tc>
          <w:tcPr>
            <w:tcW w:w="850" w:type="dxa"/>
            <w:tcBorders>
              <w:tl2br w:val="nil"/>
              <w:tr2bl w:val="nil"/>
            </w:tcBorders>
            <w:shd w:val="clear" w:color="auto" w:fill="auto"/>
            <w:vAlign w:val="center"/>
          </w:tcPr>
          <w:p w14:paraId="69F5DC18">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仿宋_GB2312" w:eastAsia="仿宋_GB2312" w:cs="仿宋_GB2312"/>
                <w:i w:val="0"/>
                <w:iCs w:val="0"/>
                <w:color w:val="auto"/>
                <w:kern w:val="0"/>
                <w:sz w:val="20"/>
                <w:szCs w:val="20"/>
                <w:highlight w:val="none"/>
                <w:u w:val="none"/>
                <w:lang w:val="en-US" w:eastAsia="zh-CN"/>
              </w:rPr>
              <w:t>其他权力</w:t>
            </w:r>
          </w:p>
        </w:tc>
        <w:tc>
          <w:tcPr>
            <w:tcW w:w="1134" w:type="dxa"/>
            <w:tcBorders>
              <w:tl2br w:val="nil"/>
              <w:tr2bl w:val="nil"/>
            </w:tcBorders>
            <w:shd w:val="clear" w:color="auto" w:fill="auto"/>
            <w:vAlign w:val="center"/>
          </w:tcPr>
          <w:p w14:paraId="481B5E04">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 w:hAnsi="仿宋" w:eastAsia="仿宋" w:cs="仿宋"/>
                <w:b w:val="0"/>
                <w:bCs w:val="0"/>
                <w:color w:val="000000"/>
                <w:szCs w:val="21"/>
                <w:lang w:eastAsia="zh-CN"/>
              </w:rPr>
              <w:t>自建房安全等级评定</w:t>
            </w:r>
          </w:p>
        </w:tc>
        <w:tc>
          <w:tcPr>
            <w:tcW w:w="3118" w:type="dxa"/>
            <w:tcBorders>
              <w:tl2br w:val="nil"/>
              <w:tr2bl w:val="nil"/>
            </w:tcBorders>
            <w:shd w:val="clear" w:color="auto" w:fill="auto"/>
            <w:vAlign w:val="center"/>
          </w:tcPr>
          <w:p w14:paraId="6DD697B0">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eastAsia="仿宋_GB2312" w:cs="仿宋_GB2312"/>
                <w:kern w:val="0"/>
                <w:sz w:val="21"/>
                <w:szCs w:val="21"/>
                <w:lang w:eastAsia="zh-CN"/>
              </w:rPr>
              <w:t>秦皇岛市抚宁区人民政府办公室印发</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自建房安全排查专项整治百日攻坚行动实施方案的通知</w:t>
            </w:r>
            <w:r>
              <w:rPr>
                <w:rFonts w:hint="eastAsia" w:ascii="仿宋_GB2312" w:eastAsia="仿宋_GB2312" w:cs="仿宋_GB2312"/>
                <w:kern w:val="0"/>
                <w:sz w:val="21"/>
                <w:szCs w:val="21"/>
              </w:rPr>
              <w:t>》（</w:t>
            </w:r>
            <w:r>
              <w:rPr>
                <w:rFonts w:hint="eastAsia" w:ascii="仿宋_GB2312" w:eastAsia="仿宋_GB2312" w:cs="仿宋_GB2312"/>
                <w:kern w:val="0"/>
                <w:sz w:val="21"/>
                <w:szCs w:val="21"/>
                <w:lang w:eastAsia="zh-CN"/>
              </w:rPr>
              <w:t>抚政办字</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2022</w:t>
            </w:r>
            <w:r>
              <w:rPr>
                <w:rFonts w:hint="eastAsia" w:ascii="仿宋_GB2312" w:eastAsia="仿宋_GB2312" w:cs="仿宋_GB2312"/>
                <w:kern w:val="0"/>
                <w:sz w:val="21"/>
                <w:szCs w:val="21"/>
              </w:rPr>
              <w:t>〕</w:t>
            </w:r>
            <w:r>
              <w:rPr>
                <w:rFonts w:hint="eastAsia" w:ascii="仿宋_GB2312" w:eastAsia="仿宋_GB2312" w:cs="仿宋_GB2312"/>
                <w:kern w:val="0"/>
                <w:sz w:val="21"/>
                <w:szCs w:val="21"/>
                <w:lang w:val="en-US" w:eastAsia="zh-CN"/>
              </w:rPr>
              <w:t>18</w:t>
            </w:r>
            <w:r>
              <w:rPr>
                <w:rFonts w:hint="eastAsia" w:ascii="仿宋_GB2312" w:eastAsia="仿宋_GB2312" w:cs="仿宋_GB2312"/>
                <w:kern w:val="0"/>
                <w:sz w:val="21"/>
                <w:szCs w:val="21"/>
              </w:rPr>
              <w:t>号）</w:t>
            </w:r>
          </w:p>
        </w:tc>
        <w:tc>
          <w:tcPr>
            <w:tcW w:w="1134" w:type="dxa"/>
            <w:tcBorders>
              <w:tl2br w:val="nil"/>
              <w:tr2bl w:val="nil"/>
            </w:tcBorders>
            <w:shd w:val="clear" w:color="auto" w:fill="auto"/>
            <w:vAlign w:val="center"/>
          </w:tcPr>
          <w:p w14:paraId="04E8F120">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4C21C3F">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p>
        </w:tc>
        <w:tc>
          <w:tcPr>
            <w:tcW w:w="3968" w:type="dxa"/>
            <w:tcBorders>
              <w:tl2br w:val="nil"/>
              <w:tr2bl w:val="nil"/>
            </w:tcBorders>
            <w:shd w:val="clear" w:color="auto" w:fill="auto"/>
            <w:vAlign w:val="center"/>
          </w:tcPr>
          <w:p w14:paraId="338C72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1.受理责任:公示依法应当提交的材料;一次性告知补正材料；</w:t>
            </w:r>
          </w:p>
          <w:p w14:paraId="38F61383">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2.其他法律法规规章文件规定应履行的责任。</w:t>
            </w:r>
          </w:p>
        </w:tc>
        <w:tc>
          <w:tcPr>
            <w:tcW w:w="3402" w:type="dxa"/>
            <w:tcBorders>
              <w:tl2br w:val="nil"/>
              <w:tr2bl w:val="nil"/>
            </w:tcBorders>
            <w:shd w:val="clear" w:color="auto" w:fill="auto"/>
            <w:vAlign w:val="center"/>
          </w:tcPr>
          <w:p w14:paraId="735D33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430449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1.对符合受理条件的申请不予受理的；</w:t>
            </w:r>
          </w:p>
          <w:p w14:paraId="74CD42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2.未严格按照相关政策履行义务，对应当予以办理的不予办理，或者对不应办理的予以办理的；</w:t>
            </w:r>
          </w:p>
          <w:p w14:paraId="5F4DA1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宋体" w:eastAsia="仿宋_GB2312" w:cs="仿宋_GB2312"/>
                <w:i w:val="0"/>
                <w:color w:val="auto"/>
                <w:kern w:val="0"/>
                <w:sz w:val="18"/>
                <w:szCs w:val="18"/>
                <w:u w:val="none"/>
                <w:lang w:val="en-US" w:eastAsia="zh-CN" w:bidi="ar"/>
              </w:rPr>
            </w:pPr>
            <w:r>
              <w:rPr>
                <w:rFonts w:hint="eastAsia" w:ascii="仿宋_GB2312" w:hAnsi="宋体" w:eastAsia="仿宋_GB2312" w:cs="仿宋_GB2312"/>
                <w:i w:val="0"/>
                <w:color w:val="auto"/>
                <w:kern w:val="0"/>
                <w:sz w:val="18"/>
                <w:szCs w:val="18"/>
                <w:u w:val="none"/>
                <w:lang w:val="en-US" w:eastAsia="zh-CN" w:bidi="ar"/>
              </w:rPr>
              <w:t>3.未作出书面告知行为的；</w:t>
            </w:r>
          </w:p>
          <w:p w14:paraId="0347B64C">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kern w:val="0"/>
                <w:sz w:val="20"/>
                <w:szCs w:val="20"/>
                <w:highlight w:val="none"/>
                <w:u w:val="none"/>
                <w:lang w:val="en-US" w:eastAsia="zh-CN" w:bidi="ar-SA"/>
              </w:rPr>
            </w:pPr>
            <w:r>
              <w:rPr>
                <w:rFonts w:hint="eastAsia" w:ascii="仿宋_GB2312" w:hAnsi="宋体" w:eastAsia="仿宋_GB2312" w:cs="仿宋_GB2312"/>
                <w:i w:val="0"/>
                <w:color w:val="auto"/>
                <w:kern w:val="0"/>
                <w:sz w:val="18"/>
                <w:szCs w:val="18"/>
                <w:u w:val="none"/>
                <w:lang w:val="en-US" w:eastAsia="zh-CN" w:bidi="ar"/>
              </w:rPr>
              <w:t>4.其他违反法律法规规章文件规定行为的</w:t>
            </w:r>
          </w:p>
        </w:tc>
        <w:tc>
          <w:tcPr>
            <w:tcW w:w="567" w:type="dxa"/>
            <w:tcBorders>
              <w:tl2br w:val="nil"/>
              <w:tr2bl w:val="nil"/>
            </w:tcBorders>
            <w:shd w:val="clear" w:color="auto" w:fill="auto"/>
            <w:vAlign w:val="center"/>
          </w:tcPr>
          <w:p w14:paraId="534C547F">
            <w:pPr>
              <w:keepNext w:val="0"/>
              <w:keepLines w:val="0"/>
              <w:pageBreakBefore w:val="0"/>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宋体" w:eastAsia="仿宋_GB2312" w:cs="仿宋_GB2312"/>
                <w:i w:val="0"/>
                <w:color w:val="000000"/>
                <w:sz w:val="18"/>
                <w:szCs w:val="18"/>
                <w:u w:val="none"/>
              </w:rPr>
            </w:pPr>
          </w:p>
        </w:tc>
      </w:tr>
    </w:tbl>
    <w:p w14:paraId="71D467BB">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pPr>
    </w:p>
    <w:sectPr>
      <w:pgSz w:w="16838" w:h="11906"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ZGFiMzA1OTRkNDFlODU0YmY5Y2NjNmU1YWJmM2MifQ=="/>
  </w:docVars>
  <w:rsids>
    <w:rsidRoot w:val="4A4E2AB0"/>
    <w:rsid w:val="034A0217"/>
    <w:rsid w:val="07A54D56"/>
    <w:rsid w:val="0A105A11"/>
    <w:rsid w:val="125C6FF2"/>
    <w:rsid w:val="14D23EB5"/>
    <w:rsid w:val="15022B03"/>
    <w:rsid w:val="178C5137"/>
    <w:rsid w:val="1DB666B8"/>
    <w:rsid w:val="4A4E2AB0"/>
    <w:rsid w:val="546F5DBB"/>
    <w:rsid w:val="557E172A"/>
    <w:rsid w:val="62FB6889"/>
    <w:rsid w:val="721030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99"/>
    <w:pPr>
      <w:ind w:firstLine="420" w:firstLineChars="200"/>
    </w:pPr>
  </w:style>
  <w:style w:type="paragraph" w:styleId="3">
    <w:name w:val="Body Text Indent"/>
    <w:basedOn w:val="1"/>
    <w:qFormat/>
    <w:uiPriority w:val="99"/>
    <w:pPr>
      <w:spacing w:after="120"/>
      <w:ind w:left="420" w:leftChars="200"/>
    </w:pPr>
  </w:style>
  <w:style w:type="character" w:customStyle="1" w:styleId="6">
    <w:name w:val="font41"/>
    <w:basedOn w:val="5"/>
    <w:qFormat/>
    <w:uiPriority w:val="0"/>
    <w:rPr>
      <w:rFonts w:hint="eastAsia" w:ascii="仿宋_GB2312" w:eastAsia="仿宋_GB2312" w:cs="仿宋_GB2312"/>
      <w:color w:val="000000"/>
      <w:sz w:val="16"/>
      <w:szCs w:val="16"/>
      <w:u w:val="none"/>
    </w:rPr>
  </w:style>
  <w:style w:type="character" w:customStyle="1" w:styleId="7">
    <w:name w:val="font01"/>
    <w:basedOn w:val="5"/>
    <w:qFormat/>
    <w:uiPriority w:val="0"/>
    <w:rPr>
      <w:rFonts w:hint="eastAsia" w:ascii="仿宋_GB2312" w:eastAsia="仿宋_GB2312" w:cs="仿宋_GB2312"/>
      <w:color w:val="FF0000"/>
      <w:sz w:val="16"/>
      <w:szCs w:val="1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4313</Words>
  <Characters>4446</Characters>
  <Lines>0</Lines>
  <Paragraphs>0</Paragraphs>
  <TotalTime>1</TotalTime>
  <ScaleCrop>false</ScaleCrop>
  <LinksUpToDate>false</LinksUpToDate>
  <CharactersWithSpaces>4466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2022-08-30T09:59:00Z</dcterms:created>
  <dc:creator>Administrator</dc:creator>
  <cp:lastModifiedBy>WPS_1659145126</cp:lastModifiedBy>
  <cp:lastPrinted>2023-09-26T07:36:00Z</cp:lastPrinted>
  <dcterms:modified xsi:type="dcterms:W3CDTF">2025-10-20T08:43:29Z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61CEE69174E1428DACB212DF9133F39F</vt:lpwstr>
  </property>
  <property fmtid="{D5CDD505-2E9C-101B-9397-08002B2CF9AE}" pid="4" name="KSOTemplateDocerSaveRecord">
    <vt:lpwstr>eyJoZGlkIjoiZmJmMDFkYTI2MTM0ODIwMWFjOWUxMWE3ZjM2ZTBhZDUiLCJ1c2VySWQiOiIxMzkyNTEzOTI5In0=</vt:lpwstr>
  </property>
</Properties>
</file>