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hd w:val="clear" w:color="auto" w:fill="auto"/>
        <w:rPr>
          <w:rFonts w:eastAsia="仿宋_GB2312" w:cs="仿宋_GB2312"/>
          <w:color w:val="auto"/>
          <w:sz w:val="36"/>
          <w:szCs w:val="36"/>
        </w:rPr>
      </w:pPr>
    </w:p>
    <w:p>
      <w:pPr>
        <w:shd w:val="clear" w:color="auto" w:fill="auto"/>
        <w:rPr>
          <w:rFonts w:eastAsia="仿宋_GB2312" w:cs="仿宋_GB2312"/>
          <w:color w:val="auto"/>
          <w:sz w:val="36"/>
          <w:szCs w:val="36"/>
        </w:rPr>
      </w:pPr>
    </w:p>
    <w:p>
      <w:pPr>
        <w:shd w:val="clear" w:color="auto" w:fill="auto"/>
        <w:adjustRightInd w:val="0"/>
        <w:snapToGrid w:val="0"/>
        <w:jc w:val="center"/>
        <w:outlineLvl w:val="0"/>
        <w:rPr>
          <w:rFonts w:ascii="方正小标宋_GBK" w:hAnsi="方正小标宋_GBK" w:eastAsia="方正小标宋_GBK"/>
          <w:bCs/>
          <w:color w:val="auto"/>
          <w:sz w:val="72"/>
          <w:szCs w:val="72"/>
        </w:rPr>
      </w:pPr>
      <w:bookmarkStart w:id="0" w:name="_Toc137887149"/>
      <w:bookmarkStart w:id="1" w:name="_Toc19259"/>
      <w:bookmarkStart w:id="2" w:name="_Toc137888905"/>
      <w:bookmarkStart w:id="3" w:name="_Hlk57884087"/>
      <w:r>
        <w:rPr>
          <w:rFonts w:hint="eastAsia" w:ascii="方正小标宋_GBK" w:hAnsi="方正小标宋_GBK" w:eastAsia="方正小标宋_GBK"/>
          <w:bCs/>
          <w:color w:val="auto"/>
          <w:sz w:val="72"/>
          <w:szCs w:val="72"/>
        </w:rPr>
        <w:t>建设项目环境影响报告表</w:t>
      </w:r>
      <w:bookmarkEnd w:id="0"/>
      <w:bookmarkEnd w:id="1"/>
      <w:bookmarkEnd w:id="2"/>
    </w:p>
    <w:p>
      <w:pPr>
        <w:shd w:val="clear" w:color="auto" w:fill="auto"/>
        <w:adjustRightInd w:val="0"/>
        <w:snapToGrid w:val="0"/>
        <w:spacing w:before="192" w:beforeLines="80"/>
        <w:jc w:val="center"/>
        <w:rPr>
          <w:rFonts w:hint="eastAsia" w:ascii="楷体_GB2312" w:eastAsia="楷体_GB2312"/>
          <w:bCs/>
          <w:color w:val="auto"/>
          <w:sz w:val="48"/>
          <w:szCs w:val="48"/>
        </w:rPr>
      </w:pPr>
      <w:r>
        <w:rPr>
          <w:rFonts w:hint="eastAsia" w:ascii="楷体_GB2312" w:eastAsia="楷体_GB2312"/>
          <w:bCs/>
          <w:color w:val="auto"/>
          <w:sz w:val="48"/>
          <w:szCs w:val="48"/>
        </w:rPr>
        <w:t>（污染影响类）</w:t>
      </w:r>
    </w:p>
    <w:p>
      <w:pPr>
        <w:shd w:val="clear" w:color="auto" w:fill="auto"/>
        <w:rPr>
          <w:rFonts w:hint="eastAsia"/>
          <w:color w:val="auto"/>
          <w:szCs w:val="21"/>
        </w:rPr>
      </w:pPr>
      <w:r>
        <w:rPr>
          <w:color w:val="auto"/>
        </w:rPr>
        <w:t xml:space="preserve"> </w:t>
      </w:r>
    </w:p>
    <w:p>
      <w:pPr>
        <w:shd w:val="clear" w:color="auto" w:fill="auto"/>
        <w:jc w:val="center"/>
        <w:rPr>
          <w:rFonts w:eastAsia="仿宋"/>
          <w:color w:val="auto"/>
          <w:sz w:val="52"/>
          <w:szCs w:val="52"/>
        </w:rPr>
      </w:pPr>
      <w:r>
        <w:rPr>
          <w:rFonts w:eastAsia="仿宋"/>
          <w:color w:val="auto"/>
          <w:sz w:val="52"/>
          <w:szCs w:val="52"/>
        </w:rPr>
        <w:t xml:space="preserve"> </w:t>
      </w:r>
    </w:p>
    <w:p>
      <w:pPr>
        <w:shd w:val="clear" w:color="auto" w:fill="auto"/>
        <w:ind w:firstLine="1040"/>
        <w:rPr>
          <w:rFonts w:eastAsia="仿宋"/>
          <w:color w:val="auto"/>
          <w:sz w:val="44"/>
          <w:szCs w:val="44"/>
        </w:rPr>
      </w:pPr>
      <w:r>
        <w:rPr>
          <w:rFonts w:eastAsia="仿宋"/>
          <w:color w:val="auto"/>
          <w:sz w:val="44"/>
          <w:szCs w:val="44"/>
        </w:rPr>
        <w:t xml:space="preserve"> </w:t>
      </w:r>
    </w:p>
    <w:p>
      <w:pPr>
        <w:shd w:val="clear" w:color="auto" w:fill="auto"/>
        <w:ind w:firstLine="1040"/>
        <w:rPr>
          <w:rFonts w:eastAsia="仿宋"/>
          <w:color w:val="auto"/>
          <w:sz w:val="44"/>
          <w:szCs w:val="44"/>
        </w:rPr>
      </w:pPr>
      <w:r>
        <w:rPr>
          <w:rFonts w:eastAsia="仿宋"/>
          <w:color w:val="auto"/>
          <w:sz w:val="44"/>
          <w:szCs w:val="44"/>
        </w:rPr>
        <w:t xml:space="preserve"> </w:t>
      </w:r>
    </w:p>
    <w:p>
      <w:pPr>
        <w:pStyle w:val="74"/>
        <w:shd w:val="clear" w:color="auto" w:fill="auto"/>
        <w:rPr>
          <w:color w:val="auto"/>
        </w:rPr>
      </w:pPr>
      <w:r>
        <w:rPr>
          <w:color w:val="auto"/>
        </w:rPr>
        <w:t xml:space="preserve"> </w:t>
      </w:r>
    </w:p>
    <w:p>
      <w:pPr>
        <w:shd w:val="clear" w:color="auto" w:fill="auto"/>
        <w:ind w:firstLine="1040"/>
        <w:rPr>
          <w:rFonts w:eastAsia="仿宋"/>
          <w:color w:val="auto"/>
          <w:sz w:val="44"/>
          <w:szCs w:val="44"/>
        </w:rPr>
      </w:pPr>
      <w:r>
        <w:rPr>
          <w:rFonts w:eastAsia="仿宋"/>
          <w:color w:val="auto"/>
          <w:sz w:val="44"/>
          <w:szCs w:val="44"/>
        </w:rPr>
        <w:t xml:space="preserve"> </w:t>
      </w:r>
    </w:p>
    <w:p>
      <w:pPr>
        <w:shd w:val="clear" w:color="auto" w:fill="auto"/>
        <w:ind w:firstLine="1040"/>
        <w:rPr>
          <w:rFonts w:eastAsia="仿宋"/>
          <w:color w:val="auto"/>
          <w:sz w:val="44"/>
          <w:szCs w:val="44"/>
        </w:rPr>
      </w:pPr>
      <w:r>
        <w:rPr>
          <w:color w:val="auto"/>
        </w:rPr>
        <w:t xml:space="preserve"> </w:t>
      </w:r>
    </w:p>
    <w:p>
      <w:pPr>
        <w:pStyle w:val="74"/>
        <w:shd w:val="clear" w:color="auto" w:fill="auto"/>
        <w:rPr>
          <w:color w:val="auto"/>
        </w:rPr>
      </w:pPr>
      <w:r>
        <w:rPr>
          <w:color w:val="auto"/>
        </w:rPr>
        <w:t xml:space="preserve"> </w:t>
      </w:r>
    </w:p>
    <w:p>
      <w:pPr>
        <w:shd w:val="clear" w:color="auto" w:fill="auto"/>
        <w:ind w:firstLine="1040"/>
        <w:rPr>
          <w:rFonts w:eastAsia="仿宋"/>
          <w:color w:val="auto"/>
          <w:sz w:val="44"/>
          <w:szCs w:val="44"/>
        </w:rPr>
      </w:pPr>
      <w:r>
        <w:rPr>
          <w:rFonts w:eastAsia="仿宋"/>
          <w:color w:val="auto"/>
          <w:sz w:val="44"/>
          <w:szCs w:val="44"/>
        </w:rPr>
        <w:t xml:space="preserve"> </w:t>
      </w:r>
    </w:p>
    <w:p>
      <w:pPr>
        <w:pStyle w:val="74"/>
        <w:shd w:val="clear" w:color="auto" w:fill="auto"/>
        <w:rPr>
          <w:color w:val="auto"/>
        </w:rPr>
      </w:pPr>
    </w:p>
    <w:p>
      <w:pPr>
        <w:rPr>
          <w:color w:val="auto"/>
        </w:rPr>
      </w:pPr>
    </w:p>
    <w:p>
      <w:pPr>
        <w:shd w:val="clear" w:color="auto" w:fill="auto"/>
        <w:ind w:firstLine="1040"/>
        <w:rPr>
          <w:rFonts w:eastAsia="仿宋"/>
          <w:color w:val="auto"/>
          <w:sz w:val="44"/>
          <w:szCs w:val="44"/>
        </w:rPr>
      </w:pPr>
      <w:r>
        <w:rPr>
          <w:rFonts w:eastAsia="仿宋"/>
          <w:color w:val="auto"/>
          <w:sz w:val="44"/>
          <w:szCs w:val="44"/>
        </w:rPr>
        <w:t xml:space="preserve"> </w:t>
      </w:r>
    </w:p>
    <w:p>
      <w:pPr>
        <w:shd w:val="clear" w:color="auto" w:fill="auto"/>
        <w:adjustRightInd w:val="0"/>
        <w:snapToGrid w:val="0"/>
        <w:spacing w:line="288" w:lineRule="auto"/>
        <w:ind w:left="1800" w:hanging="1800" w:hangingChars="500"/>
        <w:rPr>
          <w:rFonts w:ascii="仿宋_GB2312" w:eastAsia="仿宋_GB2312"/>
          <w:color w:val="auto"/>
          <w:sz w:val="36"/>
          <w:szCs w:val="36"/>
          <w:u w:val="single"/>
        </w:rPr>
      </w:pPr>
      <w:r>
        <w:rPr>
          <w:rFonts w:hint="eastAsia" w:ascii="仿宋_GB2312" w:eastAsia="仿宋_GB2312"/>
          <w:color w:val="auto"/>
          <w:sz w:val="36"/>
          <w:szCs w:val="36"/>
        </w:rPr>
        <w:t>项目名称：</w:t>
      </w:r>
      <w:r>
        <w:rPr>
          <w:rFonts w:hint="eastAsia" w:ascii="仿宋_GB2312" w:eastAsia="仿宋_GB2312"/>
          <w:color w:val="auto"/>
          <w:sz w:val="36"/>
          <w:szCs w:val="36"/>
          <w:u w:val="single"/>
        </w:rPr>
        <w:t xml:space="preserve"> </w:t>
      </w:r>
      <w:r>
        <w:rPr>
          <w:rFonts w:hint="eastAsia" w:ascii="仿宋_GB2312" w:eastAsia="仿宋_GB2312"/>
          <w:color w:val="auto"/>
          <w:sz w:val="36"/>
          <w:szCs w:val="36"/>
          <w:u w:val="single"/>
          <w:lang w:eastAsia="zh-CN"/>
        </w:rPr>
        <w:t>抚宁区满亿包装材料厂生产线技改项目</w:t>
      </w:r>
      <w:r>
        <w:rPr>
          <w:rFonts w:hint="eastAsia" w:ascii="仿宋_GB2312" w:eastAsia="仿宋_GB2312"/>
          <w:color w:val="auto"/>
          <w:sz w:val="36"/>
          <w:szCs w:val="36"/>
          <w:u w:val="single"/>
          <w:lang w:val="en-US" w:eastAsia="zh-CN"/>
        </w:rPr>
        <w:t xml:space="preserve">  </w:t>
      </w:r>
    </w:p>
    <w:p>
      <w:pPr>
        <w:shd w:val="clear" w:color="auto" w:fill="auto"/>
        <w:adjustRightInd w:val="0"/>
        <w:snapToGrid w:val="0"/>
        <w:spacing w:line="288" w:lineRule="auto"/>
        <w:rPr>
          <w:rFonts w:hint="eastAsia" w:ascii="仿宋_GB2312" w:eastAsia="仿宋_GB2312"/>
          <w:color w:val="auto"/>
          <w:sz w:val="36"/>
          <w:szCs w:val="36"/>
          <w:u w:val="single"/>
        </w:rPr>
      </w:pPr>
      <w:r>
        <w:rPr>
          <w:rFonts w:hint="eastAsia" w:ascii="仿宋_GB2312" w:eastAsia="仿宋_GB2312"/>
          <w:color w:val="auto"/>
          <w:sz w:val="36"/>
          <w:szCs w:val="36"/>
        </w:rPr>
        <w:t>建设单位（盖章）：</w:t>
      </w:r>
      <w:r>
        <w:rPr>
          <w:rFonts w:hint="eastAsia" w:ascii="仿宋_GB2312" w:eastAsia="仿宋_GB2312"/>
          <w:color w:val="auto"/>
          <w:sz w:val="36"/>
          <w:szCs w:val="36"/>
          <w:u w:val="single"/>
          <w:lang w:eastAsia="zh-CN"/>
        </w:rPr>
        <w:t>秦皇岛市抚宁区满亿包装材料厂</w:t>
      </w:r>
      <w:r>
        <w:rPr>
          <w:rFonts w:hint="eastAsia" w:ascii="仿宋_GB2312" w:eastAsia="仿宋_GB2312"/>
          <w:color w:val="auto"/>
          <w:sz w:val="36"/>
          <w:szCs w:val="36"/>
          <w:u w:val="single"/>
        </w:rPr>
        <w:t xml:space="preserve">    </w:t>
      </w:r>
    </w:p>
    <w:p>
      <w:pPr>
        <w:shd w:val="clear" w:color="auto" w:fill="auto"/>
        <w:adjustRightInd w:val="0"/>
        <w:snapToGrid w:val="0"/>
        <w:spacing w:line="288" w:lineRule="auto"/>
        <w:rPr>
          <w:rFonts w:hint="eastAsia" w:ascii="仿宋_GB2312" w:eastAsia="仿宋_GB2312"/>
          <w:color w:val="auto"/>
          <w:sz w:val="36"/>
          <w:szCs w:val="36"/>
          <w:u w:val="single"/>
        </w:rPr>
      </w:pPr>
      <w:r>
        <w:rPr>
          <w:rFonts w:hint="eastAsia" w:ascii="仿宋_GB2312" w:eastAsia="仿宋_GB2312"/>
          <w:color w:val="auto"/>
          <w:sz w:val="36"/>
          <w:szCs w:val="36"/>
        </w:rPr>
        <w:t>编制日期：</w:t>
      </w:r>
      <w:r>
        <w:rPr>
          <w:rFonts w:hint="eastAsia" w:ascii="仿宋_GB2312" w:eastAsia="仿宋_GB2312"/>
          <w:color w:val="auto"/>
          <w:sz w:val="36"/>
          <w:szCs w:val="36"/>
          <w:u w:val="single"/>
        </w:rPr>
        <w:t xml:space="preserve">            202</w:t>
      </w:r>
      <w:r>
        <w:rPr>
          <w:rFonts w:hint="eastAsia" w:ascii="仿宋_GB2312" w:eastAsia="仿宋_GB2312"/>
          <w:color w:val="auto"/>
          <w:sz w:val="36"/>
          <w:szCs w:val="36"/>
          <w:u w:val="single"/>
          <w:lang w:val="en-US" w:eastAsia="zh-CN"/>
        </w:rPr>
        <w:t>5</w:t>
      </w:r>
      <w:r>
        <w:rPr>
          <w:rFonts w:hint="eastAsia" w:ascii="仿宋_GB2312" w:eastAsia="仿宋_GB2312"/>
          <w:color w:val="auto"/>
          <w:sz w:val="36"/>
          <w:szCs w:val="36"/>
          <w:u w:val="single"/>
        </w:rPr>
        <w:t>年</w:t>
      </w:r>
      <w:r>
        <w:rPr>
          <w:rFonts w:hint="eastAsia" w:ascii="仿宋_GB2312" w:eastAsia="仿宋_GB2312"/>
          <w:color w:val="auto"/>
          <w:sz w:val="36"/>
          <w:szCs w:val="36"/>
          <w:u w:val="single"/>
          <w:lang w:val="en-US" w:eastAsia="zh-CN"/>
        </w:rPr>
        <w:t>9</w:t>
      </w:r>
      <w:r>
        <w:rPr>
          <w:rFonts w:hint="eastAsia" w:ascii="仿宋_GB2312" w:eastAsia="仿宋_GB2312"/>
          <w:color w:val="auto"/>
          <w:sz w:val="36"/>
          <w:szCs w:val="36"/>
          <w:u w:val="single"/>
        </w:rPr>
        <w:t xml:space="preserve">月                 </w:t>
      </w:r>
    </w:p>
    <w:p>
      <w:pPr>
        <w:shd w:val="clear" w:color="auto" w:fill="auto"/>
        <w:adjustRightInd w:val="0"/>
        <w:snapToGrid w:val="0"/>
        <w:spacing w:line="288" w:lineRule="auto"/>
        <w:ind w:firstLine="1040"/>
        <w:rPr>
          <w:rFonts w:hint="eastAsia" w:ascii="仿宋_GB2312" w:eastAsia="仿宋_GB2312"/>
          <w:color w:val="auto"/>
          <w:sz w:val="36"/>
          <w:szCs w:val="36"/>
        </w:rPr>
      </w:pPr>
      <w:r>
        <w:rPr>
          <w:rFonts w:hint="eastAsia" w:ascii="仿宋_GB2312" w:eastAsia="仿宋_GB2312"/>
          <w:color w:val="auto"/>
          <w:sz w:val="36"/>
          <w:szCs w:val="36"/>
        </w:rPr>
        <w:t xml:space="preserve"> </w:t>
      </w:r>
    </w:p>
    <w:p>
      <w:pPr>
        <w:shd w:val="clear" w:color="auto" w:fill="auto"/>
        <w:adjustRightInd w:val="0"/>
        <w:snapToGrid w:val="0"/>
        <w:spacing w:line="288" w:lineRule="auto"/>
        <w:ind w:firstLine="1040"/>
        <w:rPr>
          <w:rFonts w:hint="eastAsia" w:ascii="仿宋_GB2312" w:eastAsia="仿宋_GB2312"/>
          <w:color w:val="auto"/>
          <w:sz w:val="36"/>
          <w:szCs w:val="36"/>
        </w:rPr>
      </w:pPr>
      <w:r>
        <w:rPr>
          <w:rFonts w:hint="eastAsia" w:ascii="仿宋_GB2312" w:eastAsia="仿宋_GB2312"/>
          <w:color w:val="auto"/>
          <w:sz w:val="36"/>
          <w:szCs w:val="36"/>
        </w:rPr>
        <w:t xml:space="preserve"> </w:t>
      </w:r>
    </w:p>
    <w:p>
      <w:pPr>
        <w:shd w:val="clear" w:color="auto" w:fill="auto"/>
        <w:adjustRightInd w:val="0"/>
        <w:snapToGrid w:val="0"/>
        <w:spacing w:line="288" w:lineRule="auto"/>
        <w:ind w:firstLine="1040"/>
        <w:rPr>
          <w:rFonts w:hint="eastAsia" w:ascii="仿宋_GB2312" w:eastAsia="仿宋_GB2312"/>
          <w:color w:val="auto"/>
          <w:sz w:val="36"/>
          <w:szCs w:val="36"/>
        </w:rPr>
      </w:pPr>
    </w:p>
    <w:p>
      <w:pPr>
        <w:shd w:val="clear" w:color="auto" w:fill="auto"/>
        <w:adjustRightInd w:val="0"/>
        <w:snapToGrid w:val="0"/>
        <w:spacing w:line="288" w:lineRule="auto"/>
        <w:ind w:firstLine="1040"/>
        <w:rPr>
          <w:rFonts w:hint="eastAsia" w:ascii="仿宋_GB2312" w:eastAsia="仿宋_GB2312"/>
          <w:color w:val="auto"/>
          <w:sz w:val="36"/>
          <w:szCs w:val="36"/>
        </w:rPr>
      </w:pPr>
      <w:r>
        <w:rPr>
          <w:rFonts w:hint="eastAsia" w:ascii="仿宋_GB2312" w:eastAsia="仿宋_GB2312"/>
          <w:color w:val="auto"/>
          <w:sz w:val="36"/>
          <w:szCs w:val="36"/>
        </w:rPr>
        <w:t xml:space="preserve"> </w:t>
      </w:r>
    </w:p>
    <w:p>
      <w:pPr>
        <w:shd w:val="clear" w:color="auto" w:fill="auto"/>
        <w:adjustRightInd w:val="0"/>
        <w:snapToGrid w:val="0"/>
        <w:spacing w:line="288" w:lineRule="auto"/>
        <w:ind w:firstLine="1040"/>
        <w:rPr>
          <w:rFonts w:hint="eastAsia" w:ascii="仿宋_GB2312" w:eastAsia="仿宋_GB2312"/>
          <w:color w:val="auto"/>
          <w:sz w:val="36"/>
          <w:szCs w:val="36"/>
        </w:rPr>
      </w:pPr>
      <w:r>
        <w:rPr>
          <w:rFonts w:hint="eastAsia" w:ascii="仿宋_GB2312" w:eastAsia="仿宋_GB2312"/>
          <w:color w:val="auto"/>
          <w:sz w:val="36"/>
          <w:szCs w:val="36"/>
        </w:rPr>
        <w:t xml:space="preserve"> </w:t>
      </w:r>
    </w:p>
    <w:bookmarkEnd w:id="3"/>
    <w:p>
      <w:pPr>
        <w:shd w:val="clear" w:color="auto" w:fill="auto"/>
        <w:adjustRightInd w:val="0"/>
        <w:snapToGrid w:val="0"/>
        <w:spacing w:line="288" w:lineRule="auto"/>
        <w:jc w:val="center"/>
        <w:rPr>
          <w:rFonts w:eastAsia="楷体_GB2312"/>
          <w:color w:val="auto"/>
          <w:sz w:val="36"/>
          <w:szCs w:val="36"/>
        </w:rPr>
        <w:sectPr>
          <w:footerReference r:id="rId3" w:type="default"/>
          <w:footerReference r:id="rId4" w:type="even"/>
          <w:pgSz w:w="11906" w:h="16838"/>
          <w:pgMar w:top="1701" w:right="1531" w:bottom="1701" w:left="1531" w:header="851" w:footer="1077" w:gutter="0"/>
          <w:pgNumType w:start="3"/>
          <w:cols w:space="720" w:num="1"/>
          <w:docGrid w:linePitch="312" w:charSpace="0"/>
        </w:sectPr>
      </w:pPr>
      <w:r>
        <w:rPr>
          <w:rFonts w:hint="eastAsia" w:eastAsia="楷体_GB2312"/>
          <w:color w:val="auto"/>
          <w:sz w:val="36"/>
          <w:szCs w:val="36"/>
        </w:rPr>
        <w:t>中华人民共和国生态环境部制</w:t>
      </w:r>
    </w:p>
    <w:p>
      <w:pPr>
        <w:shd w:val="clear" w:color="auto" w:fill="auto"/>
        <w:adjustRightInd w:val="0"/>
        <w:snapToGrid w:val="0"/>
        <w:spacing w:line="700" w:lineRule="exact"/>
        <w:jc w:val="center"/>
        <w:outlineLvl w:val="0"/>
        <w:rPr>
          <w:rFonts w:hint="eastAsia" w:ascii="宋体" w:hAnsi="宋体"/>
          <w:b/>
          <w:bCs/>
          <w:color w:val="auto"/>
          <w:sz w:val="44"/>
          <w:szCs w:val="44"/>
        </w:rPr>
      </w:pPr>
      <w:bookmarkStart w:id="4" w:name="_Toc28430"/>
      <w:bookmarkStart w:id="5" w:name="_Toc137887150"/>
      <w:bookmarkStart w:id="6" w:name="_Toc135235489"/>
      <w:bookmarkStart w:id="7" w:name="_Toc10862"/>
      <w:bookmarkStart w:id="8" w:name="_Toc132182788"/>
      <w:bookmarkStart w:id="9" w:name="_Toc137888906"/>
      <w:r>
        <w:rPr>
          <w:rFonts w:hint="eastAsia" w:ascii="宋体" w:hAnsi="宋体"/>
          <w:b/>
          <w:bCs/>
          <w:color w:val="auto"/>
          <w:sz w:val="44"/>
          <w:szCs w:val="44"/>
        </w:rPr>
        <w:t>目  录</w:t>
      </w:r>
      <w:bookmarkEnd w:id="4"/>
      <w:bookmarkEnd w:id="5"/>
      <w:bookmarkEnd w:id="6"/>
      <w:bookmarkEnd w:id="7"/>
      <w:bookmarkEnd w:id="8"/>
      <w:bookmarkEnd w:id="9"/>
    </w:p>
    <w:p>
      <w:pPr>
        <w:pStyle w:val="61"/>
        <w:tabs>
          <w:tab w:val="right" w:leader="dot" w:pos="8844"/>
        </w:tabs>
      </w:pPr>
      <w:r>
        <w:rPr>
          <w:b/>
          <w:snapToGrid w:val="0"/>
          <w:color w:val="auto"/>
          <w:sz w:val="44"/>
        </w:rPr>
        <w:fldChar w:fldCharType="begin"/>
      </w:r>
      <w:r>
        <w:rPr>
          <w:b/>
          <w:snapToGrid w:val="0"/>
          <w:color w:val="auto"/>
          <w:sz w:val="44"/>
        </w:rPr>
        <w:instrText xml:space="preserve">TOC \o "1-1" \h \u </w:instrText>
      </w:r>
      <w:r>
        <w:rPr>
          <w:b/>
          <w:snapToGrid w:val="0"/>
          <w:color w:val="auto"/>
          <w:sz w:val="44"/>
        </w:rPr>
        <w:fldChar w:fldCharType="separate"/>
      </w:r>
    </w:p>
    <w:p>
      <w:pPr>
        <w:pStyle w:val="61"/>
        <w:keepNext w:val="0"/>
        <w:keepLines w:val="0"/>
        <w:pageBreakBefore w:val="0"/>
        <w:widowControl w:val="0"/>
        <w:tabs>
          <w:tab w:val="right" w:leader="dot" w:pos="8844"/>
        </w:tabs>
        <w:kinsoku/>
        <w:wordWrap/>
        <w:overflowPunct/>
        <w:topLinePunct w:val="0"/>
        <w:autoSpaceDE/>
        <w:autoSpaceDN/>
        <w:bidi w:val="0"/>
        <w:adjustRightInd w:val="0"/>
        <w:snapToGrid w:val="0"/>
        <w:spacing w:line="600" w:lineRule="exact"/>
        <w:textAlignment w:val="auto"/>
        <w:rPr>
          <w:rFonts w:hint="default" w:ascii="Times New Roman" w:hAnsi="Times New Roman" w:cs="Times New Roman"/>
          <w:b w:val="0"/>
          <w:bCs w:val="0"/>
          <w:sz w:val="28"/>
          <w:szCs w:val="24"/>
        </w:rPr>
      </w:pPr>
      <w:r>
        <w:rPr>
          <w:rFonts w:hint="default" w:ascii="Times New Roman" w:hAnsi="Times New Roman" w:cs="Times New Roman"/>
          <w:b w:val="0"/>
          <w:bCs w:val="0"/>
          <w:snapToGrid w:val="0"/>
          <w:color w:val="auto"/>
          <w:sz w:val="28"/>
          <w:szCs w:val="24"/>
        </w:rPr>
        <w:fldChar w:fldCharType="begin"/>
      </w:r>
      <w:r>
        <w:rPr>
          <w:rFonts w:hint="default" w:ascii="Times New Roman" w:hAnsi="Times New Roman" w:cs="Times New Roman"/>
          <w:b w:val="0"/>
          <w:bCs w:val="0"/>
          <w:snapToGrid w:val="0"/>
          <w:sz w:val="28"/>
          <w:szCs w:val="24"/>
        </w:rPr>
        <w:instrText xml:space="preserve"> HYPERLINK \l _Toc975 </w:instrText>
      </w:r>
      <w:r>
        <w:rPr>
          <w:rFonts w:hint="default" w:ascii="Times New Roman" w:hAnsi="Times New Roman" w:cs="Times New Roman"/>
          <w:b w:val="0"/>
          <w:bCs w:val="0"/>
          <w:snapToGrid w:val="0"/>
          <w:sz w:val="28"/>
          <w:szCs w:val="24"/>
        </w:rPr>
        <w:fldChar w:fldCharType="separate"/>
      </w:r>
      <w:r>
        <w:rPr>
          <w:rFonts w:hint="default" w:ascii="Times New Roman" w:hAnsi="Times New Roman" w:eastAsia="黑体" w:cs="Times New Roman"/>
          <w:b w:val="0"/>
          <w:bCs w:val="0"/>
          <w:snapToGrid w:val="0"/>
          <w:sz w:val="28"/>
          <w:szCs w:val="40"/>
        </w:rPr>
        <w:t>一、建设项目基本情况</w:t>
      </w:r>
      <w:r>
        <w:rPr>
          <w:rFonts w:hint="default" w:ascii="Times New Roman" w:hAnsi="Times New Roman" w:cs="Times New Roman"/>
          <w:b w:val="0"/>
          <w:bCs w:val="0"/>
          <w:sz w:val="28"/>
          <w:szCs w:val="24"/>
        </w:rPr>
        <w:tab/>
      </w:r>
      <w:r>
        <w:rPr>
          <w:rFonts w:hint="default" w:ascii="Times New Roman" w:hAnsi="Times New Roman" w:cs="Times New Roman"/>
          <w:b w:val="0"/>
          <w:bCs w:val="0"/>
          <w:sz w:val="28"/>
          <w:szCs w:val="24"/>
        </w:rPr>
        <w:fldChar w:fldCharType="begin"/>
      </w:r>
      <w:r>
        <w:rPr>
          <w:rFonts w:hint="default" w:ascii="Times New Roman" w:hAnsi="Times New Roman" w:cs="Times New Roman"/>
          <w:b w:val="0"/>
          <w:bCs w:val="0"/>
          <w:sz w:val="28"/>
          <w:szCs w:val="24"/>
        </w:rPr>
        <w:instrText xml:space="preserve"> PAGEREF _Toc975 \h </w:instrText>
      </w:r>
      <w:r>
        <w:rPr>
          <w:rFonts w:hint="default" w:ascii="Times New Roman" w:hAnsi="Times New Roman" w:cs="Times New Roman"/>
          <w:b w:val="0"/>
          <w:bCs w:val="0"/>
          <w:sz w:val="28"/>
          <w:szCs w:val="24"/>
        </w:rPr>
        <w:fldChar w:fldCharType="separate"/>
      </w:r>
      <w:r>
        <w:rPr>
          <w:rFonts w:hint="default" w:ascii="Times New Roman" w:hAnsi="Times New Roman" w:cs="Times New Roman"/>
          <w:b w:val="0"/>
          <w:bCs w:val="0"/>
          <w:sz w:val="28"/>
          <w:szCs w:val="24"/>
        </w:rPr>
        <w:t>1</w:t>
      </w:r>
      <w:r>
        <w:rPr>
          <w:rFonts w:hint="default" w:ascii="Times New Roman" w:hAnsi="Times New Roman" w:cs="Times New Roman"/>
          <w:b w:val="0"/>
          <w:bCs w:val="0"/>
          <w:sz w:val="28"/>
          <w:szCs w:val="24"/>
        </w:rPr>
        <w:fldChar w:fldCharType="end"/>
      </w:r>
      <w:r>
        <w:rPr>
          <w:rFonts w:hint="default" w:ascii="Times New Roman" w:hAnsi="Times New Roman" w:cs="Times New Roman"/>
          <w:b w:val="0"/>
          <w:bCs w:val="0"/>
          <w:snapToGrid w:val="0"/>
          <w:color w:val="auto"/>
          <w:sz w:val="28"/>
          <w:szCs w:val="24"/>
        </w:rPr>
        <w:fldChar w:fldCharType="end"/>
      </w:r>
    </w:p>
    <w:p>
      <w:pPr>
        <w:pStyle w:val="61"/>
        <w:keepNext w:val="0"/>
        <w:keepLines w:val="0"/>
        <w:pageBreakBefore w:val="0"/>
        <w:widowControl w:val="0"/>
        <w:tabs>
          <w:tab w:val="right" w:leader="dot" w:pos="8844"/>
        </w:tabs>
        <w:kinsoku/>
        <w:wordWrap/>
        <w:overflowPunct/>
        <w:topLinePunct w:val="0"/>
        <w:autoSpaceDE/>
        <w:autoSpaceDN/>
        <w:bidi w:val="0"/>
        <w:adjustRightInd w:val="0"/>
        <w:snapToGrid w:val="0"/>
        <w:spacing w:line="600" w:lineRule="exact"/>
        <w:textAlignment w:val="auto"/>
        <w:rPr>
          <w:rFonts w:hint="default" w:ascii="Times New Roman" w:hAnsi="Times New Roman" w:cs="Times New Roman"/>
          <w:b w:val="0"/>
          <w:bCs w:val="0"/>
          <w:sz w:val="28"/>
          <w:szCs w:val="24"/>
        </w:rPr>
      </w:pPr>
      <w:r>
        <w:rPr>
          <w:rFonts w:hint="default" w:ascii="Times New Roman" w:hAnsi="Times New Roman" w:cs="Times New Roman"/>
          <w:b w:val="0"/>
          <w:bCs w:val="0"/>
          <w:snapToGrid w:val="0"/>
          <w:color w:val="auto"/>
          <w:sz w:val="28"/>
          <w:szCs w:val="24"/>
        </w:rPr>
        <w:fldChar w:fldCharType="begin"/>
      </w:r>
      <w:r>
        <w:rPr>
          <w:rFonts w:hint="default" w:ascii="Times New Roman" w:hAnsi="Times New Roman" w:cs="Times New Roman"/>
          <w:b w:val="0"/>
          <w:bCs w:val="0"/>
          <w:snapToGrid w:val="0"/>
          <w:sz w:val="28"/>
          <w:szCs w:val="24"/>
        </w:rPr>
        <w:instrText xml:space="preserve"> HYPERLINK \l _Toc24148 </w:instrText>
      </w:r>
      <w:r>
        <w:rPr>
          <w:rFonts w:hint="default" w:ascii="Times New Roman" w:hAnsi="Times New Roman" w:cs="Times New Roman"/>
          <w:b w:val="0"/>
          <w:bCs w:val="0"/>
          <w:snapToGrid w:val="0"/>
          <w:sz w:val="28"/>
          <w:szCs w:val="24"/>
        </w:rPr>
        <w:fldChar w:fldCharType="separate"/>
      </w:r>
      <w:r>
        <w:rPr>
          <w:rFonts w:hint="default" w:ascii="Times New Roman" w:hAnsi="Times New Roman" w:eastAsia="黑体" w:cs="Times New Roman"/>
          <w:b w:val="0"/>
          <w:bCs w:val="0"/>
          <w:snapToGrid w:val="0"/>
          <w:sz w:val="28"/>
          <w:szCs w:val="40"/>
        </w:rPr>
        <w:t>二、建设项目工程分析</w:t>
      </w:r>
      <w:r>
        <w:rPr>
          <w:rFonts w:hint="default" w:ascii="Times New Roman" w:hAnsi="Times New Roman" w:cs="Times New Roman"/>
          <w:b w:val="0"/>
          <w:bCs w:val="0"/>
          <w:sz w:val="28"/>
          <w:szCs w:val="24"/>
        </w:rPr>
        <w:tab/>
      </w:r>
      <w:r>
        <w:rPr>
          <w:rFonts w:hint="default" w:ascii="Times New Roman" w:hAnsi="Times New Roman" w:cs="Times New Roman"/>
          <w:b w:val="0"/>
          <w:bCs w:val="0"/>
          <w:sz w:val="28"/>
          <w:szCs w:val="24"/>
        </w:rPr>
        <w:fldChar w:fldCharType="begin"/>
      </w:r>
      <w:r>
        <w:rPr>
          <w:rFonts w:hint="default" w:ascii="Times New Roman" w:hAnsi="Times New Roman" w:cs="Times New Roman"/>
          <w:b w:val="0"/>
          <w:bCs w:val="0"/>
          <w:sz w:val="28"/>
          <w:szCs w:val="24"/>
        </w:rPr>
        <w:instrText xml:space="preserve"> PAGEREF _Toc24148 \h </w:instrText>
      </w:r>
      <w:r>
        <w:rPr>
          <w:rFonts w:hint="default" w:ascii="Times New Roman" w:hAnsi="Times New Roman" w:cs="Times New Roman"/>
          <w:b w:val="0"/>
          <w:bCs w:val="0"/>
          <w:sz w:val="28"/>
          <w:szCs w:val="24"/>
        </w:rPr>
        <w:fldChar w:fldCharType="separate"/>
      </w:r>
      <w:r>
        <w:rPr>
          <w:rFonts w:hint="default" w:ascii="Times New Roman" w:hAnsi="Times New Roman" w:cs="Times New Roman"/>
          <w:b w:val="0"/>
          <w:bCs w:val="0"/>
          <w:sz w:val="28"/>
          <w:szCs w:val="24"/>
        </w:rPr>
        <w:t>14</w:t>
      </w:r>
      <w:r>
        <w:rPr>
          <w:rFonts w:hint="default" w:ascii="Times New Roman" w:hAnsi="Times New Roman" w:cs="Times New Roman"/>
          <w:b w:val="0"/>
          <w:bCs w:val="0"/>
          <w:sz w:val="28"/>
          <w:szCs w:val="24"/>
        </w:rPr>
        <w:fldChar w:fldCharType="end"/>
      </w:r>
      <w:r>
        <w:rPr>
          <w:rFonts w:hint="default" w:ascii="Times New Roman" w:hAnsi="Times New Roman" w:cs="Times New Roman"/>
          <w:b w:val="0"/>
          <w:bCs w:val="0"/>
          <w:snapToGrid w:val="0"/>
          <w:color w:val="auto"/>
          <w:sz w:val="28"/>
          <w:szCs w:val="24"/>
        </w:rPr>
        <w:fldChar w:fldCharType="end"/>
      </w:r>
    </w:p>
    <w:p>
      <w:pPr>
        <w:pStyle w:val="61"/>
        <w:keepNext w:val="0"/>
        <w:keepLines w:val="0"/>
        <w:pageBreakBefore w:val="0"/>
        <w:widowControl w:val="0"/>
        <w:tabs>
          <w:tab w:val="right" w:leader="dot" w:pos="8844"/>
        </w:tabs>
        <w:kinsoku/>
        <w:wordWrap/>
        <w:overflowPunct/>
        <w:topLinePunct w:val="0"/>
        <w:autoSpaceDE/>
        <w:autoSpaceDN/>
        <w:bidi w:val="0"/>
        <w:adjustRightInd w:val="0"/>
        <w:snapToGrid w:val="0"/>
        <w:spacing w:line="600" w:lineRule="exact"/>
        <w:textAlignment w:val="auto"/>
        <w:rPr>
          <w:rFonts w:hint="default" w:ascii="Times New Roman" w:hAnsi="Times New Roman" w:cs="Times New Roman"/>
          <w:b w:val="0"/>
          <w:bCs w:val="0"/>
          <w:sz w:val="28"/>
          <w:szCs w:val="24"/>
        </w:rPr>
      </w:pPr>
      <w:r>
        <w:rPr>
          <w:rFonts w:hint="default" w:ascii="Times New Roman" w:hAnsi="Times New Roman" w:cs="Times New Roman"/>
          <w:b w:val="0"/>
          <w:bCs w:val="0"/>
          <w:snapToGrid w:val="0"/>
          <w:color w:val="auto"/>
          <w:sz w:val="28"/>
          <w:szCs w:val="24"/>
        </w:rPr>
        <w:fldChar w:fldCharType="begin"/>
      </w:r>
      <w:r>
        <w:rPr>
          <w:rFonts w:hint="default" w:ascii="Times New Roman" w:hAnsi="Times New Roman" w:cs="Times New Roman"/>
          <w:b w:val="0"/>
          <w:bCs w:val="0"/>
          <w:snapToGrid w:val="0"/>
          <w:sz w:val="28"/>
          <w:szCs w:val="24"/>
        </w:rPr>
        <w:instrText xml:space="preserve"> HYPERLINK \l _Toc30746 </w:instrText>
      </w:r>
      <w:r>
        <w:rPr>
          <w:rFonts w:hint="default" w:ascii="Times New Roman" w:hAnsi="Times New Roman" w:cs="Times New Roman"/>
          <w:b w:val="0"/>
          <w:bCs w:val="0"/>
          <w:snapToGrid w:val="0"/>
          <w:sz w:val="28"/>
          <w:szCs w:val="24"/>
        </w:rPr>
        <w:fldChar w:fldCharType="separate"/>
      </w:r>
      <w:r>
        <w:rPr>
          <w:rFonts w:hint="default" w:ascii="Times New Roman" w:hAnsi="Times New Roman" w:eastAsia="黑体" w:cs="Times New Roman"/>
          <w:b w:val="0"/>
          <w:bCs w:val="0"/>
          <w:snapToGrid w:val="0"/>
          <w:sz w:val="28"/>
          <w:szCs w:val="40"/>
        </w:rPr>
        <w:t>三、区域环境质量现状、环境保护目标及评价标准</w:t>
      </w:r>
      <w:r>
        <w:rPr>
          <w:rFonts w:hint="default" w:ascii="Times New Roman" w:hAnsi="Times New Roman" w:cs="Times New Roman"/>
          <w:b w:val="0"/>
          <w:bCs w:val="0"/>
          <w:sz w:val="28"/>
          <w:szCs w:val="24"/>
        </w:rPr>
        <w:tab/>
      </w:r>
      <w:r>
        <w:rPr>
          <w:rFonts w:hint="default" w:ascii="Times New Roman" w:hAnsi="Times New Roman" w:cs="Times New Roman"/>
          <w:b w:val="0"/>
          <w:bCs w:val="0"/>
          <w:sz w:val="28"/>
          <w:szCs w:val="24"/>
        </w:rPr>
        <w:fldChar w:fldCharType="begin"/>
      </w:r>
      <w:r>
        <w:rPr>
          <w:rFonts w:hint="default" w:ascii="Times New Roman" w:hAnsi="Times New Roman" w:cs="Times New Roman"/>
          <w:b w:val="0"/>
          <w:bCs w:val="0"/>
          <w:sz w:val="28"/>
          <w:szCs w:val="24"/>
        </w:rPr>
        <w:instrText xml:space="preserve"> PAGEREF _Toc30746 \h </w:instrText>
      </w:r>
      <w:r>
        <w:rPr>
          <w:rFonts w:hint="default" w:ascii="Times New Roman" w:hAnsi="Times New Roman" w:cs="Times New Roman"/>
          <w:b w:val="0"/>
          <w:bCs w:val="0"/>
          <w:sz w:val="28"/>
          <w:szCs w:val="24"/>
        </w:rPr>
        <w:fldChar w:fldCharType="separate"/>
      </w:r>
      <w:r>
        <w:rPr>
          <w:rFonts w:hint="default" w:ascii="Times New Roman" w:hAnsi="Times New Roman" w:cs="Times New Roman"/>
          <w:b w:val="0"/>
          <w:bCs w:val="0"/>
          <w:sz w:val="28"/>
          <w:szCs w:val="24"/>
        </w:rPr>
        <w:t>22</w:t>
      </w:r>
      <w:r>
        <w:rPr>
          <w:rFonts w:hint="default" w:ascii="Times New Roman" w:hAnsi="Times New Roman" w:cs="Times New Roman"/>
          <w:b w:val="0"/>
          <w:bCs w:val="0"/>
          <w:sz w:val="28"/>
          <w:szCs w:val="24"/>
        </w:rPr>
        <w:fldChar w:fldCharType="end"/>
      </w:r>
      <w:r>
        <w:rPr>
          <w:rFonts w:hint="default" w:ascii="Times New Roman" w:hAnsi="Times New Roman" w:cs="Times New Roman"/>
          <w:b w:val="0"/>
          <w:bCs w:val="0"/>
          <w:snapToGrid w:val="0"/>
          <w:color w:val="auto"/>
          <w:sz w:val="28"/>
          <w:szCs w:val="24"/>
        </w:rPr>
        <w:fldChar w:fldCharType="end"/>
      </w:r>
    </w:p>
    <w:p>
      <w:pPr>
        <w:pStyle w:val="61"/>
        <w:keepNext w:val="0"/>
        <w:keepLines w:val="0"/>
        <w:pageBreakBefore w:val="0"/>
        <w:widowControl w:val="0"/>
        <w:tabs>
          <w:tab w:val="right" w:leader="dot" w:pos="8844"/>
        </w:tabs>
        <w:kinsoku/>
        <w:wordWrap/>
        <w:overflowPunct/>
        <w:topLinePunct w:val="0"/>
        <w:autoSpaceDE/>
        <w:autoSpaceDN/>
        <w:bidi w:val="0"/>
        <w:adjustRightInd w:val="0"/>
        <w:snapToGrid w:val="0"/>
        <w:spacing w:line="600" w:lineRule="exact"/>
        <w:textAlignment w:val="auto"/>
        <w:rPr>
          <w:rFonts w:hint="default" w:ascii="Times New Roman" w:hAnsi="Times New Roman" w:cs="Times New Roman"/>
          <w:b w:val="0"/>
          <w:bCs w:val="0"/>
          <w:sz w:val="28"/>
          <w:szCs w:val="24"/>
        </w:rPr>
      </w:pPr>
      <w:r>
        <w:rPr>
          <w:rFonts w:hint="default" w:ascii="Times New Roman" w:hAnsi="Times New Roman" w:cs="Times New Roman"/>
          <w:b w:val="0"/>
          <w:bCs w:val="0"/>
          <w:snapToGrid w:val="0"/>
          <w:color w:val="auto"/>
          <w:sz w:val="28"/>
          <w:szCs w:val="24"/>
        </w:rPr>
        <w:fldChar w:fldCharType="begin"/>
      </w:r>
      <w:r>
        <w:rPr>
          <w:rFonts w:hint="default" w:ascii="Times New Roman" w:hAnsi="Times New Roman" w:cs="Times New Roman"/>
          <w:b w:val="0"/>
          <w:bCs w:val="0"/>
          <w:snapToGrid w:val="0"/>
          <w:sz w:val="28"/>
          <w:szCs w:val="24"/>
        </w:rPr>
        <w:instrText xml:space="preserve"> HYPERLINK \l _Toc5051 </w:instrText>
      </w:r>
      <w:r>
        <w:rPr>
          <w:rFonts w:hint="default" w:ascii="Times New Roman" w:hAnsi="Times New Roman" w:cs="Times New Roman"/>
          <w:b w:val="0"/>
          <w:bCs w:val="0"/>
          <w:snapToGrid w:val="0"/>
          <w:sz w:val="28"/>
          <w:szCs w:val="24"/>
        </w:rPr>
        <w:fldChar w:fldCharType="separate"/>
      </w:r>
      <w:r>
        <w:rPr>
          <w:rFonts w:hint="default" w:ascii="Times New Roman" w:hAnsi="Times New Roman" w:eastAsia="黑体" w:cs="Times New Roman"/>
          <w:b w:val="0"/>
          <w:bCs w:val="0"/>
          <w:snapToGrid w:val="0"/>
          <w:sz w:val="28"/>
          <w:szCs w:val="40"/>
        </w:rPr>
        <w:t>四、主要环境影响和保护措施</w:t>
      </w:r>
      <w:r>
        <w:rPr>
          <w:rFonts w:hint="default" w:ascii="Times New Roman" w:hAnsi="Times New Roman" w:cs="Times New Roman"/>
          <w:b w:val="0"/>
          <w:bCs w:val="0"/>
          <w:sz w:val="28"/>
          <w:szCs w:val="24"/>
        </w:rPr>
        <w:tab/>
      </w:r>
      <w:r>
        <w:rPr>
          <w:rFonts w:hint="default" w:ascii="Times New Roman" w:hAnsi="Times New Roman" w:cs="Times New Roman"/>
          <w:b w:val="0"/>
          <w:bCs w:val="0"/>
          <w:sz w:val="28"/>
          <w:szCs w:val="24"/>
        </w:rPr>
        <w:fldChar w:fldCharType="begin"/>
      </w:r>
      <w:r>
        <w:rPr>
          <w:rFonts w:hint="default" w:ascii="Times New Roman" w:hAnsi="Times New Roman" w:cs="Times New Roman"/>
          <w:b w:val="0"/>
          <w:bCs w:val="0"/>
          <w:sz w:val="28"/>
          <w:szCs w:val="24"/>
        </w:rPr>
        <w:instrText xml:space="preserve"> PAGEREF _Toc5051 \h </w:instrText>
      </w:r>
      <w:r>
        <w:rPr>
          <w:rFonts w:hint="default" w:ascii="Times New Roman" w:hAnsi="Times New Roman" w:cs="Times New Roman"/>
          <w:b w:val="0"/>
          <w:bCs w:val="0"/>
          <w:sz w:val="28"/>
          <w:szCs w:val="24"/>
        </w:rPr>
        <w:fldChar w:fldCharType="separate"/>
      </w:r>
      <w:r>
        <w:rPr>
          <w:rFonts w:hint="default" w:ascii="Times New Roman" w:hAnsi="Times New Roman" w:cs="Times New Roman"/>
          <w:b w:val="0"/>
          <w:bCs w:val="0"/>
          <w:sz w:val="28"/>
          <w:szCs w:val="24"/>
        </w:rPr>
        <w:t>26</w:t>
      </w:r>
      <w:r>
        <w:rPr>
          <w:rFonts w:hint="default" w:ascii="Times New Roman" w:hAnsi="Times New Roman" w:cs="Times New Roman"/>
          <w:b w:val="0"/>
          <w:bCs w:val="0"/>
          <w:sz w:val="28"/>
          <w:szCs w:val="24"/>
        </w:rPr>
        <w:fldChar w:fldCharType="end"/>
      </w:r>
      <w:r>
        <w:rPr>
          <w:rFonts w:hint="default" w:ascii="Times New Roman" w:hAnsi="Times New Roman" w:cs="Times New Roman"/>
          <w:b w:val="0"/>
          <w:bCs w:val="0"/>
          <w:snapToGrid w:val="0"/>
          <w:color w:val="auto"/>
          <w:sz w:val="28"/>
          <w:szCs w:val="24"/>
        </w:rPr>
        <w:fldChar w:fldCharType="end"/>
      </w:r>
    </w:p>
    <w:p>
      <w:pPr>
        <w:pStyle w:val="61"/>
        <w:keepNext w:val="0"/>
        <w:keepLines w:val="0"/>
        <w:pageBreakBefore w:val="0"/>
        <w:widowControl w:val="0"/>
        <w:tabs>
          <w:tab w:val="right" w:leader="dot" w:pos="8844"/>
        </w:tabs>
        <w:kinsoku/>
        <w:wordWrap/>
        <w:overflowPunct/>
        <w:topLinePunct w:val="0"/>
        <w:autoSpaceDE/>
        <w:autoSpaceDN/>
        <w:bidi w:val="0"/>
        <w:adjustRightInd w:val="0"/>
        <w:snapToGrid w:val="0"/>
        <w:spacing w:line="600" w:lineRule="exact"/>
        <w:textAlignment w:val="auto"/>
        <w:rPr>
          <w:rFonts w:hint="default" w:ascii="Times New Roman" w:hAnsi="Times New Roman" w:cs="Times New Roman"/>
          <w:b w:val="0"/>
          <w:bCs w:val="0"/>
          <w:sz w:val="28"/>
          <w:szCs w:val="24"/>
        </w:rPr>
      </w:pPr>
      <w:r>
        <w:rPr>
          <w:rFonts w:hint="default" w:ascii="Times New Roman" w:hAnsi="Times New Roman" w:cs="Times New Roman"/>
          <w:b w:val="0"/>
          <w:bCs w:val="0"/>
          <w:snapToGrid w:val="0"/>
          <w:color w:val="auto"/>
          <w:sz w:val="28"/>
          <w:szCs w:val="24"/>
        </w:rPr>
        <w:fldChar w:fldCharType="begin"/>
      </w:r>
      <w:r>
        <w:rPr>
          <w:rFonts w:hint="default" w:ascii="Times New Roman" w:hAnsi="Times New Roman" w:cs="Times New Roman"/>
          <w:b w:val="0"/>
          <w:bCs w:val="0"/>
          <w:snapToGrid w:val="0"/>
          <w:sz w:val="28"/>
          <w:szCs w:val="24"/>
        </w:rPr>
        <w:instrText xml:space="preserve"> HYPERLINK \l _Toc5935 </w:instrText>
      </w:r>
      <w:r>
        <w:rPr>
          <w:rFonts w:hint="default" w:ascii="Times New Roman" w:hAnsi="Times New Roman" w:cs="Times New Roman"/>
          <w:b w:val="0"/>
          <w:bCs w:val="0"/>
          <w:snapToGrid w:val="0"/>
          <w:sz w:val="28"/>
          <w:szCs w:val="24"/>
        </w:rPr>
        <w:fldChar w:fldCharType="separate"/>
      </w:r>
      <w:r>
        <w:rPr>
          <w:rFonts w:hint="default" w:ascii="Times New Roman" w:hAnsi="Times New Roman" w:eastAsia="黑体" w:cs="Times New Roman"/>
          <w:b w:val="0"/>
          <w:bCs w:val="0"/>
          <w:snapToGrid w:val="0"/>
          <w:sz w:val="28"/>
          <w:szCs w:val="40"/>
        </w:rPr>
        <w:t>五、环境保护措施监督检查清单</w:t>
      </w:r>
      <w:r>
        <w:rPr>
          <w:rFonts w:hint="default" w:ascii="Times New Roman" w:hAnsi="Times New Roman" w:cs="Times New Roman"/>
          <w:b w:val="0"/>
          <w:bCs w:val="0"/>
          <w:sz w:val="28"/>
          <w:szCs w:val="24"/>
        </w:rPr>
        <w:tab/>
      </w:r>
      <w:r>
        <w:rPr>
          <w:rFonts w:hint="default" w:ascii="Times New Roman" w:hAnsi="Times New Roman" w:cs="Times New Roman"/>
          <w:b w:val="0"/>
          <w:bCs w:val="0"/>
          <w:sz w:val="28"/>
          <w:szCs w:val="24"/>
        </w:rPr>
        <w:fldChar w:fldCharType="begin"/>
      </w:r>
      <w:r>
        <w:rPr>
          <w:rFonts w:hint="default" w:ascii="Times New Roman" w:hAnsi="Times New Roman" w:cs="Times New Roman"/>
          <w:b w:val="0"/>
          <w:bCs w:val="0"/>
          <w:sz w:val="28"/>
          <w:szCs w:val="24"/>
        </w:rPr>
        <w:instrText xml:space="preserve"> PAGEREF _Toc5935 \h </w:instrText>
      </w:r>
      <w:r>
        <w:rPr>
          <w:rFonts w:hint="default" w:ascii="Times New Roman" w:hAnsi="Times New Roman" w:cs="Times New Roman"/>
          <w:b w:val="0"/>
          <w:bCs w:val="0"/>
          <w:sz w:val="28"/>
          <w:szCs w:val="24"/>
        </w:rPr>
        <w:fldChar w:fldCharType="separate"/>
      </w:r>
      <w:r>
        <w:rPr>
          <w:rFonts w:hint="default" w:ascii="Times New Roman" w:hAnsi="Times New Roman" w:cs="Times New Roman"/>
          <w:b w:val="0"/>
          <w:bCs w:val="0"/>
          <w:sz w:val="28"/>
          <w:szCs w:val="24"/>
        </w:rPr>
        <w:t>42</w:t>
      </w:r>
      <w:r>
        <w:rPr>
          <w:rFonts w:hint="default" w:ascii="Times New Roman" w:hAnsi="Times New Roman" w:cs="Times New Roman"/>
          <w:b w:val="0"/>
          <w:bCs w:val="0"/>
          <w:sz w:val="28"/>
          <w:szCs w:val="24"/>
        </w:rPr>
        <w:fldChar w:fldCharType="end"/>
      </w:r>
      <w:r>
        <w:rPr>
          <w:rFonts w:hint="default" w:ascii="Times New Roman" w:hAnsi="Times New Roman" w:cs="Times New Roman"/>
          <w:b w:val="0"/>
          <w:bCs w:val="0"/>
          <w:snapToGrid w:val="0"/>
          <w:color w:val="auto"/>
          <w:sz w:val="28"/>
          <w:szCs w:val="24"/>
        </w:rPr>
        <w:fldChar w:fldCharType="end"/>
      </w:r>
    </w:p>
    <w:p>
      <w:pPr>
        <w:pStyle w:val="61"/>
        <w:keepNext w:val="0"/>
        <w:keepLines w:val="0"/>
        <w:pageBreakBefore w:val="0"/>
        <w:widowControl w:val="0"/>
        <w:tabs>
          <w:tab w:val="right" w:leader="dot" w:pos="8844"/>
        </w:tabs>
        <w:kinsoku/>
        <w:wordWrap/>
        <w:overflowPunct/>
        <w:topLinePunct w:val="0"/>
        <w:autoSpaceDE/>
        <w:autoSpaceDN/>
        <w:bidi w:val="0"/>
        <w:adjustRightInd w:val="0"/>
        <w:snapToGrid w:val="0"/>
        <w:spacing w:line="600" w:lineRule="exact"/>
        <w:textAlignment w:val="auto"/>
        <w:rPr>
          <w:rFonts w:hint="default" w:ascii="Times New Roman" w:hAnsi="Times New Roman" w:cs="Times New Roman"/>
          <w:b w:val="0"/>
          <w:bCs w:val="0"/>
          <w:sz w:val="28"/>
          <w:szCs w:val="24"/>
        </w:rPr>
      </w:pPr>
      <w:r>
        <w:rPr>
          <w:rFonts w:hint="default" w:ascii="Times New Roman" w:hAnsi="Times New Roman" w:cs="Times New Roman"/>
          <w:b w:val="0"/>
          <w:bCs w:val="0"/>
          <w:snapToGrid w:val="0"/>
          <w:color w:val="auto"/>
          <w:sz w:val="28"/>
          <w:szCs w:val="24"/>
        </w:rPr>
        <w:fldChar w:fldCharType="begin"/>
      </w:r>
      <w:r>
        <w:rPr>
          <w:rFonts w:hint="default" w:ascii="Times New Roman" w:hAnsi="Times New Roman" w:cs="Times New Roman"/>
          <w:b w:val="0"/>
          <w:bCs w:val="0"/>
          <w:snapToGrid w:val="0"/>
          <w:sz w:val="28"/>
          <w:szCs w:val="24"/>
        </w:rPr>
        <w:instrText xml:space="preserve"> HYPERLINK \l _Toc5691 </w:instrText>
      </w:r>
      <w:r>
        <w:rPr>
          <w:rFonts w:hint="default" w:ascii="Times New Roman" w:hAnsi="Times New Roman" w:cs="Times New Roman"/>
          <w:b w:val="0"/>
          <w:bCs w:val="0"/>
          <w:snapToGrid w:val="0"/>
          <w:sz w:val="28"/>
          <w:szCs w:val="24"/>
        </w:rPr>
        <w:fldChar w:fldCharType="separate"/>
      </w:r>
      <w:r>
        <w:rPr>
          <w:rFonts w:hint="default" w:ascii="Times New Roman" w:hAnsi="Times New Roman" w:eastAsia="黑体" w:cs="Times New Roman"/>
          <w:b w:val="0"/>
          <w:bCs w:val="0"/>
          <w:snapToGrid w:val="0"/>
          <w:sz w:val="28"/>
          <w:szCs w:val="40"/>
        </w:rPr>
        <w:t>六、结论</w:t>
      </w:r>
      <w:r>
        <w:rPr>
          <w:rFonts w:hint="default" w:ascii="Times New Roman" w:hAnsi="Times New Roman" w:cs="Times New Roman"/>
          <w:b w:val="0"/>
          <w:bCs w:val="0"/>
          <w:sz w:val="28"/>
          <w:szCs w:val="24"/>
        </w:rPr>
        <w:tab/>
      </w:r>
      <w:r>
        <w:rPr>
          <w:rFonts w:hint="default" w:ascii="Times New Roman" w:hAnsi="Times New Roman" w:cs="Times New Roman"/>
          <w:b w:val="0"/>
          <w:bCs w:val="0"/>
          <w:sz w:val="28"/>
          <w:szCs w:val="24"/>
        </w:rPr>
        <w:fldChar w:fldCharType="begin"/>
      </w:r>
      <w:r>
        <w:rPr>
          <w:rFonts w:hint="default" w:ascii="Times New Roman" w:hAnsi="Times New Roman" w:cs="Times New Roman"/>
          <w:b w:val="0"/>
          <w:bCs w:val="0"/>
          <w:sz w:val="28"/>
          <w:szCs w:val="24"/>
        </w:rPr>
        <w:instrText xml:space="preserve"> PAGEREF _Toc5691 \h </w:instrText>
      </w:r>
      <w:r>
        <w:rPr>
          <w:rFonts w:hint="default" w:ascii="Times New Roman" w:hAnsi="Times New Roman" w:cs="Times New Roman"/>
          <w:b w:val="0"/>
          <w:bCs w:val="0"/>
          <w:sz w:val="28"/>
          <w:szCs w:val="24"/>
        </w:rPr>
        <w:fldChar w:fldCharType="separate"/>
      </w:r>
      <w:r>
        <w:rPr>
          <w:rFonts w:hint="default" w:ascii="Times New Roman" w:hAnsi="Times New Roman" w:cs="Times New Roman"/>
          <w:b w:val="0"/>
          <w:bCs w:val="0"/>
          <w:sz w:val="28"/>
          <w:szCs w:val="24"/>
        </w:rPr>
        <w:t>44</w:t>
      </w:r>
      <w:r>
        <w:rPr>
          <w:rFonts w:hint="default" w:ascii="Times New Roman" w:hAnsi="Times New Roman" w:cs="Times New Roman"/>
          <w:b w:val="0"/>
          <w:bCs w:val="0"/>
          <w:sz w:val="28"/>
          <w:szCs w:val="24"/>
        </w:rPr>
        <w:fldChar w:fldCharType="end"/>
      </w:r>
      <w:r>
        <w:rPr>
          <w:rFonts w:hint="default" w:ascii="Times New Roman" w:hAnsi="Times New Roman" w:cs="Times New Roman"/>
          <w:b w:val="0"/>
          <w:bCs w:val="0"/>
          <w:snapToGrid w:val="0"/>
          <w:color w:val="auto"/>
          <w:sz w:val="28"/>
          <w:szCs w:val="24"/>
        </w:rPr>
        <w:fldChar w:fldCharType="end"/>
      </w:r>
    </w:p>
    <w:p>
      <w:pPr>
        <w:pStyle w:val="61"/>
        <w:keepNext w:val="0"/>
        <w:keepLines w:val="0"/>
        <w:pageBreakBefore w:val="0"/>
        <w:widowControl w:val="0"/>
        <w:tabs>
          <w:tab w:val="right" w:leader="dot" w:pos="8844"/>
        </w:tabs>
        <w:kinsoku/>
        <w:wordWrap/>
        <w:overflowPunct/>
        <w:topLinePunct w:val="0"/>
        <w:autoSpaceDE/>
        <w:autoSpaceDN/>
        <w:bidi w:val="0"/>
        <w:adjustRightInd w:val="0"/>
        <w:snapToGrid w:val="0"/>
        <w:spacing w:line="600" w:lineRule="exact"/>
        <w:textAlignment w:val="auto"/>
        <w:rPr>
          <w:rFonts w:hint="default" w:ascii="Times New Roman" w:hAnsi="Times New Roman" w:cs="Times New Roman"/>
          <w:b w:val="0"/>
          <w:bCs w:val="0"/>
          <w:sz w:val="28"/>
          <w:szCs w:val="24"/>
        </w:rPr>
      </w:pPr>
      <w:r>
        <w:rPr>
          <w:rFonts w:hint="default" w:ascii="Times New Roman" w:hAnsi="Times New Roman" w:cs="Times New Roman"/>
          <w:b w:val="0"/>
          <w:bCs w:val="0"/>
          <w:snapToGrid w:val="0"/>
          <w:color w:val="auto"/>
          <w:sz w:val="28"/>
          <w:szCs w:val="24"/>
        </w:rPr>
        <w:fldChar w:fldCharType="begin"/>
      </w:r>
      <w:r>
        <w:rPr>
          <w:rFonts w:hint="default" w:ascii="Times New Roman" w:hAnsi="Times New Roman" w:cs="Times New Roman"/>
          <w:b w:val="0"/>
          <w:bCs w:val="0"/>
          <w:snapToGrid w:val="0"/>
          <w:sz w:val="28"/>
          <w:szCs w:val="24"/>
        </w:rPr>
        <w:instrText xml:space="preserve"> HYPERLINK \l _Toc6033 </w:instrText>
      </w:r>
      <w:r>
        <w:rPr>
          <w:rFonts w:hint="default" w:ascii="Times New Roman" w:hAnsi="Times New Roman" w:cs="Times New Roman"/>
          <w:b w:val="0"/>
          <w:bCs w:val="0"/>
          <w:snapToGrid w:val="0"/>
          <w:sz w:val="28"/>
          <w:szCs w:val="24"/>
        </w:rPr>
        <w:fldChar w:fldCharType="separate"/>
      </w:r>
      <w:r>
        <w:rPr>
          <w:rFonts w:hint="default" w:ascii="Times New Roman" w:hAnsi="Times New Roman" w:eastAsia="黑体" w:cs="Times New Roman"/>
          <w:b w:val="0"/>
          <w:bCs w:val="0"/>
          <w:snapToGrid w:val="0"/>
          <w:sz w:val="28"/>
          <w:szCs w:val="44"/>
        </w:rPr>
        <w:t>附表</w:t>
      </w:r>
      <w:r>
        <w:rPr>
          <w:rFonts w:hint="default" w:ascii="Times New Roman" w:hAnsi="Times New Roman" w:cs="Times New Roman"/>
          <w:b w:val="0"/>
          <w:bCs w:val="0"/>
          <w:sz w:val="28"/>
          <w:szCs w:val="24"/>
        </w:rPr>
        <w:tab/>
      </w:r>
      <w:r>
        <w:rPr>
          <w:rFonts w:hint="default" w:ascii="Times New Roman" w:hAnsi="Times New Roman" w:cs="Times New Roman"/>
          <w:b w:val="0"/>
          <w:bCs w:val="0"/>
          <w:sz w:val="28"/>
          <w:szCs w:val="24"/>
        </w:rPr>
        <w:fldChar w:fldCharType="begin"/>
      </w:r>
      <w:r>
        <w:rPr>
          <w:rFonts w:hint="default" w:ascii="Times New Roman" w:hAnsi="Times New Roman" w:cs="Times New Roman"/>
          <w:b w:val="0"/>
          <w:bCs w:val="0"/>
          <w:sz w:val="28"/>
          <w:szCs w:val="24"/>
        </w:rPr>
        <w:instrText xml:space="preserve"> PAGEREF _Toc6033 \h </w:instrText>
      </w:r>
      <w:r>
        <w:rPr>
          <w:rFonts w:hint="default" w:ascii="Times New Roman" w:hAnsi="Times New Roman" w:cs="Times New Roman"/>
          <w:b w:val="0"/>
          <w:bCs w:val="0"/>
          <w:sz w:val="28"/>
          <w:szCs w:val="24"/>
        </w:rPr>
        <w:fldChar w:fldCharType="separate"/>
      </w:r>
      <w:r>
        <w:rPr>
          <w:rFonts w:hint="default" w:ascii="Times New Roman" w:hAnsi="Times New Roman" w:cs="Times New Roman"/>
          <w:b w:val="0"/>
          <w:bCs w:val="0"/>
          <w:sz w:val="28"/>
          <w:szCs w:val="24"/>
        </w:rPr>
        <w:t>46</w:t>
      </w:r>
      <w:r>
        <w:rPr>
          <w:rFonts w:hint="default" w:ascii="Times New Roman" w:hAnsi="Times New Roman" w:cs="Times New Roman"/>
          <w:b w:val="0"/>
          <w:bCs w:val="0"/>
          <w:sz w:val="28"/>
          <w:szCs w:val="24"/>
        </w:rPr>
        <w:fldChar w:fldCharType="end"/>
      </w:r>
      <w:r>
        <w:rPr>
          <w:rFonts w:hint="default" w:ascii="Times New Roman" w:hAnsi="Times New Roman" w:cs="Times New Roman"/>
          <w:b w:val="0"/>
          <w:bCs w:val="0"/>
          <w:snapToGrid w:val="0"/>
          <w:color w:val="auto"/>
          <w:sz w:val="28"/>
          <w:szCs w:val="24"/>
        </w:rPr>
        <w:fldChar w:fldCharType="end"/>
      </w:r>
    </w:p>
    <w:p>
      <w:pPr>
        <w:shd w:val="clear" w:color="auto" w:fill="auto"/>
        <w:adjustRightInd w:val="0"/>
        <w:snapToGrid w:val="0"/>
        <w:spacing w:line="580" w:lineRule="exact"/>
        <w:jc w:val="center"/>
        <w:rPr>
          <w:rFonts w:eastAsia="楷体_GB2312"/>
          <w:color w:val="auto"/>
          <w:sz w:val="36"/>
          <w:szCs w:val="36"/>
        </w:rPr>
      </w:pPr>
      <w:r>
        <w:rPr>
          <w:bCs/>
          <w:snapToGrid w:val="0"/>
          <w:color w:val="auto"/>
        </w:rPr>
        <w:fldChar w:fldCharType="end"/>
      </w:r>
    </w:p>
    <w:p>
      <w:pPr>
        <w:shd w:val="clear" w:color="auto" w:fill="auto"/>
        <w:adjustRightInd w:val="0"/>
        <w:snapToGrid w:val="0"/>
        <w:spacing w:line="288" w:lineRule="auto"/>
        <w:ind w:firstLine="1040"/>
        <w:rPr>
          <w:rFonts w:eastAsia="仿宋_GB2312"/>
          <w:color w:val="auto"/>
          <w:sz w:val="36"/>
          <w:szCs w:val="36"/>
        </w:rPr>
        <w:sectPr>
          <w:pgSz w:w="11906" w:h="16838"/>
          <w:pgMar w:top="1701" w:right="1531" w:bottom="1701" w:left="1531" w:header="851" w:footer="1077" w:gutter="0"/>
          <w:pgNumType w:start="3"/>
          <w:cols w:space="720" w:num="1"/>
          <w:docGrid w:linePitch="312" w:charSpace="0"/>
        </w:sectPr>
      </w:pPr>
    </w:p>
    <w:p>
      <w:pPr>
        <w:pStyle w:val="83"/>
        <w:jc w:val="center"/>
        <w:outlineLvl w:val="0"/>
        <w:rPr>
          <w:rFonts w:ascii="黑体" w:hAnsi="黑体" w:eastAsia="黑体"/>
          <w:snapToGrid w:val="0"/>
          <w:sz w:val="30"/>
          <w:szCs w:val="30"/>
        </w:rPr>
      </w:pPr>
      <w:bookmarkStart w:id="10" w:name="_Toc975"/>
      <w:r>
        <w:rPr>
          <w:rFonts w:hint="eastAsia" w:ascii="黑体" w:hAnsi="黑体" w:eastAsia="黑体"/>
          <w:snapToGrid w:val="0"/>
          <w:sz w:val="30"/>
          <w:szCs w:val="30"/>
        </w:rPr>
        <w:t>一、建设项目基本情况</w:t>
      </w:r>
      <w:bookmarkEnd w:id="10"/>
    </w:p>
    <w:tbl>
      <w:tblPr>
        <w:tblStyle w:val="9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833"/>
        <w:gridCol w:w="2268"/>
        <w:gridCol w:w="1843"/>
        <w:gridCol w:w="288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833"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建设项目名称</w:t>
            </w:r>
          </w:p>
        </w:tc>
        <w:tc>
          <w:tcPr>
            <w:tcW w:w="6991" w:type="dxa"/>
            <w:gridSpan w:val="3"/>
            <w:vAlign w:val="center"/>
          </w:tcPr>
          <w:p>
            <w:pPr>
              <w:adjustRightInd w:val="0"/>
              <w:snapToGrid w:val="0"/>
              <w:jc w:val="center"/>
              <w:rPr>
                <w:rFonts w:hint="eastAsia" w:eastAsia="宋体"/>
                <w:szCs w:val="21"/>
                <w:lang w:eastAsia="zh-CN"/>
              </w:rPr>
            </w:pPr>
            <w:r>
              <w:rPr>
                <w:rFonts w:hint="eastAsia" w:ascii="宋体" w:hAnsi="宋体" w:cs="宋体"/>
                <w:szCs w:val="21"/>
                <w:lang w:eastAsia="zh-CN"/>
              </w:rPr>
              <w:t>抚宁区满亿包装材料厂生产线技改项目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833"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项目代码</w:t>
            </w:r>
          </w:p>
        </w:tc>
        <w:tc>
          <w:tcPr>
            <w:tcW w:w="6991" w:type="dxa"/>
            <w:gridSpan w:val="3"/>
            <w:vAlign w:val="center"/>
          </w:tcPr>
          <w:p>
            <w:pPr>
              <w:adjustRightInd w:val="0"/>
              <w:snapToGrid w:val="0"/>
              <w:jc w:val="center"/>
              <w:rPr>
                <w:szCs w:val="21"/>
              </w:rPr>
            </w:pPr>
            <w:r>
              <w:rPr>
                <w:rFonts w:hint="eastAsia"/>
                <w:szCs w:val="21"/>
              </w:rPr>
              <w:t>2509-130306-89-02-220306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833" w:type="dxa"/>
            <w:tcMar>
              <w:top w:w="16" w:type="dxa"/>
              <w:left w:w="16" w:type="dxa"/>
              <w:right w:w="16" w:type="dxa"/>
            </w:tcMar>
            <w:vAlign w:val="center"/>
          </w:tcPr>
          <w:p>
            <w:pPr>
              <w:adjustRightInd w:val="0"/>
              <w:snapToGrid w:val="0"/>
              <w:jc w:val="center"/>
              <w:rPr>
                <w:rFonts w:ascii="宋体" w:hAnsi="宋体" w:cs="宋体"/>
                <w:szCs w:val="21"/>
                <w:highlight w:val="none"/>
              </w:rPr>
            </w:pPr>
            <w:r>
              <w:rPr>
                <w:rFonts w:hint="eastAsia" w:ascii="宋体" w:hAnsi="宋体" w:cs="宋体"/>
                <w:szCs w:val="21"/>
                <w:highlight w:val="none"/>
              </w:rPr>
              <w:t>建设单位联系人</w:t>
            </w:r>
          </w:p>
        </w:tc>
        <w:tc>
          <w:tcPr>
            <w:tcW w:w="2268" w:type="dxa"/>
            <w:vAlign w:val="center"/>
          </w:tcPr>
          <w:p>
            <w:pPr>
              <w:adjustRightInd w:val="0"/>
              <w:snapToGrid w:val="0"/>
              <w:jc w:val="center"/>
              <w:rPr>
                <w:rFonts w:hint="default" w:ascii="Times New Roman" w:hAnsi="Times New Roman" w:cs="Times New Roman"/>
                <w:szCs w:val="21"/>
                <w:highlight w:val="none"/>
              </w:rPr>
            </w:pPr>
            <w:r>
              <w:rPr>
                <w:rFonts w:hint="default" w:ascii="Times New Roman" w:hAnsi="Times New Roman" w:cs="Times New Roman"/>
                <w:szCs w:val="21"/>
                <w:highlight w:val="none"/>
              </w:rPr>
              <w:t>金满意</w:t>
            </w:r>
          </w:p>
        </w:tc>
        <w:tc>
          <w:tcPr>
            <w:tcW w:w="1843" w:type="dxa"/>
            <w:vAlign w:val="center"/>
          </w:tcPr>
          <w:p>
            <w:pPr>
              <w:adjustRightInd w:val="0"/>
              <w:snapToGrid w:val="0"/>
              <w:jc w:val="center"/>
              <w:rPr>
                <w:rFonts w:hint="default" w:ascii="Times New Roman" w:hAnsi="Times New Roman" w:cs="Times New Roman"/>
                <w:szCs w:val="21"/>
                <w:highlight w:val="none"/>
              </w:rPr>
            </w:pPr>
            <w:r>
              <w:rPr>
                <w:rFonts w:hint="default" w:ascii="Times New Roman" w:hAnsi="Times New Roman" w:cs="Times New Roman"/>
                <w:szCs w:val="21"/>
                <w:highlight w:val="none"/>
              </w:rPr>
              <w:t>联系方式</w:t>
            </w:r>
          </w:p>
        </w:tc>
        <w:tc>
          <w:tcPr>
            <w:tcW w:w="2880" w:type="dxa"/>
            <w:vAlign w:val="center"/>
          </w:tcPr>
          <w:p>
            <w:pPr>
              <w:adjustRightInd w:val="0"/>
              <w:snapToGrid w:val="0"/>
              <w:jc w:val="center"/>
              <w:rPr>
                <w:rFonts w:hint="default" w:ascii="Times New Roman" w:hAnsi="Times New Roman" w:cs="Times New Roman"/>
                <w:szCs w:val="21"/>
              </w:rPr>
            </w:pPr>
            <w:r>
              <w:rPr>
                <w:rFonts w:hint="default" w:ascii="Times New Roman" w:hAnsi="Times New Roman" w:cs="Times New Roman"/>
                <w:szCs w:val="21"/>
                <w:highlight w:val="none"/>
              </w:rPr>
              <w:t>18833859898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833"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建设地点</w:t>
            </w:r>
          </w:p>
        </w:tc>
        <w:tc>
          <w:tcPr>
            <w:tcW w:w="6991" w:type="dxa"/>
            <w:gridSpan w:val="3"/>
            <w:vAlign w:val="center"/>
          </w:tcPr>
          <w:p>
            <w:pPr>
              <w:adjustRightInd w:val="0"/>
              <w:snapToGrid w:val="0"/>
              <w:jc w:val="center"/>
              <w:rPr>
                <w:rFonts w:hint="eastAsia" w:eastAsia="宋体"/>
                <w:szCs w:val="21"/>
                <w:lang w:eastAsia="zh-CN"/>
              </w:rPr>
            </w:pPr>
            <w:r>
              <w:rPr>
                <w:rFonts w:hint="eastAsia"/>
                <w:szCs w:val="21"/>
                <w:lang w:eastAsia="zh-CN"/>
              </w:rPr>
              <w:t>秦皇岛市抚宁区留守营镇樊各庄北村</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833"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地理坐标</w:t>
            </w:r>
          </w:p>
        </w:tc>
        <w:tc>
          <w:tcPr>
            <w:tcW w:w="6991" w:type="dxa"/>
            <w:gridSpan w:val="3"/>
            <w:vAlign w:val="center"/>
          </w:tcPr>
          <w:p>
            <w:pPr>
              <w:adjustRightInd w:val="0"/>
              <w:snapToGrid w:val="0"/>
              <w:jc w:val="center"/>
              <w:rPr>
                <w:szCs w:val="21"/>
              </w:rPr>
            </w:pPr>
            <w:r>
              <w:rPr>
                <w:rFonts w:hint="eastAsia"/>
                <w:szCs w:val="21"/>
              </w:rPr>
              <w:t>东经</w:t>
            </w:r>
            <w:r>
              <w:rPr>
                <w:szCs w:val="21"/>
              </w:rPr>
              <w:t xml:space="preserve"> 119 度15 分</w:t>
            </w:r>
            <w:r>
              <w:rPr>
                <w:rFonts w:hint="eastAsia"/>
                <w:szCs w:val="21"/>
                <w:lang w:val="en-US" w:eastAsia="zh-CN"/>
              </w:rPr>
              <w:t>45.113</w:t>
            </w:r>
            <w:r>
              <w:rPr>
                <w:szCs w:val="21"/>
              </w:rPr>
              <w:t xml:space="preserve"> 秒，</w:t>
            </w:r>
            <w:r>
              <w:rPr>
                <w:rFonts w:hint="eastAsia"/>
                <w:szCs w:val="21"/>
              </w:rPr>
              <w:t>北纬</w:t>
            </w:r>
            <w:r>
              <w:rPr>
                <w:szCs w:val="21"/>
              </w:rPr>
              <w:t xml:space="preserve"> 39 度 46 分</w:t>
            </w:r>
            <w:r>
              <w:rPr>
                <w:rFonts w:hint="eastAsia"/>
                <w:szCs w:val="21"/>
                <w:lang w:val="en-US" w:eastAsia="zh-CN"/>
              </w:rPr>
              <w:t>2.144</w:t>
            </w:r>
            <w:r>
              <w:rPr>
                <w:szCs w:val="21"/>
              </w:rPr>
              <w:t xml:space="preserve"> 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833"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国民经济</w:t>
            </w:r>
          </w:p>
          <w:p>
            <w:pPr>
              <w:adjustRightInd w:val="0"/>
              <w:snapToGrid w:val="0"/>
              <w:jc w:val="center"/>
              <w:rPr>
                <w:rFonts w:ascii="宋体" w:hAnsi="宋体" w:cs="宋体"/>
                <w:szCs w:val="21"/>
              </w:rPr>
            </w:pPr>
            <w:r>
              <w:rPr>
                <w:rFonts w:hint="eastAsia" w:ascii="宋体" w:hAnsi="宋体" w:cs="宋体"/>
                <w:szCs w:val="21"/>
              </w:rPr>
              <w:t>行业类别</w:t>
            </w:r>
          </w:p>
        </w:tc>
        <w:tc>
          <w:tcPr>
            <w:tcW w:w="2268" w:type="dxa"/>
            <w:vAlign w:val="center"/>
          </w:tcPr>
          <w:p>
            <w:pPr>
              <w:adjustRightInd w:val="0"/>
              <w:snapToGrid w:val="0"/>
              <w:jc w:val="center"/>
              <w:rPr>
                <w:szCs w:val="21"/>
              </w:rPr>
            </w:pPr>
            <w:r>
              <w:rPr>
                <w:rFonts w:hint="eastAsia"/>
                <w:szCs w:val="21"/>
              </w:rPr>
              <w:t>C2921 塑料薄膜制造</w:t>
            </w:r>
          </w:p>
        </w:tc>
        <w:tc>
          <w:tcPr>
            <w:tcW w:w="1843" w:type="dxa"/>
            <w:vAlign w:val="center"/>
          </w:tcPr>
          <w:p>
            <w:pPr>
              <w:adjustRightInd w:val="0"/>
              <w:snapToGrid w:val="0"/>
              <w:jc w:val="center"/>
              <w:rPr>
                <w:szCs w:val="21"/>
              </w:rPr>
            </w:pPr>
            <w:bookmarkStart w:id="11" w:name="_Hlk49843745"/>
            <w:r>
              <w:rPr>
                <w:szCs w:val="21"/>
              </w:rPr>
              <w:t>建设项目</w:t>
            </w:r>
          </w:p>
          <w:p>
            <w:pPr>
              <w:adjustRightInd w:val="0"/>
              <w:snapToGrid w:val="0"/>
              <w:jc w:val="center"/>
              <w:rPr>
                <w:szCs w:val="21"/>
              </w:rPr>
            </w:pPr>
            <w:r>
              <w:rPr>
                <w:szCs w:val="21"/>
              </w:rPr>
              <w:t>行业类别</w:t>
            </w:r>
            <w:bookmarkEnd w:id="11"/>
          </w:p>
        </w:tc>
        <w:tc>
          <w:tcPr>
            <w:tcW w:w="2880" w:type="dxa"/>
            <w:vAlign w:val="center"/>
          </w:tcPr>
          <w:p>
            <w:pPr>
              <w:adjustRightInd w:val="0"/>
              <w:snapToGrid w:val="0"/>
              <w:jc w:val="center"/>
              <w:rPr>
                <w:szCs w:val="21"/>
              </w:rPr>
            </w:pPr>
            <w:r>
              <w:rPr>
                <w:rFonts w:hint="eastAsia"/>
                <w:szCs w:val="21"/>
              </w:rPr>
              <w:t>二十六、橡胶和塑料制品业29-053 塑料制品业292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833"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建设性质</w:t>
            </w:r>
          </w:p>
        </w:tc>
        <w:tc>
          <w:tcPr>
            <w:tcW w:w="2268" w:type="dxa"/>
            <w:vAlign w:val="center"/>
          </w:tcPr>
          <w:p>
            <w:pPr>
              <w:jc w:val="left"/>
              <w:rPr>
                <w:szCs w:val="21"/>
              </w:rPr>
            </w:pPr>
            <w:r>
              <w:rPr>
                <w:rFonts w:hint="eastAsia"/>
                <w:szCs w:val="21"/>
              </w:rPr>
              <w:t>□</w:t>
            </w:r>
            <w:r>
              <w:rPr>
                <w:szCs w:val="21"/>
              </w:rPr>
              <w:t>新建（迁建）</w:t>
            </w:r>
          </w:p>
          <w:p>
            <w:pPr>
              <w:jc w:val="left"/>
              <w:rPr>
                <w:szCs w:val="21"/>
              </w:rPr>
            </w:pPr>
            <w:r>
              <w:rPr>
                <w:rFonts w:hint="eastAsia"/>
                <w:szCs w:val="21"/>
              </w:rPr>
              <w:t>□</w:t>
            </w:r>
            <w:r>
              <w:rPr>
                <w:szCs w:val="21"/>
              </w:rPr>
              <w:t>改建</w:t>
            </w:r>
          </w:p>
          <w:p>
            <w:pPr>
              <w:jc w:val="left"/>
              <w:rPr>
                <w:szCs w:val="21"/>
              </w:rPr>
            </w:pPr>
            <w:r>
              <w:rPr>
                <w:rFonts w:hint="eastAsia"/>
                <w:szCs w:val="21"/>
              </w:rPr>
              <w:t>□</w:t>
            </w:r>
            <w:r>
              <w:rPr>
                <w:szCs w:val="21"/>
              </w:rPr>
              <w:t>扩建</w:t>
            </w:r>
          </w:p>
          <w:p>
            <w:pPr>
              <w:jc w:val="left"/>
              <w:rPr>
                <w:szCs w:val="21"/>
              </w:rPr>
            </w:pPr>
            <w:r>
              <w:rPr>
                <w:rFonts w:hint="eastAsia"/>
                <w:szCs w:val="21"/>
                <w:lang w:eastAsia="zh-CN"/>
              </w:rPr>
              <w:t>☑</w:t>
            </w:r>
            <w:r>
              <w:rPr>
                <w:szCs w:val="21"/>
              </w:rPr>
              <w:t>技术改造</w:t>
            </w:r>
          </w:p>
        </w:tc>
        <w:tc>
          <w:tcPr>
            <w:tcW w:w="1843" w:type="dxa"/>
            <w:vAlign w:val="center"/>
          </w:tcPr>
          <w:p>
            <w:pPr>
              <w:adjustRightInd w:val="0"/>
              <w:snapToGrid w:val="0"/>
              <w:jc w:val="center"/>
              <w:rPr>
                <w:szCs w:val="21"/>
              </w:rPr>
            </w:pPr>
            <w:r>
              <w:rPr>
                <w:szCs w:val="21"/>
              </w:rPr>
              <w:t>建设项目</w:t>
            </w:r>
          </w:p>
          <w:p>
            <w:pPr>
              <w:adjustRightInd w:val="0"/>
              <w:snapToGrid w:val="0"/>
              <w:jc w:val="center"/>
              <w:rPr>
                <w:szCs w:val="21"/>
              </w:rPr>
            </w:pPr>
            <w:r>
              <w:rPr>
                <w:szCs w:val="21"/>
              </w:rPr>
              <w:t>申报情形</w:t>
            </w:r>
          </w:p>
        </w:tc>
        <w:tc>
          <w:tcPr>
            <w:tcW w:w="2880" w:type="dxa"/>
            <w:vAlign w:val="center"/>
          </w:tcPr>
          <w:p>
            <w:pPr>
              <w:jc w:val="left"/>
              <w:rPr>
                <w:szCs w:val="21"/>
              </w:rPr>
            </w:pPr>
            <w:r>
              <w:rPr>
                <w:szCs w:val="21"/>
              </w:rPr>
              <w:sym w:font="Wingdings 2" w:char="0052"/>
            </w:r>
            <w:r>
              <w:rPr>
                <w:szCs w:val="21"/>
              </w:rPr>
              <w:t xml:space="preserve">首次申报项目             </w:t>
            </w:r>
          </w:p>
          <w:p>
            <w:pPr>
              <w:jc w:val="left"/>
              <w:rPr>
                <w:szCs w:val="21"/>
              </w:rPr>
            </w:pPr>
            <w:r>
              <w:rPr>
                <w:rFonts w:hint="eastAsia" w:ascii="宋体" w:hAnsi="宋体" w:cs="宋体"/>
                <w:szCs w:val="21"/>
              </w:rPr>
              <w:t>□</w:t>
            </w:r>
            <w:r>
              <w:rPr>
                <w:szCs w:val="21"/>
              </w:rPr>
              <w:t>不予批准后再次申报项目</w:t>
            </w:r>
          </w:p>
          <w:p>
            <w:pPr>
              <w:jc w:val="left"/>
              <w:rPr>
                <w:szCs w:val="21"/>
              </w:rPr>
            </w:pPr>
            <w:r>
              <w:rPr>
                <w:rFonts w:hint="eastAsia" w:ascii="宋体" w:hAnsi="宋体" w:cs="宋体"/>
                <w:szCs w:val="21"/>
              </w:rPr>
              <w:t>□</w:t>
            </w:r>
            <w:r>
              <w:rPr>
                <w:szCs w:val="21"/>
              </w:rPr>
              <w:t xml:space="preserve">超五年重新审核项目     </w:t>
            </w:r>
          </w:p>
          <w:p>
            <w:pPr>
              <w:jc w:val="left"/>
              <w:rPr>
                <w:szCs w:val="21"/>
              </w:rPr>
            </w:pPr>
            <w:r>
              <w:rPr>
                <w:rFonts w:hint="eastAsia" w:ascii="宋体" w:hAnsi="宋体" w:cs="宋体"/>
                <w:szCs w:val="21"/>
              </w:rPr>
              <w:t>□</w:t>
            </w:r>
            <w:r>
              <w:rPr>
                <w:szCs w:val="21"/>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833"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项目审批（核准</w:t>
            </w:r>
            <w:r>
              <w:rPr>
                <w:rFonts w:ascii="宋体" w:hAnsi="宋体" w:cs="宋体"/>
                <w:szCs w:val="21"/>
              </w:rPr>
              <w:t>/</w:t>
            </w:r>
            <w:r>
              <w:rPr>
                <w:rFonts w:hint="eastAsia" w:ascii="宋体" w:hAnsi="宋体" w:cs="宋体"/>
                <w:szCs w:val="21"/>
              </w:rPr>
              <w:t>备案）部门（选填）</w:t>
            </w:r>
          </w:p>
        </w:tc>
        <w:tc>
          <w:tcPr>
            <w:tcW w:w="2268" w:type="dxa"/>
            <w:vAlign w:val="center"/>
          </w:tcPr>
          <w:p>
            <w:pPr>
              <w:adjustRightInd w:val="0"/>
              <w:snapToGrid w:val="0"/>
              <w:jc w:val="center"/>
              <w:rPr>
                <w:szCs w:val="21"/>
              </w:rPr>
            </w:pPr>
            <w:r>
              <w:rPr>
                <w:rFonts w:hint="eastAsia"/>
                <w:szCs w:val="21"/>
                <w:highlight w:val="none"/>
              </w:rPr>
              <w:t>秦皇岛市抚宁区行政审批局</w:t>
            </w:r>
          </w:p>
        </w:tc>
        <w:tc>
          <w:tcPr>
            <w:tcW w:w="1843" w:type="dxa"/>
            <w:vAlign w:val="center"/>
          </w:tcPr>
          <w:p>
            <w:pPr>
              <w:adjustRightInd w:val="0"/>
              <w:snapToGrid w:val="0"/>
              <w:jc w:val="center"/>
              <w:rPr>
                <w:szCs w:val="21"/>
              </w:rPr>
            </w:pPr>
            <w:r>
              <w:rPr>
                <w:szCs w:val="21"/>
              </w:rPr>
              <w:t>项目审批（核准/</w:t>
            </w:r>
          </w:p>
          <w:p>
            <w:pPr>
              <w:adjustRightInd w:val="0"/>
              <w:snapToGrid w:val="0"/>
              <w:jc w:val="center"/>
              <w:rPr>
                <w:szCs w:val="21"/>
              </w:rPr>
            </w:pPr>
            <w:r>
              <w:rPr>
                <w:szCs w:val="21"/>
              </w:rPr>
              <w:t>备案）文号（选填）</w:t>
            </w:r>
          </w:p>
        </w:tc>
        <w:tc>
          <w:tcPr>
            <w:tcW w:w="2880" w:type="dxa"/>
            <w:vAlign w:val="center"/>
          </w:tcPr>
          <w:p>
            <w:pPr>
              <w:adjustRightInd w:val="0"/>
              <w:snapToGrid w:val="0"/>
              <w:jc w:val="center"/>
              <w:rPr>
                <w:szCs w:val="21"/>
              </w:rPr>
            </w:pPr>
            <w:r>
              <w:rPr>
                <w:rFonts w:hint="eastAsia"/>
                <w:szCs w:val="21"/>
              </w:rPr>
              <w:t>抚行审备【2025】212号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833"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总投资（万元）</w:t>
            </w:r>
          </w:p>
        </w:tc>
        <w:tc>
          <w:tcPr>
            <w:tcW w:w="2268" w:type="dxa"/>
            <w:vAlign w:val="center"/>
          </w:tcPr>
          <w:p>
            <w:pPr>
              <w:adjustRightInd w:val="0"/>
              <w:snapToGrid w:val="0"/>
              <w:jc w:val="center"/>
              <w:rPr>
                <w:szCs w:val="21"/>
              </w:rPr>
            </w:pPr>
            <w:r>
              <w:rPr>
                <w:rFonts w:hint="eastAsia"/>
                <w:szCs w:val="21"/>
                <w:lang w:val="en-US" w:eastAsia="zh-CN"/>
              </w:rPr>
              <w:t>3</w:t>
            </w:r>
            <w:r>
              <w:rPr>
                <w:szCs w:val="21"/>
              </w:rPr>
              <w:t>00</w:t>
            </w:r>
          </w:p>
        </w:tc>
        <w:tc>
          <w:tcPr>
            <w:tcW w:w="1843" w:type="dxa"/>
            <w:tcMar>
              <w:top w:w="16" w:type="dxa"/>
              <w:left w:w="16" w:type="dxa"/>
              <w:right w:w="16" w:type="dxa"/>
            </w:tcMar>
            <w:vAlign w:val="center"/>
          </w:tcPr>
          <w:p>
            <w:pPr>
              <w:adjustRightInd w:val="0"/>
              <w:snapToGrid w:val="0"/>
              <w:jc w:val="center"/>
              <w:rPr>
                <w:szCs w:val="21"/>
              </w:rPr>
            </w:pPr>
            <w:r>
              <w:rPr>
                <w:szCs w:val="21"/>
              </w:rPr>
              <w:t>环保投资（万元）</w:t>
            </w:r>
          </w:p>
        </w:tc>
        <w:tc>
          <w:tcPr>
            <w:tcW w:w="2880" w:type="dxa"/>
            <w:vAlign w:val="center"/>
          </w:tcPr>
          <w:p>
            <w:pPr>
              <w:adjustRightInd w:val="0"/>
              <w:snapToGrid w:val="0"/>
              <w:jc w:val="center"/>
              <w:rPr>
                <w:szCs w:val="21"/>
              </w:rPr>
            </w:pPr>
            <w:r>
              <w:rPr>
                <w:rFonts w:hint="eastAsia"/>
                <w:szCs w:val="21"/>
                <w:lang w:val="en-US" w:eastAsia="zh-CN"/>
              </w:rPr>
              <w:t>5</w:t>
            </w:r>
            <w:r>
              <w:rPr>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833"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环保投资占比（</w:t>
            </w:r>
            <w:r>
              <w:rPr>
                <w:szCs w:val="21"/>
              </w:rPr>
              <w:t>%</w:t>
            </w:r>
            <w:r>
              <w:rPr>
                <w:rFonts w:hint="eastAsia" w:ascii="宋体" w:hAnsi="宋体" w:cs="宋体"/>
                <w:szCs w:val="21"/>
              </w:rPr>
              <w:t>）</w:t>
            </w:r>
          </w:p>
        </w:tc>
        <w:tc>
          <w:tcPr>
            <w:tcW w:w="2268" w:type="dxa"/>
            <w:vAlign w:val="center"/>
          </w:tcPr>
          <w:p>
            <w:pPr>
              <w:adjustRightInd w:val="0"/>
              <w:snapToGrid w:val="0"/>
              <w:jc w:val="center"/>
              <w:rPr>
                <w:rFonts w:hint="default" w:eastAsia="宋体"/>
                <w:szCs w:val="21"/>
                <w:lang w:val="en-US" w:eastAsia="zh-CN"/>
              </w:rPr>
            </w:pPr>
            <w:r>
              <w:rPr>
                <w:rFonts w:hint="eastAsia"/>
                <w:szCs w:val="21"/>
                <w:lang w:val="en-US" w:eastAsia="zh-CN"/>
              </w:rPr>
              <w:t>16.7</w:t>
            </w:r>
          </w:p>
        </w:tc>
        <w:tc>
          <w:tcPr>
            <w:tcW w:w="1843" w:type="dxa"/>
            <w:tcMar>
              <w:top w:w="16" w:type="dxa"/>
              <w:left w:w="16" w:type="dxa"/>
              <w:right w:w="16" w:type="dxa"/>
            </w:tcMar>
            <w:vAlign w:val="center"/>
          </w:tcPr>
          <w:p>
            <w:pPr>
              <w:adjustRightInd w:val="0"/>
              <w:snapToGrid w:val="0"/>
              <w:jc w:val="center"/>
              <w:rPr>
                <w:szCs w:val="21"/>
              </w:rPr>
            </w:pPr>
            <w:r>
              <w:rPr>
                <w:szCs w:val="21"/>
              </w:rPr>
              <w:t>施工工期</w:t>
            </w:r>
          </w:p>
        </w:tc>
        <w:tc>
          <w:tcPr>
            <w:tcW w:w="2880" w:type="dxa"/>
            <w:vAlign w:val="center"/>
          </w:tcPr>
          <w:p>
            <w:pPr>
              <w:adjustRightInd w:val="0"/>
              <w:snapToGrid w:val="0"/>
              <w:jc w:val="center"/>
              <w:rPr>
                <w:szCs w:val="21"/>
              </w:rPr>
            </w:pPr>
            <w:r>
              <w:rPr>
                <w:szCs w:val="21"/>
              </w:rPr>
              <w:t>1个月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833" w:type="dxa"/>
            <w:tcMar>
              <w:top w:w="16" w:type="dxa"/>
              <w:left w:w="16" w:type="dxa"/>
              <w:right w:w="16" w:type="dxa"/>
            </w:tcMar>
            <w:vAlign w:val="center"/>
          </w:tcPr>
          <w:p>
            <w:pPr>
              <w:adjustRightInd w:val="0"/>
              <w:snapToGrid w:val="0"/>
              <w:jc w:val="center"/>
              <w:rPr>
                <w:rFonts w:ascii="宋体" w:hAnsi="宋体" w:cs="宋体"/>
                <w:szCs w:val="21"/>
              </w:rPr>
            </w:pPr>
            <w:r>
              <w:rPr>
                <w:rFonts w:hint="eastAsia" w:ascii="宋体" w:hAnsi="宋体" w:cs="宋体"/>
                <w:szCs w:val="21"/>
              </w:rPr>
              <w:t>是否开工建设</w:t>
            </w:r>
          </w:p>
        </w:tc>
        <w:tc>
          <w:tcPr>
            <w:tcW w:w="2268" w:type="dxa"/>
            <w:vAlign w:val="center"/>
          </w:tcPr>
          <w:p>
            <w:pPr>
              <w:adjustRightInd w:val="0"/>
              <w:snapToGrid w:val="0"/>
              <w:rPr>
                <w:szCs w:val="21"/>
              </w:rPr>
            </w:pPr>
            <w:r>
              <w:rPr>
                <w:sz w:val="18"/>
                <w:szCs w:val="18"/>
              </w:rPr>
              <w:sym w:font="Wingdings 2" w:char="0052"/>
            </w:r>
            <w:r>
              <w:rPr>
                <w:szCs w:val="21"/>
              </w:rPr>
              <w:t>否</w:t>
            </w:r>
          </w:p>
          <w:p>
            <w:pPr>
              <w:adjustRightInd w:val="0"/>
              <w:snapToGrid w:val="0"/>
              <w:rPr>
                <w:szCs w:val="21"/>
              </w:rPr>
            </w:pPr>
            <w:r>
              <w:rPr>
                <w:szCs w:val="21"/>
              </w:rPr>
              <w:sym w:font="Wingdings 2" w:char="00A3"/>
            </w:r>
            <w:r>
              <w:rPr>
                <w:szCs w:val="21"/>
              </w:rPr>
              <w:t xml:space="preserve"> 是：</w:t>
            </w:r>
            <w:r>
              <w:rPr>
                <w:szCs w:val="21"/>
                <w:u w:val="single"/>
              </w:rPr>
              <w:t xml:space="preserve">             </w:t>
            </w:r>
          </w:p>
        </w:tc>
        <w:tc>
          <w:tcPr>
            <w:tcW w:w="1843" w:type="dxa"/>
            <w:tcMar>
              <w:top w:w="16" w:type="dxa"/>
              <w:left w:w="16" w:type="dxa"/>
              <w:right w:w="16" w:type="dxa"/>
            </w:tcMar>
            <w:vAlign w:val="center"/>
          </w:tcPr>
          <w:p>
            <w:pPr>
              <w:adjustRightInd w:val="0"/>
              <w:snapToGrid w:val="0"/>
              <w:jc w:val="center"/>
              <w:rPr>
                <w:spacing w:val="-6"/>
                <w:szCs w:val="21"/>
              </w:rPr>
            </w:pPr>
            <w:r>
              <w:rPr>
                <w:spacing w:val="-6"/>
                <w:szCs w:val="21"/>
              </w:rPr>
              <w:t>用地（用海）</w:t>
            </w:r>
          </w:p>
          <w:p>
            <w:pPr>
              <w:adjustRightInd w:val="0"/>
              <w:snapToGrid w:val="0"/>
              <w:jc w:val="center"/>
              <w:rPr>
                <w:szCs w:val="21"/>
              </w:rPr>
            </w:pPr>
            <w:r>
              <w:rPr>
                <w:spacing w:val="-6"/>
                <w:szCs w:val="21"/>
              </w:rPr>
              <w:t>面积（m</w:t>
            </w:r>
            <w:r>
              <w:rPr>
                <w:spacing w:val="-6"/>
                <w:szCs w:val="21"/>
                <w:vertAlign w:val="superscript"/>
              </w:rPr>
              <w:t>2</w:t>
            </w:r>
            <w:r>
              <w:rPr>
                <w:spacing w:val="-6"/>
                <w:szCs w:val="21"/>
              </w:rPr>
              <w:t>）</w:t>
            </w:r>
          </w:p>
        </w:tc>
        <w:tc>
          <w:tcPr>
            <w:tcW w:w="2880" w:type="dxa"/>
            <w:vAlign w:val="center"/>
          </w:tcPr>
          <w:p>
            <w:pPr>
              <w:adjustRightInd w:val="0"/>
              <w:snapToGrid w:val="0"/>
              <w:jc w:val="center"/>
              <w:rPr>
                <w:szCs w:val="21"/>
              </w:rPr>
            </w:pPr>
            <w:r>
              <w:rPr>
                <w:rFonts w:hint="eastAsia"/>
                <w:szCs w:val="21"/>
                <w:lang w:val="en-US" w:eastAsia="zh-CN"/>
              </w:rPr>
              <w:t>0（现有厂内）</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3" w:hRule="atLeast"/>
          <w:jc w:val="center"/>
        </w:trPr>
        <w:tc>
          <w:tcPr>
            <w:tcW w:w="1833" w:type="dxa"/>
            <w:vAlign w:val="center"/>
          </w:tcPr>
          <w:p>
            <w:pPr>
              <w:autoSpaceDE w:val="0"/>
              <w:autoSpaceDN w:val="0"/>
              <w:adjustRightInd w:val="0"/>
              <w:snapToGrid w:val="0"/>
              <w:jc w:val="center"/>
              <w:rPr>
                <w:rFonts w:ascii="宋体" w:hAnsi="宋体" w:cs="宋体"/>
                <w:kern w:val="0"/>
                <w:szCs w:val="21"/>
              </w:rPr>
            </w:pPr>
            <w:r>
              <w:rPr>
                <w:rFonts w:hint="eastAsia" w:ascii="宋体" w:hAnsi="宋体" w:cs="宋体"/>
                <w:kern w:val="0"/>
                <w:szCs w:val="21"/>
              </w:rPr>
              <w:t>专项评价设置情况</w:t>
            </w:r>
          </w:p>
        </w:tc>
        <w:tc>
          <w:tcPr>
            <w:tcW w:w="6991" w:type="dxa"/>
            <w:gridSpan w:val="3"/>
            <w:vAlign w:val="center"/>
          </w:tcPr>
          <w:p>
            <w:pPr>
              <w:autoSpaceDE w:val="0"/>
              <w:autoSpaceDN w:val="0"/>
              <w:adjustRightInd w:val="0"/>
              <w:snapToGrid w:val="0"/>
              <w:jc w:val="center"/>
              <w:rPr>
                <w:rFonts w:ascii="宋体" w:hAnsi="宋体" w:cs="宋体"/>
                <w:kern w:val="0"/>
                <w:szCs w:val="21"/>
              </w:rPr>
            </w:pPr>
            <w:r>
              <w:rPr>
                <w:rFonts w:hint="eastAsia" w:ascii="宋体" w:hAnsi="宋体" w:cs="宋体"/>
                <w:kern w:val="0"/>
                <w:szCs w:val="21"/>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8" w:hRule="atLeast"/>
          <w:jc w:val="center"/>
        </w:trPr>
        <w:tc>
          <w:tcPr>
            <w:tcW w:w="1833" w:type="dxa"/>
            <w:vAlign w:val="center"/>
          </w:tcPr>
          <w:p>
            <w:pPr>
              <w:autoSpaceDE w:val="0"/>
              <w:autoSpaceDN w:val="0"/>
              <w:adjustRightInd w:val="0"/>
              <w:snapToGrid w:val="0"/>
              <w:jc w:val="center"/>
              <w:rPr>
                <w:rFonts w:ascii="宋体" w:hAnsi="宋体" w:cs="宋体"/>
                <w:kern w:val="0"/>
                <w:szCs w:val="21"/>
              </w:rPr>
            </w:pPr>
            <w:r>
              <w:rPr>
                <w:rFonts w:hint="eastAsia" w:ascii="宋体" w:hAnsi="宋体" w:cs="宋体"/>
                <w:szCs w:val="21"/>
              </w:rPr>
              <w:t>规划情况</w:t>
            </w:r>
          </w:p>
        </w:tc>
        <w:tc>
          <w:tcPr>
            <w:tcW w:w="6991" w:type="dxa"/>
            <w:gridSpan w:val="3"/>
            <w:vAlign w:val="center"/>
          </w:tcPr>
          <w:p>
            <w:pPr>
              <w:adjustRightInd w:val="0"/>
              <w:snapToGrid w:val="0"/>
              <w:spacing w:line="400" w:lineRule="exact"/>
              <w:jc w:val="center"/>
              <w:rPr>
                <w:rFonts w:hint="eastAsia" w:eastAsia="宋体"/>
                <w:kern w:val="0"/>
                <w:szCs w:val="21"/>
                <w:lang w:eastAsia="zh-CN"/>
              </w:rPr>
            </w:pPr>
            <w:r>
              <w:rPr>
                <w:rFonts w:hint="eastAsia"/>
                <w:kern w:val="0"/>
                <w:szCs w:val="21"/>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18" w:hRule="atLeast"/>
          <w:jc w:val="center"/>
        </w:trPr>
        <w:tc>
          <w:tcPr>
            <w:tcW w:w="1833" w:type="dxa"/>
            <w:vAlign w:val="center"/>
          </w:tcPr>
          <w:p>
            <w:pPr>
              <w:adjustRightInd w:val="0"/>
              <w:snapToGrid w:val="0"/>
              <w:jc w:val="center"/>
              <w:rPr>
                <w:rFonts w:ascii="宋体" w:hAnsi="宋体" w:cs="宋体"/>
                <w:kern w:val="0"/>
                <w:szCs w:val="21"/>
              </w:rPr>
            </w:pPr>
            <w:r>
              <w:rPr>
                <w:rFonts w:hint="eastAsia" w:ascii="宋体" w:hAnsi="宋体" w:cs="宋体"/>
                <w:szCs w:val="21"/>
              </w:rPr>
              <w:t>规划环境影响评价情况</w:t>
            </w:r>
          </w:p>
        </w:tc>
        <w:tc>
          <w:tcPr>
            <w:tcW w:w="6991" w:type="dxa"/>
            <w:gridSpan w:val="3"/>
            <w:vAlign w:val="center"/>
          </w:tcPr>
          <w:p>
            <w:pPr>
              <w:adjustRightInd w:val="0"/>
              <w:snapToGrid w:val="0"/>
              <w:spacing w:line="400" w:lineRule="exact"/>
              <w:jc w:val="center"/>
              <w:rPr>
                <w:rFonts w:hint="eastAsia" w:eastAsia="宋体"/>
                <w:kern w:val="0"/>
                <w:szCs w:val="21"/>
                <w:lang w:val="en-US" w:eastAsia="zh-CN"/>
              </w:rPr>
            </w:pPr>
            <w:r>
              <w:rPr>
                <w:rFonts w:hint="eastAsia"/>
                <w:kern w:val="0"/>
                <w:szCs w:val="21"/>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833" w:type="dxa"/>
            <w:vAlign w:val="center"/>
          </w:tcPr>
          <w:p>
            <w:pPr>
              <w:autoSpaceDE w:val="0"/>
              <w:autoSpaceDN w:val="0"/>
              <w:adjustRightInd w:val="0"/>
              <w:snapToGrid w:val="0"/>
              <w:jc w:val="center"/>
              <w:rPr>
                <w:rFonts w:ascii="宋体" w:hAnsi="宋体" w:cs="宋体"/>
                <w:kern w:val="0"/>
                <w:szCs w:val="21"/>
              </w:rPr>
            </w:pPr>
            <w:r>
              <w:rPr>
                <w:rFonts w:hint="eastAsia" w:ascii="宋体" w:hAnsi="宋体" w:cs="宋体"/>
                <w:kern w:val="0"/>
                <w:szCs w:val="21"/>
              </w:rPr>
              <w:t>规划及规划环境影响评价符合性分析</w:t>
            </w:r>
          </w:p>
        </w:tc>
        <w:tc>
          <w:tcPr>
            <w:tcW w:w="6991" w:type="dxa"/>
            <w:gridSpan w:val="3"/>
            <w:vAlign w:val="center"/>
          </w:tcPr>
          <w:p>
            <w:pPr>
              <w:adjustRightInd w:val="0"/>
              <w:snapToGrid w:val="0"/>
              <w:spacing w:line="400" w:lineRule="exact"/>
              <w:jc w:val="center"/>
              <w:rPr>
                <w:rFonts w:hint="eastAsia" w:eastAsia="宋体"/>
                <w:bCs/>
                <w:szCs w:val="21"/>
                <w:lang w:val="en-US" w:eastAsia="zh-CN"/>
              </w:rPr>
            </w:pPr>
            <w:r>
              <w:rPr>
                <w:rFonts w:hint="eastAsia"/>
                <w:bCs/>
                <w:szCs w:val="21"/>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48" w:hRule="atLeast"/>
          <w:jc w:val="center"/>
        </w:trPr>
        <w:tc>
          <w:tcPr>
            <w:tcW w:w="1833" w:type="dxa"/>
            <w:vAlign w:val="center"/>
          </w:tcPr>
          <w:p>
            <w:pPr>
              <w:autoSpaceDE w:val="0"/>
              <w:autoSpaceDN w:val="0"/>
              <w:adjustRightInd w:val="0"/>
              <w:snapToGrid w:val="0"/>
              <w:jc w:val="center"/>
              <w:rPr>
                <w:rFonts w:ascii="宋体" w:hAnsi="宋体" w:cs="宋体"/>
                <w:kern w:val="0"/>
                <w:szCs w:val="21"/>
              </w:rPr>
            </w:pPr>
            <w:r>
              <w:rPr>
                <w:rFonts w:hint="eastAsia" w:ascii="宋体" w:hAnsi="宋体" w:cs="宋体"/>
                <w:kern w:val="0"/>
                <w:szCs w:val="21"/>
              </w:rPr>
              <w:t>其他符合性分析</w:t>
            </w:r>
          </w:p>
        </w:tc>
        <w:tc>
          <w:tcPr>
            <w:tcW w:w="6991" w:type="dxa"/>
            <w:gridSpan w:val="3"/>
            <w:vAlign w:val="center"/>
          </w:tcPr>
          <w:p>
            <w:pPr>
              <w:adjustRightInd w:val="0"/>
              <w:snapToGrid w:val="0"/>
              <w:spacing w:line="400" w:lineRule="exact"/>
              <w:rPr>
                <w:b/>
                <w:szCs w:val="21"/>
              </w:rPr>
            </w:pPr>
            <w:r>
              <w:rPr>
                <w:rFonts w:hint="eastAsia"/>
                <w:b/>
                <w:szCs w:val="21"/>
                <w:lang w:val="en-US" w:eastAsia="zh-CN"/>
              </w:rPr>
              <w:t>1</w:t>
            </w:r>
            <w:r>
              <w:rPr>
                <w:rFonts w:hint="eastAsia"/>
                <w:b/>
                <w:szCs w:val="21"/>
              </w:rPr>
              <w:t>、</w:t>
            </w:r>
            <w:r>
              <w:rPr>
                <w:b/>
                <w:szCs w:val="21"/>
              </w:rPr>
              <w:t>三线一单符合性分析</w:t>
            </w:r>
            <w:r>
              <w:rPr>
                <w:rFonts w:hint="eastAsia"/>
                <w:b/>
                <w:szCs w:val="21"/>
              </w:rPr>
              <w:t>：</w:t>
            </w:r>
            <w:r>
              <w:rPr>
                <w:b/>
                <w:szCs w:val="21"/>
              </w:rPr>
              <w:t xml:space="preserve"> </w:t>
            </w:r>
          </w:p>
          <w:p>
            <w:pPr>
              <w:adjustRightInd w:val="0"/>
              <w:snapToGrid w:val="0"/>
              <w:spacing w:line="400" w:lineRule="exact"/>
              <w:ind w:firstLine="420" w:firstLineChars="200"/>
              <w:rPr>
                <w:bCs/>
                <w:szCs w:val="21"/>
              </w:rPr>
            </w:pPr>
            <w:bookmarkStart w:id="12" w:name="_Hlk112147223"/>
            <w:r>
              <w:rPr>
                <w:rFonts w:hint="eastAsia"/>
                <w:bCs/>
                <w:szCs w:val="21"/>
              </w:rPr>
              <w:t>根据环境保护部环环评[2016]150号《关于以改善环境质量为核心加强环境影响评价管理的通知》要求，分析如下：</w:t>
            </w:r>
          </w:p>
          <w:p>
            <w:pPr>
              <w:adjustRightInd w:val="0"/>
              <w:snapToGrid w:val="0"/>
              <w:spacing w:line="400" w:lineRule="exact"/>
              <w:ind w:firstLine="420" w:firstLineChars="200"/>
              <w:rPr>
                <w:bCs/>
                <w:szCs w:val="21"/>
              </w:rPr>
            </w:pPr>
            <w:r>
              <w:rPr>
                <w:rFonts w:hint="eastAsia"/>
                <w:bCs/>
                <w:szCs w:val="21"/>
              </w:rPr>
              <w:t>（1）</w:t>
            </w:r>
            <w:r>
              <w:rPr>
                <w:bCs/>
                <w:szCs w:val="21"/>
              </w:rPr>
              <w:t>生态保护红线</w:t>
            </w:r>
          </w:p>
          <w:p>
            <w:pPr>
              <w:adjustRightInd w:val="0"/>
              <w:snapToGrid w:val="0"/>
              <w:spacing w:line="400" w:lineRule="exact"/>
              <w:ind w:firstLine="420" w:firstLineChars="200"/>
              <w:rPr>
                <w:bCs/>
                <w:szCs w:val="21"/>
              </w:rPr>
            </w:pPr>
            <w:r>
              <w:rPr>
                <w:bCs/>
                <w:szCs w:val="21"/>
              </w:rPr>
              <w:t>根据《</w:t>
            </w:r>
            <w:r>
              <w:rPr>
                <w:rFonts w:hint="eastAsia"/>
                <w:bCs/>
                <w:szCs w:val="21"/>
              </w:rPr>
              <w:t>河北省生态保护红线</w:t>
            </w:r>
            <w:r>
              <w:rPr>
                <w:bCs/>
                <w:szCs w:val="21"/>
              </w:rPr>
              <w:t>》，</w:t>
            </w:r>
            <w:r>
              <w:rPr>
                <w:rFonts w:hint="eastAsia"/>
                <w:bCs/>
                <w:szCs w:val="21"/>
              </w:rPr>
              <w:t>本项目所在区域不属于具有重要水源涵养、生物多样性维护、水土保持、防风固沙、海岸生态稳定等生态功能重要区域，以及水土流失、土地沙化、石漠化、盐渍化等生态环境敏感脆弱区域；不属于生态功能重要区域和敏感脆弱区域。</w:t>
            </w:r>
          </w:p>
          <w:p>
            <w:pPr>
              <w:adjustRightInd w:val="0"/>
              <w:snapToGrid w:val="0"/>
              <w:spacing w:line="400" w:lineRule="exact"/>
              <w:ind w:firstLine="420" w:firstLineChars="200"/>
              <w:rPr>
                <w:bCs/>
                <w:szCs w:val="21"/>
              </w:rPr>
            </w:pPr>
            <w:r>
              <w:rPr>
                <w:rFonts w:hint="eastAsia"/>
                <w:bCs/>
                <w:szCs w:val="21"/>
              </w:rPr>
              <w:t>由上</w:t>
            </w:r>
            <w:r>
              <w:rPr>
                <w:bCs/>
                <w:szCs w:val="21"/>
              </w:rPr>
              <w:t>可知，本项目选址不在生态保护红线范围内</w:t>
            </w:r>
            <w:r>
              <w:rPr>
                <w:rFonts w:hint="eastAsia"/>
                <w:bCs/>
                <w:szCs w:val="21"/>
                <w:lang w:eastAsia="zh-CN"/>
              </w:rPr>
              <w:t>，</w:t>
            </w:r>
            <w:r>
              <w:rPr>
                <w:rFonts w:hint="eastAsia"/>
                <w:bCs/>
                <w:szCs w:val="21"/>
                <w:lang w:val="en-US" w:eastAsia="zh-CN"/>
              </w:rPr>
              <w:t>距离本项目最近的为西侧1830m处的燕山水源涵养-生物多样性维护生态保护红线</w:t>
            </w:r>
            <w:r>
              <w:rPr>
                <w:bCs/>
                <w:szCs w:val="21"/>
              </w:rPr>
              <w:t>。</w:t>
            </w:r>
          </w:p>
          <w:p>
            <w:pPr>
              <w:adjustRightInd w:val="0"/>
              <w:snapToGrid w:val="0"/>
              <w:spacing w:line="400" w:lineRule="exact"/>
              <w:ind w:firstLine="420" w:firstLineChars="200"/>
              <w:rPr>
                <w:bCs/>
                <w:szCs w:val="21"/>
              </w:rPr>
            </w:pPr>
            <w:r>
              <w:rPr>
                <w:rFonts w:hint="eastAsia"/>
                <w:bCs/>
                <w:szCs w:val="21"/>
              </w:rPr>
              <w:t>（2）</w:t>
            </w:r>
            <w:r>
              <w:rPr>
                <w:bCs/>
                <w:szCs w:val="21"/>
              </w:rPr>
              <w:t>环境质量底线</w:t>
            </w:r>
          </w:p>
          <w:p>
            <w:pPr>
              <w:adjustRightInd w:val="0"/>
              <w:snapToGrid w:val="0"/>
              <w:spacing w:line="400" w:lineRule="exact"/>
              <w:ind w:firstLine="420" w:firstLineChars="200"/>
              <w:rPr>
                <w:bCs/>
                <w:szCs w:val="21"/>
              </w:rPr>
            </w:pPr>
            <w:r>
              <w:rPr>
                <w:bCs/>
                <w:szCs w:val="21"/>
              </w:rPr>
              <w:t>根据《</w:t>
            </w:r>
            <w:r>
              <w:rPr>
                <w:rFonts w:hint="eastAsia"/>
                <w:bCs/>
                <w:szCs w:val="21"/>
              </w:rPr>
              <w:t>关于2023年12月份环境空气质量情况的通报》（秦气防领办〔2024〕2号）中1~12月的数据</w:t>
            </w:r>
            <w:r>
              <w:rPr>
                <w:bCs/>
                <w:szCs w:val="21"/>
              </w:rPr>
              <w:t>》</w:t>
            </w:r>
            <w:r>
              <w:rPr>
                <w:rFonts w:hint="eastAsia"/>
                <w:bCs/>
                <w:szCs w:val="21"/>
              </w:rPr>
              <w:t>（秦气防领办〔202</w:t>
            </w:r>
            <w:r>
              <w:rPr>
                <w:bCs/>
                <w:szCs w:val="21"/>
              </w:rPr>
              <w:t>4</w:t>
            </w:r>
            <w:r>
              <w:rPr>
                <w:rFonts w:hint="eastAsia"/>
                <w:bCs/>
                <w:szCs w:val="21"/>
              </w:rPr>
              <w:t>〕</w:t>
            </w:r>
            <w:r>
              <w:rPr>
                <w:bCs/>
                <w:szCs w:val="21"/>
              </w:rPr>
              <w:t>2</w:t>
            </w:r>
            <w:r>
              <w:rPr>
                <w:rFonts w:hint="eastAsia"/>
                <w:bCs/>
                <w:szCs w:val="21"/>
              </w:rPr>
              <w:t>号），臭氧浓度超标，其他基本污染物可以</w:t>
            </w:r>
            <w:r>
              <w:rPr>
                <w:bCs/>
                <w:szCs w:val="21"/>
              </w:rPr>
              <w:t>满足《环境空气质量标准》(GB3095-2012)二级标准要求及其修改单要求</w:t>
            </w:r>
            <w:r>
              <w:rPr>
                <w:rFonts w:hint="eastAsia"/>
                <w:bCs/>
                <w:szCs w:val="21"/>
              </w:rPr>
              <w:t>；非甲烷总烃浓度范围为：0</w:t>
            </w:r>
            <w:r>
              <w:rPr>
                <w:bCs/>
                <w:szCs w:val="21"/>
              </w:rPr>
              <w:t>.5</w:t>
            </w:r>
            <w:r>
              <w:rPr>
                <w:rFonts w:hint="eastAsia"/>
                <w:bCs/>
                <w:szCs w:val="21"/>
                <w:lang w:val="en-US" w:eastAsia="zh-CN"/>
              </w:rPr>
              <w:t>7</w:t>
            </w:r>
            <w:r>
              <w:rPr>
                <w:bCs/>
                <w:szCs w:val="21"/>
              </w:rPr>
              <w:t>~0.</w:t>
            </w:r>
            <w:r>
              <w:rPr>
                <w:rFonts w:hint="eastAsia"/>
                <w:bCs/>
                <w:szCs w:val="21"/>
                <w:lang w:val="en-US" w:eastAsia="zh-CN"/>
              </w:rPr>
              <w:t>82</w:t>
            </w:r>
            <w:r>
              <w:rPr>
                <w:rFonts w:hint="eastAsia"/>
                <w:bCs/>
                <w:szCs w:val="21"/>
              </w:rPr>
              <w:t xml:space="preserve"> mg/Nm</w:t>
            </w:r>
            <w:r>
              <w:rPr>
                <w:rFonts w:hint="eastAsia"/>
                <w:bCs/>
                <w:szCs w:val="21"/>
                <w:vertAlign w:val="superscript"/>
              </w:rPr>
              <w:t>3</w:t>
            </w:r>
            <w:r>
              <w:rPr>
                <w:rFonts w:hint="eastAsia"/>
                <w:bCs/>
                <w:szCs w:val="21"/>
              </w:rPr>
              <w:t>，可以满足《环境空气质量 非甲烷总烃限值》（D</w:t>
            </w:r>
            <w:r>
              <w:rPr>
                <w:bCs/>
                <w:szCs w:val="21"/>
              </w:rPr>
              <w:t>B13/1577-2012</w:t>
            </w:r>
            <w:r>
              <w:rPr>
                <w:rFonts w:hint="eastAsia"/>
                <w:bCs/>
                <w:szCs w:val="21"/>
              </w:rPr>
              <w:t>）表1中二级限值要求（</w:t>
            </w:r>
            <w:r>
              <w:rPr>
                <w:bCs/>
                <w:szCs w:val="21"/>
              </w:rPr>
              <w:t>2.0 mg/m</w:t>
            </w:r>
            <w:r>
              <w:rPr>
                <w:bCs/>
                <w:szCs w:val="21"/>
                <w:vertAlign w:val="superscript"/>
              </w:rPr>
              <w:t>3</w:t>
            </w:r>
            <w:r>
              <w:rPr>
                <w:rFonts w:hint="eastAsia"/>
                <w:bCs/>
                <w:szCs w:val="21"/>
              </w:rPr>
              <w:t>）。</w:t>
            </w:r>
          </w:p>
          <w:p>
            <w:pPr>
              <w:adjustRightInd w:val="0"/>
              <w:snapToGrid w:val="0"/>
              <w:spacing w:line="400" w:lineRule="exact"/>
              <w:ind w:firstLine="420" w:firstLineChars="200"/>
              <w:rPr>
                <w:bCs/>
                <w:szCs w:val="21"/>
              </w:rPr>
            </w:pPr>
            <w:r>
              <w:rPr>
                <w:rFonts w:hint="eastAsia"/>
                <w:bCs/>
                <w:szCs w:val="21"/>
              </w:rPr>
              <w:t>同时针对本项目废气、污水、噪声和固废</w:t>
            </w:r>
            <w:r>
              <w:rPr>
                <w:bCs/>
                <w:szCs w:val="21"/>
              </w:rPr>
              <w:t>，并采取了有效的治理措施，</w:t>
            </w:r>
            <w:r>
              <w:rPr>
                <w:rFonts w:hint="eastAsia"/>
                <w:bCs/>
                <w:szCs w:val="21"/>
              </w:rPr>
              <w:t>废气、噪声处理后达标排放，生活污水泼洒抑尘，固废均合理处置。可以</w:t>
            </w:r>
            <w:r>
              <w:rPr>
                <w:bCs/>
                <w:szCs w:val="21"/>
              </w:rPr>
              <w:t>满足环境质量底线要求</w:t>
            </w:r>
            <w:r>
              <w:rPr>
                <w:rFonts w:hint="eastAsia"/>
                <w:bCs/>
                <w:szCs w:val="21"/>
              </w:rPr>
              <w:t>，</w:t>
            </w:r>
            <w:r>
              <w:rPr>
                <w:bCs/>
                <w:szCs w:val="21"/>
              </w:rPr>
              <w:t>对区域环境质量影响较小</w:t>
            </w:r>
            <w:r>
              <w:rPr>
                <w:rFonts w:hint="eastAsia"/>
                <w:bCs/>
                <w:szCs w:val="21"/>
              </w:rPr>
              <w:t>。</w:t>
            </w:r>
          </w:p>
          <w:p>
            <w:pPr>
              <w:adjustRightInd w:val="0"/>
              <w:snapToGrid w:val="0"/>
              <w:spacing w:line="400" w:lineRule="exact"/>
              <w:ind w:firstLine="420" w:firstLineChars="200"/>
              <w:rPr>
                <w:bCs/>
                <w:szCs w:val="21"/>
              </w:rPr>
            </w:pPr>
            <w:r>
              <w:rPr>
                <w:rFonts w:hint="eastAsia"/>
                <w:bCs/>
                <w:szCs w:val="21"/>
              </w:rPr>
              <w:t>（3）</w:t>
            </w:r>
            <w:r>
              <w:rPr>
                <w:bCs/>
                <w:szCs w:val="21"/>
              </w:rPr>
              <w:t>资源利用上线</w:t>
            </w:r>
          </w:p>
          <w:p>
            <w:pPr>
              <w:adjustRightInd w:val="0"/>
              <w:snapToGrid w:val="0"/>
              <w:spacing w:line="400" w:lineRule="exact"/>
              <w:ind w:firstLine="420" w:firstLineChars="200"/>
              <w:rPr>
                <w:bCs/>
                <w:szCs w:val="21"/>
              </w:rPr>
            </w:pPr>
            <w:r>
              <w:rPr>
                <w:bCs/>
                <w:szCs w:val="21"/>
              </w:rPr>
              <w:t>本项目</w:t>
            </w:r>
            <w:r>
              <w:rPr>
                <w:rFonts w:hint="eastAsia"/>
                <w:bCs/>
                <w:szCs w:val="21"/>
              </w:rPr>
              <w:t>新鲜水用量</w:t>
            </w:r>
            <w:r>
              <w:rPr>
                <w:rFonts w:hint="eastAsia"/>
                <w:bCs/>
                <w:kern w:val="0"/>
                <w:szCs w:val="21"/>
                <w:lang w:val="en-US" w:eastAsia="zh-CN"/>
              </w:rPr>
              <w:t>260</w:t>
            </w:r>
            <w:r>
              <w:rPr>
                <w:bCs/>
                <w:szCs w:val="21"/>
              </w:rPr>
              <w:t>m</w:t>
            </w:r>
            <w:r>
              <w:rPr>
                <w:bCs/>
                <w:szCs w:val="21"/>
                <w:vertAlign w:val="superscript"/>
              </w:rPr>
              <w:t>3</w:t>
            </w:r>
            <w:r>
              <w:rPr>
                <w:bCs/>
                <w:szCs w:val="21"/>
              </w:rPr>
              <w:t>/a</w:t>
            </w:r>
            <w:r>
              <w:rPr>
                <w:rFonts w:hint="eastAsia"/>
                <w:bCs/>
                <w:szCs w:val="21"/>
              </w:rPr>
              <w:t>，电能</w:t>
            </w:r>
            <w:r>
              <w:rPr>
                <w:rFonts w:hint="eastAsia"/>
                <w:bCs/>
                <w:szCs w:val="21"/>
                <w:lang w:val="en-US" w:eastAsia="zh-CN"/>
              </w:rPr>
              <w:t>8</w:t>
            </w:r>
            <w:r>
              <w:rPr>
                <w:rFonts w:hint="eastAsia"/>
                <w:bCs/>
                <w:szCs w:val="21"/>
              </w:rPr>
              <w:t>万k</w:t>
            </w:r>
            <w:r>
              <w:rPr>
                <w:bCs/>
                <w:szCs w:val="21"/>
              </w:rPr>
              <w:t>wh/a</w:t>
            </w:r>
            <w:r>
              <w:rPr>
                <w:rFonts w:hint="eastAsia"/>
                <w:bCs/>
                <w:szCs w:val="21"/>
              </w:rPr>
              <w:t>，消耗量不大，且不新增占地，可以</w:t>
            </w:r>
            <w:r>
              <w:rPr>
                <w:bCs/>
                <w:szCs w:val="21"/>
              </w:rPr>
              <w:t>满足资源利用上限要求。</w:t>
            </w:r>
          </w:p>
          <w:p>
            <w:pPr>
              <w:adjustRightInd w:val="0"/>
              <w:snapToGrid w:val="0"/>
              <w:spacing w:line="400" w:lineRule="exact"/>
              <w:ind w:firstLine="420" w:firstLineChars="200"/>
              <w:rPr>
                <w:bCs/>
                <w:szCs w:val="21"/>
              </w:rPr>
            </w:pPr>
            <w:r>
              <w:rPr>
                <w:rFonts w:hint="eastAsia"/>
                <w:bCs/>
                <w:szCs w:val="21"/>
              </w:rPr>
              <w:t>（4）</w:t>
            </w:r>
            <w:r>
              <w:rPr>
                <w:bCs/>
                <w:szCs w:val="21"/>
              </w:rPr>
              <w:t>环境准入负面清单</w:t>
            </w:r>
          </w:p>
          <w:p>
            <w:pPr>
              <w:suppressAutoHyphens/>
              <w:adjustRightInd w:val="0"/>
              <w:snapToGrid w:val="0"/>
              <w:spacing w:line="400" w:lineRule="exact"/>
              <w:ind w:firstLine="420" w:firstLineChars="200"/>
              <w:rPr>
                <w:kern w:val="0"/>
                <w:szCs w:val="21"/>
              </w:rPr>
            </w:pPr>
            <w:r>
              <w:rPr>
                <w:rFonts w:hint="eastAsia"/>
                <w:kern w:val="0"/>
                <w:szCs w:val="21"/>
              </w:rPr>
              <w:t>根据《秦皇岛市”三线一单”生态环境分区管控实施意见》（秦政字【2021】6号），本项目所在区域为</w:t>
            </w:r>
            <w:r>
              <w:rPr>
                <w:rFonts w:hint="eastAsia"/>
                <w:kern w:val="0"/>
                <w:szCs w:val="21"/>
                <w:lang w:val="en-US" w:eastAsia="zh-CN"/>
              </w:rPr>
              <w:t>一般</w:t>
            </w:r>
            <w:r>
              <w:rPr>
                <w:rFonts w:hint="eastAsia"/>
                <w:kern w:val="0"/>
                <w:szCs w:val="21"/>
              </w:rPr>
              <w:t>管控单元。</w:t>
            </w:r>
          </w:p>
          <w:p>
            <w:pPr>
              <w:suppressAutoHyphens/>
              <w:adjustRightInd w:val="0"/>
              <w:snapToGrid w:val="0"/>
              <w:spacing w:line="400" w:lineRule="exact"/>
              <w:ind w:firstLine="420" w:firstLineChars="200"/>
              <w:rPr>
                <w:kern w:val="0"/>
                <w:szCs w:val="21"/>
              </w:rPr>
            </w:pPr>
            <w:r>
              <w:rPr>
                <w:rFonts w:hint="eastAsia"/>
                <w:kern w:val="0"/>
                <w:szCs w:val="21"/>
              </w:rPr>
              <w:t>同时根据《秦皇岛市生态环境准入清单（2</w:t>
            </w:r>
            <w:r>
              <w:rPr>
                <w:kern w:val="0"/>
                <w:szCs w:val="21"/>
              </w:rPr>
              <w:t>023</w:t>
            </w:r>
            <w:r>
              <w:rPr>
                <w:rFonts w:hint="eastAsia"/>
                <w:kern w:val="0"/>
                <w:szCs w:val="21"/>
              </w:rPr>
              <w:t>年版）》（2</w:t>
            </w:r>
            <w:r>
              <w:rPr>
                <w:kern w:val="0"/>
                <w:szCs w:val="21"/>
              </w:rPr>
              <w:t>024</w:t>
            </w:r>
            <w:r>
              <w:rPr>
                <w:rFonts w:hint="eastAsia"/>
                <w:kern w:val="0"/>
                <w:szCs w:val="21"/>
              </w:rPr>
              <w:t>年6月修订），项目与其符合性，如下：</w:t>
            </w:r>
          </w:p>
          <w:p>
            <w:pPr>
              <w:spacing w:line="400" w:lineRule="exact"/>
              <w:jc w:val="center"/>
              <w:rPr>
                <w:b/>
                <w:szCs w:val="21"/>
              </w:rPr>
            </w:pPr>
            <w:r>
              <w:rPr>
                <w:rFonts w:hint="eastAsia"/>
                <w:b/>
                <w:szCs w:val="21"/>
              </w:rPr>
              <w:t>表1-</w:t>
            </w:r>
            <w:r>
              <w:rPr>
                <w:rFonts w:hint="eastAsia"/>
                <w:b/>
                <w:szCs w:val="21"/>
                <w:lang w:val="en-US" w:eastAsia="zh-CN"/>
              </w:rPr>
              <w:t>1</w:t>
            </w:r>
            <w:r>
              <w:rPr>
                <w:b/>
                <w:szCs w:val="21"/>
              </w:rPr>
              <w:t xml:space="preserve">  </w:t>
            </w:r>
            <w:r>
              <w:rPr>
                <w:rFonts w:hint="eastAsia"/>
                <w:b/>
                <w:szCs w:val="21"/>
              </w:rPr>
              <w:t>总体准入要求</w:t>
            </w:r>
          </w:p>
          <w:tbl>
            <w:tblPr>
              <w:tblStyle w:val="9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635"/>
              <w:gridCol w:w="3644"/>
              <w:gridCol w:w="1275"/>
              <w:gridCol w:w="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5" w:type="pct"/>
                  <w:vAlign w:val="center"/>
                </w:tcPr>
                <w:p>
                  <w:pPr>
                    <w:tabs>
                      <w:tab w:val="left" w:pos="3255"/>
                    </w:tabs>
                    <w:jc w:val="center"/>
                    <w:rPr>
                      <w:szCs w:val="21"/>
                    </w:rPr>
                  </w:pPr>
                  <w:r>
                    <w:rPr>
                      <w:szCs w:val="21"/>
                    </w:rPr>
                    <w:t>类别</w:t>
                  </w:r>
                </w:p>
              </w:tc>
              <w:tc>
                <w:tcPr>
                  <w:tcW w:w="3163" w:type="pct"/>
                  <w:gridSpan w:val="2"/>
                  <w:vAlign w:val="center"/>
                </w:tcPr>
                <w:p>
                  <w:pPr>
                    <w:tabs>
                      <w:tab w:val="left" w:pos="3255"/>
                    </w:tabs>
                    <w:jc w:val="center"/>
                    <w:rPr>
                      <w:color w:val="000000"/>
                      <w:kern w:val="0"/>
                      <w:szCs w:val="21"/>
                    </w:rPr>
                  </w:pPr>
                  <w:r>
                    <w:rPr>
                      <w:color w:val="000000"/>
                      <w:kern w:val="0"/>
                      <w:szCs w:val="21"/>
                    </w:rPr>
                    <w:t>内容</w:t>
                  </w:r>
                </w:p>
              </w:tc>
              <w:tc>
                <w:tcPr>
                  <w:tcW w:w="942" w:type="pct"/>
                  <w:vAlign w:val="center"/>
                </w:tcPr>
                <w:p>
                  <w:pPr>
                    <w:tabs>
                      <w:tab w:val="left" w:pos="3255"/>
                    </w:tabs>
                    <w:jc w:val="center"/>
                    <w:rPr>
                      <w:szCs w:val="21"/>
                    </w:rPr>
                  </w:pPr>
                  <w:r>
                    <w:rPr>
                      <w:szCs w:val="21"/>
                    </w:rPr>
                    <w:t>本项目情况</w:t>
                  </w:r>
                </w:p>
              </w:tc>
              <w:tc>
                <w:tcPr>
                  <w:tcW w:w="580" w:type="pct"/>
                  <w:vAlign w:val="center"/>
                </w:tcPr>
                <w:p>
                  <w:pPr>
                    <w:tabs>
                      <w:tab w:val="left" w:pos="3255"/>
                    </w:tabs>
                    <w:jc w:val="center"/>
                    <w:rPr>
                      <w:szCs w:val="21"/>
                    </w:rPr>
                  </w:pPr>
                  <w:r>
                    <w:rPr>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5" w:type="pct"/>
                  <w:vMerge w:val="restart"/>
                  <w:vAlign w:val="center"/>
                </w:tcPr>
                <w:p>
                  <w:pPr>
                    <w:tabs>
                      <w:tab w:val="left" w:pos="3255"/>
                    </w:tabs>
                    <w:jc w:val="center"/>
                    <w:rPr>
                      <w:szCs w:val="21"/>
                    </w:rPr>
                  </w:pPr>
                  <w:r>
                    <w:rPr>
                      <w:szCs w:val="21"/>
                    </w:rPr>
                    <w:t>空间布局约束</w:t>
                  </w:r>
                </w:p>
              </w:tc>
              <w:tc>
                <w:tcPr>
                  <w:tcW w:w="470" w:type="pct"/>
                  <w:vMerge w:val="restart"/>
                  <w:vAlign w:val="center"/>
                </w:tcPr>
                <w:p>
                  <w:pPr>
                    <w:tabs>
                      <w:tab w:val="left" w:pos="3255"/>
                    </w:tabs>
                    <w:jc w:val="center"/>
                    <w:rPr>
                      <w:szCs w:val="21"/>
                    </w:rPr>
                  </w:pPr>
                  <w:r>
                    <w:rPr>
                      <w:szCs w:val="21"/>
                    </w:rPr>
                    <w:t>生态空间总体准入要求</w:t>
                  </w:r>
                </w:p>
              </w:tc>
              <w:tc>
                <w:tcPr>
                  <w:tcW w:w="2693" w:type="pct"/>
                  <w:vAlign w:val="center"/>
                </w:tcPr>
                <w:p>
                  <w:pPr>
                    <w:tabs>
                      <w:tab w:val="left" w:pos="3255"/>
                    </w:tabs>
                    <w:rPr>
                      <w:szCs w:val="21"/>
                    </w:rPr>
                  </w:pPr>
                  <w:r>
                    <w:rPr>
                      <w:rFonts w:hint="eastAsia"/>
                      <w:color w:val="000000"/>
                      <w:kern w:val="0"/>
                      <w:szCs w:val="21"/>
                    </w:rPr>
                    <w:t>1.生态保护红线严格落实《自然资源部生态环境部国家林业和草原局关于加强生态保护红线管理的通知》(试行)(自然资发[2022〕142号)中相关准入要求</w:t>
                  </w:r>
                </w:p>
              </w:tc>
              <w:tc>
                <w:tcPr>
                  <w:tcW w:w="942" w:type="pct"/>
                  <w:vAlign w:val="center"/>
                </w:tcPr>
                <w:p>
                  <w:pPr>
                    <w:tabs>
                      <w:tab w:val="left" w:pos="3255"/>
                    </w:tabs>
                    <w:jc w:val="center"/>
                    <w:rPr>
                      <w:szCs w:val="21"/>
                    </w:rPr>
                  </w:pPr>
                  <w:r>
                    <w:rPr>
                      <w:rFonts w:hint="eastAsia"/>
                      <w:szCs w:val="21"/>
                    </w:rPr>
                    <w:t>不涉及</w:t>
                  </w:r>
                </w:p>
              </w:tc>
              <w:tc>
                <w:tcPr>
                  <w:tcW w:w="580" w:type="pct"/>
                  <w:vAlign w:val="center"/>
                </w:tcPr>
                <w:p>
                  <w:pPr>
                    <w:tabs>
                      <w:tab w:val="left" w:pos="3255"/>
                    </w:tabs>
                    <w:jc w:val="center"/>
                    <w:rPr>
                      <w:szCs w:val="21"/>
                    </w:rPr>
                  </w:pP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5" w:type="pct"/>
                  <w:vMerge w:val="continue"/>
                  <w:vAlign w:val="center"/>
                </w:tcPr>
                <w:p>
                  <w:pPr>
                    <w:tabs>
                      <w:tab w:val="left" w:pos="3255"/>
                    </w:tabs>
                    <w:jc w:val="center"/>
                    <w:rPr>
                      <w:szCs w:val="21"/>
                    </w:rPr>
                  </w:pPr>
                </w:p>
              </w:tc>
              <w:tc>
                <w:tcPr>
                  <w:tcW w:w="470" w:type="pct"/>
                  <w:vMerge w:val="continue"/>
                  <w:vAlign w:val="center"/>
                </w:tcPr>
                <w:p>
                  <w:pPr>
                    <w:autoSpaceDE w:val="0"/>
                    <w:autoSpaceDN w:val="0"/>
                    <w:adjustRightInd w:val="0"/>
                    <w:jc w:val="left"/>
                    <w:rPr>
                      <w:color w:val="000000"/>
                      <w:kern w:val="0"/>
                      <w:szCs w:val="21"/>
                    </w:rPr>
                  </w:pPr>
                </w:p>
              </w:tc>
              <w:tc>
                <w:tcPr>
                  <w:tcW w:w="2693" w:type="pct"/>
                  <w:vAlign w:val="center"/>
                </w:tcPr>
                <w:p>
                  <w:pPr>
                    <w:tabs>
                      <w:tab w:val="left" w:pos="3255"/>
                    </w:tabs>
                    <w:rPr>
                      <w:szCs w:val="21"/>
                    </w:rPr>
                  </w:pPr>
                  <w:r>
                    <w:rPr>
                      <w:color w:val="000000"/>
                      <w:kern w:val="0"/>
                      <w:szCs w:val="21"/>
                    </w:rPr>
                    <w:t>2</w:t>
                  </w:r>
                  <w:r>
                    <w:rPr>
                      <w:rFonts w:hint="eastAsia"/>
                      <w:color w:val="000000"/>
                      <w:kern w:val="0"/>
                      <w:szCs w:val="21"/>
                    </w:rPr>
                    <w:t>.</w:t>
                  </w:r>
                  <w:r>
                    <w:rPr>
                      <w:color w:val="000000"/>
                      <w:kern w:val="0"/>
                      <w:szCs w:val="21"/>
                    </w:rPr>
                    <w:t xml:space="preserve"> 一般生态空间中自然保护区、风景名胜区、森林公园、湿地公园等，均参照相关管理条例进行管控</w:t>
                  </w:r>
                </w:p>
              </w:tc>
              <w:tc>
                <w:tcPr>
                  <w:tcW w:w="942" w:type="pct"/>
                  <w:vAlign w:val="center"/>
                </w:tcPr>
                <w:p>
                  <w:pPr>
                    <w:tabs>
                      <w:tab w:val="left" w:pos="3255"/>
                    </w:tabs>
                    <w:jc w:val="center"/>
                    <w:rPr>
                      <w:szCs w:val="21"/>
                    </w:rPr>
                  </w:pPr>
                  <w:r>
                    <w:rPr>
                      <w:rFonts w:hint="eastAsia"/>
                      <w:szCs w:val="21"/>
                    </w:rPr>
                    <w:t>不涉及</w:t>
                  </w:r>
                </w:p>
              </w:tc>
              <w:tc>
                <w:tcPr>
                  <w:tcW w:w="580" w:type="pct"/>
                  <w:vAlign w:val="center"/>
                </w:tcPr>
                <w:p>
                  <w:pPr>
                    <w:tabs>
                      <w:tab w:val="left" w:pos="3255"/>
                    </w:tabs>
                    <w:jc w:val="center"/>
                    <w:rPr>
                      <w:szCs w:val="21"/>
                    </w:rPr>
                  </w:pP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5" w:type="pct"/>
                  <w:vMerge w:val="continue"/>
                  <w:vAlign w:val="center"/>
                </w:tcPr>
                <w:p>
                  <w:pPr>
                    <w:tabs>
                      <w:tab w:val="left" w:pos="3255"/>
                    </w:tabs>
                    <w:jc w:val="center"/>
                    <w:rPr>
                      <w:szCs w:val="21"/>
                    </w:rPr>
                  </w:pPr>
                </w:p>
              </w:tc>
              <w:tc>
                <w:tcPr>
                  <w:tcW w:w="470" w:type="pct"/>
                  <w:vMerge w:val="continue"/>
                  <w:vAlign w:val="center"/>
                </w:tcPr>
                <w:p>
                  <w:pPr>
                    <w:tabs>
                      <w:tab w:val="left" w:pos="3255"/>
                    </w:tabs>
                    <w:jc w:val="center"/>
                    <w:rPr>
                      <w:szCs w:val="21"/>
                    </w:rPr>
                  </w:pPr>
                </w:p>
              </w:tc>
              <w:tc>
                <w:tcPr>
                  <w:tcW w:w="2693" w:type="pct"/>
                  <w:vAlign w:val="center"/>
                </w:tcPr>
                <w:p>
                  <w:pPr>
                    <w:autoSpaceDE w:val="0"/>
                    <w:autoSpaceDN w:val="0"/>
                    <w:adjustRightInd w:val="0"/>
                    <w:rPr>
                      <w:color w:val="000000"/>
                      <w:kern w:val="0"/>
                      <w:szCs w:val="21"/>
                    </w:rPr>
                  </w:pPr>
                  <w:r>
                    <w:rPr>
                      <w:rFonts w:hint="eastAsia"/>
                      <w:color w:val="000000"/>
                      <w:kern w:val="0"/>
                      <w:szCs w:val="21"/>
                    </w:rPr>
                    <w:t>3.其他一般生态空间，位于全国重点生态功能区参照《重点生态功能区产业准入负面清单编制实施办法》，重点生态功能区以外的，参考《全国生态功能区划（修编版）》相关生态区域的生态功能定位进行管理</w:t>
                  </w:r>
                </w:p>
              </w:tc>
              <w:tc>
                <w:tcPr>
                  <w:tcW w:w="942" w:type="pct"/>
                  <w:vAlign w:val="center"/>
                </w:tcPr>
                <w:p>
                  <w:pPr>
                    <w:tabs>
                      <w:tab w:val="left" w:pos="3255"/>
                    </w:tabs>
                    <w:jc w:val="center"/>
                    <w:rPr>
                      <w:szCs w:val="21"/>
                    </w:rPr>
                  </w:pPr>
                  <w:r>
                    <w:rPr>
                      <w:rFonts w:hint="eastAsia"/>
                      <w:szCs w:val="21"/>
                    </w:rPr>
                    <w:t>不涉及</w:t>
                  </w:r>
                </w:p>
              </w:tc>
              <w:tc>
                <w:tcPr>
                  <w:tcW w:w="580" w:type="pct"/>
                  <w:vAlign w:val="center"/>
                </w:tcPr>
                <w:p>
                  <w:pPr>
                    <w:tabs>
                      <w:tab w:val="left" w:pos="3255"/>
                    </w:tabs>
                    <w:jc w:val="center"/>
                    <w:rPr>
                      <w:szCs w:val="21"/>
                    </w:rPr>
                  </w:pP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5" w:type="pct"/>
                  <w:vMerge w:val="continue"/>
                  <w:vAlign w:val="center"/>
                </w:tcPr>
                <w:p>
                  <w:pPr>
                    <w:tabs>
                      <w:tab w:val="left" w:pos="3255"/>
                    </w:tabs>
                    <w:jc w:val="center"/>
                    <w:rPr>
                      <w:szCs w:val="21"/>
                    </w:rPr>
                  </w:pPr>
                </w:p>
              </w:tc>
              <w:tc>
                <w:tcPr>
                  <w:tcW w:w="470" w:type="pct"/>
                  <w:vMerge w:val="restart"/>
                  <w:vAlign w:val="center"/>
                </w:tcPr>
                <w:p>
                  <w:pPr>
                    <w:tabs>
                      <w:tab w:val="left" w:pos="3255"/>
                    </w:tabs>
                    <w:jc w:val="center"/>
                    <w:rPr>
                      <w:szCs w:val="21"/>
                    </w:rPr>
                  </w:pPr>
                  <w:r>
                    <w:rPr>
                      <w:szCs w:val="21"/>
                    </w:rPr>
                    <w:t>行业总体准入要求</w:t>
                  </w:r>
                </w:p>
              </w:tc>
              <w:tc>
                <w:tcPr>
                  <w:tcW w:w="2693" w:type="pct"/>
                  <w:vAlign w:val="center"/>
                </w:tcPr>
                <w:p>
                  <w:pPr>
                    <w:autoSpaceDE w:val="0"/>
                    <w:autoSpaceDN w:val="0"/>
                    <w:adjustRightInd w:val="0"/>
                    <w:rPr>
                      <w:color w:val="000000"/>
                      <w:kern w:val="0"/>
                      <w:szCs w:val="21"/>
                    </w:rPr>
                  </w:pPr>
                  <w:r>
                    <w:rPr>
                      <w:rFonts w:hint="eastAsia"/>
                      <w:szCs w:val="21"/>
                    </w:rPr>
                    <w:t>4.新建、改建、扩建“两高”项目建设要符合生态环境保护法律法规和相关法定规划，满足重点污染物排放总量控制、碳排放达峰目标、生态环境准入清单、相关规划环评和相应行业建设项目环境准入条件、环评文件审批原则要求，并采取有效区域污染物削减措施。石化、现代煤化工项目应纳入国家产业规划，新建扩建焦化、石化、化工、有色金属冶炼、平板玻璃项目应布设在依法合规设立并经规划环评的产业园区。新建耗煤项目严格执行用煤投资项目煤炭替代政策。新增主要污染物排放“两高”项目，所在区域、流域控制单元环境质量未达到国家或者地方环境质量标准的，建设项目应提出有效的区域削减方案，主要污染物实行区域倍量削减，确保项目投产后区域环境质量有改善。</w:t>
                  </w:r>
                </w:p>
              </w:tc>
              <w:tc>
                <w:tcPr>
                  <w:tcW w:w="942" w:type="pct"/>
                  <w:vAlign w:val="center"/>
                </w:tcPr>
                <w:p>
                  <w:pPr>
                    <w:tabs>
                      <w:tab w:val="left" w:pos="3255"/>
                    </w:tabs>
                    <w:jc w:val="center"/>
                    <w:rPr>
                      <w:szCs w:val="21"/>
                    </w:rPr>
                  </w:pPr>
                  <w:r>
                    <w:rPr>
                      <w:rFonts w:hint="eastAsia"/>
                      <w:szCs w:val="21"/>
                    </w:rPr>
                    <w:t>本项目不属于“两高”项目，不属于石化、现代煤化工项目，不属于焦化、石化、化工、有色金属冶炼、平板玻璃项目，不属于耗煤项目</w:t>
                  </w:r>
                </w:p>
              </w:tc>
              <w:tc>
                <w:tcPr>
                  <w:tcW w:w="580" w:type="pct"/>
                  <w:vAlign w:val="center"/>
                </w:tcPr>
                <w:p>
                  <w:pPr>
                    <w:tabs>
                      <w:tab w:val="left" w:pos="3255"/>
                    </w:tabs>
                    <w:jc w:val="center"/>
                    <w:rPr>
                      <w:szCs w:val="21"/>
                    </w:rPr>
                  </w:pP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5" w:type="pct"/>
                  <w:vMerge w:val="continue"/>
                  <w:vAlign w:val="center"/>
                </w:tcPr>
                <w:p>
                  <w:pPr>
                    <w:tabs>
                      <w:tab w:val="left" w:pos="3255"/>
                    </w:tabs>
                    <w:jc w:val="center"/>
                    <w:rPr>
                      <w:szCs w:val="21"/>
                    </w:rPr>
                  </w:pPr>
                </w:p>
              </w:tc>
              <w:tc>
                <w:tcPr>
                  <w:tcW w:w="470" w:type="pct"/>
                  <w:vMerge w:val="continue"/>
                  <w:vAlign w:val="center"/>
                </w:tcPr>
                <w:p>
                  <w:pPr>
                    <w:tabs>
                      <w:tab w:val="left" w:pos="3255"/>
                    </w:tabs>
                    <w:jc w:val="center"/>
                    <w:rPr>
                      <w:szCs w:val="21"/>
                    </w:rPr>
                  </w:pPr>
                </w:p>
              </w:tc>
              <w:tc>
                <w:tcPr>
                  <w:tcW w:w="2693" w:type="pct"/>
                  <w:vAlign w:val="center"/>
                </w:tcPr>
                <w:p>
                  <w:pPr>
                    <w:pStyle w:val="126"/>
                    <w:rPr>
                      <w:rFonts w:ascii="Times New Roman" w:cs="Times New Roman"/>
                      <w:sz w:val="21"/>
                      <w:szCs w:val="21"/>
                    </w:rPr>
                  </w:pPr>
                  <w:r>
                    <w:rPr>
                      <w:rFonts w:hint="eastAsia" w:ascii="Times New Roman" w:cs="Times New Roman"/>
                      <w:sz w:val="21"/>
                      <w:szCs w:val="21"/>
                    </w:rPr>
                    <w:t>5.集聚区内工业企业废水预处理达到国家规定的间接排放标准方可排入污水集中处理设施；新建涉水工业项目须入园进区（生产废水排放满足所排水体的地表水环境质量标准、或槽车运至城市污水处理厂的除外）；全面摸底排查园区外涉水工业企业，确定入园时间表；确因不具备入园条件需原地保留涉水工业企业，须明确保留条件，实施尾水深度治理，排放废水主要污染物浓度必须达到受纳水体环境功能区标准，否则一律关停取缔。</w:t>
                  </w:r>
                </w:p>
              </w:tc>
              <w:tc>
                <w:tcPr>
                  <w:tcW w:w="942" w:type="pct"/>
                  <w:vAlign w:val="center"/>
                </w:tcPr>
                <w:p>
                  <w:pPr>
                    <w:tabs>
                      <w:tab w:val="left" w:pos="3255"/>
                    </w:tabs>
                    <w:jc w:val="center"/>
                    <w:rPr>
                      <w:szCs w:val="21"/>
                    </w:rPr>
                  </w:pPr>
                  <w:r>
                    <w:rPr>
                      <w:rFonts w:hint="eastAsia"/>
                      <w:szCs w:val="21"/>
                    </w:rPr>
                    <w:t>本项目</w:t>
                  </w:r>
                  <w:r>
                    <w:rPr>
                      <w:rFonts w:hint="eastAsia"/>
                      <w:szCs w:val="21"/>
                      <w:lang w:val="en-US" w:eastAsia="zh-CN"/>
                    </w:rPr>
                    <w:t>为技改项目</w:t>
                  </w:r>
                  <w:r>
                    <w:rPr>
                      <w:rFonts w:hint="eastAsia"/>
                      <w:szCs w:val="21"/>
                    </w:rPr>
                    <w:t>，</w:t>
                  </w:r>
                  <w:r>
                    <w:rPr>
                      <w:rFonts w:hint="eastAsia"/>
                      <w:szCs w:val="21"/>
                      <w:lang w:val="en-US" w:eastAsia="zh-CN"/>
                    </w:rPr>
                    <w:t>冷却水循环利用，不外排，生活污水用于厂区内泼洒抑尘，旱厕定期清掏；</w:t>
                  </w:r>
                  <w:r>
                    <w:rPr>
                      <w:rFonts w:hint="eastAsia"/>
                      <w:szCs w:val="21"/>
                    </w:rPr>
                    <w:t>无废水排放</w:t>
                  </w:r>
                </w:p>
              </w:tc>
              <w:tc>
                <w:tcPr>
                  <w:tcW w:w="580" w:type="pct"/>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5" w:type="pct"/>
                  <w:vMerge w:val="continue"/>
                  <w:vAlign w:val="center"/>
                </w:tcPr>
                <w:p>
                  <w:pPr>
                    <w:tabs>
                      <w:tab w:val="left" w:pos="3255"/>
                    </w:tabs>
                    <w:jc w:val="center"/>
                    <w:rPr>
                      <w:szCs w:val="21"/>
                    </w:rPr>
                  </w:pPr>
                </w:p>
              </w:tc>
              <w:tc>
                <w:tcPr>
                  <w:tcW w:w="470" w:type="pct"/>
                  <w:vMerge w:val="continue"/>
                  <w:vAlign w:val="center"/>
                </w:tcPr>
                <w:p>
                  <w:pPr>
                    <w:tabs>
                      <w:tab w:val="left" w:pos="3255"/>
                    </w:tabs>
                    <w:jc w:val="center"/>
                    <w:rPr>
                      <w:szCs w:val="21"/>
                    </w:rPr>
                  </w:pPr>
                </w:p>
              </w:tc>
              <w:tc>
                <w:tcPr>
                  <w:tcW w:w="2693" w:type="pct"/>
                  <w:vAlign w:val="center"/>
                </w:tcPr>
                <w:p>
                  <w:pPr>
                    <w:tabs>
                      <w:tab w:val="left" w:pos="3255"/>
                    </w:tabs>
                    <w:rPr>
                      <w:szCs w:val="21"/>
                    </w:rPr>
                  </w:pPr>
                  <w:r>
                    <w:rPr>
                      <w:rFonts w:hint="eastAsia"/>
                      <w:szCs w:val="21"/>
                    </w:rPr>
                    <w:t>6.建立新建项目审批与淘汰落后产能、污染减排相结合的机制，对不符合产业要求，没有明确排水去向的项目，一律不予审批。</w:t>
                  </w:r>
                </w:p>
              </w:tc>
              <w:tc>
                <w:tcPr>
                  <w:tcW w:w="942" w:type="pct"/>
                  <w:vAlign w:val="center"/>
                </w:tcPr>
                <w:p>
                  <w:pPr>
                    <w:tabs>
                      <w:tab w:val="left" w:pos="3255"/>
                    </w:tabs>
                    <w:jc w:val="center"/>
                    <w:rPr>
                      <w:szCs w:val="21"/>
                    </w:rPr>
                  </w:pPr>
                  <w:r>
                    <w:rPr>
                      <w:rFonts w:hint="eastAsia"/>
                      <w:szCs w:val="21"/>
                    </w:rPr>
                    <w:t>本项目为</w:t>
                  </w:r>
                  <w:r>
                    <w:rPr>
                      <w:rFonts w:hint="eastAsia"/>
                      <w:szCs w:val="21"/>
                      <w:lang w:val="en-US" w:eastAsia="zh-CN"/>
                    </w:rPr>
                    <w:t>技改项目</w:t>
                  </w:r>
                  <w:r>
                    <w:rPr>
                      <w:rFonts w:hint="eastAsia"/>
                      <w:szCs w:val="21"/>
                    </w:rPr>
                    <w:t>，无落后产能，无废水排放</w:t>
                  </w:r>
                </w:p>
              </w:tc>
              <w:tc>
                <w:tcPr>
                  <w:tcW w:w="580" w:type="pct"/>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5" w:type="pct"/>
                  <w:vMerge w:val="restart"/>
                  <w:vAlign w:val="center"/>
                </w:tcPr>
                <w:p>
                  <w:pPr>
                    <w:pStyle w:val="126"/>
                    <w:jc w:val="center"/>
                    <w:rPr>
                      <w:rFonts w:ascii="Times New Roman" w:cs="Times New Roman"/>
                      <w:sz w:val="21"/>
                      <w:szCs w:val="21"/>
                    </w:rPr>
                  </w:pPr>
                  <w:r>
                    <w:rPr>
                      <w:rFonts w:ascii="Times New Roman" w:cs="Times New Roman"/>
                      <w:sz w:val="21"/>
                      <w:szCs w:val="21"/>
                    </w:rPr>
                    <w:t xml:space="preserve">污染物排放管控 </w:t>
                  </w:r>
                </w:p>
              </w:tc>
              <w:tc>
                <w:tcPr>
                  <w:tcW w:w="470" w:type="pct"/>
                  <w:vAlign w:val="center"/>
                </w:tcPr>
                <w:p>
                  <w:pPr>
                    <w:tabs>
                      <w:tab w:val="left" w:pos="3255"/>
                    </w:tabs>
                    <w:jc w:val="center"/>
                    <w:rPr>
                      <w:szCs w:val="21"/>
                    </w:rPr>
                  </w:pPr>
                  <w:r>
                    <w:rPr>
                      <w:szCs w:val="21"/>
                    </w:rPr>
                    <w:t>大气污染管控</w:t>
                  </w:r>
                </w:p>
              </w:tc>
              <w:tc>
                <w:tcPr>
                  <w:tcW w:w="2693" w:type="pct"/>
                  <w:vAlign w:val="center"/>
                </w:tcPr>
                <w:p>
                  <w:pPr>
                    <w:pStyle w:val="126"/>
                    <w:rPr>
                      <w:rFonts w:ascii="Times New Roman" w:cs="Times New Roman"/>
                      <w:sz w:val="21"/>
                      <w:szCs w:val="21"/>
                    </w:rPr>
                  </w:pPr>
                  <w:r>
                    <w:rPr>
                      <w:rFonts w:hint="eastAsia" w:ascii="Times New Roman" w:cs="Times New Roman"/>
                      <w:sz w:val="21"/>
                      <w:szCs w:val="21"/>
                    </w:rPr>
                    <w:t>协同开展PM</w:t>
                  </w:r>
                  <w:r>
                    <w:rPr>
                      <w:rFonts w:hint="eastAsia" w:ascii="Times New Roman" w:cs="Times New Roman"/>
                      <w:sz w:val="21"/>
                      <w:szCs w:val="21"/>
                      <w:vertAlign w:val="subscript"/>
                    </w:rPr>
                    <w:t>2.5</w:t>
                  </w:r>
                  <w:r>
                    <w:rPr>
                      <w:rFonts w:hint="eastAsia" w:ascii="Times New Roman" w:cs="Times New Roman"/>
                      <w:sz w:val="21"/>
                      <w:szCs w:val="21"/>
                    </w:rPr>
                    <w:t xml:space="preserve"> 与臭氧污染防治。制定加强PM</w:t>
                  </w:r>
                  <w:r>
                    <w:rPr>
                      <w:rFonts w:hint="eastAsia" w:ascii="Times New Roman" w:cs="Times New Roman"/>
                      <w:sz w:val="21"/>
                      <w:szCs w:val="21"/>
                      <w:vertAlign w:val="subscript"/>
                    </w:rPr>
                    <w:t>2.5</w:t>
                  </w:r>
                  <w:r>
                    <w:rPr>
                      <w:rFonts w:hint="eastAsia" w:ascii="Times New Roman" w:cs="Times New Roman"/>
                      <w:sz w:val="21"/>
                      <w:szCs w:val="21"/>
                    </w:rPr>
                    <w:t xml:space="preserve"> 和臭氧协同控制持续改善空气质量行动方案，通过氮氧化物与VOCs 的协同控制，推动全市PM</w:t>
                  </w:r>
                  <w:r>
                    <w:rPr>
                      <w:rFonts w:hint="eastAsia" w:ascii="Times New Roman" w:cs="Times New Roman"/>
                      <w:sz w:val="21"/>
                      <w:szCs w:val="21"/>
                      <w:vertAlign w:val="subscript"/>
                    </w:rPr>
                    <w:t>2.5</w:t>
                  </w:r>
                  <w:r>
                    <w:rPr>
                      <w:rFonts w:hint="eastAsia" w:ascii="Times New Roman" w:cs="Times New Roman"/>
                      <w:sz w:val="21"/>
                      <w:szCs w:val="21"/>
                    </w:rPr>
                    <w:t xml:space="preserve"> 和臭氧浓度持续下降。加强重点时段、重点领域、重点行业治理，强化差异化、精细化协同管控。开展臭氧形成机理研究与源解析，对活性较强的前体物建立排放清单，实施重点管控。协同控制VOCs 及氮氧化物排放。到2025 年，氮氧化物、VOCs 工程减排量分别达到7500 吨和2800 吨</w:t>
                  </w:r>
                </w:p>
              </w:tc>
              <w:tc>
                <w:tcPr>
                  <w:tcW w:w="942" w:type="pct"/>
                  <w:vAlign w:val="center"/>
                </w:tcPr>
                <w:p>
                  <w:pPr>
                    <w:tabs>
                      <w:tab w:val="left" w:pos="3255"/>
                    </w:tabs>
                    <w:jc w:val="center"/>
                    <w:rPr>
                      <w:szCs w:val="21"/>
                    </w:rPr>
                  </w:pPr>
                  <w:r>
                    <w:rPr>
                      <w:rFonts w:hint="eastAsia"/>
                      <w:kern w:val="0"/>
                      <w:szCs w:val="21"/>
                    </w:rPr>
                    <w:t>本项目无</w:t>
                  </w:r>
                  <w:r>
                    <w:rPr>
                      <w:rFonts w:hint="eastAsia"/>
                      <w:szCs w:val="21"/>
                    </w:rPr>
                    <w:t>PM</w:t>
                  </w:r>
                  <w:r>
                    <w:rPr>
                      <w:rFonts w:hint="eastAsia"/>
                      <w:szCs w:val="21"/>
                      <w:vertAlign w:val="subscript"/>
                    </w:rPr>
                    <w:t>2.5</w:t>
                  </w:r>
                  <w:r>
                    <w:rPr>
                      <w:rFonts w:hint="eastAsia"/>
                      <w:szCs w:val="21"/>
                    </w:rPr>
                    <w:t>与臭氧，涉及VOCs</w:t>
                  </w:r>
                  <w:r>
                    <w:rPr>
                      <w:rFonts w:hint="eastAsia"/>
                      <w:kern w:val="0"/>
                      <w:szCs w:val="21"/>
                    </w:rPr>
                    <w:t>排放，采取措施后</w:t>
                  </w:r>
                  <w:r>
                    <w:rPr>
                      <w:rFonts w:hint="eastAsia"/>
                      <w:kern w:val="0"/>
                      <w:szCs w:val="21"/>
                      <w:lang w:val="en-US" w:eastAsia="zh-CN"/>
                    </w:rPr>
                    <w:t>可以达标排放</w:t>
                  </w:r>
                </w:p>
              </w:tc>
              <w:tc>
                <w:tcPr>
                  <w:tcW w:w="580" w:type="pct"/>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5" w:type="pct"/>
                  <w:vMerge w:val="continue"/>
                  <w:vAlign w:val="center"/>
                </w:tcPr>
                <w:p>
                  <w:pPr>
                    <w:tabs>
                      <w:tab w:val="left" w:pos="3255"/>
                    </w:tabs>
                    <w:jc w:val="center"/>
                    <w:rPr>
                      <w:szCs w:val="21"/>
                    </w:rPr>
                  </w:pPr>
                </w:p>
              </w:tc>
              <w:tc>
                <w:tcPr>
                  <w:tcW w:w="470" w:type="pct"/>
                  <w:vAlign w:val="center"/>
                </w:tcPr>
                <w:p>
                  <w:pPr>
                    <w:tabs>
                      <w:tab w:val="left" w:pos="3255"/>
                    </w:tabs>
                    <w:jc w:val="center"/>
                    <w:rPr>
                      <w:szCs w:val="21"/>
                    </w:rPr>
                  </w:pPr>
                  <w:r>
                    <w:rPr>
                      <w:szCs w:val="21"/>
                    </w:rPr>
                    <w:t>水污染管控</w:t>
                  </w:r>
                </w:p>
              </w:tc>
              <w:tc>
                <w:tcPr>
                  <w:tcW w:w="2693" w:type="pct"/>
                  <w:vAlign w:val="center"/>
                </w:tcPr>
                <w:p>
                  <w:pPr>
                    <w:tabs>
                      <w:tab w:val="left" w:pos="3255"/>
                    </w:tabs>
                    <w:rPr>
                      <w:szCs w:val="21"/>
                    </w:rPr>
                  </w:pPr>
                  <w:r>
                    <w:rPr>
                      <w:rFonts w:hint="eastAsia"/>
                      <w:szCs w:val="21"/>
                    </w:rPr>
                    <w:t>1.2025 年，基本完成全市主要河流干流及重要支流入河排污口整治，基本实现城市建成区污水“零直排”，黑臭水体动态随清。工厂化养殖排水全部经处理后排放，实现港口污水综合处理率100%，港区码头固体废物分类收集贮存或无害化处理率100%。地表水达到或好于Ⅲ类水体比例达80%，主要入海河流水质达Ⅲ类，近岸海域水质达标率稳定保持100%。主要海水浴场年度水质优良比例达到100%。</w:t>
                  </w:r>
                </w:p>
              </w:tc>
              <w:tc>
                <w:tcPr>
                  <w:tcW w:w="942" w:type="pct"/>
                  <w:vAlign w:val="center"/>
                </w:tcPr>
                <w:p>
                  <w:pPr>
                    <w:tabs>
                      <w:tab w:val="left" w:pos="3255"/>
                    </w:tabs>
                    <w:jc w:val="center"/>
                    <w:rPr>
                      <w:szCs w:val="21"/>
                    </w:rPr>
                  </w:pPr>
                  <w:r>
                    <w:rPr>
                      <w:rFonts w:hint="eastAsia"/>
                      <w:szCs w:val="21"/>
                    </w:rPr>
                    <w:t>本项目无废水排放</w:t>
                  </w:r>
                </w:p>
              </w:tc>
              <w:tc>
                <w:tcPr>
                  <w:tcW w:w="580" w:type="pct"/>
                  <w:vAlign w:val="center"/>
                </w:tcPr>
                <w:p>
                  <w:pPr>
                    <w:tabs>
                      <w:tab w:val="left" w:pos="3255"/>
                    </w:tabs>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5" w:type="pct"/>
                  <w:vMerge w:val="restart"/>
                  <w:vAlign w:val="center"/>
                </w:tcPr>
                <w:p>
                  <w:pPr>
                    <w:pStyle w:val="126"/>
                    <w:jc w:val="center"/>
                    <w:rPr>
                      <w:rFonts w:ascii="Times New Roman" w:cs="Times New Roman"/>
                      <w:sz w:val="21"/>
                      <w:szCs w:val="21"/>
                    </w:rPr>
                  </w:pPr>
                  <w:r>
                    <w:rPr>
                      <w:rFonts w:ascii="Times New Roman" w:cs="Times New Roman"/>
                      <w:sz w:val="21"/>
                      <w:szCs w:val="21"/>
                    </w:rPr>
                    <w:t xml:space="preserve">环境风险防控 </w:t>
                  </w:r>
                </w:p>
              </w:tc>
              <w:tc>
                <w:tcPr>
                  <w:tcW w:w="3163" w:type="pct"/>
                  <w:gridSpan w:val="2"/>
                  <w:vAlign w:val="center"/>
                </w:tcPr>
                <w:p>
                  <w:pPr>
                    <w:pStyle w:val="126"/>
                    <w:rPr>
                      <w:rFonts w:ascii="Times New Roman" w:cs="Times New Roman"/>
                      <w:sz w:val="21"/>
                      <w:szCs w:val="21"/>
                    </w:rPr>
                  </w:pPr>
                  <w:r>
                    <w:rPr>
                      <w:rFonts w:hint="eastAsia" w:ascii="Times New Roman" w:cs="Times New Roman"/>
                      <w:sz w:val="21"/>
                      <w:szCs w:val="21"/>
                    </w:rPr>
                    <w:t>3.对纳入建设用地土壤环境联动监管名单中未完成调查评估地块，或列入土壤污染风险管控和修复名录未达到风险管控、修复目标的地块，禁止开工建设任何与风险管控、修复无关的项目，不得批准环境影响评价技术文件、建设工程规划许可证等事项。</w:t>
                  </w:r>
                </w:p>
              </w:tc>
              <w:tc>
                <w:tcPr>
                  <w:tcW w:w="942" w:type="pct"/>
                  <w:vAlign w:val="center"/>
                </w:tcPr>
                <w:p>
                  <w:pPr>
                    <w:tabs>
                      <w:tab w:val="left" w:pos="3255"/>
                    </w:tabs>
                    <w:jc w:val="center"/>
                    <w:rPr>
                      <w:szCs w:val="21"/>
                    </w:rPr>
                  </w:pPr>
                  <w:r>
                    <w:rPr>
                      <w:rFonts w:hint="eastAsia"/>
                      <w:szCs w:val="21"/>
                    </w:rPr>
                    <w:t>不涉及</w:t>
                  </w:r>
                </w:p>
              </w:tc>
              <w:tc>
                <w:tcPr>
                  <w:tcW w:w="580" w:type="pct"/>
                  <w:vAlign w:val="center"/>
                </w:tcPr>
                <w:p>
                  <w:pPr>
                    <w:tabs>
                      <w:tab w:val="left" w:pos="3255"/>
                    </w:tabs>
                    <w:jc w:val="center"/>
                    <w:rPr>
                      <w:szCs w:val="21"/>
                    </w:rPr>
                  </w:pPr>
                  <w:r>
                    <w:rPr>
                      <w:rFonts w:hint="eastAsia"/>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5" w:type="pct"/>
                  <w:vMerge w:val="continue"/>
                  <w:vAlign w:val="center"/>
                </w:tcPr>
                <w:p>
                  <w:pPr>
                    <w:tabs>
                      <w:tab w:val="left" w:pos="3255"/>
                    </w:tabs>
                    <w:jc w:val="center"/>
                    <w:rPr>
                      <w:szCs w:val="21"/>
                    </w:rPr>
                  </w:pPr>
                </w:p>
              </w:tc>
              <w:tc>
                <w:tcPr>
                  <w:tcW w:w="3163" w:type="pct"/>
                  <w:gridSpan w:val="2"/>
                  <w:vAlign w:val="center"/>
                </w:tcPr>
                <w:p>
                  <w:pPr>
                    <w:pStyle w:val="126"/>
                    <w:rPr>
                      <w:rFonts w:ascii="Times New Roman" w:cs="Times New Roman"/>
                      <w:sz w:val="21"/>
                      <w:szCs w:val="21"/>
                    </w:rPr>
                  </w:pPr>
                  <w:r>
                    <w:rPr>
                      <w:rFonts w:hint="eastAsia" w:ascii="Times New Roman" w:cs="Times New Roman"/>
                      <w:sz w:val="21"/>
                      <w:szCs w:val="21"/>
                    </w:rPr>
                    <w:t>4.根据风险评估结果，并结合污染地块相关开发利用计划，有针对性地实施风险管控。对暂不开发利用的污染地块，实施以防止污染扩散为目的的风险管控。对拟开发利用为居住用地和商业、学校、医疗、养老机构等公共设施用地的污染地块，实施以安全利用为目的的风险管控。</w:t>
                  </w:r>
                </w:p>
              </w:tc>
              <w:tc>
                <w:tcPr>
                  <w:tcW w:w="942" w:type="pct"/>
                  <w:vAlign w:val="center"/>
                </w:tcPr>
                <w:p>
                  <w:pPr>
                    <w:tabs>
                      <w:tab w:val="left" w:pos="3255"/>
                    </w:tabs>
                    <w:jc w:val="center"/>
                    <w:rPr>
                      <w:szCs w:val="21"/>
                    </w:rPr>
                  </w:pPr>
                  <w:r>
                    <w:rPr>
                      <w:rFonts w:hint="eastAsia"/>
                      <w:szCs w:val="21"/>
                    </w:rPr>
                    <w:t>不涉及</w:t>
                  </w:r>
                </w:p>
              </w:tc>
              <w:tc>
                <w:tcPr>
                  <w:tcW w:w="580" w:type="pct"/>
                  <w:vAlign w:val="center"/>
                </w:tcPr>
                <w:p>
                  <w:pPr>
                    <w:tabs>
                      <w:tab w:val="left" w:pos="3255"/>
                    </w:tabs>
                    <w:jc w:val="center"/>
                    <w:rPr>
                      <w:szCs w:val="21"/>
                    </w:rPr>
                  </w:pPr>
                  <w:r>
                    <w:rPr>
                      <w:rFonts w:hint="eastAsia"/>
                      <w:szCs w:val="21"/>
                    </w:rPr>
                    <w:t>/</w:t>
                  </w:r>
                </w:p>
              </w:tc>
            </w:tr>
          </w:tbl>
          <w:p>
            <w:pPr>
              <w:spacing w:line="400" w:lineRule="exact"/>
              <w:jc w:val="center"/>
              <w:rPr>
                <w:b/>
                <w:szCs w:val="21"/>
              </w:rPr>
            </w:pPr>
            <w:r>
              <w:rPr>
                <w:rFonts w:hint="eastAsia"/>
                <w:b/>
                <w:szCs w:val="21"/>
              </w:rPr>
              <w:t>表1</w:t>
            </w:r>
            <w:r>
              <w:rPr>
                <w:b/>
                <w:szCs w:val="21"/>
              </w:rPr>
              <w:t>-</w:t>
            </w:r>
            <w:r>
              <w:rPr>
                <w:rFonts w:hint="eastAsia"/>
                <w:b/>
                <w:szCs w:val="21"/>
                <w:lang w:val="en-US" w:eastAsia="zh-CN"/>
              </w:rPr>
              <w:t>2</w:t>
            </w:r>
            <w:r>
              <w:rPr>
                <w:b/>
                <w:szCs w:val="21"/>
              </w:rPr>
              <w:t xml:space="preserve">  </w:t>
            </w:r>
            <w:r>
              <w:rPr>
                <w:rFonts w:hint="eastAsia"/>
                <w:b/>
                <w:szCs w:val="21"/>
              </w:rPr>
              <w:t>大气环境总体管控要求</w:t>
            </w:r>
          </w:p>
          <w:tbl>
            <w:tblPr>
              <w:tblStyle w:val="9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8"/>
              <w:gridCol w:w="3938"/>
              <w:gridCol w:w="1733"/>
              <w:gridCol w:w="4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pct"/>
                  <w:vAlign w:val="center"/>
                </w:tcPr>
                <w:p>
                  <w:pPr>
                    <w:jc w:val="center"/>
                  </w:pPr>
                  <w:r>
                    <w:rPr>
                      <w:rFonts w:hint="eastAsia"/>
                    </w:rPr>
                    <w:t>类别</w:t>
                  </w:r>
                </w:p>
              </w:tc>
              <w:tc>
                <w:tcPr>
                  <w:tcW w:w="2997" w:type="pct"/>
                  <w:vAlign w:val="center"/>
                </w:tcPr>
                <w:p>
                  <w:pPr>
                    <w:jc w:val="center"/>
                  </w:pPr>
                  <w:r>
                    <w:rPr>
                      <w:rFonts w:hint="eastAsia"/>
                    </w:rPr>
                    <w:t>要求</w:t>
                  </w:r>
                </w:p>
              </w:tc>
              <w:tc>
                <w:tcPr>
                  <w:tcW w:w="1065" w:type="pct"/>
                  <w:vAlign w:val="center"/>
                </w:tcPr>
                <w:p>
                  <w:pPr>
                    <w:jc w:val="center"/>
                  </w:pPr>
                  <w:r>
                    <w:rPr>
                      <w:rFonts w:hint="eastAsia"/>
                    </w:rPr>
                    <w:t>本项目情况</w:t>
                  </w:r>
                </w:p>
              </w:tc>
              <w:tc>
                <w:tcPr>
                  <w:tcW w:w="357" w:type="pct"/>
                  <w:vAlign w:val="center"/>
                </w:tcPr>
                <w:p>
                  <w:pPr>
                    <w:jc w:val="center"/>
                  </w:pPr>
                  <w:r>
                    <w:rPr>
                      <w:rFonts w:hint="eastAsia"/>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pct"/>
                  <w:vMerge w:val="restart"/>
                  <w:vAlign w:val="center"/>
                </w:tcPr>
                <w:p>
                  <w:pPr>
                    <w:jc w:val="center"/>
                  </w:pPr>
                  <w:r>
                    <w:rPr>
                      <w:rFonts w:hint="eastAsia"/>
                    </w:rPr>
                    <w:t>空间布局约束</w:t>
                  </w:r>
                </w:p>
              </w:tc>
              <w:tc>
                <w:tcPr>
                  <w:tcW w:w="2997" w:type="pct"/>
                  <w:vAlign w:val="center"/>
                </w:tcPr>
                <w:p>
                  <w:pPr>
                    <w:jc w:val="center"/>
                  </w:pPr>
                  <w:r>
                    <w:t>1.推动能源清洁低碳转型。加快煤炭减量步伐，坚持煤炭消费总量控制，实施可再生能源替代行动。严禁新建自备燃煤机组，推动自备</w:t>
                  </w:r>
                  <w:r>
                    <w:rPr>
                      <w:rFonts w:hint="eastAsia"/>
                    </w:rPr>
                    <w:t>燃煤机组实施清洁能源替代，大力发展风能、太阳能等可再生能源发电，拓展氢能应用领域。到</w:t>
                  </w:r>
                  <w:r>
                    <w:t>2025 年，非化石能源消费占能源消费</w:t>
                  </w:r>
                  <w:r>
                    <w:rPr>
                      <w:rFonts w:hint="eastAsia"/>
                    </w:rPr>
                    <w:t>总量比重力争达到</w:t>
                  </w:r>
                  <w:r>
                    <w:t>9%。推进可再生能源建筑应用，到2025 年，可再生能源建筑应用面积占新建建筑面积70%以上。</w:t>
                  </w:r>
                </w:p>
              </w:tc>
              <w:tc>
                <w:tcPr>
                  <w:tcW w:w="1065" w:type="pct"/>
                  <w:vAlign w:val="center"/>
                </w:tcPr>
                <w:p>
                  <w:pPr>
                    <w:jc w:val="center"/>
                  </w:pPr>
                  <w:r>
                    <w:rPr>
                      <w:rFonts w:hint="eastAsia"/>
                    </w:rPr>
                    <w:t>本项目主要能源消耗为电能，无煤炭等化石燃料使用</w:t>
                  </w:r>
                </w:p>
              </w:tc>
              <w:tc>
                <w:tcPr>
                  <w:tcW w:w="357" w:type="pct"/>
                  <w:vAlign w:val="center"/>
                </w:tcPr>
                <w:p>
                  <w:pPr>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pct"/>
                  <w:vMerge w:val="continue"/>
                  <w:vAlign w:val="center"/>
                </w:tcPr>
                <w:p>
                  <w:pPr>
                    <w:jc w:val="center"/>
                  </w:pPr>
                </w:p>
              </w:tc>
              <w:tc>
                <w:tcPr>
                  <w:tcW w:w="2997" w:type="pct"/>
                  <w:vAlign w:val="center"/>
                </w:tcPr>
                <w:p>
                  <w:pPr>
                    <w:jc w:val="center"/>
                  </w:pPr>
                  <w:r>
                    <w:t>2.坚决遏制高耗能高排放项目盲目发展。加强对重点县区、重点企业坚决遏制"两高"项目盲目发展工作的指导和督促。严把项目准入关</w:t>
                  </w:r>
                  <w:r>
                    <w:rPr>
                      <w:rFonts w:hint="eastAsia"/>
                    </w:rPr>
                    <w:t>口，严格执行节能审查、煤炭替代审查和环境影响评价审查等制度，新上高耗能、高排放项目能效和污染物排放应达到行业先进水平。</w:t>
                  </w:r>
                </w:p>
              </w:tc>
              <w:tc>
                <w:tcPr>
                  <w:tcW w:w="1065" w:type="pct"/>
                  <w:vAlign w:val="center"/>
                </w:tcPr>
                <w:p>
                  <w:pPr>
                    <w:jc w:val="center"/>
                  </w:pPr>
                  <w:r>
                    <w:rPr>
                      <w:rFonts w:hint="eastAsia"/>
                    </w:rPr>
                    <w:t>本项目不属于</w:t>
                  </w:r>
                  <w:r>
                    <w:t>高耗能高排放项目</w:t>
                  </w:r>
                </w:p>
              </w:tc>
              <w:tc>
                <w:tcPr>
                  <w:tcW w:w="357" w:type="pct"/>
                  <w:vAlign w:val="center"/>
                </w:tcPr>
                <w:p>
                  <w:pPr>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pct"/>
                  <w:vMerge w:val="continue"/>
                  <w:vAlign w:val="center"/>
                </w:tcPr>
                <w:p>
                  <w:pPr>
                    <w:jc w:val="center"/>
                  </w:pPr>
                </w:p>
              </w:tc>
              <w:tc>
                <w:tcPr>
                  <w:tcW w:w="2997" w:type="pct"/>
                  <w:vAlign w:val="center"/>
                </w:tcPr>
                <w:p>
                  <w:pPr>
                    <w:jc w:val="center"/>
                  </w:pPr>
                  <w:r>
                    <w:t>5.新建、改建、扩建“高耗能、高排放”项目建设要符合生态环境保护法律法规和相关法定规划，满足重点污染物排放总量控制、碳排放达</w:t>
                  </w:r>
                  <w:r>
                    <w:rPr>
                      <w:rFonts w:hint="eastAsia"/>
                    </w:rPr>
                    <w:t>峰目标、生态环境准入清单、相关规划环评和相应行业建设项目环境准入条件、环评文件审批原则要求，并采取有效区域污染物削减措施。石化、现代煤化工项目应纳入国家产业规划，新建扩建焦化、石化、化工、有色金属冶炼、平板玻璃项目应布设在依法合规设立并经规划环评的产业园区。</w:t>
                  </w:r>
                </w:p>
              </w:tc>
              <w:tc>
                <w:tcPr>
                  <w:tcW w:w="1065" w:type="pct"/>
                  <w:vAlign w:val="center"/>
                </w:tcPr>
                <w:p>
                  <w:pPr>
                    <w:jc w:val="center"/>
                  </w:pPr>
                  <w:r>
                    <w:rPr>
                      <w:rFonts w:hint="eastAsia"/>
                    </w:rPr>
                    <w:t>本项目不属于</w:t>
                  </w:r>
                  <w:r>
                    <w:t>“高耗能、高排放”</w:t>
                  </w:r>
                  <w:r>
                    <w:rPr>
                      <w:rFonts w:hint="eastAsia"/>
                    </w:rPr>
                    <w:t>项目，不属于石化、现代煤化工项目，不属于焦化、石化、化工、有色金属冶炼、平板玻璃项目</w:t>
                  </w:r>
                </w:p>
              </w:tc>
              <w:tc>
                <w:tcPr>
                  <w:tcW w:w="357" w:type="pct"/>
                  <w:vAlign w:val="center"/>
                </w:tcPr>
                <w:p>
                  <w:pPr>
                    <w:jc w:val="center"/>
                  </w:pP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pct"/>
                  <w:vMerge w:val="continue"/>
                  <w:vAlign w:val="center"/>
                </w:tcPr>
                <w:p>
                  <w:pPr>
                    <w:jc w:val="center"/>
                  </w:pPr>
                </w:p>
              </w:tc>
              <w:tc>
                <w:tcPr>
                  <w:tcW w:w="2997" w:type="pct"/>
                  <w:vAlign w:val="center"/>
                </w:tcPr>
                <w:p>
                  <w:pPr>
                    <w:jc w:val="center"/>
                  </w:pPr>
                  <w:r>
                    <w:t>6.禁燃区内不得新建燃烧煤炭（符合政策文件要求的热电联产项目除外）、重油、渣油等高污染燃料的设施；现有燃烧高污染燃料的设施，</w:t>
                  </w:r>
                  <w:r>
                    <w:rPr>
                      <w:rFonts w:hint="eastAsia"/>
                    </w:rPr>
                    <w:t>应当限期改用清洁能源；未改用清洁能源替代的高污染燃料设施，应当配套建设先进工艺的脱硫、脱硝、除尘装置或者采取其他措施，控制二氧化硫、氮氧化物和烟尘等排放；仍未达到大气污染物排放标准的，应当停止使用。禁燃区内禁止原煤散烧。</w:t>
                  </w:r>
                </w:p>
              </w:tc>
              <w:tc>
                <w:tcPr>
                  <w:tcW w:w="1065" w:type="pct"/>
                  <w:vAlign w:val="center"/>
                </w:tcPr>
                <w:p>
                  <w:pPr>
                    <w:jc w:val="center"/>
                  </w:pPr>
                  <w:r>
                    <w:rPr>
                      <w:rFonts w:hint="eastAsia"/>
                    </w:rPr>
                    <w:t>本项目能源使用电能，无锅炉等，无煤炭消耗</w:t>
                  </w:r>
                </w:p>
              </w:tc>
              <w:tc>
                <w:tcPr>
                  <w:tcW w:w="357" w:type="pct"/>
                  <w:vAlign w:val="center"/>
                </w:tcPr>
                <w:p>
                  <w:pPr>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pct"/>
                  <w:vMerge w:val="restart"/>
                  <w:vAlign w:val="center"/>
                </w:tcPr>
                <w:p>
                  <w:pPr>
                    <w:jc w:val="center"/>
                  </w:pPr>
                  <w:r>
                    <w:rPr>
                      <w:rFonts w:hint="eastAsia"/>
                    </w:rPr>
                    <w:t>污染物排放管控</w:t>
                  </w:r>
                </w:p>
              </w:tc>
              <w:tc>
                <w:tcPr>
                  <w:tcW w:w="2997" w:type="pct"/>
                  <w:vAlign w:val="center"/>
                </w:tcPr>
                <w:p>
                  <w:pPr>
                    <w:jc w:val="center"/>
                  </w:pPr>
                  <w:r>
                    <w:t>1. 对于国家或地方排放标准中已规定大气污染物特别排放限值的行业以及锅炉，新受理环评的建设项目执行大气污染物特别排放限值；火</w:t>
                  </w:r>
                  <w:r>
                    <w:rPr>
                      <w:rFonts w:hint="eastAsia"/>
                    </w:rPr>
                    <w:t>电、钢铁、石化、炼焦、化工、有色（不含氧化铝）、水泥行业现有企业以及在用锅炉执行二氧化硫、氮氧化物、颗粒物和挥发性有机物特别排放限值；目前国家排放标准中未规定大气污染物特别排放限值的行业，待相应排放标准制发布后，全市现有企业一律执行二氧化硫、氮氧化物、颗粒物和挥发性有机物特别排放限值。已发布超低排放标准的，按照标准要求执行超低排放标准。</w:t>
                  </w:r>
                </w:p>
              </w:tc>
              <w:tc>
                <w:tcPr>
                  <w:tcW w:w="1065" w:type="pct"/>
                  <w:vAlign w:val="center"/>
                </w:tcPr>
                <w:p>
                  <w:pPr>
                    <w:jc w:val="center"/>
                  </w:pPr>
                  <w:r>
                    <w:rPr>
                      <w:rFonts w:hint="eastAsia"/>
                      <w:lang w:val="en-US" w:eastAsia="zh-CN"/>
                    </w:rPr>
                    <w:t>本项目废气执行</w:t>
                  </w:r>
                  <w:r>
                    <w:rPr>
                      <w:rFonts w:hint="eastAsia"/>
                    </w:rPr>
                    <w:t>《合成树脂工业污染物排放标准》（GB31572-2015 含2024年修改单）表5大气污染物特别排放限值</w:t>
                  </w:r>
                </w:p>
              </w:tc>
              <w:tc>
                <w:tcPr>
                  <w:tcW w:w="357" w:type="pct"/>
                  <w:vAlign w:val="center"/>
                </w:tcPr>
                <w:p>
                  <w:pPr>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pct"/>
                  <w:vMerge w:val="continue"/>
                  <w:vAlign w:val="center"/>
                </w:tcPr>
                <w:p>
                  <w:pPr>
                    <w:jc w:val="center"/>
                  </w:pPr>
                </w:p>
              </w:tc>
              <w:tc>
                <w:tcPr>
                  <w:tcW w:w="2997" w:type="pct"/>
                  <w:vAlign w:val="center"/>
                </w:tcPr>
                <w:p>
                  <w:pPr>
                    <w:jc w:val="center"/>
                  </w:pPr>
                  <w:r>
                    <w:t>3.强化污染物排放总量削减。推进重点行业超低排放改造和全过程治理，全面开展工业炉窑深度治理工作，按照“淘汰一批、改造一批、</w:t>
                  </w:r>
                  <w:r>
                    <w:rPr>
                      <w:rFonts w:hint="eastAsia"/>
                    </w:rPr>
                    <w:t>替代一批“原则，对标行业先进水平，完成全市砖瓦窑和石灰窑等非重点行业的工业炉窑深度治理工作。加强对已完成清洁能源替代和深度治理改造的工业炉窑运行监管，确保在满足国家、省最严格的排放标准要求下，稳定达标。</w:t>
                  </w:r>
                </w:p>
              </w:tc>
              <w:tc>
                <w:tcPr>
                  <w:tcW w:w="1065" w:type="pct"/>
                  <w:vAlign w:val="center"/>
                </w:tcPr>
                <w:p>
                  <w:pPr>
                    <w:jc w:val="center"/>
                  </w:pPr>
                  <w:r>
                    <w:rPr>
                      <w:rFonts w:hint="eastAsia"/>
                      <w:kern w:val="0"/>
                      <w:szCs w:val="21"/>
                    </w:rPr>
                    <w:t>本项目排放主要污染物为非甲烷总烃，采取措施后</w:t>
                  </w:r>
                  <w:r>
                    <w:rPr>
                      <w:rFonts w:hint="eastAsia"/>
                      <w:kern w:val="0"/>
                      <w:szCs w:val="21"/>
                      <w:lang w:val="en-US" w:eastAsia="zh-CN"/>
                    </w:rPr>
                    <w:t>可以达标排放</w:t>
                  </w:r>
                </w:p>
              </w:tc>
              <w:tc>
                <w:tcPr>
                  <w:tcW w:w="357" w:type="pct"/>
                  <w:vAlign w:val="center"/>
                </w:tcPr>
                <w:p>
                  <w:pPr>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pct"/>
                  <w:vMerge w:val="continue"/>
                  <w:vAlign w:val="center"/>
                </w:tcPr>
                <w:p>
                  <w:pPr>
                    <w:jc w:val="center"/>
                  </w:pPr>
                </w:p>
              </w:tc>
              <w:tc>
                <w:tcPr>
                  <w:tcW w:w="2997" w:type="pct"/>
                  <w:vAlign w:val="center"/>
                </w:tcPr>
                <w:p>
                  <w:pPr>
                    <w:jc w:val="center"/>
                  </w:pPr>
                  <w:r>
                    <w:t>12.落实排污浓度与总量“双控”制度。坚持从源头到末端全过程污染物排放控制，降低污染物产生强度，缓解末端控制压力。全年全市NOx</w:t>
                  </w:r>
                  <w:r>
                    <w:rPr>
                      <w:rFonts w:hint="eastAsia"/>
                    </w:rPr>
                    <w:t>重点工程减排量和</w:t>
                  </w:r>
                  <w:r>
                    <w:t>VOCs 重点工程量完成省定目标任务。依法对钢铁、煤电、焦化、水泥、平板玻璃、陶瓷等行业实施强制性清洁生</w:t>
                  </w:r>
                  <w:r>
                    <w:rPr>
                      <w:rFonts w:hint="eastAsia"/>
                    </w:rPr>
                    <w:t>产审核。有效约束企业排污行为，引导企业优化生产工艺，提升污染治理水平，着力减少污染物排放。</w:t>
                  </w:r>
                </w:p>
              </w:tc>
              <w:tc>
                <w:tcPr>
                  <w:tcW w:w="1065" w:type="pct"/>
                  <w:vAlign w:val="center"/>
                </w:tcPr>
                <w:p>
                  <w:pPr>
                    <w:jc w:val="center"/>
                  </w:pPr>
                  <w:r>
                    <w:rPr>
                      <w:rFonts w:hint="eastAsia"/>
                    </w:rPr>
                    <w:t>本项目不属于上述行业，同时V</w:t>
                  </w:r>
                  <w:r>
                    <w:t>OCs</w:t>
                  </w:r>
                  <w:r>
                    <w:rPr>
                      <w:rFonts w:hint="eastAsia"/>
                    </w:rPr>
                    <w:t>可以达标排放</w:t>
                  </w:r>
                </w:p>
              </w:tc>
              <w:tc>
                <w:tcPr>
                  <w:tcW w:w="357" w:type="pct"/>
                  <w:vAlign w:val="center"/>
                </w:tcPr>
                <w:p>
                  <w:pPr>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pct"/>
                  <w:vMerge w:val="continue"/>
                  <w:vAlign w:val="center"/>
                </w:tcPr>
                <w:p>
                  <w:pPr>
                    <w:jc w:val="center"/>
                  </w:pPr>
                </w:p>
              </w:tc>
              <w:tc>
                <w:tcPr>
                  <w:tcW w:w="2997" w:type="pct"/>
                  <w:vAlign w:val="center"/>
                </w:tcPr>
                <w:p>
                  <w:pPr>
                    <w:jc w:val="center"/>
                  </w:pPr>
                  <w:r>
                    <w:t>13.严格工业企业环境管理。全市涉气企业实现稳定达标排放，重点排污单位全部完成污染源自动监测设备安装工作，确保应装尽装、应</w:t>
                  </w:r>
                  <w:r>
                    <w:rPr>
                      <w:rFonts w:hint="eastAsia"/>
                    </w:rPr>
                    <w:t>联尽联和正常稳定运行。拓展监管要素，实行“一企一档”，推进烟气量、烟气湿度、排空高度、厂界允许浓度限值纳入排污许可，实行依证监管。积极推进重点行业企业全流程超低排放改造评估监测，提高企业自动监测设备运维管理水平，强化运行监管。</w:t>
                  </w:r>
                </w:p>
              </w:tc>
              <w:tc>
                <w:tcPr>
                  <w:tcW w:w="1065" w:type="pct"/>
                  <w:vAlign w:val="center"/>
                </w:tcPr>
                <w:p>
                  <w:pPr>
                    <w:jc w:val="center"/>
                  </w:pPr>
                  <w:r>
                    <w:rPr>
                      <w:rFonts w:hint="eastAsia"/>
                    </w:rPr>
                    <w:t>经分析，本项目废气V</w:t>
                  </w:r>
                  <w:r>
                    <w:t>OCs</w:t>
                  </w:r>
                  <w:r>
                    <w:rPr>
                      <w:rFonts w:hint="eastAsia"/>
                    </w:rPr>
                    <w:t>可以达标排放，不需要设置自动监测</w:t>
                  </w:r>
                </w:p>
              </w:tc>
              <w:tc>
                <w:tcPr>
                  <w:tcW w:w="357" w:type="pct"/>
                  <w:vAlign w:val="center"/>
                </w:tcPr>
                <w:p>
                  <w:pPr>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pct"/>
                  <w:vAlign w:val="center"/>
                </w:tcPr>
                <w:p>
                  <w:pPr>
                    <w:jc w:val="center"/>
                  </w:pPr>
                  <w:r>
                    <w:rPr>
                      <w:rFonts w:hint="eastAsia"/>
                    </w:rPr>
                    <w:t>资源开发利用</w:t>
                  </w:r>
                </w:p>
              </w:tc>
              <w:tc>
                <w:tcPr>
                  <w:tcW w:w="2997" w:type="pct"/>
                  <w:vAlign w:val="center"/>
                </w:tcPr>
                <w:p>
                  <w:pPr>
                    <w:jc w:val="center"/>
                  </w:pPr>
                  <w:r>
                    <w:t>3.加强重点能耗行业节能。持续开展重点企业能效对标提升，在钢铁、焦化、水泥、平板玻璃等重点耗能行业实施能效“领跑者”行动，引</w:t>
                  </w:r>
                  <w:r>
                    <w:rPr>
                      <w:rFonts w:hint="eastAsia"/>
                    </w:rPr>
                    <w:t>导企业对标提升，实施高耗煤行业节能改造，推广中高温余热余压利用、低温烟气余热深度回收、空气源热泵供暖等节能技术，推进能量系统优化，提升能源利用效率。新建项目单位产品能耗达到《河北省主要产品能耗限额和设备能效限定值》准入值要求，鼓励达到先进值。现有企业单位产品能耗达到《河北省主要产品能耗限额和设备限定值》限定值要求，鼓励已达标企业通过节能改造达到先进值。国家或省对重点行业单位产品能源消耗限额进行修订的，行业限定值、准入值、先进值按新标准执行。</w:t>
                  </w:r>
                </w:p>
              </w:tc>
              <w:tc>
                <w:tcPr>
                  <w:tcW w:w="1065" w:type="pct"/>
                  <w:vAlign w:val="center"/>
                </w:tcPr>
                <w:p>
                  <w:pPr>
                    <w:jc w:val="center"/>
                  </w:pPr>
                  <w:r>
                    <w:rPr>
                      <w:rFonts w:hint="eastAsia"/>
                    </w:rPr>
                    <w:t>本项目不属于上述行业</w:t>
                  </w:r>
                </w:p>
              </w:tc>
              <w:tc>
                <w:tcPr>
                  <w:tcW w:w="357" w:type="pct"/>
                  <w:vAlign w:val="center"/>
                </w:tcPr>
                <w:p>
                  <w:pPr>
                    <w:jc w:val="center"/>
                  </w:pPr>
                  <w:r>
                    <w:rPr>
                      <w:rFonts w:hint="eastAsia"/>
                    </w:rPr>
                    <w:t>/</w:t>
                  </w:r>
                </w:p>
              </w:tc>
            </w:tr>
          </w:tbl>
          <w:p>
            <w:pPr>
              <w:spacing w:line="400" w:lineRule="exact"/>
              <w:jc w:val="center"/>
              <w:rPr>
                <w:b/>
                <w:szCs w:val="21"/>
              </w:rPr>
            </w:pPr>
            <w:r>
              <w:rPr>
                <w:rFonts w:hint="eastAsia"/>
                <w:b/>
                <w:szCs w:val="21"/>
              </w:rPr>
              <w:t>表1</w:t>
            </w:r>
            <w:r>
              <w:rPr>
                <w:b/>
                <w:szCs w:val="21"/>
              </w:rPr>
              <w:t>-</w:t>
            </w:r>
            <w:r>
              <w:rPr>
                <w:rFonts w:hint="eastAsia"/>
                <w:b/>
                <w:szCs w:val="21"/>
                <w:lang w:val="en-US" w:eastAsia="zh-CN"/>
              </w:rPr>
              <w:t>3</w:t>
            </w:r>
            <w:r>
              <w:rPr>
                <w:b/>
                <w:szCs w:val="21"/>
              </w:rPr>
              <w:t xml:space="preserve">  </w:t>
            </w:r>
            <w:r>
              <w:rPr>
                <w:rFonts w:hint="eastAsia"/>
                <w:b/>
                <w:szCs w:val="21"/>
              </w:rPr>
              <w:t>产业布局总体管控要求</w:t>
            </w:r>
          </w:p>
          <w:tbl>
            <w:tblPr>
              <w:tblStyle w:val="9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4"/>
              <w:gridCol w:w="3834"/>
              <w:gridCol w:w="1553"/>
              <w:gridCol w:w="5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6" w:type="pct"/>
                  <w:vAlign w:val="center"/>
                </w:tcPr>
                <w:p>
                  <w:pPr>
                    <w:jc w:val="center"/>
                  </w:pPr>
                  <w:r>
                    <w:rPr>
                      <w:rFonts w:hint="eastAsia"/>
                    </w:rPr>
                    <w:t>类别</w:t>
                  </w:r>
                </w:p>
              </w:tc>
              <w:tc>
                <w:tcPr>
                  <w:tcW w:w="2834" w:type="pct"/>
                  <w:vAlign w:val="center"/>
                </w:tcPr>
                <w:p>
                  <w:pPr>
                    <w:jc w:val="center"/>
                  </w:pPr>
                  <w:r>
                    <w:rPr>
                      <w:rFonts w:hint="eastAsia"/>
                    </w:rPr>
                    <w:t>要求</w:t>
                  </w:r>
                </w:p>
              </w:tc>
              <w:tc>
                <w:tcPr>
                  <w:tcW w:w="1148" w:type="pct"/>
                  <w:vAlign w:val="center"/>
                </w:tcPr>
                <w:p>
                  <w:pPr>
                    <w:jc w:val="center"/>
                  </w:pPr>
                  <w:r>
                    <w:rPr>
                      <w:rFonts w:hint="eastAsia"/>
                    </w:rPr>
                    <w:t>本项目情况</w:t>
                  </w:r>
                </w:p>
              </w:tc>
              <w:tc>
                <w:tcPr>
                  <w:tcW w:w="373" w:type="pct"/>
                  <w:vAlign w:val="center"/>
                </w:tcPr>
                <w:p>
                  <w:pPr>
                    <w:jc w:val="center"/>
                  </w:pPr>
                  <w:r>
                    <w:rPr>
                      <w:rFonts w:hint="eastAsia"/>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6" w:type="pct"/>
                  <w:vMerge w:val="restart"/>
                  <w:vAlign w:val="center"/>
                </w:tcPr>
                <w:p>
                  <w:pPr>
                    <w:jc w:val="center"/>
                  </w:pPr>
                  <w:r>
                    <w:rPr>
                      <w:rFonts w:hint="eastAsia"/>
                    </w:rPr>
                    <w:t>产业总体布局要求</w:t>
                  </w:r>
                </w:p>
              </w:tc>
              <w:tc>
                <w:tcPr>
                  <w:tcW w:w="2834" w:type="pct"/>
                  <w:vAlign w:val="center"/>
                </w:tcPr>
                <w:p>
                  <w:pPr>
                    <w:jc w:val="center"/>
                  </w:pPr>
                  <w:r>
                    <w:t>1.禁止新建国家《产业结构调整指导目录（2024 年本）》中限制类、淘汰类产业项目，《市场准入负面清单》中禁止准入类及《河北省禁</w:t>
                  </w:r>
                  <w:r>
                    <w:rPr>
                      <w:rFonts w:hint="eastAsia"/>
                    </w:rPr>
                    <w:t>止投资的产业目录》、《秦皇岛市限制和禁止投资的产业目录》（</w:t>
                  </w:r>
                  <w:r>
                    <w:t>2020 年修订版）中的产业项目</w:t>
                  </w:r>
                </w:p>
              </w:tc>
              <w:tc>
                <w:tcPr>
                  <w:tcW w:w="1148" w:type="pct"/>
                  <w:vAlign w:val="center"/>
                </w:tcPr>
                <w:p>
                  <w:pPr>
                    <w:jc w:val="center"/>
                  </w:pPr>
                  <w:r>
                    <w:rPr>
                      <w:rFonts w:hint="eastAsia"/>
                    </w:rPr>
                    <w:t>本项目可以满足上述要求，同时</w:t>
                  </w:r>
                  <w:r>
                    <w:t>《河北省禁</w:t>
                  </w:r>
                  <w:r>
                    <w:rPr>
                      <w:rFonts w:hint="eastAsia"/>
                    </w:rPr>
                    <w:t>止投资的产业目录》、《秦皇岛市限制和禁止投资的产业目录》（</w:t>
                  </w:r>
                  <w:r>
                    <w:t>2020 年修订版）</w:t>
                  </w:r>
                  <w:r>
                    <w:rPr>
                      <w:rFonts w:hint="eastAsia"/>
                    </w:rPr>
                    <w:t>已废止</w:t>
                  </w:r>
                </w:p>
              </w:tc>
              <w:tc>
                <w:tcPr>
                  <w:tcW w:w="373" w:type="pct"/>
                  <w:vAlign w:val="center"/>
                </w:tcPr>
                <w:p>
                  <w:pPr>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6" w:type="pct"/>
                  <w:vMerge w:val="continue"/>
                  <w:vAlign w:val="center"/>
                </w:tcPr>
                <w:p>
                  <w:pPr>
                    <w:jc w:val="center"/>
                  </w:pPr>
                </w:p>
              </w:tc>
              <w:tc>
                <w:tcPr>
                  <w:tcW w:w="2834" w:type="pct"/>
                  <w:vAlign w:val="center"/>
                </w:tcPr>
                <w:p>
                  <w:pPr>
                    <w:jc w:val="center"/>
                  </w:pPr>
                  <w:r>
                    <w:t>2.严格控制建设《环境保护综合名录(2021 版)》中的高污染、高风险产品加工项目。严格控制在生态脆弱或环境敏感地区建设高污染、高</w:t>
                  </w:r>
                  <w:r>
                    <w:rPr>
                      <w:rFonts w:hint="eastAsia"/>
                    </w:rPr>
                    <w:t>耗能”行业项目。</w:t>
                  </w:r>
                </w:p>
              </w:tc>
              <w:tc>
                <w:tcPr>
                  <w:tcW w:w="1148" w:type="pct"/>
                  <w:vAlign w:val="center"/>
                </w:tcPr>
                <w:p>
                  <w:pPr>
                    <w:jc w:val="center"/>
                  </w:pPr>
                  <w:r>
                    <w:rPr>
                      <w:rFonts w:hint="eastAsia"/>
                    </w:rPr>
                    <w:t>本项目不属于</w:t>
                  </w:r>
                  <w:r>
                    <w:t>《环境保护综合名录(2021 版)》中的高污染、高风险产品加工项目</w:t>
                  </w:r>
                  <w:r>
                    <w:rPr>
                      <w:rFonts w:hint="eastAsia"/>
                    </w:rPr>
                    <w:t>，选址不在</w:t>
                  </w:r>
                  <w:r>
                    <w:t>生态脆弱或环境敏感地区</w:t>
                  </w:r>
                </w:p>
              </w:tc>
              <w:tc>
                <w:tcPr>
                  <w:tcW w:w="373" w:type="pct"/>
                  <w:vAlign w:val="center"/>
                </w:tcPr>
                <w:p>
                  <w:pPr>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6" w:type="pct"/>
                  <w:vMerge w:val="continue"/>
                  <w:vAlign w:val="center"/>
                </w:tcPr>
                <w:p>
                  <w:pPr>
                    <w:jc w:val="center"/>
                  </w:pPr>
                </w:p>
              </w:tc>
              <w:tc>
                <w:tcPr>
                  <w:tcW w:w="2834" w:type="pct"/>
                  <w:vAlign w:val="center"/>
                </w:tcPr>
                <w:p>
                  <w:pPr>
                    <w:jc w:val="center"/>
                  </w:pPr>
                  <w:r>
                    <w:t>5.上一年度环境空气质量年均浓度不达标、水环境质量未达到要求的区县，相关新增污染物应按照建设项目所需替代的主要污染物排放总</w:t>
                  </w:r>
                  <w:r>
                    <w:rPr>
                      <w:rFonts w:hint="eastAsia"/>
                    </w:rPr>
                    <w:t>量指标的</w:t>
                  </w:r>
                  <w:r>
                    <w:t>2 倍进行削减替代（燃煤发电机组大气污染物排放浓度基本达到燃气轮机组排放限值的除外）；PM</w:t>
                  </w:r>
                  <w:r>
                    <w:rPr>
                      <w:vertAlign w:val="subscript"/>
                    </w:rPr>
                    <w:t>2.5</w:t>
                  </w:r>
                  <w:r>
                    <w:t xml:space="preserve"> 年均浓度不达标的区县，</w:t>
                  </w:r>
                  <w:r>
                    <w:rPr>
                      <w:rFonts w:hint="eastAsia"/>
                    </w:rPr>
                    <w:t>二氧化硫、氮氧化物、烟粉尘、挥发性有机物四项污染物均需进行</w:t>
                  </w:r>
                  <w:r>
                    <w:t>2 倍削减替代（燃煤发电机组大气污染物排放浓度基本达到燃气轮机</w:t>
                  </w:r>
                  <w:r>
                    <w:rPr>
                      <w:rFonts w:hint="eastAsia"/>
                    </w:rPr>
                    <w:t>组排放限值的除外）。</w:t>
                  </w:r>
                </w:p>
              </w:tc>
              <w:tc>
                <w:tcPr>
                  <w:tcW w:w="1148" w:type="pct"/>
                  <w:vAlign w:val="center"/>
                </w:tcPr>
                <w:p>
                  <w:r>
                    <w:rPr>
                      <w:rFonts w:hint="eastAsia"/>
                    </w:rPr>
                    <w:t>本项目无废水排放，废气主要为非甲烷总烃，</w:t>
                  </w:r>
                  <w:r>
                    <w:rPr>
                      <w:rFonts w:hint="eastAsia"/>
                      <w:lang w:val="en-US" w:eastAsia="zh-CN"/>
                    </w:rPr>
                    <w:t>不属于新增污染物，</w:t>
                  </w:r>
                  <w:r>
                    <w:t>PM</w:t>
                  </w:r>
                  <w:r>
                    <w:rPr>
                      <w:vertAlign w:val="subscript"/>
                    </w:rPr>
                    <w:t>2.5</w:t>
                  </w:r>
                  <w:r>
                    <w:t>年均浓度</w:t>
                  </w:r>
                  <w:r>
                    <w:rPr>
                      <w:rFonts w:hint="eastAsia"/>
                      <w:lang w:val="en-US" w:eastAsia="zh-CN"/>
                    </w:rPr>
                    <w:t>达标，</w:t>
                  </w:r>
                  <w:r>
                    <w:rPr>
                      <w:rFonts w:hint="eastAsia"/>
                      <w:kern w:val="0"/>
                      <w:szCs w:val="21"/>
                      <w:highlight w:val="none"/>
                    </w:rPr>
                    <w:t>不需进行总量指标申请及削减方案</w:t>
                  </w:r>
                </w:p>
              </w:tc>
              <w:tc>
                <w:tcPr>
                  <w:tcW w:w="373" w:type="pct"/>
                  <w:vAlign w:val="center"/>
                </w:tcPr>
                <w:p>
                  <w:pPr>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6" w:type="pct"/>
                  <w:vMerge w:val="restart"/>
                  <w:vAlign w:val="center"/>
                </w:tcPr>
                <w:p>
                  <w:pPr>
                    <w:jc w:val="center"/>
                  </w:pPr>
                  <w:r>
                    <w:rPr>
                      <w:rFonts w:hint="eastAsia"/>
                    </w:rPr>
                    <w:t>项目入园准入要求</w:t>
                  </w:r>
                </w:p>
              </w:tc>
              <w:tc>
                <w:tcPr>
                  <w:tcW w:w="2834" w:type="pct"/>
                  <w:vAlign w:val="center"/>
                </w:tcPr>
                <w:p>
                  <w:pPr>
                    <w:jc w:val="center"/>
                  </w:pPr>
                  <w:r>
                    <w:t>3.对于以“园区”名义存在的工业大院或工业小区（无规划及环评）内的“散乱污”企业，严格整治标准，限期整治；对严重污染环境的企业，</w:t>
                  </w:r>
                  <w:r>
                    <w:rPr>
                      <w:rFonts w:hint="eastAsia"/>
                    </w:rPr>
                    <w:t>坚决依法依规处置到位。</w:t>
                  </w:r>
                </w:p>
              </w:tc>
              <w:tc>
                <w:tcPr>
                  <w:tcW w:w="1148" w:type="pct"/>
                  <w:vAlign w:val="center"/>
                </w:tcPr>
                <w:p>
                  <w:pPr>
                    <w:jc w:val="center"/>
                    <w:rPr>
                      <w:rFonts w:hint="default" w:eastAsia="宋体"/>
                      <w:lang w:val="en-US" w:eastAsia="zh-CN"/>
                    </w:rPr>
                  </w:pPr>
                  <w:r>
                    <w:rPr>
                      <w:rFonts w:hint="eastAsia"/>
                      <w:szCs w:val="21"/>
                    </w:rPr>
                    <w:t>本项目位于秦皇岛市抚宁区留守营镇樊各庄北村</w:t>
                  </w:r>
                  <w:r>
                    <w:rPr>
                      <w:rFonts w:hint="eastAsia"/>
                      <w:szCs w:val="21"/>
                      <w:lang w:eastAsia="zh-CN"/>
                    </w:rPr>
                    <w:t>，</w:t>
                  </w:r>
                  <w:r>
                    <w:rPr>
                      <w:rFonts w:hint="eastAsia"/>
                      <w:szCs w:val="21"/>
                      <w:lang w:val="en-US" w:eastAsia="zh-CN"/>
                    </w:rPr>
                    <w:t>现有厂区内</w:t>
                  </w:r>
                </w:p>
              </w:tc>
              <w:tc>
                <w:tcPr>
                  <w:tcW w:w="373" w:type="pct"/>
                  <w:vMerge w:val="restart"/>
                  <w:vAlign w:val="center"/>
                </w:tcPr>
                <w:p>
                  <w:pPr>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6" w:type="pct"/>
                  <w:vMerge w:val="continue"/>
                  <w:vAlign w:val="center"/>
                </w:tcPr>
                <w:p>
                  <w:pPr>
                    <w:jc w:val="center"/>
                  </w:pPr>
                </w:p>
              </w:tc>
              <w:tc>
                <w:tcPr>
                  <w:tcW w:w="2834" w:type="pct"/>
                  <w:vAlign w:val="center"/>
                </w:tcPr>
                <w:p>
                  <w:pPr>
                    <w:jc w:val="center"/>
                  </w:pPr>
                  <w:r>
                    <w:t>4.推进现有企业向依法合规设立、环保设施齐全、符合规划环评要求的工业集聚区集中，明确工业企业入园时间表；确因不具备入园条件</w:t>
                  </w:r>
                  <w:r>
                    <w:rPr>
                      <w:rFonts w:hint="eastAsia"/>
                    </w:rPr>
                    <w:t>需原地保留的工业企业，明确保留条件，其中直排环境企业排放废水应达到排入水体功能区标准。</w:t>
                  </w:r>
                </w:p>
              </w:tc>
              <w:tc>
                <w:tcPr>
                  <w:tcW w:w="1148" w:type="pct"/>
                  <w:vAlign w:val="center"/>
                </w:tcPr>
                <w:p>
                  <w:pPr>
                    <w:jc w:val="center"/>
                  </w:pPr>
                  <w:r>
                    <w:rPr>
                      <w:rFonts w:hint="eastAsia"/>
                      <w:szCs w:val="21"/>
                    </w:rPr>
                    <w:t>本项目位于</w:t>
                  </w:r>
                  <w:r>
                    <w:rPr>
                      <w:rFonts w:hint="eastAsia"/>
                      <w:szCs w:val="21"/>
                      <w:lang w:eastAsia="zh-CN"/>
                    </w:rPr>
                    <w:t>秦皇岛市抚宁区留守营镇樊各庄北村，</w:t>
                  </w:r>
                  <w:r>
                    <w:rPr>
                      <w:rFonts w:hint="eastAsia"/>
                      <w:szCs w:val="21"/>
                      <w:lang w:val="en-US" w:eastAsia="zh-CN"/>
                    </w:rPr>
                    <w:t>现有厂区内</w:t>
                  </w:r>
                  <w:r>
                    <w:rPr>
                      <w:rFonts w:hint="eastAsia"/>
                      <w:szCs w:val="21"/>
                    </w:rPr>
                    <w:t>，无废水排放</w:t>
                  </w:r>
                </w:p>
              </w:tc>
              <w:tc>
                <w:tcPr>
                  <w:tcW w:w="373" w:type="pct"/>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6" w:type="pct"/>
                  <w:vMerge w:val="restart"/>
                  <w:vAlign w:val="center"/>
                </w:tcPr>
                <w:p>
                  <w:pPr>
                    <w:jc w:val="center"/>
                  </w:pPr>
                  <w:r>
                    <w:rPr>
                      <w:rFonts w:hint="eastAsia"/>
                    </w:rPr>
                    <w:t>其他要求</w:t>
                  </w:r>
                </w:p>
              </w:tc>
              <w:tc>
                <w:tcPr>
                  <w:tcW w:w="2834" w:type="pct"/>
                  <w:vAlign w:val="center"/>
                </w:tcPr>
                <w:p>
                  <w:pPr>
                    <w:jc w:val="center"/>
                  </w:pPr>
                  <w:r>
                    <w:t>1.主城区及其主导上风向15 公里范围内原则上禁止投资大气污染严重的燃煤电厂、钢铁、炼焦等。主城区以外的各区县城区及其主导上风</w:t>
                  </w:r>
                  <w:r>
                    <w:rPr>
                      <w:rFonts w:hint="eastAsia"/>
                    </w:rPr>
                    <w:t>向</w:t>
                  </w:r>
                  <w:r>
                    <w:t>5 公里范围内，原则上禁止投资燃煤电厂、水泥、冶炼等大气污染严重的项目</w:t>
                  </w:r>
                </w:p>
              </w:tc>
              <w:tc>
                <w:tcPr>
                  <w:tcW w:w="1148" w:type="pct"/>
                  <w:vAlign w:val="center"/>
                </w:tcPr>
                <w:p>
                  <w:pPr>
                    <w:jc w:val="center"/>
                  </w:pPr>
                  <w:r>
                    <w:rPr>
                      <w:rFonts w:hint="eastAsia"/>
                    </w:rPr>
                    <w:t>不涉及</w:t>
                  </w:r>
                </w:p>
              </w:tc>
              <w:tc>
                <w:tcPr>
                  <w:tcW w:w="373" w:type="pct"/>
                  <w:vAlign w:val="center"/>
                </w:tcPr>
                <w:p>
                  <w:pPr>
                    <w:jc w:val="center"/>
                  </w:pP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6" w:type="pct"/>
                  <w:vMerge w:val="continue"/>
                  <w:vAlign w:val="center"/>
                </w:tcPr>
                <w:p>
                  <w:pPr>
                    <w:jc w:val="center"/>
                  </w:pPr>
                </w:p>
              </w:tc>
              <w:tc>
                <w:tcPr>
                  <w:tcW w:w="2834" w:type="pct"/>
                  <w:vAlign w:val="center"/>
                </w:tcPr>
                <w:p>
                  <w:pPr>
                    <w:jc w:val="center"/>
                  </w:pPr>
                  <w:r>
                    <w:t>2.从严控制过剩产能项目，高污染、高能耗和资源型（“两高一资”）项目，严格限制造纸、印染、煤电、传统化工、传统燃油汽车、涉及</w:t>
                  </w:r>
                  <w:r>
                    <w:rPr>
                      <w:rFonts w:hint="eastAsia"/>
                    </w:rPr>
                    <w:t>重金属以及有毒有害和持久性污染物排放的项目。</w:t>
                  </w:r>
                </w:p>
              </w:tc>
              <w:tc>
                <w:tcPr>
                  <w:tcW w:w="1148" w:type="pct"/>
                  <w:vAlign w:val="center"/>
                </w:tcPr>
                <w:p>
                  <w:pPr>
                    <w:jc w:val="center"/>
                  </w:pPr>
                  <w:r>
                    <w:rPr>
                      <w:rFonts w:hint="eastAsia"/>
                    </w:rPr>
                    <w:t>不涉及</w:t>
                  </w:r>
                </w:p>
              </w:tc>
              <w:tc>
                <w:tcPr>
                  <w:tcW w:w="373" w:type="pct"/>
                  <w:vAlign w:val="center"/>
                </w:tcPr>
                <w:p>
                  <w:pPr>
                    <w:jc w:val="center"/>
                  </w:pPr>
                  <w:r>
                    <w:rPr>
                      <w:rFonts w:hint="eastAsia"/>
                    </w:rPr>
                    <w:t>/</w:t>
                  </w:r>
                </w:p>
              </w:tc>
            </w:tr>
          </w:tbl>
          <w:p>
            <w:pPr>
              <w:suppressAutoHyphens/>
              <w:adjustRightInd w:val="0"/>
              <w:snapToGrid w:val="0"/>
              <w:spacing w:line="400" w:lineRule="exact"/>
              <w:ind w:firstLine="420" w:firstLineChars="200"/>
              <w:rPr>
                <w:kern w:val="0"/>
                <w:szCs w:val="21"/>
              </w:rPr>
            </w:pPr>
            <w:r>
              <w:rPr>
                <w:rFonts w:hint="eastAsia"/>
                <w:kern w:val="0"/>
                <w:szCs w:val="21"/>
              </w:rPr>
              <w:t>同时，本项目管控编号：</w:t>
            </w:r>
            <w:r>
              <w:rPr>
                <w:kern w:val="0"/>
                <w:szCs w:val="21"/>
              </w:rPr>
              <w:t>ZH130306</w:t>
            </w:r>
            <w:r>
              <w:rPr>
                <w:rFonts w:hint="eastAsia"/>
                <w:kern w:val="0"/>
                <w:szCs w:val="21"/>
                <w:lang w:val="en-US" w:eastAsia="zh-CN"/>
              </w:rPr>
              <w:t>30131</w:t>
            </w:r>
            <w:r>
              <w:rPr>
                <w:rFonts w:hint="eastAsia"/>
                <w:kern w:val="0"/>
                <w:szCs w:val="21"/>
              </w:rPr>
              <w:t>，区县：抚宁区，乡镇：留守营镇，单元类别，属于</w:t>
            </w:r>
            <w:r>
              <w:rPr>
                <w:rFonts w:hint="eastAsia"/>
                <w:kern w:val="0"/>
                <w:szCs w:val="21"/>
                <w:lang w:val="en-US" w:eastAsia="zh-CN"/>
              </w:rPr>
              <w:t>一般</w:t>
            </w:r>
            <w:r>
              <w:rPr>
                <w:rFonts w:hint="eastAsia"/>
                <w:kern w:val="0"/>
                <w:szCs w:val="21"/>
              </w:rPr>
              <w:t>管控区，与其管控要求对比分析如下：</w:t>
            </w:r>
          </w:p>
          <w:p>
            <w:pPr>
              <w:spacing w:line="400" w:lineRule="exact"/>
              <w:jc w:val="center"/>
              <w:rPr>
                <w:b/>
                <w:szCs w:val="21"/>
              </w:rPr>
            </w:pPr>
            <w:r>
              <w:rPr>
                <w:rFonts w:hint="eastAsia"/>
                <w:b/>
                <w:szCs w:val="21"/>
              </w:rPr>
              <w:t>表1</w:t>
            </w:r>
            <w:r>
              <w:rPr>
                <w:b/>
                <w:szCs w:val="21"/>
              </w:rPr>
              <w:t>-</w:t>
            </w:r>
            <w:r>
              <w:rPr>
                <w:rFonts w:hint="eastAsia"/>
                <w:b/>
                <w:szCs w:val="21"/>
                <w:lang w:val="en-US" w:eastAsia="zh-CN"/>
              </w:rPr>
              <w:t>4</w:t>
            </w:r>
            <w:r>
              <w:rPr>
                <w:b/>
                <w:szCs w:val="21"/>
              </w:rPr>
              <w:t xml:space="preserve">   </w:t>
            </w:r>
            <w:r>
              <w:rPr>
                <w:rFonts w:hint="eastAsia"/>
                <w:b/>
                <w:szCs w:val="21"/>
              </w:rPr>
              <w:t>综合管控单元准入清单</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77"/>
              <w:gridCol w:w="1650"/>
              <w:gridCol w:w="2085"/>
              <w:gridCol w:w="8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09" w:type="pct"/>
                  <w:shd w:val="clear" w:color="auto" w:fill="auto"/>
                  <w:vAlign w:val="center"/>
                </w:tcPr>
                <w:p>
                  <w:pPr>
                    <w:autoSpaceDE w:val="0"/>
                    <w:autoSpaceDN w:val="0"/>
                    <w:adjustRightInd w:val="0"/>
                    <w:snapToGrid w:val="0"/>
                    <w:jc w:val="center"/>
                    <w:rPr>
                      <w:bCs/>
                      <w:szCs w:val="21"/>
                    </w:rPr>
                  </w:pPr>
                  <w:r>
                    <w:rPr>
                      <w:rFonts w:hint="eastAsia"/>
                      <w:bCs/>
                      <w:szCs w:val="21"/>
                    </w:rPr>
                    <w:t>维度</w:t>
                  </w:r>
                </w:p>
              </w:tc>
              <w:tc>
                <w:tcPr>
                  <w:tcW w:w="1219" w:type="pct"/>
                  <w:shd w:val="clear" w:color="auto" w:fill="auto"/>
                  <w:vAlign w:val="center"/>
                </w:tcPr>
                <w:p>
                  <w:pPr>
                    <w:tabs>
                      <w:tab w:val="left" w:pos="3255"/>
                    </w:tabs>
                    <w:jc w:val="center"/>
                    <w:rPr>
                      <w:szCs w:val="21"/>
                    </w:rPr>
                  </w:pPr>
                  <w:r>
                    <w:rPr>
                      <w:rFonts w:hint="eastAsia"/>
                      <w:szCs w:val="21"/>
                    </w:rPr>
                    <w:t>内容</w:t>
                  </w:r>
                </w:p>
              </w:tc>
              <w:tc>
                <w:tcPr>
                  <w:tcW w:w="1541" w:type="pct"/>
                  <w:shd w:val="clear" w:color="auto" w:fill="auto"/>
                  <w:vAlign w:val="center"/>
                </w:tcPr>
                <w:p>
                  <w:pPr>
                    <w:tabs>
                      <w:tab w:val="left" w:pos="3255"/>
                    </w:tabs>
                    <w:jc w:val="center"/>
                    <w:rPr>
                      <w:szCs w:val="21"/>
                    </w:rPr>
                  </w:pPr>
                  <w:r>
                    <w:rPr>
                      <w:rFonts w:hint="eastAsia"/>
                      <w:szCs w:val="21"/>
                    </w:rPr>
                    <w:t>本项目情况</w:t>
                  </w:r>
                </w:p>
              </w:tc>
              <w:tc>
                <w:tcPr>
                  <w:tcW w:w="630" w:type="pct"/>
                  <w:shd w:val="clear" w:color="auto" w:fill="auto"/>
                  <w:vAlign w:val="center"/>
                </w:tcPr>
                <w:p>
                  <w:pPr>
                    <w:tabs>
                      <w:tab w:val="left" w:pos="3255"/>
                    </w:tabs>
                    <w:jc w:val="center"/>
                    <w:rPr>
                      <w:szCs w:val="21"/>
                    </w:rPr>
                  </w:pPr>
                  <w:r>
                    <w:rPr>
                      <w:rFonts w:hint="eastAsia"/>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09" w:type="pct"/>
                  <w:shd w:val="clear" w:color="auto" w:fill="auto"/>
                  <w:vAlign w:val="center"/>
                </w:tcPr>
                <w:p>
                  <w:pPr>
                    <w:autoSpaceDE w:val="0"/>
                    <w:autoSpaceDN w:val="0"/>
                    <w:adjustRightInd w:val="0"/>
                    <w:snapToGrid w:val="0"/>
                    <w:jc w:val="center"/>
                    <w:rPr>
                      <w:bCs/>
                      <w:szCs w:val="21"/>
                    </w:rPr>
                  </w:pPr>
                  <w:r>
                    <w:rPr>
                      <w:rFonts w:hint="eastAsia"/>
                      <w:bCs/>
                      <w:szCs w:val="21"/>
                    </w:rPr>
                    <w:t>空间布局约束</w:t>
                  </w:r>
                </w:p>
              </w:tc>
              <w:tc>
                <w:tcPr>
                  <w:tcW w:w="1219" w:type="pct"/>
                  <w:vMerge w:val="restart"/>
                  <w:shd w:val="clear" w:color="auto" w:fill="auto"/>
                  <w:vAlign w:val="center"/>
                </w:tcPr>
                <w:p>
                  <w:pPr>
                    <w:autoSpaceDE w:val="0"/>
                    <w:autoSpaceDN w:val="0"/>
                    <w:adjustRightInd w:val="0"/>
                    <w:jc w:val="left"/>
                    <w:rPr>
                      <w:szCs w:val="21"/>
                    </w:rPr>
                  </w:pPr>
                  <w:r>
                    <w:rPr>
                      <w:rFonts w:hint="eastAsia"/>
                      <w:szCs w:val="21"/>
                    </w:rPr>
                    <w:t>遵从全省、全市总体管控要求。</w:t>
                  </w:r>
                </w:p>
              </w:tc>
              <w:tc>
                <w:tcPr>
                  <w:tcW w:w="1541" w:type="pct"/>
                  <w:vMerge w:val="restart"/>
                  <w:shd w:val="clear" w:color="auto" w:fill="auto"/>
                  <w:vAlign w:val="center"/>
                </w:tcPr>
                <w:p>
                  <w:pPr>
                    <w:tabs>
                      <w:tab w:val="left" w:pos="3255"/>
                    </w:tabs>
                    <w:jc w:val="center"/>
                    <w:rPr>
                      <w:rFonts w:hint="default" w:eastAsia="宋体"/>
                      <w:szCs w:val="21"/>
                      <w:lang w:val="en-US" w:eastAsia="zh-CN"/>
                    </w:rPr>
                  </w:pPr>
                  <w:r>
                    <w:rPr>
                      <w:rFonts w:hint="eastAsia"/>
                      <w:szCs w:val="21"/>
                    </w:rPr>
                    <w:t>本项目</w:t>
                  </w:r>
                  <w:r>
                    <w:rPr>
                      <w:rFonts w:hint="eastAsia"/>
                      <w:szCs w:val="21"/>
                      <w:lang w:val="en-US" w:eastAsia="zh-CN"/>
                    </w:rPr>
                    <w:t>利用</w:t>
                  </w:r>
                  <w:r>
                    <w:rPr>
                      <w:rFonts w:hint="eastAsia"/>
                      <w:szCs w:val="21"/>
                    </w:rPr>
                    <w:t>现有厂区建设，污染物为非甲烷总烃，</w:t>
                  </w:r>
                  <w:r>
                    <w:rPr>
                      <w:rFonts w:hint="eastAsia"/>
                      <w:kern w:val="0"/>
                      <w:szCs w:val="21"/>
                    </w:rPr>
                    <w:t>采取措施后</w:t>
                  </w:r>
                  <w:r>
                    <w:rPr>
                      <w:rFonts w:hint="eastAsia"/>
                      <w:kern w:val="0"/>
                      <w:szCs w:val="21"/>
                      <w:lang w:val="en-US" w:eastAsia="zh-CN"/>
                    </w:rPr>
                    <w:t>可以达标排放，</w:t>
                  </w:r>
                  <w:r>
                    <w:rPr>
                      <w:rFonts w:hint="eastAsia"/>
                      <w:szCs w:val="21"/>
                    </w:rPr>
                    <w:t>本项目无废水排放</w:t>
                  </w:r>
                  <w:r>
                    <w:rPr>
                      <w:rFonts w:hint="eastAsia"/>
                      <w:szCs w:val="21"/>
                      <w:lang w:eastAsia="zh-CN"/>
                    </w:rPr>
                    <w:t>，</w:t>
                  </w:r>
                  <w:r>
                    <w:rPr>
                      <w:rFonts w:hint="eastAsia"/>
                      <w:szCs w:val="21"/>
                      <w:lang w:val="en-US" w:eastAsia="zh-CN"/>
                    </w:rPr>
                    <w:t>固体废物妥善处置</w:t>
                  </w:r>
                </w:p>
              </w:tc>
              <w:tc>
                <w:tcPr>
                  <w:tcW w:w="630" w:type="pct"/>
                  <w:vMerge w:val="restart"/>
                  <w:shd w:val="clear" w:color="auto" w:fill="auto"/>
                  <w:vAlign w:val="center"/>
                </w:tcPr>
                <w:p>
                  <w:pPr>
                    <w:tabs>
                      <w:tab w:val="left" w:pos="3255"/>
                    </w:tabs>
                    <w:jc w:val="center"/>
                    <w:rPr>
                      <w:rFonts w:hint="eastAsia" w:eastAsia="宋体"/>
                      <w:szCs w:val="21"/>
                      <w:lang w:val="en-US" w:eastAsia="zh-CN"/>
                    </w:rPr>
                  </w:pPr>
                  <w:r>
                    <w:rPr>
                      <w:rFonts w:hint="eastAsia"/>
                      <w:szCs w:val="21"/>
                    </w:rPr>
                    <w:t>符</w:t>
                  </w:r>
                  <w:r>
                    <w:rPr>
                      <w:rFonts w:hint="eastAsia"/>
                      <w:szCs w:val="21"/>
                      <w:lang w:val="en-US" w:eastAsia="zh-CN"/>
                    </w:rPr>
                    <w:t>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09" w:type="pct"/>
                  <w:shd w:val="clear" w:color="auto" w:fill="auto"/>
                  <w:vAlign w:val="center"/>
                </w:tcPr>
                <w:p>
                  <w:pPr>
                    <w:autoSpaceDE w:val="0"/>
                    <w:autoSpaceDN w:val="0"/>
                    <w:adjustRightInd w:val="0"/>
                    <w:snapToGrid w:val="0"/>
                    <w:jc w:val="center"/>
                    <w:rPr>
                      <w:bCs/>
                      <w:szCs w:val="21"/>
                    </w:rPr>
                  </w:pPr>
                  <w:r>
                    <w:rPr>
                      <w:rFonts w:hint="eastAsia"/>
                      <w:bCs/>
                      <w:szCs w:val="21"/>
                    </w:rPr>
                    <w:t>污染物排放管控</w:t>
                  </w:r>
                </w:p>
              </w:tc>
              <w:tc>
                <w:tcPr>
                  <w:tcW w:w="1219" w:type="pct"/>
                  <w:vMerge w:val="continue"/>
                  <w:shd w:val="clear" w:color="auto" w:fill="auto"/>
                  <w:vAlign w:val="center"/>
                </w:tcPr>
                <w:p>
                  <w:pPr>
                    <w:tabs>
                      <w:tab w:val="left" w:pos="3255"/>
                    </w:tabs>
                    <w:rPr>
                      <w:szCs w:val="21"/>
                    </w:rPr>
                  </w:pPr>
                </w:p>
              </w:tc>
              <w:tc>
                <w:tcPr>
                  <w:tcW w:w="1541" w:type="pct"/>
                  <w:vMerge w:val="continue"/>
                  <w:shd w:val="clear" w:color="auto" w:fill="auto"/>
                  <w:vAlign w:val="center"/>
                </w:tcPr>
                <w:p>
                  <w:pPr>
                    <w:tabs>
                      <w:tab w:val="left" w:pos="3255"/>
                    </w:tabs>
                    <w:jc w:val="center"/>
                    <w:rPr>
                      <w:szCs w:val="21"/>
                    </w:rPr>
                  </w:pPr>
                </w:p>
              </w:tc>
              <w:tc>
                <w:tcPr>
                  <w:tcW w:w="630" w:type="pct"/>
                  <w:vMerge w:val="continue"/>
                  <w:shd w:val="clear" w:color="auto" w:fill="auto"/>
                  <w:vAlign w:val="center"/>
                </w:tcPr>
                <w:p>
                  <w:pPr>
                    <w:tabs>
                      <w:tab w:val="left" w:pos="3255"/>
                    </w:tabs>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609" w:type="pct"/>
                  <w:shd w:val="clear" w:color="auto" w:fill="auto"/>
                  <w:vAlign w:val="center"/>
                </w:tcPr>
                <w:p>
                  <w:pPr>
                    <w:autoSpaceDE w:val="0"/>
                    <w:autoSpaceDN w:val="0"/>
                    <w:adjustRightInd w:val="0"/>
                    <w:snapToGrid w:val="0"/>
                    <w:jc w:val="center"/>
                    <w:rPr>
                      <w:bCs/>
                      <w:szCs w:val="21"/>
                    </w:rPr>
                  </w:pPr>
                  <w:r>
                    <w:rPr>
                      <w:rFonts w:hint="eastAsia"/>
                      <w:bCs/>
                      <w:szCs w:val="21"/>
                    </w:rPr>
                    <w:t>环境风险防控</w:t>
                  </w:r>
                </w:p>
              </w:tc>
              <w:tc>
                <w:tcPr>
                  <w:tcW w:w="1219" w:type="pct"/>
                  <w:vMerge w:val="continue"/>
                  <w:shd w:val="clear" w:color="auto" w:fill="auto"/>
                  <w:vAlign w:val="center"/>
                </w:tcPr>
                <w:p>
                  <w:pPr>
                    <w:tabs>
                      <w:tab w:val="left" w:pos="3255"/>
                    </w:tabs>
                    <w:rPr>
                      <w:szCs w:val="21"/>
                    </w:rPr>
                  </w:pPr>
                </w:p>
              </w:tc>
              <w:tc>
                <w:tcPr>
                  <w:tcW w:w="1541" w:type="pct"/>
                  <w:vMerge w:val="continue"/>
                  <w:shd w:val="clear" w:color="auto" w:fill="auto"/>
                  <w:vAlign w:val="center"/>
                </w:tcPr>
                <w:p>
                  <w:pPr>
                    <w:tabs>
                      <w:tab w:val="left" w:pos="3255"/>
                    </w:tabs>
                    <w:jc w:val="center"/>
                    <w:rPr>
                      <w:b/>
                      <w:bCs/>
                      <w:szCs w:val="21"/>
                    </w:rPr>
                  </w:pPr>
                </w:p>
              </w:tc>
              <w:tc>
                <w:tcPr>
                  <w:tcW w:w="630" w:type="pct"/>
                  <w:vMerge w:val="continue"/>
                  <w:shd w:val="clear" w:color="auto" w:fill="auto"/>
                  <w:vAlign w:val="center"/>
                </w:tcPr>
                <w:p>
                  <w:pPr>
                    <w:tabs>
                      <w:tab w:val="left" w:pos="3255"/>
                    </w:tabs>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09" w:type="pct"/>
                  <w:shd w:val="clear" w:color="auto" w:fill="auto"/>
                  <w:vAlign w:val="center"/>
                </w:tcPr>
                <w:p>
                  <w:pPr>
                    <w:autoSpaceDE w:val="0"/>
                    <w:autoSpaceDN w:val="0"/>
                    <w:adjustRightInd w:val="0"/>
                    <w:snapToGrid w:val="0"/>
                    <w:jc w:val="center"/>
                    <w:rPr>
                      <w:bCs/>
                      <w:szCs w:val="21"/>
                    </w:rPr>
                  </w:pPr>
                  <w:r>
                    <w:rPr>
                      <w:rFonts w:hint="eastAsia"/>
                      <w:bCs/>
                      <w:szCs w:val="21"/>
                    </w:rPr>
                    <w:t>资源利用效率</w:t>
                  </w:r>
                </w:p>
              </w:tc>
              <w:tc>
                <w:tcPr>
                  <w:tcW w:w="1219" w:type="pct"/>
                  <w:vMerge w:val="continue"/>
                  <w:shd w:val="clear" w:color="auto" w:fill="auto"/>
                  <w:vAlign w:val="center"/>
                </w:tcPr>
                <w:p>
                  <w:pPr>
                    <w:tabs>
                      <w:tab w:val="left" w:pos="3255"/>
                    </w:tabs>
                    <w:rPr>
                      <w:szCs w:val="21"/>
                    </w:rPr>
                  </w:pPr>
                </w:p>
              </w:tc>
              <w:tc>
                <w:tcPr>
                  <w:tcW w:w="1541" w:type="pct"/>
                  <w:vMerge w:val="continue"/>
                  <w:shd w:val="clear" w:color="auto" w:fill="auto"/>
                  <w:vAlign w:val="center"/>
                </w:tcPr>
                <w:p>
                  <w:pPr>
                    <w:tabs>
                      <w:tab w:val="left" w:pos="3255"/>
                    </w:tabs>
                    <w:jc w:val="center"/>
                    <w:rPr>
                      <w:szCs w:val="21"/>
                    </w:rPr>
                  </w:pPr>
                </w:p>
              </w:tc>
              <w:tc>
                <w:tcPr>
                  <w:tcW w:w="630" w:type="pct"/>
                  <w:vMerge w:val="continue"/>
                  <w:shd w:val="clear" w:color="auto" w:fill="auto"/>
                  <w:vAlign w:val="center"/>
                </w:tcPr>
                <w:p>
                  <w:pPr>
                    <w:tabs>
                      <w:tab w:val="left" w:pos="3255"/>
                    </w:tabs>
                    <w:jc w:val="center"/>
                    <w:rPr>
                      <w:szCs w:val="21"/>
                    </w:rPr>
                  </w:pPr>
                </w:p>
              </w:tc>
            </w:tr>
          </w:tbl>
          <w:p>
            <w:pPr>
              <w:suppressAutoHyphens/>
              <w:adjustRightInd w:val="0"/>
              <w:snapToGrid w:val="0"/>
              <w:spacing w:line="400" w:lineRule="exact"/>
              <w:ind w:firstLine="420" w:firstLineChars="200"/>
              <w:rPr>
                <w:kern w:val="0"/>
                <w:szCs w:val="21"/>
              </w:rPr>
            </w:pPr>
            <w:r>
              <w:rPr>
                <w:rFonts w:hint="eastAsia"/>
                <w:kern w:val="0"/>
                <w:szCs w:val="21"/>
              </w:rPr>
              <w:t>综上，本项目符合《秦皇岛市”三线一单”生态环境分区管控实施意见》（秦政字【2021】6号）、《秦皇岛市生态环境准入清单（2</w:t>
            </w:r>
            <w:r>
              <w:rPr>
                <w:kern w:val="0"/>
                <w:szCs w:val="21"/>
              </w:rPr>
              <w:t>023</w:t>
            </w:r>
            <w:r>
              <w:rPr>
                <w:rFonts w:hint="eastAsia"/>
                <w:kern w:val="0"/>
                <w:szCs w:val="21"/>
              </w:rPr>
              <w:t>年版）》（2</w:t>
            </w:r>
            <w:r>
              <w:rPr>
                <w:kern w:val="0"/>
                <w:szCs w:val="21"/>
              </w:rPr>
              <w:t>024</w:t>
            </w:r>
            <w:r>
              <w:rPr>
                <w:rFonts w:hint="eastAsia"/>
                <w:kern w:val="0"/>
                <w:szCs w:val="21"/>
              </w:rPr>
              <w:t>年6月修订）的相关要求。</w:t>
            </w:r>
          </w:p>
          <w:bookmarkEnd w:id="12"/>
          <w:p>
            <w:pPr>
              <w:adjustRightInd w:val="0"/>
              <w:snapToGrid w:val="0"/>
              <w:spacing w:line="400" w:lineRule="exact"/>
              <w:rPr>
                <w:b/>
                <w:szCs w:val="21"/>
              </w:rPr>
            </w:pPr>
            <w:r>
              <w:rPr>
                <w:b/>
                <w:szCs w:val="21"/>
              </w:rPr>
              <w:t>2、相关生态环境保护法律法规政策</w:t>
            </w:r>
          </w:p>
          <w:p>
            <w:pPr>
              <w:adjustRightInd w:val="0"/>
              <w:snapToGrid w:val="0"/>
              <w:spacing w:line="400" w:lineRule="exact"/>
              <w:ind w:firstLine="422" w:firstLineChars="200"/>
              <w:rPr>
                <w:b/>
                <w:szCs w:val="21"/>
              </w:rPr>
            </w:pPr>
            <w:r>
              <w:rPr>
                <w:rFonts w:hint="eastAsia"/>
                <w:b/>
                <w:szCs w:val="21"/>
              </w:rPr>
              <w:t>2</w:t>
            </w:r>
            <w:r>
              <w:rPr>
                <w:b/>
                <w:szCs w:val="21"/>
              </w:rPr>
              <w:t>.</w:t>
            </w:r>
            <w:r>
              <w:rPr>
                <w:rFonts w:hint="eastAsia"/>
                <w:b/>
                <w:szCs w:val="21"/>
                <w:lang w:val="en-US" w:eastAsia="zh-CN"/>
              </w:rPr>
              <w:t>1</w:t>
            </w:r>
            <w:r>
              <w:rPr>
                <w:rFonts w:hint="eastAsia"/>
                <w:b/>
                <w:szCs w:val="21"/>
              </w:rPr>
              <w:t>地方政策符合性分析</w:t>
            </w:r>
          </w:p>
          <w:p>
            <w:pPr>
              <w:adjustRightInd w:val="0"/>
              <w:snapToGrid w:val="0"/>
              <w:spacing w:line="400" w:lineRule="exact"/>
              <w:ind w:firstLine="420" w:firstLineChars="200"/>
            </w:pPr>
            <w:r>
              <w:rPr>
                <w:rFonts w:hint="eastAsia"/>
                <w:bCs/>
                <w:szCs w:val="21"/>
              </w:rPr>
              <w:t>（1）根据《关于做好2022年企业温室气体排放报告管理相关重点工作的通知》（环办气候函〔2022〕111号）、《关于做好2022年企业温室气体排放报告管理相关重点工作的通知》（环办气候函〔2022〕111号）、《关于做好2</w:t>
            </w:r>
            <w:r>
              <w:rPr>
                <w:bCs/>
                <w:szCs w:val="21"/>
              </w:rPr>
              <w:t>023</w:t>
            </w:r>
            <w:r>
              <w:rPr>
                <w:rFonts w:hint="eastAsia"/>
                <w:bCs/>
                <w:szCs w:val="21"/>
              </w:rPr>
              <w:t>~</w:t>
            </w:r>
            <w:r>
              <w:rPr>
                <w:bCs/>
                <w:szCs w:val="21"/>
              </w:rPr>
              <w:t>2025</w:t>
            </w:r>
            <w:r>
              <w:rPr>
                <w:rFonts w:hint="eastAsia"/>
                <w:bCs/>
                <w:szCs w:val="21"/>
              </w:rPr>
              <w:t>年发电行业企业温室气体排放报告管理有关工作的通知》（环办气候函【2</w:t>
            </w:r>
            <w:r>
              <w:rPr>
                <w:bCs/>
                <w:szCs w:val="21"/>
              </w:rPr>
              <w:t>023</w:t>
            </w:r>
            <w:r>
              <w:rPr>
                <w:rFonts w:hint="eastAsia"/>
                <w:bCs/>
                <w:szCs w:val="21"/>
              </w:rPr>
              <w:t>】4</w:t>
            </w:r>
            <w:r>
              <w:rPr>
                <w:bCs/>
                <w:szCs w:val="21"/>
              </w:rPr>
              <w:t>3</w:t>
            </w:r>
            <w:r>
              <w:rPr>
                <w:rFonts w:hint="eastAsia"/>
                <w:bCs/>
                <w:szCs w:val="21"/>
              </w:rPr>
              <w:t>号）、以及《秦皇岛市深入打好污染防治攻坚战实施方案》（秦传（2022）6号），要求</w:t>
            </w:r>
            <w:r>
              <w:rPr>
                <w:rFonts w:hint="eastAsia"/>
              </w:rPr>
              <w:t>“将温室气体管控纳入环评管理，在环评文件中增加碳排放评价内容”，本次评价根据要求进行了碳排放分析，符合要求。</w:t>
            </w:r>
          </w:p>
          <w:p>
            <w:pPr>
              <w:adjustRightInd w:val="0"/>
              <w:snapToGrid w:val="0"/>
              <w:spacing w:line="400" w:lineRule="exact"/>
              <w:ind w:firstLine="420" w:firstLineChars="200"/>
            </w:pPr>
            <w:r>
              <w:rPr>
                <w:rFonts w:hint="eastAsia"/>
              </w:rPr>
              <w:t>（2）与《秦皇岛市大气污染防治行动领导小组办公室关于开展挥发性有机物深度治理工作的通知》（秦气防领办【2</w:t>
            </w:r>
            <w:r>
              <w:t>019</w:t>
            </w:r>
            <w:r>
              <w:rPr>
                <w:rFonts w:hint="eastAsia"/>
              </w:rPr>
              <w:t>】7</w:t>
            </w:r>
            <w:r>
              <w:t>2</w:t>
            </w:r>
            <w:r>
              <w:rPr>
                <w:rFonts w:hint="eastAsia"/>
              </w:rPr>
              <w:t>号）相符性：</w:t>
            </w:r>
          </w:p>
          <w:p>
            <w:pPr>
              <w:adjustRightInd w:val="0"/>
              <w:snapToGrid w:val="0"/>
              <w:spacing w:line="400" w:lineRule="exact"/>
              <w:ind w:firstLine="422" w:firstLineChars="200"/>
              <w:jc w:val="center"/>
            </w:pPr>
            <w:r>
              <w:rPr>
                <w:rFonts w:hint="eastAsia"/>
                <w:b/>
                <w:bCs/>
                <w:kern w:val="0"/>
                <w:szCs w:val="21"/>
              </w:rPr>
              <w:t>表1</w:t>
            </w:r>
            <w:r>
              <w:rPr>
                <w:b/>
                <w:bCs/>
                <w:kern w:val="0"/>
                <w:szCs w:val="21"/>
              </w:rPr>
              <w:t>-</w:t>
            </w:r>
            <w:r>
              <w:rPr>
                <w:rFonts w:hint="eastAsia"/>
                <w:b/>
                <w:bCs/>
                <w:kern w:val="0"/>
                <w:szCs w:val="21"/>
                <w:lang w:val="en-US" w:eastAsia="zh-CN"/>
              </w:rPr>
              <w:t xml:space="preserve">5 </w:t>
            </w:r>
            <w:r>
              <w:rPr>
                <w:b/>
                <w:bCs/>
                <w:kern w:val="0"/>
                <w:szCs w:val="21"/>
              </w:rPr>
              <w:t xml:space="preserve">  </w:t>
            </w:r>
            <w:r>
              <w:rPr>
                <w:rFonts w:hint="eastAsia"/>
                <w:b/>
                <w:bCs/>
                <w:kern w:val="0"/>
                <w:szCs w:val="21"/>
              </w:rPr>
              <w:t>与秦气防领办【2</w:t>
            </w:r>
            <w:r>
              <w:rPr>
                <w:b/>
                <w:bCs/>
                <w:kern w:val="0"/>
                <w:szCs w:val="21"/>
              </w:rPr>
              <w:t>019</w:t>
            </w:r>
            <w:r>
              <w:rPr>
                <w:rFonts w:hint="eastAsia"/>
                <w:b/>
                <w:bCs/>
                <w:kern w:val="0"/>
                <w:szCs w:val="21"/>
              </w:rPr>
              <w:t>】7</w:t>
            </w:r>
            <w:r>
              <w:rPr>
                <w:b/>
                <w:bCs/>
                <w:kern w:val="0"/>
                <w:szCs w:val="21"/>
              </w:rPr>
              <w:t>2</w:t>
            </w:r>
            <w:r>
              <w:rPr>
                <w:rFonts w:hint="eastAsia"/>
                <w:b/>
                <w:bCs/>
                <w:kern w:val="0"/>
                <w:szCs w:val="21"/>
              </w:rPr>
              <w:t>号的符合性分析</w:t>
            </w:r>
          </w:p>
          <w:tbl>
            <w:tblPr>
              <w:tblStyle w:val="9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0"/>
              <w:gridCol w:w="3423"/>
              <w:gridCol w:w="2375"/>
              <w:gridCol w:w="4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gridSpan w:val="2"/>
                  <w:vAlign w:val="center"/>
                </w:tcPr>
                <w:p>
                  <w:pPr>
                    <w:adjustRightInd w:val="0"/>
                    <w:snapToGrid w:val="0"/>
                    <w:jc w:val="center"/>
                  </w:pPr>
                  <w:r>
                    <w:rPr>
                      <w:rFonts w:hint="eastAsia"/>
                    </w:rPr>
                    <w:t>文件要求</w:t>
                  </w:r>
                </w:p>
              </w:tc>
              <w:tc>
                <w:tcPr>
                  <w:tcW w:w="0" w:type="auto"/>
                  <w:vAlign w:val="center"/>
                </w:tcPr>
                <w:p>
                  <w:pPr>
                    <w:adjustRightInd w:val="0"/>
                    <w:snapToGrid w:val="0"/>
                    <w:jc w:val="center"/>
                  </w:pPr>
                  <w:r>
                    <w:rPr>
                      <w:rFonts w:hint="eastAsia"/>
                    </w:rPr>
                    <w:t>本项目情况</w:t>
                  </w:r>
                </w:p>
              </w:tc>
              <w:tc>
                <w:tcPr>
                  <w:tcW w:w="0" w:type="auto"/>
                  <w:vAlign w:val="center"/>
                </w:tcPr>
                <w:p>
                  <w:pPr>
                    <w:adjustRightInd w:val="0"/>
                    <w:snapToGrid w:val="0"/>
                    <w:jc w:val="center"/>
                  </w:pPr>
                  <w:r>
                    <w:rPr>
                      <w:rFonts w:hint="eastAsia"/>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adjustRightInd w:val="0"/>
                    <w:snapToGrid w:val="0"/>
                    <w:jc w:val="center"/>
                  </w:pPr>
                  <w:r>
                    <w:rPr>
                      <w:rFonts w:hint="eastAsia"/>
                    </w:rPr>
                    <w:t>推广多级串联模式</w:t>
                  </w:r>
                </w:p>
              </w:tc>
              <w:tc>
                <w:tcPr>
                  <w:tcW w:w="0" w:type="auto"/>
                  <w:vAlign w:val="center"/>
                </w:tcPr>
                <w:p>
                  <w:pPr>
                    <w:adjustRightInd w:val="0"/>
                    <w:snapToGrid w:val="0"/>
                    <w:jc w:val="center"/>
                  </w:pPr>
                  <w:r>
                    <w:rPr>
                      <w:rFonts w:hint="eastAsia"/>
                    </w:rPr>
                    <w:t>根据企业实际产生的污染物的浓度，合理采取治理工艺。对污染物产生浓度偏高的，推荐使用沸石转轮加催化燃烧方式；对污染物产生浓度偏低的，推荐使用前端处理加活性炭和U</w:t>
                  </w:r>
                  <w:r>
                    <w:t>V</w:t>
                  </w:r>
                  <w:r>
                    <w:rPr>
                      <w:rFonts w:hint="eastAsia"/>
                    </w:rPr>
                    <w:t>光氧多种处理工艺复合方式；不推荐采用单一的活性炭或U</w:t>
                  </w:r>
                  <w:r>
                    <w:t>V</w:t>
                  </w:r>
                  <w:r>
                    <w:rPr>
                      <w:rFonts w:hint="eastAsia"/>
                    </w:rPr>
                    <w:t>光氧吸附工艺，活性炭和U</w:t>
                  </w:r>
                  <w:r>
                    <w:t>V</w:t>
                  </w:r>
                  <w:r>
                    <w:rPr>
                      <w:rFonts w:hint="eastAsia"/>
                    </w:rPr>
                    <w:t>光氧相关耗材要定期维护更换，根据企业实际情况原则上U</w:t>
                  </w:r>
                  <w:r>
                    <w:t>V</w:t>
                  </w:r>
                  <w:r>
                    <w:rPr>
                      <w:rFonts w:hint="eastAsia"/>
                    </w:rPr>
                    <w:t>光氧相关耗材1年更换1次，活性炭2</w:t>
                  </w:r>
                  <w:r>
                    <w:t>~4</w:t>
                  </w:r>
                  <w:r>
                    <w:rPr>
                      <w:rFonts w:hint="eastAsia"/>
                    </w:rPr>
                    <w:t>月更换一次</w:t>
                  </w:r>
                </w:p>
              </w:tc>
              <w:tc>
                <w:tcPr>
                  <w:tcW w:w="0" w:type="auto"/>
                  <w:vAlign w:val="center"/>
                </w:tcPr>
                <w:p>
                  <w:pPr>
                    <w:adjustRightInd w:val="0"/>
                    <w:snapToGrid w:val="0"/>
                    <w:jc w:val="center"/>
                  </w:pPr>
                  <w:r>
                    <w:rPr>
                      <w:rFonts w:hint="eastAsia"/>
                    </w:rPr>
                    <w:t>本项目对挥发性有机物收集后采用“过滤</w:t>
                  </w:r>
                  <w:r>
                    <w:rPr>
                      <w:rFonts w:hint="eastAsia"/>
                      <w:lang w:val="en-US" w:eastAsia="zh-CN"/>
                    </w:rPr>
                    <w:t>棉</w:t>
                  </w:r>
                  <w:r>
                    <w:rPr>
                      <w:rFonts w:hint="eastAsia"/>
                    </w:rPr>
                    <w:t>+</w:t>
                  </w:r>
                  <w:r>
                    <w:rPr>
                      <w:rFonts w:hint="eastAsia"/>
                      <w:lang w:val="en-US" w:eastAsia="zh-CN"/>
                    </w:rPr>
                    <w:t>二级</w:t>
                  </w:r>
                  <w:r>
                    <w:rPr>
                      <w:rFonts w:hint="eastAsia"/>
                    </w:rPr>
                    <w:t>活性炭吸附</w:t>
                  </w:r>
                  <w:r>
                    <w:rPr>
                      <w:rFonts w:hint="eastAsia"/>
                      <w:lang w:val="en-US" w:eastAsia="zh-CN"/>
                    </w:rPr>
                    <w:t>装置</w:t>
                  </w:r>
                  <w:r>
                    <w:rPr>
                      <w:rFonts w:hint="eastAsia"/>
                    </w:rPr>
                    <w:t>”处理后排放。项目预测活性炭吸附有机废气约为</w:t>
                  </w:r>
                  <w:r>
                    <w:rPr>
                      <w:rFonts w:hint="eastAsia"/>
                      <w:lang w:val="en-US" w:eastAsia="zh-CN"/>
                    </w:rPr>
                    <w:t>2.7</w:t>
                  </w:r>
                  <w:r>
                    <w:t>t/a</w:t>
                  </w:r>
                  <w:r>
                    <w:rPr>
                      <w:rFonts w:hint="eastAsia"/>
                    </w:rPr>
                    <w:t>，活性炭对不同有机废气的吸附效果不同，</w:t>
                  </w:r>
                  <w:r>
                    <w:rPr>
                      <w:rFonts w:hint="eastAsia"/>
                      <w:lang w:val="en-US" w:eastAsia="zh-CN"/>
                    </w:rPr>
                    <w:t>本项目</w:t>
                  </w:r>
                  <w:r>
                    <w:rPr>
                      <w:rFonts w:hint="eastAsia"/>
                    </w:rPr>
                    <w:t>有机废气治理设施需活性炭2.76t。则理论上预计</w:t>
                  </w:r>
                  <w:r>
                    <w:rPr>
                      <w:rFonts w:hint="eastAsia"/>
                      <w:lang w:val="en-US" w:eastAsia="zh-CN"/>
                    </w:rPr>
                    <w:t>一年</w:t>
                  </w:r>
                  <w:r>
                    <w:rPr>
                      <w:rFonts w:hint="eastAsia"/>
                    </w:rPr>
                    <w:t>可以吸附饱和。实际工作中，炭活性炭的更换频次应根据实际治理效果更换，同时应满足2</w:t>
                  </w:r>
                  <w:r>
                    <w:t>~4</w:t>
                  </w:r>
                  <w:r>
                    <w:rPr>
                      <w:rFonts w:hint="eastAsia"/>
                    </w:rPr>
                    <w:t>月更换一次</w:t>
                  </w:r>
                </w:p>
              </w:tc>
              <w:tc>
                <w:tcPr>
                  <w:tcW w:w="0" w:type="auto"/>
                  <w:vAlign w:val="center"/>
                </w:tcPr>
                <w:p>
                  <w:pPr>
                    <w:adjustRightInd w:val="0"/>
                    <w:snapToGrid w:val="0"/>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adjustRightInd w:val="0"/>
                    <w:snapToGrid w:val="0"/>
                    <w:jc w:val="center"/>
                  </w:pPr>
                  <w:r>
                    <w:rPr>
                      <w:rFonts w:hint="eastAsia"/>
                    </w:rPr>
                    <w:t>加强实时监控工作</w:t>
                  </w:r>
                </w:p>
              </w:tc>
              <w:tc>
                <w:tcPr>
                  <w:tcW w:w="0" w:type="auto"/>
                  <w:vAlign w:val="center"/>
                </w:tcPr>
                <w:p>
                  <w:pPr>
                    <w:adjustRightInd w:val="0"/>
                    <w:snapToGrid w:val="0"/>
                    <w:jc w:val="center"/>
                  </w:pPr>
                  <w:r>
                    <w:rPr>
                      <w:rFonts w:hint="eastAsia"/>
                    </w:rPr>
                    <w:t>对排气量大于6</w:t>
                  </w:r>
                  <w:r>
                    <w:t>0000</w:t>
                  </w:r>
                  <w:r>
                    <w:rPr>
                      <w:rFonts w:hint="eastAsia"/>
                    </w:rPr>
                    <w:t>立方米/小时的重点企业安装了在线监控装置。为进一步加强实时监控工作，现要求9月底前全市排气量大于2</w:t>
                  </w:r>
                  <w:r>
                    <w:t>0000</w:t>
                  </w:r>
                  <w:r>
                    <w:rPr>
                      <w:rFonts w:hint="eastAsia"/>
                    </w:rPr>
                    <w:t>立方米/小时的重点企业安装在线监控装置</w:t>
                  </w:r>
                </w:p>
              </w:tc>
              <w:tc>
                <w:tcPr>
                  <w:tcW w:w="0" w:type="auto"/>
                  <w:vAlign w:val="center"/>
                </w:tcPr>
                <w:p>
                  <w:pPr>
                    <w:adjustRightInd w:val="0"/>
                    <w:snapToGrid w:val="0"/>
                    <w:jc w:val="center"/>
                  </w:pPr>
                  <w:r>
                    <w:rPr>
                      <w:rFonts w:hint="eastAsia"/>
                    </w:rPr>
                    <w:t>本项目废气量为</w:t>
                  </w:r>
                  <w:r>
                    <w:rPr>
                      <w:rFonts w:hint="eastAsia"/>
                      <w:lang w:val="en-US" w:eastAsia="zh-CN"/>
                    </w:rPr>
                    <w:t>10</w:t>
                  </w:r>
                  <w:r>
                    <w:t>000</w:t>
                  </w:r>
                  <w:r>
                    <w:rPr>
                      <w:rFonts w:hint="eastAsia"/>
                    </w:rPr>
                    <w:t>立方米/小时，同时不属于重点企业，无在线监控要求</w:t>
                  </w:r>
                  <w:r>
                    <w:t xml:space="preserve"> </w:t>
                  </w:r>
                </w:p>
              </w:tc>
              <w:tc>
                <w:tcPr>
                  <w:tcW w:w="0" w:type="auto"/>
                  <w:vAlign w:val="center"/>
                </w:tcPr>
                <w:p>
                  <w:pPr>
                    <w:adjustRightInd w:val="0"/>
                    <w:snapToGrid w:val="0"/>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restart"/>
                  <w:vAlign w:val="center"/>
                </w:tcPr>
                <w:p>
                  <w:pPr>
                    <w:adjustRightInd w:val="0"/>
                    <w:snapToGrid w:val="0"/>
                    <w:jc w:val="center"/>
                  </w:pPr>
                  <w:r>
                    <w:rPr>
                      <w:rFonts w:hint="eastAsia"/>
                    </w:rPr>
                    <w:t>切实提高污染物收集率</w:t>
                  </w:r>
                </w:p>
              </w:tc>
              <w:tc>
                <w:tcPr>
                  <w:tcW w:w="0" w:type="auto"/>
                  <w:vAlign w:val="center"/>
                </w:tcPr>
                <w:p>
                  <w:pPr>
                    <w:adjustRightInd w:val="0"/>
                    <w:snapToGrid w:val="0"/>
                    <w:jc w:val="center"/>
                  </w:pPr>
                  <w:r>
                    <w:rPr>
                      <w:rFonts w:hint="eastAsia"/>
                    </w:rPr>
                    <w:t>对车间内进行密闭改造，原则上除进出门口和排气筒外，不得私设其他排放口，鼓励企业对车间废气进行二次收集处理；</w:t>
                  </w:r>
                </w:p>
              </w:tc>
              <w:tc>
                <w:tcPr>
                  <w:tcW w:w="0" w:type="auto"/>
                  <w:vMerge w:val="restart"/>
                  <w:vAlign w:val="center"/>
                </w:tcPr>
                <w:p>
                  <w:pPr>
                    <w:adjustRightInd w:val="0"/>
                    <w:snapToGrid w:val="0"/>
                    <w:jc w:val="center"/>
                  </w:pPr>
                  <w:r>
                    <w:rPr>
                      <w:rFonts w:hint="eastAsia"/>
                    </w:rPr>
                    <w:t>除消防和其他国家职能部门特殊要求设置开口外，车间尽量密闭；废气收集采用外部排风罩的形式，并要求控制风速满足上述要求</w:t>
                  </w:r>
                </w:p>
              </w:tc>
              <w:tc>
                <w:tcPr>
                  <w:tcW w:w="0" w:type="auto"/>
                  <w:vMerge w:val="restart"/>
                  <w:vAlign w:val="center"/>
                </w:tcPr>
                <w:p>
                  <w:pPr>
                    <w:adjustRightInd w:val="0"/>
                    <w:snapToGrid w:val="0"/>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pPr>
                </w:p>
              </w:tc>
              <w:tc>
                <w:tcPr>
                  <w:tcW w:w="0" w:type="auto"/>
                  <w:vAlign w:val="center"/>
                </w:tcPr>
                <w:p>
                  <w:pPr>
                    <w:adjustRightInd w:val="0"/>
                    <w:snapToGrid w:val="0"/>
                    <w:jc w:val="center"/>
                  </w:pPr>
                  <w:r>
                    <w:rPr>
                      <w:rFonts w:hint="eastAsia"/>
                    </w:rPr>
                    <w:t>对挥发性有机物产生环节进行密闭收集，尽量减少无组织排放扩散</w:t>
                  </w:r>
                </w:p>
              </w:tc>
              <w:tc>
                <w:tcPr>
                  <w:tcW w:w="0" w:type="auto"/>
                  <w:vMerge w:val="continue"/>
                  <w:vAlign w:val="center"/>
                </w:tcPr>
                <w:p>
                  <w:pPr>
                    <w:adjustRightInd w:val="0"/>
                    <w:snapToGrid w:val="0"/>
                    <w:jc w:val="center"/>
                  </w:pPr>
                </w:p>
              </w:tc>
              <w:tc>
                <w:tcPr>
                  <w:tcW w:w="0" w:type="auto"/>
                  <w:vMerge w:val="continue"/>
                  <w:vAlign w:val="center"/>
                </w:tcPr>
                <w:p>
                  <w:pPr>
                    <w:adjustRightInd w:val="0"/>
                    <w:snapToGrid w:val="0"/>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vAlign w:val="center"/>
                </w:tcPr>
                <w:p>
                  <w:pPr>
                    <w:adjustRightInd w:val="0"/>
                    <w:snapToGrid w:val="0"/>
                    <w:jc w:val="center"/>
                  </w:pPr>
                </w:p>
              </w:tc>
              <w:tc>
                <w:tcPr>
                  <w:tcW w:w="0" w:type="auto"/>
                  <w:vAlign w:val="center"/>
                </w:tcPr>
                <w:p>
                  <w:pPr>
                    <w:adjustRightInd w:val="0"/>
                    <w:snapToGrid w:val="0"/>
                    <w:jc w:val="center"/>
                  </w:pPr>
                  <w:r>
                    <w:rPr>
                      <w:rFonts w:hint="eastAsia"/>
                    </w:rPr>
                    <w:t>根据环保部《挥发性有机物无组织排放控制标准》（G</w:t>
                  </w:r>
                  <w:r>
                    <w:t>B37822-2019</w:t>
                  </w:r>
                  <w:r>
                    <w:rPr>
                      <w:rFonts w:hint="eastAsia"/>
                    </w:rPr>
                    <w:t>）有关要求，采用外部排风罩的，应按规定的方法控制测量风速，测量点应选取距排风罩开口面最远处的V</w:t>
                  </w:r>
                  <w:r>
                    <w:t>OCs</w:t>
                  </w:r>
                  <w:r>
                    <w:rPr>
                      <w:rFonts w:hint="eastAsia"/>
                    </w:rPr>
                    <w:t>无组织排放位置，控制风速不应低于0</w:t>
                  </w:r>
                  <w:r>
                    <w:t>.3 m/s</w:t>
                  </w:r>
                  <w:r>
                    <w:rPr>
                      <w:rFonts w:hint="eastAsia"/>
                    </w:rPr>
                    <w:t>。</w:t>
                  </w:r>
                </w:p>
              </w:tc>
              <w:tc>
                <w:tcPr>
                  <w:tcW w:w="0" w:type="auto"/>
                  <w:vMerge w:val="continue"/>
                  <w:vAlign w:val="center"/>
                </w:tcPr>
                <w:p>
                  <w:pPr>
                    <w:adjustRightInd w:val="0"/>
                    <w:snapToGrid w:val="0"/>
                    <w:jc w:val="center"/>
                  </w:pPr>
                </w:p>
              </w:tc>
              <w:tc>
                <w:tcPr>
                  <w:tcW w:w="0" w:type="auto"/>
                  <w:vMerge w:val="continue"/>
                  <w:vAlign w:val="center"/>
                </w:tcPr>
                <w:p>
                  <w:pPr>
                    <w:adjustRightInd w:val="0"/>
                    <w:snapToGrid w:val="0"/>
                    <w:jc w:val="center"/>
                  </w:pPr>
                </w:p>
              </w:tc>
            </w:tr>
          </w:tbl>
          <w:p>
            <w:pPr>
              <w:adjustRightInd w:val="0"/>
              <w:snapToGrid w:val="0"/>
              <w:spacing w:line="400" w:lineRule="exact"/>
              <w:ind w:firstLine="420" w:firstLineChars="200"/>
              <w:rPr>
                <w:b w:val="0"/>
                <w:bCs/>
                <w:szCs w:val="21"/>
              </w:rPr>
            </w:pPr>
            <w:r>
              <w:rPr>
                <w:rFonts w:hint="eastAsia"/>
                <w:b w:val="0"/>
                <w:bCs/>
                <w:szCs w:val="21"/>
              </w:rPr>
              <w:t>（3）</w:t>
            </w:r>
            <w:r>
              <w:rPr>
                <w:rFonts w:hint="eastAsia"/>
                <w:b w:val="0"/>
                <w:bCs/>
                <w:szCs w:val="21"/>
                <w:lang w:val="en-US" w:eastAsia="zh-CN"/>
              </w:rPr>
              <w:t>其他政策符合性</w:t>
            </w:r>
            <w:r>
              <w:rPr>
                <w:rFonts w:hint="eastAsia"/>
                <w:b w:val="0"/>
                <w:bCs/>
                <w:szCs w:val="21"/>
              </w:rPr>
              <w:t>分析</w:t>
            </w:r>
          </w:p>
          <w:p>
            <w:pPr>
              <w:spacing w:line="400" w:lineRule="exact"/>
              <w:jc w:val="center"/>
              <w:rPr>
                <w:b/>
                <w:szCs w:val="21"/>
              </w:rPr>
            </w:pPr>
            <w:r>
              <w:rPr>
                <w:rFonts w:hint="eastAsia"/>
                <w:b/>
                <w:szCs w:val="21"/>
              </w:rPr>
              <w:t>表1</w:t>
            </w:r>
            <w:r>
              <w:rPr>
                <w:b/>
                <w:szCs w:val="21"/>
              </w:rPr>
              <w:t>-</w:t>
            </w:r>
            <w:r>
              <w:rPr>
                <w:rFonts w:hint="eastAsia"/>
                <w:b/>
                <w:szCs w:val="21"/>
                <w:lang w:val="en-US" w:eastAsia="zh-CN"/>
              </w:rPr>
              <w:t xml:space="preserve">6  </w:t>
            </w:r>
            <w:r>
              <w:rPr>
                <w:b/>
                <w:szCs w:val="21"/>
              </w:rPr>
              <w:t xml:space="preserve"> </w:t>
            </w:r>
            <w:r>
              <w:rPr>
                <w:rFonts w:hint="eastAsia"/>
                <w:b/>
                <w:szCs w:val="21"/>
              </w:rPr>
              <w:t>其他政策符合性分析</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6"/>
              <w:gridCol w:w="3438"/>
              <w:gridCol w:w="1452"/>
              <w:gridCol w:w="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14"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政策、规范</w:t>
                  </w:r>
                </w:p>
              </w:tc>
              <w:tc>
                <w:tcPr>
                  <w:tcW w:w="254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相关要求</w:t>
                  </w:r>
                </w:p>
              </w:tc>
              <w:tc>
                <w:tcPr>
                  <w:tcW w:w="107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本项目情况</w:t>
                  </w:r>
                </w:p>
              </w:tc>
              <w:tc>
                <w:tcPr>
                  <w:tcW w:w="472"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14"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《国务院关于印发大气污染防治行动计划的通知》</w:t>
                  </w:r>
                </w:p>
              </w:tc>
              <w:tc>
                <w:tcPr>
                  <w:tcW w:w="254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推进挥发性有机物污染治理</w:t>
                  </w:r>
                </w:p>
              </w:tc>
              <w:tc>
                <w:tcPr>
                  <w:tcW w:w="107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本项目有机废气经</w:t>
                  </w:r>
                  <w:r>
                    <w:rPr>
                      <w:rFonts w:hint="eastAsia"/>
                    </w:rPr>
                    <w:t>过滤</w:t>
                  </w:r>
                  <w:r>
                    <w:rPr>
                      <w:rFonts w:hint="eastAsia"/>
                      <w:lang w:val="en-US" w:eastAsia="zh-CN"/>
                    </w:rPr>
                    <w:t>棉</w:t>
                  </w:r>
                  <w:r>
                    <w:rPr>
                      <w:rFonts w:hint="eastAsia"/>
                    </w:rPr>
                    <w:t>+</w:t>
                  </w:r>
                  <w:r>
                    <w:rPr>
                      <w:rFonts w:hint="eastAsia"/>
                      <w:lang w:val="en-US" w:eastAsia="zh-CN"/>
                    </w:rPr>
                    <w:t>二级</w:t>
                  </w:r>
                  <w:r>
                    <w:rPr>
                      <w:rFonts w:hint="eastAsia"/>
                    </w:rPr>
                    <w:t>活性炭吸附</w:t>
                  </w:r>
                  <w:r>
                    <w:rPr>
                      <w:rFonts w:hint="eastAsia"/>
                      <w:lang w:val="en-US" w:eastAsia="zh-CN"/>
                    </w:rPr>
                    <w:t>装置</w:t>
                  </w:r>
                  <w:r>
                    <w:rPr>
                      <w:rFonts w:hint="eastAsia"/>
                      <w:szCs w:val="21"/>
                    </w:rPr>
                    <w:t>处理后排放</w:t>
                  </w:r>
                </w:p>
              </w:tc>
              <w:tc>
                <w:tcPr>
                  <w:tcW w:w="472"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14"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《河北省生态环境保护“十四五”规划》</w:t>
                  </w:r>
                </w:p>
              </w:tc>
              <w:tc>
                <w:tcPr>
                  <w:tcW w:w="254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深化重点行业挥发性有机物（VOCs）治理。以石化、化工、涂装、医药、包装印刷、油品储运销等行业领域为重点，安全高效推进挥发性有机物（VOCs）综合治理，实施原辅材料和产品源头替代、无组织排放和末端深度治理等提升改造工程。取消非必要的挥发性有机物（VOCs）废气排放系统旁路，必须保留的加强监管与治理。</w:t>
                  </w:r>
                </w:p>
              </w:tc>
              <w:tc>
                <w:tcPr>
                  <w:tcW w:w="107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本项目主要V</w:t>
                  </w:r>
                  <w:r>
                    <w:rPr>
                      <w:szCs w:val="21"/>
                    </w:rPr>
                    <w:t>OCs</w:t>
                  </w:r>
                  <w:r>
                    <w:rPr>
                      <w:rFonts w:hint="eastAsia"/>
                      <w:szCs w:val="21"/>
                    </w:rPr>
                    <w:t>物料为</w:t>
                  </w:r>
                  <w:r>
                    <w:rPr>
                      <w:rFonts w:hint="eastAsia"/>
                      <w:bCs/>
                      <w:szCs w:val="21"/>
                      <w:lang w:val="en-US" w:eastAsia="zh-CN"/>
                    </w:rPr>
                    <w:t>BOPP薄膜、EVA颗粒</w:t>
                  </w:r>
                  <w:r>
                    <w:rPr>
                      <w:rFonts w:hint="eastAsia"/>
                      <w:szCs w:val="21"/>
                    </w:rPr>
                    <w:t>，本身挥发性较低，废气收集处理，采用</w:t>
                  </w:r>
                  <w:r>
                    <w:rPr>
                      <w:rFonts w:hint="eastAsia"/>
                    </w:rPr>
                    <w:t>过滤</w:t>
                  </w:r>
                  <w:r>
                    <w:rPr>
                      <w:rFonts w:hint="eastAsia"/>
                      <w:lang w:val="en-US" w:eastAsia="zh-CN"/>
                    </w:rPr>
                    <w:t>棉</w:t>
                  </w:r>
                  <w:r>
                    <w:rPr>
                      <w:rFonts w:hint="eastAsia"/>
                    </w:rPr>
                    <w:t>+</w:t>
                  </w:r>
                  <w:r>
                    <w:rPr>
                      <w:rFonts w:hint="eastAsia"/>
                      <w:lang w:val="en-US" w:eastAsia="zh-CN"/>
                    </w:rPr>
                    <w:t>二级</w:t>
                  </w:r>
                  <w:r>
                    <w:rPr>
                      <w:rFonts w:hint="eastAsia"/>
                    </w:rPr>
                    <w:t>活性炭吸附</w:t>
                  </w:r>
                  <w:r>
                    <w:rPr>
                      <w:rFonts w:hint="eastAsia"/>
                      <w:lang w:val="en-US" w:eastAsia="zh-CN"/>
                    </w:rPr>
                    <w:t>装置</w:t>
                  </w:r>
                  <w:r>
                    <w:rPr>
                      <w:rFonts w:hint="eastAsia"/>
                      <w:szCs w:val="21"/>
                    </w:rPr>
                    <w:t>处理后排放</w:t>
                  </w:r>
                </w:p>
              </w:tc>
              <w:tc>
                <w:tcPr>
                  <w:tcW w:w="472"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14"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w:t>
                  </w:r>
                  <w:r>
                    <w:rPr>
                      <w:szCs w:val="21"/>
                    </w:rPr>
                    <w:t>2020</w:t>
                  </w:r>
                  <w:r>
                    <w:rPr>
                      <w:rFonts w:hint="eastAsia"/>
                      <w:szCs w:val="21"/>
                    </w:rPr>
                    <w:t>年挥发性有机物治理攻坚方案》</w:t>
                  </w:r>
                </w:p>
              </w:tc>
              <w:tc>
                <w:tcPr>
                  <w:tcW w:w="254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w:t>
                  </w:r>
                  <w:r>
                    <w:rPr>
                      <w:rFonts w:hint="eastAsia"/>
                      <w:szCs w:val="21"/>
                    </w:rPr>
                    <w:t>、企业应建立原辅材料台账，记录</w:t>
                  </w:r>
                  <w:r>
                    <w:rPr>
                      <w:szCs w:val="21"/>
                    </w:rPr>
                    <w:t>VOCs</w:t>
                  </w:r>
                  <w:r>
                    <w:rPr>
                      <w:rFonts w:hint="eastAsia"/>
                      <w:szCs w:val="21"/>
                    </w:rPr>
                    <w:t>原辅材料名称、成分、</w:t>
                  </w:r>
                  <w:r>
                    <w:rPr>
                      <w:szCs w:val="21"/>
                    </w:rPr>
                    <w:t>VOCs</w:t>
                  </w:r>
                  <w:r>
                    <w:rPr>
                      <w:rFonts w:hint="eastAsia"/>
                      <w:szCs w:val="21"/>
                    </w:rPr>
                    <w:t>含量、采购量、使用量、库存量、回收方式、回收量等信息，并保存相关证明材料；</w:t>
                  </w:r>
                </w:p>
                <w:p>
                  <w:pPr>
                    <w:jc w:val="center"/>
                    <w:rPr>
                      <w:szCs w:val="21"/>
                    </w:rPr>
                  </w:pPr>
                  <w:r>
                    <w:rPr>
                      <w:szCs w:val="21"/>
                    </w:rPr>
                    <w:t>2</w:t>
                  </w:r>
                  <w:r>
                    <w:rPr>
                      <w:rFonts w:hint="eastAsia"/>
                      <w:szCs w:val="21"/>
                    </w:rPr>
                    <w:t>、全面落实标准要求，强化无组织排放控制。</w:t>
                  </w:r>
                </w:p>
              </w:tc>
              <w:tc>
                <w:tcPr>
                  <w:tcW w:w="107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本次评价要求企业建立</w:t>
                  </w:r>
                  <w:r>
                    <w:rPr>
                      <w:szCs w:val="21"/>
                    </w:rPr>
                    <w:t>VOCs</w:t>
                  </w:r>
                  <w:r>
                    <w:rPr>
                      <w:rFonts w:hint="eastAsia"/>
                      <w:szCs w:val="21"/>
                    </w:rPr>
                    <w:t>台账，涉</w:t>
                  </w:r>
                  <w:r>
                    <w:rPr>
                      <w:szCs w:val="21"/>
                    </w:rPr>
                    <w:t>VOCs</w:t>
                  </w:r>
                  <w:r>
                    <w:rPr>
                      <w:rFonts w:hint="eastAsia"/>
                      <w:szCs w:val="21"/>
                    </w:rPr>
                    <w:t>作业在密闭车间内进行，并设置收集处理措施</w:t>
                  </w:r>
                </w:p>
              </w:tc>
              <w:tc>
                <w:tcPr>
                  <w:tcW w:w="472"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14" w:type="pct"/>
                  <w:vMerge w:val="restar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《重点行业挥发性有机物综合治理方案》（环大气【</w:t>
                  </w:r>
                  <w:r>
                    <w:rPr>
                      <w:szCs w:val="21"/>
                    </w:rPr>
                    <w:t>2019</w:t>
                  </w:r>
                  <w:r>
                    <w:rPr>
                      <w:rFonts w:hint="eastAsia"/>
                      <w:szCs w:val="21"/>
                    </w:rPr>
                    <w:t>】</w:t>
                  </w:r>
                  <w:r>
                    <w:rPr>
                      <w:szCs w:val="21"/>
                    </w:rPr>
                    <w:t>53</w:t>
                  </w:r>
                  <w:r>
                    <w:rPr>
                      <w:rFonts w:hint="eastAsia"/>
                      <w:szCs w:val="21"/>
                    </w:rPr>
                    <w:t>号）</w:t>
                  </w:r>
                </w:p>
              </w:tc>
              <w:tc>
                <w:tcPr>
                  <w:tcW w:w="254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大力推进源头替代</w:t>
                  </w:r>
                </w:p>
              </w:tc>
              <w:tc>
                <w:tcPr>
                  <w:tcW w:w="107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项目主要V</w:t>
                  </w:r>
                  <w:r>
                    <w:rPr>
                      <w:szCs w:val="21"/>
                    </w:rPr>
                    <w:t>OCs</w:t>
                  </w:r>
                  <w:r>
                    <w:rPr>
                      <w:rFonts w:hint="eastAsia"/>
                      <w:szCs w:val="21"/>
                    </w:rPr>
                    <w:t>物料为</w:t>
                  </w:r>
                  <w:r>
                    <w:rPr>
                      <w:rFonts w:hint="eastAsia"/>
                      <w:bCs/>
                      <w:szCs w:val="21"/>
                      <w:lang w:val="en-US" w:eastAsia="zh-CN"/>
                    </w:rPr>
                    <w:t>BOPP薄膜、EVA颗粒</w:t>
                  </w:r>
                  <w:r>
                    <w:rPr>
                      <w:rFonts w:hint="eastAsia"/>
                      <w:szCs w:val="21"/>
                    </w:rPr>
                    <w:t>，本身挥发性较低</w:t>
                  </w:r>
                </w:p>
              </w:tc>
              <w:tc>
                <w:tcPr>
                  <w:tcW w:w="472"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14" w:type="pct"/>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254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全面加强无组织排放控制。重点对含</w:t>
                  </w:r>
                  <w:r>
                    <w:rPr>
                      <w:szCs w:val="21"/>
                    </w:rPr>
                    <w:t xml:space="preserve"> VOCs </w:t>
                  </w:r>
                  <w:r>
                    <w:rPr>
                      <w:rFonts w:hint="eastAsia"/>
                      <w:szCs w:val="21"/>
                    </w:rPr>
                    <w:t>物料（包括含</w:t>
                  </w:r>
                  <w:r>
                    <w:rPr>
                      <w:szCs w:val="21"/>
                    </w:rPr>
                    <w:t xml:space="preserve">VOCs </w:t>
                  </w:r>
                  <w:r>
                    <w:rPr>
                      <w:rFonts w:hint="eastAsia"/>
                      <w:szCs w:val="21"/>
                    </w:rPr>
                    <w:t>原辅材料、含</w:t>
                  </w:r>
                  <w:r>
                    <w:rPr>
                      <w:szCs w:val="21"/>
                    </w:rPr>
                    <w:t xml:space="preserve"> VOCs </w:t>
                  </w:r>
                  <w:r>
                    <w:rPr>
                      <w:rFonts w:hint="eastAsia"/>
                      <w:szCs w:val="21"/>
                    </w:rPr>
                    <w:t>产品、含</w:t>
                  </w:r>
                  <w:r>
                    <w:rPr>
                      <w:szCs w:val="21"/>
                    </w:rPr>
                    <w:t xml:space="preserve"> VOCs </w:t>
                  </w:r>
                  <w:r>
                    <w:rPr>
                      <w:rFonts w:hint="eastAsia"/>
                      <w:szCs w:val="21"/>
                    </w:rPr>
                    <w:t>废料以及有机聚合物材料等）储存、转移和输送、设备与管线组件泄漏、敞开液面逸散以及工艺过程等五类排放源实施管控，通过采取设备与场所密闭、工艺改进、废气有效收集等措施，削减</w:t>
                  </w:r>
                  <w:r>
                    <w:rPr>
                      <w:szCs w:val="21"/>
                    </w:rPr>
                    <w:t xml:space="preserve"> VOCs</w:t>
                  </w:r>
                  <w:r>
                    <w:rPr>
                      <w:rFonts w:hint="eastAsia"/>
                      <w:szCs w:val="21"/>
                    </w:rPr>
                    <w:t>无组织排放</w:t>
                  </w:r>
                </w:p>
              </w:tc>
              <w:tc>
                <w:tcPr>
                  <w:tcW w:w="1073" w:type="pct"/>
                  <w:vMerge w:val="restar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本项目主要V</w:t>
                  </w:r>
                  <w:r>
                    <w:rPr>
                      <w:szCs w:val="21"/>
                    </w:rPr>
                    <w:t>OCs</w:t>
                  </w:r>
                  <w:r>
                    <w:rPr>
                      <w:rFonts w:hint="eastAsia"/>
                      <w:szCs w:val="21"/>
                    </w:rPr>
                    <w:t>物料为</w:t>
                  </w:r>
                  <w:r>
                    <w:rPr>
                      <w:rFonts w:hint="eastAsia"/>
                      <w:bCs/>
                      <w:szCs w:val="21"/>
                      <w:lang w:val="en-US" w:eastAsia="zh-CN"/>
                    </w:rPr>
                    <w:t>BOPP薄膜、EVA颗粒</w:t>
                  </w:r>
                  <w:r>
                    <w:rPr>
                      <w:rFonts w:hint="eastAsia"/>
                      <w:szCs w:val="21"/>
                    </w:rPr>
                    <w:t>，本身挥发性较低，废活性炭、废过滤棉密闭</w:t>
                  </w:r>
                  <w:r>
                    <w:rPr>
                      <w:rFonts w:hint="eastAsia"/>
                      <w:szCs w:val="21"/>
                      <w:lang w:val="en-US" w:eastAsia="zh-CN"/>
                    </w:rPr>
                    <w:t>容器</w:t>
                  </w:r>
                  <w:r>
                    <w:rPr>
                      <w:rFonts w:hint="eastAsia"/>
                      <w:szCs w:val="21"/>
                    </w:rPr>
                    <w:t>贮存于危废间</w:t>
                  </w:r>
                </w:p>
              </w:tc>
              <w:tc>
                <w:tcPr>
                  <w:tcW w:w="472" w:type="pct"/>
                  <w:vMerge w:val="restar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14" w:type="pct"/>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254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提高废气收集率。遵循</w:t>
                  </w:r>
                  <w:r>
                    <w:rPr>
                      <w:szCs w:val="21"/>
                    </w:rPr>
                    <w:t>“</w:t>
                  </w:r>
                  <w:r>
                    <w:rPr>
                      <w:rFonts w:hint="eastAsia"/>
                      <w:szCs w:val="21"/>
                    </w:rPr>
                    <w:t>应收尽收、分质收集</w:t>
                  </w:r>
                  <w:r>
                    <w:rPr>
                      <w:szCs w:val="21"/>
                    </w:rPr>
                    <w:t>”</w:t>
                  </w:r>
                  <w:r>
                    <w:rPr>
                      <w:rFonts w:hint="eastAsia"/>
                      <w:szCs w:val="21"/>
                    </w:rPr>
                    <w:t>的原则，科学设计废气收集系统，将无组织排放转变为有组织排放进行控制。采用全密闭集气罩或密闭空间的，除行业有特殊要求外，应保持微负压状态，并根据相关规范合理设置通风量</w:t>
                  </w:r>
                </w:p>
              </w:tc>
              <w:tc>
                <w:tcPr>
                  <w:tcW w:w="1073" w:type="pct"/>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472" w:type="pct"/>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14" w:type="pct"/>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254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推进建设适宜高效的治污设施。</w:t>
                  </w:r>
                </w:p>
              </w:tc>
              <w:tc>
                <w:tcPr>
                  <w:tcW w:w="107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本项目有机废气综合治理效率</w:t>
                  </w:r>
                  <w:r>
                    <w:rPr>
                      <w:szCs w:val="21"/>
                    </w:rPr>
                    <w:t>8</w:t>
                  </w:r>
                  <w:r>
                    <w:rPr>
                      <w:rFonts w:hint="eastAsia"/>
                      <w:szCs w:val="21"/>
                      <w:lang w:val="en-US" w:eastAsia="zh-CN"/>
                    </w:rPr>
                    <w:t>0</w:t>
                  </w:r>
                  <w:r>
                    <w:rPr>
                      <w:szCs w:val="21"/>
                    </w:rPr>
                    <w:t>%</w:t>
                  </w:r>
                </w:p>
              </w:tc>
              <w:tc>
                <w:tcPr>
                  <w:tcW w:w="472"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14" w:type="pct"/>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254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加强设备与管线组件泄漏控制。企业中载有气态、液态</w:t>
                  </w:r>
                  <w:r>
                    <w:rPr>
                      <w:szCs w:val="21"/>
                    </w:rPr>
                    <w:t xml:space="preserve"> VOCs </w:t>
                  </w:r>
                  <w:r>
                    <w:rPr>
                      <w:rFonts w:hint="eastAsia"/>
                      <w:szCs w:val="21"/>
                    </w:rPr>
                    <w:t>物料的设备与管线组件，密封点数量大于等于</w:t>
                  </w:r>
                  <w:r>
                    <w:rPr>
                      <w:szCs w:val="21"/>
                    </w:rPr>
                    <w:t xml:space="preserve"> 2000 </w:t>
                  </w:r>
                  <w:r>
                    <w:rPr>
                      <w:rFonts w:hint="eastAsia"/>
                      <w:szCs w:val="21"/>
                    </w:rPr>
                    <w:t>个的，应按要求开展</w:t>
                  </w:r>
                  <w:r>
                    <w:rPr>
                      <w:szCs w:val="21"/>
                    </w:rPr>
                    <w:t xml:space="preserve"> LDAR </w:t>
                  </w:r>
                  <w:r>
                    <w:rPr>
                      <w:rFonts w:hint="eastAsia"/>
                      <w:szCs w:val="21"/>
                    </w:rPr>
                    <w:t>工作。石化企业按行业排放标准规定执行。</w:t>
                  </w:r>
                </w:p>
              </w:tc>
              <w:tc>
                <w:tcPr>
                  <w:tcW w:w="107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w:t>
                  </w:r>
                  <w:r>
                    <w:rPr>
                      <w:szCs w:val="21"/>
                    </w:rPr>
                    <w:t>VOCs</w:t>
                  </w:r>
                  <w:r>
                    <w:rPr>
                      <w:rFonts w:hint="eastAsia"/>
                      <w:szCs w:val="21"/>
                    </w:rPr>
                    <w:t>物料密封存放，密封点数量小于</w:t>
                  </w:r>
                  <w:r>
                    <w:rPr>
                      <w:szCs w:val="21"/>
                    </w:rPr>
                    <w:t>2000</w:t>
                  </w:r>
                  <w:r>
                    <w:rPr>
                      <w:rFonts w:hint="eastAsia"/>
                      <w:szCs w:val="21"/>
                    </w:rPr>
                    <w:t>个。同时不属于石化行业</w:t>
                  </w:r>
                </w:p>
              </w:tc>
              <w:tc>
                <w:tcPr>
                  <w:tcW w:w="472"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14" w:type="pct"/>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254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企业新建治污设施或对现有治污设施实施改造，应依据排放废气的浓度、组分、风量，温度、湿度、压力，以及生产工况等，合理选择治理技术。鼓励企业采用多种技术的组合工艺，提高</w:t>
                  </w:r>
                  <w:r>
                    <w:rPr>
                      <w:szCs w:val="21"/>
                    </w:rPr>
                    <w:t xml:space="preserve">VOCs </w:t>
                  </w:r>
                  <w:r>
                    <w:rPr>
                      <w:rFonts w:hint="eastAsia"/>
                      <w:szCs w:val="21"/>
                    </w:rPr>
                    <w:t>治理效率。低浓度、大风量废气，宜采用沸石转轮吸附、活性炭吸附、减风增浓等浓缩技术，提高</w:t>
                  </w:r>
                  <w:r>
                    <w:rPr>
                      <w:szCs w:val="21"/>
                    </w:rPr>
                    <w:t xml:space="preserve"> VOCs </w:t>
                  </w:r>
                  <w:r>
                    <w:rPr>
                      <w:rFonts w:hint="eastAsia"/>
                      <w:szCs w:val="21"/>
                    </w:rPr>
                    <w:t>浓度后净化处理；高浓度废气，优先进行溶剂回收，难以回收的，宜采用高温焚烧、催化燃烧等技术。油气（溶剂）回收宜采用冷凝</w:t>
                  </w:r>
                  <w:r>
                    <w:rPr>
                      <w:szCs w:val="21"/>
                    </w:rPr>
                    <w:t>+</w:t>
                  </w:r>
                  <w:r>
                    <w:rPr>
                      <w:rFonts w:hint="eastAsia"/>
                      <w:szCs w:val="21"/>
                    </w:rPr>
                    <w:t>吸附、吸附</w:t>
                  </w:r>
                  <w:r>
                    <w:rPr>
                      <w:szCs w:val="21"/>
                    </w:rPr>
                    <w:t>+</w:t>
                  </w:r>
                  <w:r>
                    <w:rPr>
                      <w:rFonts w:hint="eastAsia"/>
                      <w:szCs w:val="21"/>
                    </w:rPr>
                    <w:t>吸收、膜分离</w:t>
                  </w:r>
                  <w:r>
                    <w:rPr>
                      <w:szCs w:val="21"/>
                    </w:rPr>
                    <w:t>+</w:t>
                  </w:r>
                  <w:r>
                    <w:rPr>
                      <w:rFonts w:hint="eastAsia"/>
                      <w:szCs w:val="21"/>
                    </w:rPr>
                    <w:t>吸附等技术。</w:t>
                  </w:r>
                  <w:r>
                    <w:rPr>
                      <w:szCs w:val="21"/>
                    </w:rPr>
                    <w:t>UV</w:t>
                  </w:r>
                  <w:r>
                    <w:rPr>
                      <w:rFonts w:hint="eastAsia"/>
                      <w:szCs w:val="21"/>
                    </w:rPr>
                    <w:t>光氧、光催化、光氧化技术主要适用于恶臭异味等治理；生物法主要适用于低浓度</w:t>
                  </w:r>
                  <w:r>
                    <w:rPr>
                      <w:szCs w:val="21"/>
                    </w:rPr>
                    <w:t xml:space="preserve"> VOCs </w:t>
                  </w:r>
                  <w:r>
                    <w:rPr>
                      <w:rFonts w:hint="eastAsia"/>
                      <w:szCs w:val="21"/>
                    </w:rPr>
                    <w:t>废气治理和恶臭异味治理。非水溶性的</w:t>
                  </w:r>
                  <w:r>
                    <w:rPr>
                      <w:szCs w:val="21"/>
                    </w:rPr>
                    <w:t xml:space="preserve"> VOCs </w:t>
                  </w:r>
                  <w:r>
                    <w:rPr>
                      <w:rFonts w:hint="eastAsia"/>
                      <w:szCs w:val="21"/>
                    </w:rPr>
                    <w:t>废气禁止采用水或水溶液喷淋吸收处理。采用一次性活性炭吸附技术的，应定期更换活性炭，废旧活性炭应再生或处理处置。有条件的工业园区和产业集群等，推广集中喷涂、溶剂集中回收、活性炭集中再生等，加强资源共享，提高</w:t>
                  </w:r>
                  <w:r>
                    <w:rPr>
                      <w:szCs w:val="21"/>
                    </w:rPr>
                    <w:t xml:space="preserve"> VOCs </w:t>
                  </w:r>
                  <w:r>
                    <w:rPr>
                      <w:rFonts w:hint="eastAsia"/>
                      <w:szCs w:val="21"/>
                    </w:rPr>
                    <w:t>治理效率。规范工程设计。采用吸附处理工艺的，应满足《吸附法工业有机废气治理工程技术规范》要求</w:t>
                  </w:r>
                </w:p>
              </w:tc>
              <w:tc>
                <w:tcPr>
                  <w:tcW w:w="107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本项目有机废气采用</w:t>
                  </w:r>
                  <w:r>
                    <w:rPr>
                      <w:rFonts w:hint="eastAsia"/>
                    </w:rPr>
                    <w:t>过滤</w:t>
                  </w:r>
                  <w:r>
                    <w:rPr>
                      <w:rFonts w:hint="eastAsia"/>
                      <w:lang w:val="en-US" w:eastAsia="zh-CN"/>
                    </w:rPr>
                    <w:t>棉</w:t>
                  </w:r>
                  <w:r>
                    <w:rPr>
                      <w:rFonts w:hint="eastAsia"/>
                    </w:rPr>
                    <w:t>+</w:t>
                  </w:r>
                  <w:r>
                    <w:rPr>
                      <w:rFonts w:hint="eastAsia"/>
                      <w:lang w:val="en-US" w:eastAsia="zh-CN"/>
                    </w:rPr>
                    <w:t>二级</w:t>
                  </w:r>
                  <w:r>
                    <w:rPr>
                      <w:rFonts w:hint="eastAsia"/>
                    </w:rPr>
                    <w:t>活性炭吸附</w:t>
                  </w:r>
                  <w:r>
                    <w:rPr>
                      <w:rFonts w:hint="eastAsia"/>
                      <w:lang w:val="en-US" w:eastAsia="zh-CN"/>
                    </w:rPr>
                    <w:t>装置处理</w:t>
                  </w:r>
                  <w:r>
                    <w:rPr>
                      <w:rFonts w:hint="eastAsia"/>
                      <w:szCs w:val="21"/>
                    </w:rPr>
                    <w:t>工艺</w:t>
                  </w:r>
                </w:p>
              </w:tc>
              <w:tc>
                <w:tcPr>
                  <w:tcW w:w="472"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14" w:type="pct"/>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rPr>
                  </w:pPr>
                </w:p>
              </w:tc>
              <w:tc>
                <w:tcPr>
                  <w:tcW w:w="254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实行重点排放源排放浓度与去除效率双重控制。车间或生产设施收集排放的废气，</w:t>
                  </w:r>
                  <w:r>
                    <w:rPr>
                      <w:szCs w:val="21"/>
                    </w:rPr>
                    <w:t xml:space="preserve">VOCs </w:t>
                  </w:r>
                  <w:r>
                    <w:rPr>
                      <w:rFonts w:hint="eastAsia"/>
                      <w:szCs w:val="21"/>
                    </w:rPr>
                    <w:t>初始排放速率大于等于</w:t>
                  </w:r>
                  <w:r>
                    <w:rPr>
                      <w:szCs w:val="21"/>
                    </w:rPr>
                    <w:t xml:space="preserve"> 3 </w:t>
                  </w:r>
                  <w:r>
                    <w:rPr>
                      <w:rFonts w:hint="eastAsia"/>
                      <w:szCs w:val="21"/>
                    </w:rPr>
                    <w:t>千克</w:t>
                  </w:r>
                  <w:r>
                    <w:rPr>
                      <w:szCs w:val="21"/>
                    </w:rPr>
                    <w:t>/</w:t>
                  </w:r>
                  <w:r>
                    <w:rPr>
                      <w:rFonts w:hint="eastAsia"/>
                      <w:szCs w:val="21"/>
                    </w:rPr>
                    <w:t>小时、重点区域大于等于</w:t>
                  </w:r>
                  <w:r>
                    <w:rPr>
                      <w:szCs w:val="21"/>
                    </w:rPr>
                    <w:t xml:space="preserve"> 2 </w:t>
                  </w:r>
                  <w:r>
                    <w:rPr>
                      <w:rFonts w:hint="eastAsia"/>
                      <w:szCs w:val="21"/>
                    </w:rPr>
                    <w:t>千克</w:t>
                  </w:r>
                  <w:r>
                    <w:rPr>
                      <w:szCs w:val="21"/>
                    </w:rPr>
                    <w:t>/</w:t>
                  </w:r>
                  <w:r>
                    <w:rPr>
                      <w:rFonts w:hint="eastAsia"/>
                      <w:szCs w:val="21"/>
                    </w:rPr>
                    <w:t>小时的，应加大控制力度，除确保排放浓度稳定达标外，还应实行去除效率控制，去除效率不低于</w:t>
                  </w:r>
                  <w:r>
                    <w:rPr>
                      <w:szCs w:val="21"/>
                    </w:rPr>
                    <w:t xml:space="preserve"> 80%</w:t>
                  </w:r>
                  <w:r>
                    <w:rPr>
                      <w:rFonts w:hint="eastAsia"/>
                      <w:szCs w:val="21"/>
                    </w:rPr>
                    <w:t>；采用的原辅材料符合国家有关低</w:t>
                  </w:r>
                  <w:r>
                    <w:rPr>
                      <w:szCs w:val="21"/>
                    </w:rPr>
                    <w:t xml:space="preserve">VOCs </w:t>
                  </w:r>
                  <w:r>
                    <w:rPr>
                      <w:rFonts w:hint="eastAsia"/>
                      <w:szCs w:val="21"/>
                    </w:rPr>
                    <w:t>含量产品规定的除外，有行业排放标准的按其相关规定执行</w:t>
                  </w:r>
                </w:p>
              </w:tc>
              <w:tc>
                <w:tcPr>
                  <w:tcW w:w="107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w:t>
                  </w:r>
                  <w:r>
                    <w:rPr>
                      <w:szCs w:val="21"/>
                    </w:rPr>
                    <w:t>VOCs</w:t>
                  </w:r>
                  <w:r>
                    <w:rPr>
                      <w:rFonts w:hint="eastAsia"/>
                      <w:szCs w:val="21"/>
                    </w:rPr>
                    <w:t>初始排放速率远小于上述要求，无去除率要求</w:t>
                  </w:r>
                </w:p>
              </w:tc>
              <w:tc>
                <w:tcPr>
                  <w:tcW w:w="472"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14"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《京津冀及周边地区、汾渭平原2020-2021年秋冬季大气污染综合治理攻坚行动方案》的通知</w:t>
                  </w:r>
                </w:p>
              </w:tc>
              <w:tc>
                <w:tcPr>
                  <w:tcW w:w="2541"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持续推进挥发性有机物（VOCs）治理攻坚。落实《2020年挥发性有机物治理攻坚方案》，持续推进VOCs治理攻坚各项任务措施，完成重点治理工程建设，做到“夏病冬治”。2020年12月底前，各地对夏季臭氧污染防治监督帮扶工作中发现存在突出问题的企业，指导企业制定整改方案；培育树立一批VOCs源头治理的标杆企业，加大宣传力度，形成带动效应；组织完成石化、化工、工业涂装、包装印刷等企业废气排放系统旁路摸底排查，石化、化工行业火炬排放情况排查，原油、成品油、有机化学品等挥发性有机液体储罐排查，港口码头油气回收设施建设、使用情况排查，建立管理清单。2021年3月底前，督促企业取消非必要的旁路，因安全生产等原因必须保留的，通过铅封、安装自动监控设施、流量计等方式加强监管；在确保安全的情况下，督促石化、化工企业通过安装火炬系统温度监控、视频监控及热值检测仪、废气流量计、助燃气体流量计等加强火炬系统排放监管。</w:t>
                  </w:r>
                </w:p>
              </w:tc>
              <w:tc>
                <w:tcPr>
                  <w:tcW w:w="1073"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本项目涉及V</w:t>
                  </w:r>
                  <w:r>
                    <w:rPr>
                      <w:szCs w:val="21"/>
                    </w:rPr>
                    <w:t>OCs</w:t>
                  </w:r>
                  <w:r>
                    <w:rPr>
                      <w:rFonts w:hint="eastAsia"/>
                      <w:szCs w:val="21"/>
                    </w:rPr>
                    <w:t>物料主要为</w:t>
                  </w:r>
                  <w:r>
                    <w:rPr>
                      <w:rFonts w:hint="eastAsia"/>
                      <w:bCs/>
                      <w:szCs w:val="21"/>
                      <w:lang w:val="en-US" w:eastAsia="zh-CN"/>
                    </w:rPr>
                    <w:t>BOPP薄膜、EVA颗粒</w:t>
                  </w:r>
                  <w:r>
                    <w:rPr>
                      <w:rFonts w:hint="eastAsia"/>
                      <w:szCs w:val="21"/>
                    </w:rPr>
                    <w:t>，其挥发性低，对环境影响有限，同时设置废气收集和治理措施后排放</w:t>
                  </w:r>
                </w:p>
              </w:tc>
              <w:tc>
                <w:tcPr>
                  <w:tcW w:w="472" w:type="pct"/>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914" w:type="pct"/>
                  <w:tcBorders>
                    <w:top w:val="single" w:color="auto" w:sz="4" w:space="0"/>
                    <w:left w:val="single" w:color="auto" w:sz="4" w:space="0"/>
                    <w:bottom w:val="single" w:color="auto" w:sz="4" w:space="0"/>
                    <w:right w:val="single" w:color="auto" w:sz="4" w:space="0"/>
                  </w:tcBorders>
                  <w:vAlign w:val="center"/>
                </w:tcPr>
                <w:p>
                  <w:pPr>
                    <w:jc w:val="center"/>
                    <w:rPr>
                      <w:rFonts w:hint="eastAsia"/>
                      <w:szCs w:val="21"/>
                    </w:rPr>
                  </w:pPr>
                  <w:r>
                    <w:rPr>
                      <w:rFonts w:hint="eastAsia"/>
                      <w:szCs w:val="21"/>
                    </w:rPr>
                    <w:t>《秦皇岛市深入打好污染防治攻坚战实施方案》(秦传[2022]6号)</w:t>
                  </w:r>
                </w:p>
              </w:tc>
              <w:tc>
                <w:tcPr>
                  <w:tcW w:w="343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eastAsia"/>
                    </w:rPr>
                  </w:pPr>
                  <w:r>
                    <w:rPr>
                      <w:rFonts w:hint="eastAsia"/>
                    </w:rPr>
                    <w:t>1、推进工业领域碳达峰，研究制定工业领域碳达峰行动方案，推进绿色制造，淘汰落后产能，促进工业节能降耗；</w:t>
                  </w:r>
                </w:p>
                <w:p>
                  <w:pPr>
                    <w:adjustRightInd w:val="0"/>
                    <w:snapToGrid w:val="0"/>
                    <w:jc w:val="center"/>
                    <w:rPr>
                      <w:rFonts w:hint="eastAsia"/>
                    </w:rPr>
                  </w:pPr>
                  <w:r>
                    <w:rPr>
                      <w:rFonts w:hint="eastAsia"/>
                    </w:rPr>
                    <w:t>2、健全排放源统计调查、核算核查、监测监管制度，将温室气体管控纳入环评管理，在环评文件中增加碳排放文件内容；</w:t>
                  </w:r>
                </w:p>
                <w:p>
                  <w:pPr>
                    <w:adjustRightInd w:val="0"/>
                    <w:snapToGrid w:val="0"/>
                    <w:jc w:val="center"/>
                    <w:rPr>
                      <w:rFonts w:hint="eastAsia"/>
                    </w:rPr>
                  </w:pPr>
                  <w:r>
                    <w:rPr>
                      <w:rFonts w:hint="eastAsia"/>
                    </w:rPr>
                    <w:t>3、严禁新建自备燃煤机组，推动自备燃煤机组实施清洁能源替代，大力发展风能、太阳能等可再生能源发电，拓展氢能应用领域；</w:t>
                  </w:r>
                </w:p>
                <w:p>
                  <w:pPr>
                    <w:adjustRightInd w:val="0"/>
                    <w:snapToGrid w:val="0"/>
                    <w:jc w:val="center"/>
                    <w:rPr>
                      <w:rFonts w:hint="eastAsia"/>
                    </w:rPr>
                  </w:pPr>
                  <w:r>
                    <w:rPr>
                      <w:rFonts w:hint="eastAsia"/>
                    </w:rPr>
                    <w:t>4、严把项目准入关口，严格执行节能审查、煤炭替代审查和环境影响评价审查等制度，新上高耗能、高排放项目能效和污染物排放应达到行业先进水平。健全监督机制，建立存量、在建和拟建“两高”管理台账，实施分类处置，动态监控。严肃查处“两高”行业企业未批先建、未验先投、无证排污、不按证排污、无节能审查(煤炭替代方案)、无环评审查等违法违规行为</w:t>
                  </w:r>
                  <w:r>
                    <w:rPr>
                      <w:rFonts w:hint="eastAsia"/>
                      <w:lang w:eastAsia="zh-CN"/>
                    </w:rPr>
                    <w:t>。</w:t>
                  </w:r>
                </w:p>
                <w:p>
                  <w:pPr>
                    <w:adjustRightInd w:val="0"/>
                    <w:snapToGrid w:val="0"/>
                    <w:jc w:val="center"/>
                    <w:rPr>
                      <w:rFonts w:hint="eastAsia"/>
                    </w:rPr>
                  </w:pPr>
                  <w:r>
                    <w:rPr>
                      <w:rFonts w:hint="eastAsia"/>
                    </w:rPr>
                    <w:t>5、全市用水总量控制在9.7亿立方米以内，地下水开采量控制在5.26亿立方米以内；</w:t>
                  </w:r>
                </w:p>
                <w:p>
                  <w:pPr>
                    <w:adjustRightInd w:val="0"/>
                    <w:snapToGrid w:val="0"/>
                    <w:jc w:val="center"/>
                    <w:rPr>
                      <w:rFonts w:hint="eastAsia"/>
                      <w:szCs w:val="21"/>
                    </w:rPr>
                  </w:pPr>
                  <w:r>
                    <w:rPr>
                      <w:rFonts w:hint="eastAsia"/>
                    </w:rPr>
                    <w:t>6、推进砖瓦、石灰、铸造等重点行业深度治理。以工业炉窑污染综合治理为重点，深化工业氮氧化物减排。完善市县两级重污染天气应急预案体系，实施重点行业企业绩效分级管理，开展“升A晋B”行动。</w:t>
                  </w:r>
                </w:p>
              </w:tc>
              <w:tc>
                <w:tcPr>
                  <w:tcW w:w="1452" w:type="dxa"/>
                  <w:tcBorders>
                    <w:top w:val="single" w:color="auto" w:sz="4" w:space="0"/>
                    <w:left w:val="single" w:color="auto" w:sz="4" w:space="0"/>
                    <w:bottom w:val="single" w:color="auto" w:sz="4" w:space="0"/>
                    <w:right w:val="single" w:color="auto" w:sz="4" w:space="0"/>
                  </w:tcBorders>
                  <w:vAlign w:val="center"/>
                </w:tcPr>
                <w:p>
                  <w:pPr>
                    <w:numPr>
                      <w:ilvl w:val="0"/>
                      <w:numId w:val="0"/>
                    </w:numPr>
                    <w:adjustRightInd w:val="0"/>
                    <w:snapToGrid w:val="0"/>
                    <w:jc w:val="center"/>
                    <w:rPr>
                      <w:rFonts w:hint="eastAsia" w:eastAsia="宋体"/>
                      <w:lang w:eastAsia="zh-CN"/>
                    </w:rPr>
                  </w:pPr>
                  <w:r>
                    <w:rPr>
                      <w:rFonts w:hint="eastAsia" w:ascii="Times New Roman" w:hAnsi="Times New Roman" w:eastAsia="宋体" w:cs="Times New Roman"/>
                      <w:kern w:val="2"/>
                      <w:sz w:val="21"/>
                      <w:szCs w:val="24"/>
                      <w:lang w:val="en-US" w:eastAsia="zh-CN" w:bidi="ar-SA"/>
                    </w:rPr>
                    <w:t>1、</w:t>
                  </w:r>
                  <w:r>
                    <w:rPr>
                      <w:rFonts w:hint="eastAsia"/>
                    </w:rPr>
                    <w:t>本项目生产使用电能作为能源，属于清洁能源，生产不属于落后产能</w:t>
                  </w:r>
                  <w:r>
                    <w:rPr>
                      <w:rFonts w:hint="eastAsia"/>
                      <w:lang w:eastAsia="zh-CN"/>
                    </w:rPr>
                    <w:t>；</w:t>
                  </w:r>
                </w:p>
                <w:p>
                  <w:pPr>
                    <w:numPr>
                      <w:ilvl w:val="0"/>
                      <w:numId w:val="0"/>
                    </w:numPr>
                    <w:adjustRightInd w:val="0"/>
                    <w:snapToGrid w:val="0"/>
                    <w:jc w:val="center"/>
                    <w:rPr>
                      <w:rFonts w:hint="eastAsia" w:eastAsia="宋体"/>
                      <w:lang w:eastAsia="zh-CN"/>
                    </w:rPr>
                  </w:pPr>
                  <w:r>
                    <w:rPr>
                      <w:rFonts w:ascii="Times New Roman" w:hAnsi="Times New Roman" w:eastAsia="宋体" w:cs="Times New Roman"/>
                      <w:kern w:val="2"/>
                      <w:sz w:val="21"/>
                      <w:szCs w:val="24"/>
                      <w:lang w:val="en-US" w:eastAsia="zh-CN" w:bidi="ar-SA"/>
                    </w:rPr>
                    <w:t>2、</w:t>
                  </w:r>
                  <w:r>
                    <w:rPr>
                      <w:rFonts w:hint="eastAsia"/>
                    </w:rPr>
                    <w:t>本环评文件已添加碳排放章节</w:t>
                  </w:r>
                  <w:r>
                    <w:rPr>
                      <w:rFonts w:hint="eastAsia"/>
                      <w:lang w:eastAsia="zh-CN"/>
                    </w:rPr>
                    <w:t>；</w:t>
                  </w:r>
                </w:p>
                <w:p>
                  <w:pPr>
                    <w:adjustRightInd w:val="0"/>
                    <w:snapToGrid w:val="0"/>
                    <w:jc w:val="center"/>
                    <w:rPr>
                      <w:rFonts w:hint="eastAsia" w:eastAsia="宋体"/>
                      <w:lang w:eastAsia="zh-CN"/>
                    </w:rPr>
                  </w:pPr>
                  <w:r>
                    <w:rPr>
                      <w:rFonts w:ascii="Times New Roman" w:hAnsi="Times New Roman" w:eastAsia="宋体" w:cs="Times New Roman"/>
                      <w:kern w:val="2"/>
                      <w:sz w:val="21"/>
                      <w:szCs w:val="24"/>
                      <w:lang w:val="en-US" w:eastAsia="zh-CN" w:bidi="ar-SA"/>
                    </w:rPr>
                    <w:t>3、</w:t>
                  </w:r>
                  <w:r>
                    <w:rPr>
                      <w:rFonts w:hint="eastAsia"/>
                    </w:rPr>
                    <w:t>本项目无燃煤机组</w:t>
                  </w:r>
                  <w:r>
                    <w:rPr>
                      <w:rFonts w:hint="eastAsia"/>
                      <w:lang w:eastAsia="zh-CN"/>
                    </w:rPr>
                    <w:t>；</w:t>
                  </w:r>
                </w:p>
                <w:p>
                  <w:pPr>
                    <w:numPr>
                      <w:ilvl w:val="0"/>
                      <w:numId w:val="0"/>
                    </w:numPr>
                    <w:adjustRightInd w:val="0"/>
                    <w:snapToGrid w:val="0"/>
                    <w:jc w:val="center"/>
                    <w:rPr>
                      <w:rFonts w:hint="eastAsia" w:eastAsia="宋体"/>
                      <w:lang w:eastAsia="zh-CN"/>
                    </w:rPr>
                  </w:pPr>
                  <w:r>
                    <w:rPr>
                      <w:rFonts w:ascii="Times New Roman" w:hAnsi="Times New Roman" w:eastAsia="宋体" w:cs="Times New Roman"/>
                      <w:kern w:val="2"/>
                      <w:sz w:val="21"/>
                      <w:szCs w:val="24"/>
                      <w:lang w:val="en-US" w:eastAsia="zh-CN" w:bidi="ar-SA"/>
                    </w:rPr>
                    <w:t>4、</w:t>
                  </w:r>
                  <w:r>
                    <w:rPr>
                      <w:rFonts w:hint="eastAsia"/>
                    </w:rPr>
                    <w:t>本项目不属于“两高”行业</w:t>
                  </w:r>
                  <w:r>
                    <w:rPr>
                      <w:rFonts w:hint="eastAsia"/>
                      <w:lang w:eastAsia="zh-CN"/>
                    </w:rPr>
                    <w:t>；</w:t>
                  </w:r>
                </w:p>
                <w:p>
                  <w:pPr>
                    <w:numPr>
                      <w:ilvl w:val="0"/>
                      <w:numId w:val="0"/>
                    </w:numPr>
                    <w:adjustRightInd w:val="0"/>
                    <w:snapToGrid w:val="0"/>
                    <w:jc w:val="center"/>
                    <w:rPr>
                      <w:rFonts w:hint="eastAsia" w:ascii="Times New Roman" w:hAnsi="Times New Roman" w:eastAsia="宋体" w:cs="Times New Roman"/>
                      <w:kern w:val="2"/>
                      <w:sz w:val="21"/>
                      <w:szCs w:val="24"/>
                      <w:lang w:val="en-US" w:eastAsia="zh-CN" w:bidi="ar-SA"/>
                    </w:rPr>
                  </w:pPr>
                  <w:r>
                    <w:rPr>
                      <w:rFonts w:ascii="Times New Roman" w:hAnsi="Times New Roman" w:eastAsia="宋体" w:cs="Times New Roman"/>
                      <w:kern w:val="2"/>
                      <w:sz w:val="21"/>
                      <w:szCs w:val="24"/>
                      <w:lang w:val="en-US" w:eastAsia="zh-CN" w:bidi="ar-SA"/>
                    </w:rPr>
                    <w:t>5、</w:t>
                  </w:r>
                  <w:r>
                    <w:rPr>
                      <w:rFonts w:hint="eastAsia" w:ascii="宋体" w:hAnsi="宋体" w:eastAsia="宋体"/>
                      <w:sz w:val="21"/>
                      <w:szCs w:val="24"/>
                    </w:rPr>
                    <w:t>本项目用水由市政供水管网提供，不使用地下水</w:t>
                  </w:r>
                  <w:r>
                    <w:rPr>
                      <w:rFonts w:hint="eastAsia" w:ascii="宋体" w:hAnsi="宋体" w:eastAsia="宋体"/>
                      <w:sz w:val="21"/>
                      <w:szCs w:val="24"/>
                      <w:lang w:eastAsia="zh-CN"/>
                    </w:rPr>
                    <w:t>；</w:t>
                  </w:r>
                </w:p>
                <w:p>
                  <w:pPr>
                    <w:numPr>
                      <w:ilvl w:val="0"/>
                      <w:numId w:val="0"/>
                    </w:numPr>
                    <w:adjustRightInd w:val="0"/>
                    <w:snapToGrid w:val="0"/>
                    <w:ind w:left="0" w:leftChars="0" w:firstLine="0" w:firstLineChars="0"/>
                    <w:jc w:val="center"/>
                    <w:rPr>
                      <w:rFonts w:hint="eastAsia"/>
                      <w:szCs w:val="21"/>
                    </w:rPr>
                  </w:pPr>
                  <w:r>
                    <w:rPr>
                      <w:rFonts w:hint="eastAsia" w:cs="Times New Roman"/>
                      <w:kern w:val="2"/>
                      <w:sz w:val="21"/>
                      <w:szCs w:val="24"/>
                      <w:lang w:val="en-US" w:eastAsia="zh-CN" w:bidi="ar-SA"/>
                    </w:rPr>
                    <w:t>6、本</w:t>
                  </w:r>
                  <w:r>
                    <w:rPr>
                      <w:rFonts w:hint="eastAsia" w:ascii="宋体" w:hAnsi="宋体" w:eastAsia="宋体"/>
                      <w:sz w:val="21"/>
                      <w:szCs w:val="24"/>
                    </w:rPr>
                    <w:t>项目不属于砖瓦、石灰、铸造等重点行业，不涉及工业炉窑</w:t>
                  </w:r>
                  <w:r>
                    <w:rPr>
                      <w:rFonts w:hint="eastAsia"/>
                    </w:rPr>
                    <w:t>。</w:t>
                  </w:r>
                </w:p>
              </w:tc>
              <w:tc>
                <w:tcPr>
                  <w:tcW w:w="639"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hint="eastAsia"/>
                      <w:szCs w:val="21"/>
                    </w:rPr>
                  </w:pPr>
                  <w:r>
                    <w:rPr>
                      <w:rFonts w:hint="eastAsia"/>
                    </w:rPr>
                    <w:t>符合</w:t>
                  </w:r>
                </w:p>
              </w:tc>
            </w:tr>
          </w:tbl>
          <w:p>
            <w:pPr>
              <w:adjustRightInd w:val="0"/>
              <w:snapToGrid w:val="0"/>
              <w:spacing w:line="400" w:lineRule="exact"/>
              <w:ind w:firstLine="422" w:firstLineChars="200"/>
              <w:rPr>
                <w:b/>
                <w:szCs w:val="21"/>
              </w:rPr>
            </w:pPr>
            <w:r>
              <w:rPr>
                <w:b/>
                <w:szCs w:val="21"/>
              </w:rPr>
              <w:t>2.</w:t>
            </w:r>
            <w:r>
              <w:rPr>
                <w:rFonts w:hint="eastAsia"/>
                <w:b/>
                <w:szCs w:val="21"/>
                <w:lang w:val="en-US" w:eastAsia="zh-CN"/>
              </w:rPr>
              <w:t>2</w:t>
            </w:r>
            <w:r>
              <w:rPr>
                <w:b/>
                <w:szCs w:val="21"/>
              </w:rPr>
              <w:t>生态环境保护规划的符合性</w:t>
            </w:r>
          </w:p>
          <w:p>
            <w:pPr>
              <w:adjustRightInd w:val="0"/>
              <w:snapToGrid w:val="0"/>
              <w:spacing w:line="400" w:lineRule="exact"/>
              <w:ind w:firstLine="422" w:firstLineChars="200"/>
              <w:rPr>
                <w:b/>
                <w:szCs w:val="21"/>
              </w:rPr>
            </w:pPr>
            <w:r>
              <w:rPr>
                <w:rFonts w:hint="eastAsia"/>
                <w:b/>
                <w:szCs w:val="21"/>
              </w:rPr>
              <w:t>（1）与《</w:t>
            </w:r>
            <w:r>
              <w:rPr>
                <w:b/>
                <w:bCs/>
                <w:kern w:val="0"/>
                <w:szCs w:val="21"/>
              </w:rPr>
              <w:t>秦皇岛市生态环境保护“十四五”规划</w:t>
            </w:r>
            <w:r>
              <w:rPr>
                <w:rFonts w:hint="eastAsia"/>
                <w:b/>
                <w:szCs w:val="21"/>
              </w:rPr>
              <w:t>》符合性分析如下：</w:t>
            </w:r>
          </w:p>
          <w:p>
            <w:pPr>
              <w:adjustRightInd w:val="0"/>
              <w:snapToGrid w:val="0"/>
              <w:spacing w:line="400" w:lineRule="exact"/>
              <w:ind w:firstLine="422" w:firstLineChars="200"/>
              <w:jc w:val="center"/>
              <w:rPr>
                <w:b/>
                <w:bCs/>
                <w:kern w:val="0"/>
                <w:szCs w:val="21"/>
              </w:rPr>
            </w:pPr>
            <w:bookmarkStart w:id="13" w:name="_Hlk112147274"/>
            <w:r>
              <w:rPr>
                <w:b/>
                <w:bCs/>
                <w:kern w:val="0"/>
                <w:szCs w:val="21"/>
              </w:rPr>
              <w:t>表</w:t>
            </w:r>
            <w:r>
              <w:rPr>
                <w:rFonts w:hint="eastAsia"/>
                <w:b/>
                <w:bCs/>
                <w:kern w:val="0"/>
                <w:szCs w:val="21"/>
              </w:rPr>
              <w:t>1</w:t>
            </w:r>
            <w:r>
              <w:rPr>
                <w:b/>
                <w:bCs/>
                <w:kern w:val="0"/>
                <w:szCs w:val="21"/>
              </w:rPr>
              <w:t>-</w:t>
            </w:r>
            <w:r>
              <w:rPr>
                <w:rFonts w:hint="eastAsia"/>
                <w:b/>
                <w:bCs/>
                <w:kern w:val="0"/>
                <w:szCs w:val="21"/>
                <w:lang w:val="en-US" w:eastAsia="zh-CN"/>
              </w:rPr>
              <w:t>7</w:t>
            </w:r>
            <w:r>
              <w:rPr>
                <w:b/>
                <w:bCs/>
                <w:kern w:val="0"/>
                <w:szCs w:val="21"/>
              </w:rPr>
              <w:t xml:space="preserve">   秦皇岛市生态环境保护“十四五”规划符合性分析</w:t>
            </w:r>
          </w:p>
          <w:tbl>
            <w:tblPr>
              <w:tblStyle w:val="9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6"/>
              <w:gridCol w:w="2981"/>
              <w:gridCol w:w="1985"/>
              <w:gridCol w:w="9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pct"/>
                  <w:vAlign w:val="center"/>
                </w:tcPr>
                <w:p>
                  <w:pPr>
                    <w:adjustRightInd w:val="0"/>
                    <w:snapToGrid w:val="0"/>
                    <w:jc w:val="center"/>
                  </w:pPr>
                  <w:r>
                    <w:rPr>
                      <w:rFonts w:hint="eastAsia"/>
                    </w:rPr>
                    <w:t>类别</w:t>
                  </w:r>
                </w:p>
              </w:tc>
              <w:tc>
                <w:tcPr>
                  <w:tcW w:w="2203" w:type="pct"/>
                  <w:vAlign w:val="center"/>
                </w:tcPr>
                <w:p>
                  <w:pPr>
                    <w:adjustRightInd w:val="0"/>
                    <w:snapToGrid w:val="0"/>
                    <w:jc w:val="center"/>
                  </w:pPr>
                  <w:r>
                    <w:rPr>
                      <w:rFonts w:hint="eastAsia"/>
                    </w:rPr>
                    <w:t>文件要求</w:t>
                  </w:r>
                </w:p>
              </w:tc>
              <w:tc>
                <w:tcPr>
                  <w:tcW w:w="1467" w:type="pct"/>
                  <w:vAlign w:val="center"/>
                </w:tcPr>
                <w:p>
                  <w:pPr>
                    <w:adjustRightInd w:val="0"/>
                    <w:snapToGrid w:val="0"/>
                    <w:jc w:val="center"/>
                  </w:pPr>
                  <w:r>
                    <w:rPr>
                      <w:rFonts w:hint="eastAsia"/>
                    </w:rPr>
                    <w:t>本项目情况</w:t>
                  </w:r>
                </w:p>
              </w:tc>
              <w:tc>
                <w:tcPr>
                  <w:tcW w:w="682" w:type="pct"/>
                  <w:vAlign w:val="center"/>
                </w:tcPr>
                <w:p>
                  <w:pPr>
                    <w:adjustRightInd w:val="0"/>
                    <w:snapToGrid w:val="0"/>
                    <w:jc w:val="center"/>
                  </w:pPr>
                  <w:r>
                    <w:rPr>
                      <w:rFonts w:hint="eastAsia"/>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pct"/>
                  <w:vAlign w:val="center"/>
                </w:tcPr>
                <w:p>
                  <w:pPr>
                    <w:adjustRightInd w:val="0"/>
                    <w:snapToGrid w:val="0"/>
                    <w:jc w:val="center"/>
                  </w:pPr>
                  <w:r>
                    <w:rPr>
                      <w:rFonts w:hint="eastAsia"/>
                    </w:rPr>
                    <w:t>深化工业VOCs治理</w:t>
                  </w:r>
                </w:p>
              </w:tc>
              <w:tc>
                <w:tcPr>
                  <w:tcW w:w="2203" w:type="pct"/>
                  <w:vAlign w:val="center"/>
                </w:tcPr>
                <w:p>
                  <w:pPr>
                    <w:adjustRightInd w:val="0"/>
                    <w:snapToGrid w:val="0"/>
                    <w:jc w:val="center"/>
                  </w:pPr>
                  <w:r>
                    <w:rPr>
                      <w:rFonts w:hint="eastAsia"/>
                    </w:rPr>
                    <w:t>实现工业涂装、包装印刷、家具制造、建筑装饰等行业原辅材料源头替代，推广低（无）VOCs含量原辅材料和产品，减少卤化、芳香性溶剂等高VOCs含量原辅材料使用。</w:t>
                  </w:r>
                </w:p>
              </w:tc>
              <w:tc>
                <w:tcPr>
                  <w:tcW w:w="1467" w:type="pct"/>
                  <w:vAlign w:val="center"/>
                </w:tcPr>
                <w:p>
                  <w:pPr>
                    <w:adjustRightInd w:val="0"/>
                    <w:snapToGrid w:val="0"/>
                    <w:jc w:val="center"/>
                  </w:pPr>
                  <w:r>
                    <w:rPr>
                      <w:rFonts w:hint="eastAsia"/>
                    </w:rPr>
                    <w:t>本项目</w:t>
                  </w:r>
                  <w:r>
                    <w:rPr>
                      <w:rFonts w:hint="eastAsia"/>
                      <w:lang w:val="en-US" w:eastAsia="zh-CN"/>
                    </w:rPr>
                    <w:t>原辅料</w:t>
                  </w:r>
                  <w:r>
                    <w:rPr>
                      <w:rFonts w:hint="eastAsia"/>
                      <w:bCs/>
                      <w:szCs w:val="21"/>
                      <w:lang w:val="en-US" w:eastAsia="zh-CN"/>
                    </w:rPr>
                    <w:t>BOPP薄膜、EVA颗粒</w:t>
                  </w:r>
                  <w:r>
                    <w:rPr>
                      <w:rFonts w:hint="eastAsia"/>
                    </w:rPr>
                    <w:t>VOC很低</w:t>
                  </w:r>
                </w:p>
              </w:tc>
              <w:tc>
                <w:tcPr>
                  <w:tcW w:w="682" w:type="pct"/>
                  <w:vAlign w:val="center"/>
                </w:tcPr>
                <w:p>
                  <w:pPr>
                    <w:adjustRightInd w:val="0"/>
                    <w:snapToGrid w:val="0"/>
                    <w:jc w:val="center"/>
                  </w:pPr>
                  <w:r>
                    <w:rPr>
                      <w:rFonts w:hint="eastAsia"/>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8" w:type="pct"/>
                  <w:vAlign w:val="center"/>
                </w:tcPr>
                <w:p>
                  <w:pPr>
                    <w:adjustRightInd w:val="0"/>
                    <w:snapToGrid w:val="0"/>
                    <w:jc w:val="center"/>
                  </w:pPr>
                  <w:r>
                    <w:rPr>
                      <w:rFonts w:hint="eastAsia"/>
                    </w:rPr>
                    <w:t>危险废物</w:t>
                  </w:r>
                </w:p>
              </w:tc>
              <w:tc>
                <w:tcPr>
                  <w:tcW w:w="2203" w:type="pct"/>
                  <w:vAlign w:val="center"/>
                </w:tcPr>
                <w:p>
                  <w:pPr>
                    <w:adjustRightInd w:val="0"/>
                    <w:snapToGrid w:val="0"/>
                    <w:jc w:val="center"/>
                  </w:pPr>
                  <w:r>
                    <w:t>规范危险废物收集转运流程。严格危险废物产生、运输、利用处置转移联单管理，推动转移运输规范化和便捷化</w:t>
                  </w:r>
                </w:p>
              </w:tc>
              <w:tc>
                <w:tcPr>
                  <w:tcW w:w="1467" w:type="pct"/>
                  <w:vAlign w:val="center"/>
                </w:tcPr>
                <w:p>
                  <w:pPr>
                    <w:adjustRightInd w:val="0"/>
                    <w:snapToGrid w:val="0"/>
                    <w:jc w:val="center"/>
                  </w:pPr>
                  <w:r>
                    <w:rPr>
                      <w:rFonts w:hint="eastAsia"/>
                    </w:rPr>
                    <w:t>评价对危废的产生、收集、内部转运和外运处置分别作出要求，并严格危险废物管理</w:t>
                  </w:r>
                </w:p>
              </w:tc>
              <w:tc>
                <w:tcPr>
                  <w:tcW w:w="682" w:type="pct"/>
                  <w:vAlign w:val="center"/>
                </w:tcPr>
                <w:p>
                  <w:pPr>
                    <w:adjustRightInd w:val="0"/>
                    <w:snapToGrid w:val="0"/>
                    <w:jc w:val="center"/>
                  </w:pPr>
                  <w:r>
                    <w:rPr>
                      <w:rFonts w:hint="eastAsia"/>
                    </w:rPr>
                    <w:t>符合</w:t>
                  </w:r>
                </w:p>
              </w:tc>
            </w:tr>
          </w:tbl>
          <w:p>
            <w:pPr>
              <w:adjustRightInd w:val="0"/>
              <w:snapToGrid w:val="0"/>
              <w:spacing w:line="400" w:lineRule="exact"/>
              <w:ind w:firstLine="420" w:firstLineChars="200"/>
              <w:rPr>
                <w:bCs/>
                <w:szCs w:val="21"/>
              </w:rPr>
            </w:pPr>
            <w:r>
              <w:rPr>
                <w:rFonts w:hint="eastAsia"/>
                <w:bCs/>
                <w:szCs w:val="21"/>
              </w:rPr>
              <w:t>由上可知，本项目可以满足</w:t>
            </w:r>
            <w:r>
              <w:rPr>
                <w:rFonts w:hint="eastAsia"/>
                <w:szCs w:val="21"/>
              </w:rPr>
              <w:t>《秦皇岛市生态环境保护“十四五”规划（2021-2025年）》</w:t>
            </w:r>
            <w:r>
              <w:rPr>
                <w:rFonts w:hint="eastAsia"/>
                <w:bCs/>
                <w:szCs w:val="21"/>
              </w:rPr>
              <w:t>要求。</w:t>
            </w:r>
          </w:p>
          <w:bookmarkEnd w:id="13"/>
          <w:p>
            <w:pPr>
              <w:adjustRightInd w:val="0"/>
              <w:snapToGrid w:val="0"/>
              <w:spacing w:line="400" w:lineRule="exact"/>
              <w:rPr>
                <w:b/>
                <w:bCs/>
                <w:kern w:val="0"/>
                <w:szCs w:val="21"/>
              </w:rPr>
            </w:pPr>
            <w:r>
              <w:rPr>
                <w:rFonts w:hint="eastAsia"/>
                <w:b/>
                <w:bCs/>
                <w:kern w:val="0"/>
                <w:szCs w:val="21"/>
                <w:lang w:val="en-US" w:eastAsia="zh-CN"/>
              </w:rPr>
              <w:t>3、</w:t>
            </w:r>
            <w:r>
              <w:rPr>
                <w:rFonts w:hint="eastAsia"/>
                <w:b/>
                <w:bCs/>
                <w:kern w:val="0"/>
                <w:szCs w:val="21"/>
              </w:rPr>
              <w:t>选址</w:t>
            </w:r>
            <w:r>
              <w:rPr>
                <w:b/>
                <w:bCs/>
                <w:kern w:val="0"/>
                <w:szCs w:val="21"/>
              </w:rPr>
              <w:t>合理性分析</w:t>
            </w:r>
          </w:p>
          <w:p>
            <w:pPr>
              <w:adjustRightInd w:val="0"/>
              <w:snapToGrid w:val="0"/>
              <w:spacing w:line="400" w:lineRule="exact"/>
              <w:ind w:firstLine="420" w:firstLineChars="200"/>
              <w:rPr>
                <w:kern w:val="0"/>
                <w:szCs w:val="21"/>
              </w:rPr>
            </w:pPr>
            <w:r>
              <w:rPr>
                <w:rFonts w:hint="eastAsia"/>
                <w:kern w:val="0"/>
                <w:szCs w:val="21"/>
              </w:rPr>
              <w:t>项目</w:t>
            </w:r>
            <w:r>
              <w:rPr>
                <w:rFonts w:hint="eastAsia"/>
                <w:kern w:val="0"/>
                <w:szCs w:val="21"/>
                <w:lang w:val="en-US" w:eastAsia="zh-CN"/>
              </w:rPr>
              <w:t>利用</w:t>
            </w:r>
            <w:r>
              <w:rPr>
                <w:rFonts w:hint="eastAsia"/>
                <w:kern w:val="0"/>
                <w:szCs w:val="21"/>
              </w:rPr>
              <w:t>现有厂区内建设，不新增占地。</w:t>
            </w:r>
          </w:p>
          <w:p>
            <w:pPr>
              <w:adjustRightInd w:val="0"/>
              <w:snapToGrid w:val="0"/>
              <w:spacing w:line="400" w:lineRule="exact"/>
              <w:ind w:firstLine="420" w:firstLineChars="200"/>
              <w:rPr>
                <w:kern w:val="0"/>
                <w:szCs w:val="21"/>
              </w:rPr>
            </w:pPr>
            <w:r>
              <w:rPr>
                <w:rFonts w:hint="eastAsia"/>
                <w:kern w:val="0"/>
                <w:szCs w:val="21"/>
              </w:rPr>
              <w:t>经分析，</w:t>
            </w:r>
            <w:r>
              <w:rPr>
                <w:kern w:val="0"/>
                <w:szCs w:val="21"/>
              </w:rPr>
              <w:t>本项目</w:t>
            </w:r>
            <w:r>
              <w:rPr>
                <w:rFonts w:hint="eastAsia"/>
                <w:kern w:val="0"/>
                <w:szCs w:val="21"/>
              </w:rPr>
              <w:t>符合国家及地方产业政策、</w:t>
            </w:r>
            <w:r>
              <w:rPr>
                <w:bCs/>
                <w:szCs w:val="21"/>
              </w:rPr>
              <w:t>符合</w:t>
            </w:r>
            <w:r>
              <w:rPr>
                <w:kern w:val="0"/>
                <w:szCs w:val="21"/>
              </w:rPr>
              <w:t>《秦皇岛市”三线一单”生态环境分区管控实施意见》（秦政字【2021】6号）</w:t>
            </w:r>
            <w:r>
              <w:rPr>
                <w:rFonts w:hint="eastAsia"/>
                <w:kern w:val="0"/>
                <w:szCs w:val="21"/>
              </w:rPr>
              <w:t>，以及《秦皇岛市生态环境准入清单（2</w:t>
            </w:r>
            <w:r>
              <w:rPr>
                <w:kern w:val="0"/>
                <w:szCs w:val="21"/>
              </w:rPr>
              <w:t>023</w:t>
            </w:r>
            <w:r>
              <w:rPr>
                <w:rFonts w:hint="eastAsia"/>
                <w:kern w:val="0"/>
                <w:szCs w:val="21"/>
              </w:rPr>
              <w:t>年版）》（2</w:t>
            </w:r>
            <w:r>
              <w:rPr>
                <w:kern w:val="0"/>
                <w:szCs w:val="21"/>
              </w:rPr>
              <w:t>024</w:t>
            </w:r>
            <w:r>
              <w:rPr>
                <w:rFonts w:hint="eastAsia"/>
                <w:kern w:val="0"/>
                <w:szCs w:val="21"/>
              </w:rPr>
              <w:t>年6月修订）</w:t>
            </w:r>
            <w:r>
              <w:rPr>
                <w:kern w:val="0"/>
                <w:szCs w:val="21"/>
              </w:rPr>
              <w:t>要求</w:t>
            </w:r>
            <w:r>
              <w:rPr>
                <w:rFonts w:hint="eastAsia"/>
                <w:kern w:val="0"/>
                <w:szCs w:val="21"/>
              </w:rPr>
              <w:t>。</w:t>
            </w:r>
          </w:p>
          <w:p>
            <w:pPr>
              <w:adjustRightInd w:val="0"/>
              <w:snapToGrid w:val="0"/>
              <w:spacing w:line="400" w:lineRule="exact"/>
              <w:ind w:firstLine="420" w:firstLineChars="200"/>
              <w:rPr>
                <w:kern w:val="0"/>
                <w:szCs w:val="21"/>
              </w:rPr>
            </w:pPr>
            <w:r>
              <w:rPr>
                <w:rFonts w:hint="eastAsia"/>
                <w:kern w:val="0"/>
                <w:szCs w:val="21"/>
              </w:rPr>
              <w:t>本项</w:t>
            </w:r>
            <w:r>
              <w:rPr>
                <w:rFonts w:hint="eastAsia"/>
                <w:kern w:val="0"/>
                <w:szCs w:val="21"/>
                <w:highlight w:val="none"/>
              </w:rPr>
              <w:t>目已通过</w:t>
            </w:r>
            <w:r>
              <w:rPr>
                <w:rFonts w:hint="eastAsia"/>
                <w:kern w:val="0"/>
                <w:szCs w:val="21"/>
                <w:highlight w:val="none"/>
                <w:lang w:val="en-US" w:eastAsia="zh-CN"/>
              </w:rPr>
              <w:t>秦皇岛市</w:t>
            </w:r>
            <w:r>
              <w:rPr>
                <w:rFonts w:hint="eastAsia"/>
                <w:kern w:val="0"/>
                <w:szCs w:val="21"/>
                <w:highlight w:val="none"/>
              </w:rPr>
              <w:t>抚宁区行政审批局备案，备案</w:t>
            </w:r>
            <w:r>
              <w:rPr>
                <w:rFonts w:hint="eastAsia"/>
                <w:kern w:val="0"/>
                <w:szCs w:val="21"/>
                <w:highlight w:val="none"/>
                <w:lang w:val="en-US" w:eastAsia="zh-CN"/>
              </w:rPr>
              <w:t>编号</w:t>
            </w:r>
            <w:r>
              <w:rPr>
                <w:rFonts w:hint="eastAsia"/>
                <w:kern w:val="0"/>
                <w:szCs w:val="21"/>
                <w:highlight w:val="none"/>
              </w:rPr>
              <w:t>：</w:t>
            </w:r>
            <w:r>
              <w:rPr>
                <w:rFonts w:hint="eastAsia"/>
                <w:szCs w:val="21"/>
                <w:highlight w:val="none"/>
              </w:rPr>
              <w:t>抚行审备【2025】212号</w:t>
            </w:r>
            <w:r>
              <w:rPr>
                <w:rFonts w:hint="eastAsia"/>
                <w:kern w:val="0"/>
                <w:szCs w:val="21"/>
                <w:highlight w:val="none"/>
              </w:rPr>
              <w:t>。本项目废气</w:t>
            </w:r>
            <w:r>
              <w:rPr>
                <w:rFonts w:hint="eastAsia"/>
                <w:kern w:val="0"/>
                <w:szCs w:val="21"/>
              </w:rPr>
              <w:t>污染物经治理设施处理后可达标排放，废水不外排；噪声采取降噪措施后厂界均可满足标准；固体废物均合理处置。项目周边无特殊保护文物古迹、自然保护区和特殊环境制约因素。因此，从土地、环境影响、规划等方面拟建项目选址可行。</w:t>
            </w:r>
          </w:p>
          <w:p>
            <w:pPr>
              <w:adjustRightInd w:val="0"/>
              <w:snapToGrid w:val="0"/>
              <w:spacing w:line="400" w:lineRule="exact"/>
              <w:rPr>
                <w:rFonts w:hint="eastAsia"/>
                <w:b/>
                <w:bCs/>
                <w:kern w:val="0"/>
                <w:szCs w:val="21"/>
              </w:rPr>
            </w:pPr>
            <w:r>
              <w:rPr>
                <w:rFonts w:hint="eastAsia"/>
                <w:b/>
                <w:bCs/>
                <w:kern w:val="0"/>
                <w:szCs w:val="21"/>
                <w:lang w:val="en-US" w:eastAsia="zh-CN"/>
              </w:rPr>
              <w:t>4</w:t>
            </w:r>
            <w:r>
              <w:rPr>
                <w:rFonts w:hint="eastAsia"/>
                <w:b/>
                <w:bCs/>
                <w:kern w:val="0"/>
                <w:szCs w:val="21"/>
              </w:rPr>
              <w:t>、产业政策符合性</w:t>
            </w:r>
          </w:p>
          <w:p>
            <w:pPr>
              <w:adjustRightInd w:val="0"/>
              <w:snapToGrid w:val="0"/>
              <w:spacing w:line="400" w:lineRule="exact"/>
              <w:ind w:firstLine="420" w:firstLineChars="200"/>
              <w:rPr>
                <w:rFonts w:hint="eastAsia"/>
                <w:kern w:val="0"/>
                <w:szCs w:val="21"/>
              </w:rPr>
            </w:pPr>
            <w:r>
              <w:rPr>
                <w:rFonts w:hint="eastAsia"/>
                <w:kern w:val="0"/>
                <w:szCs w:val="21"/>
              </w:rPr>
              <w:t>本项目不属于《产业结构调整指导目录（2024 年本）》中限制类、淘汰类项目，属于允许类；不属于《市场准入负面清单（202</w:t>
            </w:r>
            <w:r>
              <w:rPr>
                <w:rFonts w:hint="eastAsia"/>
                <w:kern w:val="0"/>
                <w:szCs w:val="21"/>
                <w:lang w:val="en-US" w:eastAsia="zh-CN"/>
              </w:rPr>
              <w:t>5</w:t>
            </w:r>
            <w:r>
              <w:rPr>
                <w:rFonts w:hint="eastAsia"/>
                <w:kern w:val="0"/>
                <w:szCs w:val="21"/>
              </w:rPr>
              <w:t>年版）中禁止准入类。</w:t>
            </w:r>
            <w:r>
              <w:rPr>
                <w:rFonts w:hint="eastAsia"/>
                <w:kern w:val="0"/>
                <w:szCs w:val="21"/>
                <w:highlight w:val="none"/>
              </w:rPr>
              <w:t>秦皇岛市</w:t>
            </w:r>
            <w:r>
              <w:rPr>
                <w:rFonts w:hint="eastAsia"/>
                <w:szCs w:val="21"/>
                <w:highlight w:val="none"/>
              </w:rPr>
              <w:t>抚宁区行政审批局</w:t>
            </w:r>
            <w:r>
              <w:rPr>
                <w:rFonts w:hint="eastAsia"/>
                <w:kern w:val="0"/>
                <w:szCs w:val="21"/>
                <w:highlight w:val="none"/>
              </w:rPr>
              <w:t>对项目进行了备案，备案</w:t>
            </w:r>
            <w:r>
              <w:rPr>
                <w:rFonts w:hint="eastAsia"/>
                <w:kern w:val="0"/>
                <w:szCs w:val="21"/>
                <w:highlight w:val="none"/>
                <w:lang w:val="en-US" w:eastAsia="zh-CN"/>
              </w:rPr>
              <w:t>编号</w:t>
            </w:r>
            <w:r>
              <w:rPr>
                <w:rFonts w:hint="eastAsia"/>
                <w:kern w:val="0"/>
                <w:szCs w:val="21"/>
                <w:highlight w:val="none"/>
              </w:rPr>
              <w:t>：</w:t>
            </w:r>
            <w:r>
              <w:rPr>
                <w:rFonts w:hint="eastAsia"/>
                <w:szCs w:val="21"/>
                <w:highlight w:val="none"/>
              </w:rPr>
              <w:t>抚行审备【2025】212号</w:t>
            </w:r>
            <w:r>
              <w:rPr>
                <w:rFonts w:hint="eastAsia"/>
                <w:kern w:val="0"/>
                <w:szCs w:val="21"/>
                <w:highlight w:val="none"/>
              </w:rPr>
              <w:t>。</w:t>
            </w:r>
          </w:p>
          <w:p>
            <w:pPr>
              <w:adjustRightInd w:val="0"/>
              <w:snapToGrid w:val="0"/>
              <w:spacing w:line="400" w:lineRule="exact"/>
              <w:ind w:firstLine="420" w:firstLineChars="200"/>
              <w:rPr>
                <w:kern w:val="0"/>
                <w:szCs w:val="21"/>
              </w:rPr>
            </w:pPr>
            <w:r>
              <w:rPr>
                <w:rFonts w:hint="eastAsia"/>
                <w:kern w:val="0"/>
                <w:szCs w:val="21"/>
              </w:rPr>
              <w:t>因此，本项目符合国家及地方产业政策。</w:t>
            </w:r>
          </w:p>
          <w:p>
            <w:pPr>
              <w:adjustRightInd w:val="0"/>
              <w:snapToGrid w:val="0"/>
              <w:spacing w:line="400" w:lineRule="exact"/>
              <w:ind w:firstLine="420" w:firstLineChars="200"/>
              <w:rPr>
                <w:kern w:val="0"/>
                <w:szCs w:val="21"/>
              </w:rPr>
            </w:pPr>
          </w:p>
        </w:tc>
      </w:tr>
    </w:tbl>
    <w:p>
      <w:pPr>
        <w:spacing w:line="360" w:lineRule="auto"/>
        <w:outlineLvl w:val="0"/>
        <w:rPr>
          <w:rFonts w:eastAsia="黑体"/>
          <w:sz w:val="30"/>
        </w:rPr>
        <w:sectPr>
          <w:headerReference r:id="rId5" w:type="default"/>
          <w:footerReference r:id="rId6" w:type="default"/>
          <w:pgSz w:w="11906" w:h="16838"/>
          <w:pgMar w:top="1701" w:right="1531" w:bottom="1701" w:left="1531" w:header="851" w:footer="1077" w:gutter="0"/>
          <w:pgNumType w:fmt="decimal" w:start="1"/>
          <w:cols w:space="720" w:num="1"/>
          <w:docGrid w:linePitch="312" w:charSpace="0"/>
        </w:sectPr>
      </w:pPr>
    </w:p>
    <w:p>
      <w:pPr>
        <w:pStyle w:val="83"/>
        <w:jc w:val="center"/>
        <w:outlineLvl w:val="0"/>
        <w:rPr>
          <w:rFonts w:ascii="黑体" w:hAnsi="黑体" w:eastAsia="黑体"/>
          <w:snapToGrid w:val="0"/>
          <w:sz w:val="30"/>
          <w:szCs w:val="30"/>
        </w:rPr>
      </w:pPr>
      <w:bookmarkStart w:id="14" w:name="_Toc24148"/>
      <w:r>
        <w:rPr>
          <w:rFonts w:hint="eastAsia" w:ascii="黑体" w:hAnsi="黑体" w:eastAsia="黑体"/>
          <w:snapToGrid w:val="0"/>
          <w:sz w:val="30"/>
          <w:szCs w:val="30"/>
        </w:rPr>
        <w:t>二、建设项目工程分析</w:t>
      </w:r>
      <w:bookmarkEnd w:id="14"/>
    </w:p>
    <w:tbl>
      <w:tblPr>
        <w:tblStyle w:val="9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23"/>
        <w:gridCol w:w="816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823" w:type="dxa"/>
            <w:vAlign w:val="center"/>
          </w:tcPr>
          <w:p>
            <w:pPr>
              <w:pStyle w:val="83"/>
              <w:adjustRightInd w:val="0"/>
              <w:snapToGrid w:val="0"/>
              <w:spacing w:before="0" w:beforeAutospacing="0" w:after="0" w:afterAutospacing="0"/>
              <w:jc w:val="center"/>
              <w:rPr>
                <w:rFonts w:cs="宋体"/>
                <w:sz w:val="21"/>
                <w:szCs w:val="21"/>
              </w:rPr>
            </w:pPr>
            <w:r>
              <w:rPr>
                <w:rFonts w:hint="eastAsia" w:cs="宋体"/>
                <w:sz w:val="21"/>
                <w:szCs w:val="21"/>
              </w:rPr>
              <w:t>建设内容</w:t>
            </w:r>
          </w:p>
        </w:tc>
        <w:tc>
          <w:tcPr>
            <w:tcW w:w="8161" w:type="dxa"/>
          </w:tcPr>
          <w:p>
            <w:pPr>
              <w:adjustRightInd w:val="0"/>
              <w:snapToGrid w:val="0"/>
              <w:spacing w:line="400" w:lineRule="exact"/>
              <w:ind w:firstLine="422" w:firstLineChars="200"/>
              <w:rPr>
                <w:b/>
                <w:szCs w:val="21"/>
              </w:rPr>
            </w:pPr>
            <w:r>
              <w:rPr>
                <w:rFonts w:hint="eastAsia"/>
                <w:b/>
                <w:szCs w:val="21"/>
              </w:rPr>
              <w:t>1、项目由来</w:t>
            </w:r>
          </w:p>
          <w:p>
            <w:pPr>
              <w:adjustRightInd w:val="0"/>
              <w:snapToGrid w:val="0"/>
              <w:spacing w:line="400" w:lineRule="exact"/>
              <w:ind w:firstLine="420" w:firstLineChars="200"/>
              <w:rPr>
                <w:rFonts w:hint="eastAsia"/>
                <w:kern w:val="0"/>
                <w:szCs w:val="21"/>
              </w:rPr>
            </w:pPr>
            <w:r>
              <w:rPr>
                <w:rFonts w:hint="eastAsia"/>
                <w:szCs w:val="21"/>
                <w:lang w:val="en-US" w:eastAsia="zh-CN"/>
              </w:rPr>
              <w:t>秦皇岛市抚宁区满亿印刷包装厂成立于2014年，于2018年编制完成了《年印刷生产200万个纸箱项目环境影响报告表》，2018年8月24日取得秦皇岛市环境保护局的审批意见，审批文号：抚环审表[2018]-8-5号。2018年进行了竣工环保验收。2024年5月28日秦皇岛市抚宁区满亿印刷包装厂申请了单位名称变更，变更为秦皇岛市抚宁区满亿包装材料厂，并于秦皇岛市抚宁区行政审批局进行了备案登记，</w:t>
            </w:r>
            <w:r>
              <w:rPr>
                <w:rFonts w:hint="eastAsia"/>
                <w:kern w:val="0"/>
                <w:szCs w:val="21"/>
                <w:highlight w:val="none"/>
                <w:lang w:val="en-US" w:eastAsia="zh-CN"/>
              </w:rPr>
              <w:t>文号</w:t>
            </w:r>
            <w:r>
              <w:rPr>
                <w:rFonts w:hint="eastAsia"/>
                <w:kern w:val="0"/>
                <w:szCs w:val="21"/>
                <w:highlight w:val="none"/>
              </w:rPr>
              <w:t>：</w:t>
            </w:r>
            <w:r>
              <w:rPr>
                <w:rFonts w:hint="eastAsia"/>
                <w:kern w:val="0"/>
                <w:szCs w:val="21"/>
                <w:highlight w:val="none"/>
                <w:lang w:eastAsia="zh-CN"/>
              </w:rPr>
              <w:t>（</w:t>
            </w:r>
            <w:r>
              <w:rPr>
                <w:rFonts w:hint="eastAsia"/>
                <w:szCs w:val="21"/>
                <w:highlight w:val="none"/>
              </w:rPr>
              <w:t>抚</w:t>
            </w:r>
            <w:r>
              <w:rPr>
                <w:rFonts w:hint="eastAsia"/>
                <w:szCs w:val="21"/>
                <w:highlight w:val="none"/>
                <w:lang w:eastAsia="zh-CN"/>
              </w:rPr>
              <w:t>）</w:t>
            </w:r>
            <w:r>
              <w:rPr>
                <w:rFonts w:hint="eastAsia"/>
                <w:szCs w:val="21"/>
                <w:highlight w:val="none"/>
                <w:lang w:val="en-US" w:eastAsia="zh-CN"/>
              </w:rPr>
              <w:t>登字</w:t>
            </w:r>
            <w:r>
              <w:rPr>
                <w:rFonts w:hint="eastAsia"/>
                <w:szCs w:val="21"/>
                <w:highlight w:val="none"/>
              </w:rPr>
              <w:t>【202</w:t>
            </w:r>
            <w:r>
              <w:rPr>
                <w:rFonts w:hint="eastAsia"/>
                <w:szCs w:val="21"/>
                <w:highlight w:val="none"/>
                <w:lang w:val="en-US" w:eastAsia="zh-CN"/>
              </w:rPr>
              <w:t>4</w:t>
            </w:r>
            <w:r>
              <w:rPr>
                <w:rFonts w:hint="eastAsia"/>
                <w:szCs w:val="21"/>
                <w:highlight w:val="none"/>
              </w:rPr>
              <w:t>】</w:t>
            </w:r>
            <w:r>
              <w:rPr>
                <w:rFonts w:hint="eastAsia"/>
                <w:szCs w:val="21"/>
                <w:highlight w:val="none"/>
                <w:lang w:val="en-US" w:eastAsia="zh-CN"/>
              </w:rPr>
              <w:t>第1269</w:t>
            </w:r>
            <w:r>
              <w:rPr>
                <w:rFonts w:hint="eastAsia"/>
                <w:szCs w:val="21"/>
                <w:highlight w:val="none"/>
              </w:rPr>
              <w:t>号</w:t>
            </w:r>
            <w:r>
              <w:rPr>
                <w:rFonts w:hint="eastAsia"/>
                <w:szCs w:val="21"/>
                <w:lang w:val="en-US" w:eastAsia="zh-CN"/>
              </w:rPr>
              <w:t>。</w:t>
            </w:r>
            <w:r>
              <w:rPr>
                <w:rFonts w:hint="eastAsia"/>
                <w:szCs w:val="21"/>
              </w:rPr>
              <w:t>现</w:t>
            </w:r>
            <w:r>
              <w:rPr>
                <w:rFonts w:hint="eastAsia"/>
                <w:szCs w:val="21"/>
                <w:lang w:val="en-US" w:eastAsia="zh-CN"/>
              </w:rPr>
              <w:t>由于市场原因，现有工程包装纸箱生产线已停产并拆除，</w:t>
            </w:r>
            <w:r>
              <w:rPr>
                <w:rFonts w:hint="eastAsia"/>
                <w:szCs w:val="21"/>
              </w:rPr>
              <w:t>拟</w:t>
            </w:r>
            <w:r>
              <w:rPr>
                <w:rFonts w:hint="eastAsia"/>
                <w:szCs w:val="21"/>
                <w:lang w:val="en-US" w:eastAsia="zh-CN"/>
              </w:rPr>
              <w:t>利用</w:t>
            </w:r>
            <w:r>
              <w:rPr>
                <w:rFonts w:hint="eastAsia"/>
                <w:szCs w:val="21"/>
              </w:rPr>
              <w:t>现有厂区</w:t>
            </w:r>
            <w:r>
              <w:rPr>
                <w:rFonts w:hint="eastAsia"/>
                <w:szCs w:val="21"/>
                <w:lang w:val="en-US" w:eastAsia="zh-CN"/>
              </w:rPr>
              <w:t>及车间进行技改，</w:t>
            </w:r>
            <w:r>
              <w:rPr>
                <w:rFonts w:hint="eastAsia"/>
                <w:szCs w:val="21"/>
              </w:rPr>
              <w:t>建设</w:t>
            </w:r>
            <w:r>
              <w:rPr>
                <w:rFonts w:hint="eastAsia"/>
                <w:szCs w:val="21"/>
                <w:lang w:val="en-US" w:eastAsia="zh-CN"/>
              </w:rPr>
              <w:t>预涂膜生产线</w:t>
            </w:r>
            <w:r>
              <w:rPr>
                <w:rFonts w:hint="eastAsia"/>
                <w:szCs w:val="21"/>
              </w:rPr>
              <w:t>，</w:t>
            </w:r>
            <w:r>
              <w:rPr>
                <w:rFonts w:hint="eastAsia"/>
                <w:szCs w:val="21"/>
                <w:lang w:val="en-US" w:eastAsia="zh-CN"/>
              </w:rPr>
              <w:t>技改完成后年生产预涂膜1500吨</w:t>
            </w:r>
            <w:r>
              <w:rPr>
                <w:rFonts w:hint="eastAsia"/>
                <w:szCs w:val="21"/>
              </w:rPr>
              <w:t>。</w:t>
            </w:r>
            <w:r>
              <w:rPr>
                <w:rFonts w:hint="eastAsia"/>
                <w:kern w:val="0"/>
                <w:szCs w:val="21"/>
                <w:highlight w:val="none"/>
              </w:rPr>
              <w:t>秦皇岛市</w:t>
            </w:r>
            <w:r>
              <w:rPr>
                <w:rFonts w:hint="eastAsia"/>
                <w:szCs w:val="21"/>
                <w:highlight w:val="none"/>
              </w:rPr>
              <w:t>抚宁区行政审批局</w:t>
            </w:r>
            <w:r>
              <w:rPr>
                <w:rFonts w:hint="eastAsia"/>
                <w:kern w:val="0"/>
                <w:szCs w:val="21"/>
                <w:highlight w:val="none"/>
              </w:rPr>
              <w:t>对项目进行了备案，备案</w:t>
            </w:r>
            <w:r>
              <w:rPr>
                <w:rFonts w:hint="eastAsia"/>
                <w:kern w:val="0"/>
                <w:szCs w:val="21"/>
                <w:highlight w:val="none"/>
                <w:lang w:val="en-US" w:eastAsia="zh-CN"/>
              </w:rPr>
              <w:t>编号</w:t>
            </w:r>
            <w:r>
              <w:rPr>
                <w:rFonts w:hint="eastAsia"/>
                <w:kern w:val="0"/>
                <w:szCs w:val="21"/>
                <w:highlight w:val="none"/>
              </w:rPr>
              <w:t>：</w:t>
            </w:r>
            <w:r>
              <w:rPr>
                <w:rFonts w:hint="eastAsia"/>
                <w:szCs w:val="21"/>
                <w:highlight w:val="none"/>
              </w:rPr>
              <w:t>抚行审备【2025】212号</w:t>
            </w:r>
            <w:r>
              <w:rPr>
                <w:rFonts w:hint="eastAsia"/>
                <w:kern w:val="0"/>
                <w:szCs w:val="21"/>
                <w:highlight w:val="none"/>
              </w:rPr>
              <w:t>。</w:t>
            </w:r>
          </w:p>
          <w:p>
            <w:pPr>
              <w:adjustRightInd w:val="0"/>
              <w:snapToGrid w:val="0"/>
              <w:spacing w:line="400" w:lineRule="exact"/>
              <w:ind w:firstLine="420" w:firstLineChars="200"/>
              <w:rPr>
                <w:szCs w:val="21"/>
              </w:rPr>
            </w:pPr>
            <w:r>
              <w:rPr>
                <w:rFonts w:hint="eastAsia"/>
                <w:szCs w:val="21"/>
              </w:rPr>
              <w:t>根据《中华人民共和国环境影响评价法》、《建设项目环境保护管理条例》及《建设项目环境影响评价分类管理名录（2021年版）》中的有关规定，本项目属于“二十六、橡胶和塑料制品业 29”中“53 塑料制品业 292”的“其他（年用非溶剂型低VOCs含量涂料10吨以下的除外）”，应编制环境影响报告表。</w:t>
            </w:r>
            <w:r>
              <w:rPr>
                <w:rFonts w:hint="eastAsia"/>
                <w:szCs w:val="21"/>
                <w:lang w:eastAsia="zh-CN"/>
              </w:rPr>
              <w:t>秦皇岛市抚宁区满亿包装材料厂</w:t>
            </w:r>
            <w:r>
              <w:rPr>
                <w:rFonts w:hint="eastAsia"/>
                <w:szCs w:val="21"/>
              </w:rPr>
              <w:t>委托我单位承担该项目环境影响报告表的编制工作。接受委托后，我单位组织技术人员进行了现场踏勘、资料收集与调研，并按《建设项目环境影响报告表编制技术指南（污染影响类）》（试行）要求编写了本项目环境影响报告表。</w:t>
            </w:r>
          </w:p>
          <w:p>
            <w:pPr>
              <w:adjustRightInd w:val="0"/>
              <w:snapToGrid w:val="0"/>
              <w:spacing w:line="400" w:lineRule="exact"/>
              <w:ind w:firstLine="422" w:firstLineChars="200"/>
              <w:rPr>
                <w:b/>
                <w:szCs w:val="21"/>
              </w:rPr>
            </w:pPr>
            <w:r>
              <w:rPr>
                <w:rFonts w:hint="eastAsia"/>
                <w:b/>
                <w:szCs w:val="21"/>
              </w:rPr>
              <w:t>2、本项目基本概况</w:t>
            </w:r>
          </w:p>
          <w:p>
            <w:pPr>
              <w:adjustRightInd w:val="0"/>
              <w:snapToGrid w:val="0"/>
              <w:spacing w:line="400" w:lineRule="exact"/>
              <w:ind w:firstLine="420" w:firstLineChars="200"/>
              <w:rPr>
                <w:bCs/>
                <w:szCs w:val="21"/>
              </w:rPr>
            </w:pPr>
            <w:r>
              <w:rPr>
                <w:bCs/>
                <w:szCs w:val="21"/>
              </w:rPr>
              <w:t>（1）项目名称：</w:t>
            </w:r>
            <w:r>
              <w:rPr>
                <w:rFonts w:hint="eastAsia"/>
                <w:spacing w:val="-5"/>
                <w:lang w:eastAsia="zh-CN"/>
              </w:rPr>
              <w:t>抚宁区满亿包装材料厂生产线技改项目</w:t>
            </w:r>
            <w:r>
              <w:rPr>
                <w:bCs/>
                <w:szCs w:val="21"/>
              </w:rPr>
              <w:t>。</w:t>
            </w:r>
          </w:p>
          <w:p>
            <w:pPr>
              <w:adjustRightInd w:val="0"/>
              <w:snapToGrid w:val="0"/>
              <w:spacing w:line="400" w:lineRule="exact"/>
              <w:ind w:firstLine="420" w:firstLineChars="200"/>
              <w:rPr>
                <w:bCs/>
                <w:szCs w:val="21"/>
              </w:rPr>
            </w:pPr>
            <w:r>
              <w:rPr>
                <w:bCs/>
                <w:szCs w:val="21"/>
              </w:rPr>
              <w:t>（2）建设单位：</w:t>
            </w:r>
            <w:r>
              <w:rPr>
                <w:rFonts w:hint="eastAsia"/>
                <w:spacing w:val="-5"/>
                <w:lang w:eastAsia="zh-CN"/>
              </w:rPr>
              <w:t>秦皇岛市抚宁区满亿包装材料厂</w:t>
            </w:r>
            <w:r>
              <w:rPr>
                <w:bCs/>
                <w:szCs w:val="21"/>
              </w:rPr>
              <w:t>。</w:t>
            </w:r>
          </w:p>
          <w:p>
            <w:pPr>
              <w:adjustRightInd w:val="0"/>
              <w:snapToGrid w:val="0"/>
              <w:spacing w:line="400" w:lineRule="exact"/>
              <w:ind w:firstLine="420" w:firstLineChars="200"/>
              <w:rPr>
                <w:bCs/>
                <w:szCs w:val="21"/>
              </w:rPr>
            </w:pPr>
            <w:r>
              <w:rPr>
                <w:bCs/>
                <w:szCs w:val="21"/>
              </w:rPr>
              <w:t>（3）建设性质：</w:t>
            </w:r>
            <w:r>
              <w:rPr>
                <w:rFonts w:hint="eastAsia"/>
                <w:bCs/>
                <w:szCs w:val="21"/>
                <w:lang w:val="en-US" w:eastAsia="zh-CN"/>
              </w:rPr>
              <w:t>技改</w:t>
            </w:r>
            <w:r>
              <w:rPr>
                <w:bCs/>
                <w:szCs w:val="21"/>
              </w:rPr>
              <w:t>。</w:t>
            </w:r>
          </w:p>
          <w:p>
            <w:pPr>
              <w:adjustRightInd w:val="0"/>
              <w:snapToGrid w:val="0"/>
              <w:spacing w:line="400" w:lineRule="exact"/>
              <w:ind w:firstLine="420" w:firstLineChars="200"/>
              <w:rPr>
                <w:bCs/>
                <w:szCs w:val="21"/>
              </w:rPr>
            </w:pPr>
            <w:r>
              <w:rPr>
                <w:bCs/>
                <w:szCs w:val="21"/>
              </w:rPr>
              <w:t>（4）建设地点及</w:t>
            </w:r>
            <w:r>
              <w:rPr>
                <w:rFonts w:hint="eastAsia"/>
                <w:bCs/>
                <w:szCs w:val="21"/>
                <w:lang w:val="en-US" w:eastAsia="zh-CN"/>
              </w:rPr>
              <w:t>周边关系</w:t>
            </w:r>
            <w:r>
              <w:rPr>
                <w:bCs/>
                <w:szCs w:val="21"/>
              </w:rPr>
              <w:t>：</w:t>
            </w:r>
            <w:r>
              <w:rPr>
                <w:rFonts w:hint="eastAsia"/>
                <w:bCs/>
                <w:szCs w:val="21"/>
              </w:rPr>
              <w:t>项目选址位于</w:t>
            </w:r>
            <w:r>
              <w:rPr>
                <w:rFonts w:hint="eastAsia"/>
                <w:szCs w:val="21"/>
                <w:lang w:eastAsia="zh-CN"/>
              </w:rPr>
              <w:t>秦皇岛市抚宁区留守营镇樊各庄北村</w:t>
            </w:r>
            <w:r>
              <w:rPr>
                <w:rFonts w:hint="eastAsia"/>
                <w:szCs w:val="21"/>
              </w:rPr>
              <w:t>，</w:t>
            </w:r>
            <w:r>
              <w:rPr>
                <w:rFonts w:hint="eastAsia"/>
                <w:szCs w:val="21"/>
                <w:lang w:val="en-US" w:eastAsia="zh-CN"/>
              </w:rPr>
              <w:t>厂址中心地理</w:t>
            </w:r>
            <w:r>
              <w:rPr>
                <w:rFonts w:hint="default" w:ascii="Times New Roman" w:hAnsi="Times New Roman" w:eastAsia="宋体" w:cs="Times New Roman"/>
                <w:color w:val="auto"/>
                <w:lang w:eastAsia="zh-CN"/>
              </w:rPr>
              <w:t>坐标为东经119°15′45.11</w:t>
            </w:r>
            <w:r>
              <w:rPr>
                <w:rFonts w:hint="eastAsia" w:ascii="Times New Roman" w:hAnsi="Times New Roman" w:eastAsia="宋体" w:cs="Times New Roman"/>
                <w:color w:val="auto"/>
                <w:lang w:val="en-US" w:eastAsia="zh-CN"/>
              </w:rPr>
              <w:t>3</w:t>
            </w:r>
            <w:r>
              <w:rPr>
                <w:rFonts w:hint="default" w:ascii="Times New Roman" w:hAnsi="Times New Roman" w:eastAsia="宋体" w:cs="Times New Roman"/>
                <w:color w:val="auto"/>
                <w:lang w:eastAsia="zh-CN"/>
              </w:rPr>
              <w:t>"、北纬39°46′2.14</w:t>
            </w:r>
            <w:r>
              <w:rPr>
                <w:rFonts w:hint="eastAsia" w:ascii="Times New Roman" w:hAnsi="Times New Roman" w:eastAsia="宋体" w:cs="Times New Roman"/>
                <w:color w:val="auto"/>
                <w:lang w:val="en-US" w:eastAsia="zh-CN"/>
              </w:rPr>
              <w:t>4</w:t>
            </w:r>
            <w:r>
              <w:rPr>
                <w:rFonts w:hint="default" w:ascii="Times New Roman" w:hAnsi="Times New Roman" w:eastAsia="宋体" w:cs="Times New Roman"/>
                <w:color w:val="auto"/>
                <w:lang w:eastAsia="zh-CN"/>
              </w:rPr>
              <w:t>"</w:t>
            </w:r>
            <w:r>
              <w:rPr>
                <w:rFonts w:hint="eastAsia" w:ascii="Times New Roman" w:hAnsi="Times New Roman" w:eastAsia="宋体" w:cs="Times New Roman"/>
                <w:color w:val="auto"/>
                <w:lang w:eastAsia="zh-CN"/>
              </w:rPr>
              <w:t>，项目东侧、南侧</w:t>
            </w:r>
            <w:r>
              <w:rPr>
                <w:rFonts w:hint="eastAsia" w:cs="Times New Roman"/>
                <w:color w:val="auto"/>
                <w:lang w:val="en-US" w:eastAsia="zh-CN"/>
              </w:rPr>
              <w:t>均为农田，南侧、北侧</w:t>
            </w:r>
            <w:r>
              <w:rPr>
                <w:rFonts w:hint="eastAsia" w:ascii="Times New Roman" w:hAnsi="Times New Roman" w:eastAsia="宋体" w:cs="Times New Roman"/>
                <w:color w:val="auto"/>
                <w:lang w:eastAsia="zh-CN"/>
              </w:rPr>
              <w:t>均为</w:t>
            </w:r>
            <w:r>
              <w:rPr>
                <w:rFonts w:hint="eastAsia" w:cs="Times New Roman"/>
                <w:color w:val="auto"/>
                <w:lang w:val="en-US" w:eastAsia="zh-CN"/>
              </w:rPr>
              <w:t>养殖场</w:t>
            </w:r>
            <w:r>
              <w:rPr>
                <w:rFonts w:hint="eastAsia" w:ascii="Times New Roman" w:hAnsi="Times New Roman" w:eastAsia="宋体" w:cs="Times New Roman"/>
                <w:color w:val="auto"/>
                <w:lang w:eastAsia="zh-CN"/>
              </w:rPr>
              <w:t>。</w:t>
            </w:r>
          </w:p>
          <w:p>
            <w:pPr>
              <w:adjustRightInd w:val="0"/>
              <w:snapToGrid w:val="0"/>
              <w:spacing w:line="400" w:lineRule="exact"/>
              <w:ind w:firstLine="420" w:firstLineChars="200"/>
              <w:rPr>
                <w:bCs/>
                <w:szCs w:val="21"/>
              </w:rPr>
            </w:pPr>
            <w:r>
              <w:rPr>
                <w:bCs/>
                <w:szCs w:val="21"/>
              </w:rPr>
              <w:t>（5）</w:t>
            </w:r>
            <w:bookmarkStart w:id="15" w:name="_Hlk121995731"/>
            <w:r>
              <w:rPr>
                <w:bCs/>
                <w:szCs w:val="21"/>
              </w:rPr>
              <w:t>劳动定员及工作制度：</w:t>
            </w:r>
            <w:r>
              <w:rPr>
                <w:rFonts w:hint="eastAsia"/>
                <w:bCs/>
                <w:szCs w:val="21"/>
              </w:rPr>
              <w:t>本项目劳动定员</w:t>
            </w:r>
            <w:r>
              <w:rPr>
                <w:rFonts w:hint="eastAsia"/>
                <w:bCs/>
                <w:szCs w:val="21"/>
                <w:lang w:val="en-US" w:eastAsia="zh-CN"/>
              </w:rPr>
              <w:t>10</w:t>
            </w:r>
            <w:r>
              <w:rPr>
                <w:rFonts w:hint="eastAsia"/>
                <w:bCs/>
                <w:szCs w:val="21"/>
              </w:rPr>
              <w:t>人，</w:t>
            </w:r>
            <w:r>
              <w:rPr>
                <w:rFonts w:hint="eastAsia"/>
                <w:bCs/>
                <w:szCs w:val="21"/>
                <w:lang w:val="en-US" w:eastAsia="zh-CN"/>
              </w:rPr>
              <w:t>三</w:t>
            </w:r>
            <w:r>
              <w:rPr>
                <w:rFonts w:hint="eastAsia"/>
                <w:bCs/>
                <w:szCs w:val="21"/>
              </w:rPr>
              <w:t>班</w:t>
            </w:r>
            <w:r>
              <w:rPr>
                <w:rFonts w:hint="eastAsia"/>
                <w:bCs/>
                <w:szCs w:val="21"/>
                <w:lang w:val="en-US" w:eastAsia="zh-CN"/>
              </w:rPr>
              <w:t>工作</w:t>
            </w:r>
            <w:r>
              <w:rPr>
                <w:rFonts w:hint="eastAsia"/>
                <w:bCs/>
                <w:szCs w:val="21"/>
              </w:rPr>
              <w:t>制，</w:t>
            </w:r>
            <w:r>
              <w:rPr>
                <w:rFonts w:hint="eastAsia"/>
                <w:bCs/>
                <w:szCs w:val="21"/>
                <w:lang w:val="en-US" w:eastAsia="zh-CN"/>
              </w:rPr>
              <w:t>每班8小时，</w:t>
            </w:r>
            <w:r>
              <w:rPr>
                <w:rFonts w:hint="eastAsia"/>
                <w:bCs/>
                <w:szCs w:val="21"/>
              </w:rPr>
              <w:t>年工作3</w:t>
            </w:r>
            <w:r>
              <w:rPr>
                <w:bCs/>
                <w:szCs w:val="21"/>
              </w:rPr>
              <w:t>0</w:t>
            </w:r>
            <w:r>
              <w:rPr>
                <w:rFonts w:hint="eastAsia"/>
                <w:bCs/>
                <w:szCs w:val="21"/>
              </w:rPr>
              <w:t>0天。</w:t>
            </w:r>
          </w:p>
          <w:bookmarkEnd w:id="15"/>
          <w:p>
            <w:pPr>
              <w:adjustRightInd w:val="0"/>
              <w:snapToGrid w:val="0"/>
              <w:spacing w:line="400" w:lineRule="exact"/>
              <w:ind w:firstLine="420" w:firstLineChars="200"/>
              <w:rPr>
                <w:bCs/>
                <w:szCs w:val="21"/>
              </w:rPr>
            </w:pPr>
            <w:r>
              <w:rPr>
                <w:bCs/>
                <w:szCs w:val="21"/>
              </w:rPr>
              <w:t>（6）</w:t>
            </w:r>
            <w:r>
              <w:rPr>
                <w:rFonts w:hint="eastAsia"/>
                <w:bCs/>
                <w:szCs w:val="21"/>
              </w:rPr>
              <w:t>工程投资及环保投资：本项目总投资</w:t>
            </w:r>
            <w:r>
              <w:rPr>
                <w:rFonts w:hint="eastAsia"/>
                <w:bCs/>
                <w:szCs w:val="21"/>
                <w:lang w:val="en-US" w:eastAsia="zh-CN"/>
              </w:rPr>
              <w:t>3</w:t>
            </w:r>
            <w:r>
              <w:rPr>
                <w:bCs/>
                <w:szCs w:val="21"/>
              </w:rPr>
              <w:t>00</w:t>
            </w:r>
            <w:r>
              <w:rPr>
                <w:rFonts w:hint="eastAsia"/>
                <w:bCs/>
                <w:szCs w:val="21"/>
              </w:rPr>
              <w:t>万元，其中环保投资</w:t>
            </w:r>
            <w:r>
              <w:rPr>
                <w:rFonts w:hint="eastAsia"/>
                <w:bCs/>
                <w:szCs w:val="21"/>
                <w:lang w:val="en-US" w:eastAsia="zh-CN"/>
              </w:rPr>
              <w:t>5</w:t>
            </w:r>
            <w:r>
              <w:rPr>
                <w:bCs/>
                <w:szCs w:val="21"/>
              </w:rPr>
              <w:t>0</w:t>
            </w:r>
            <w:r>
              <w:rPr>
                <w:rFonts w:hint="eastAsia"/>
                <w:bCs/>
                <w:szCs w:val="21"/>
              </w:rPr>
              <w:t>万元，占比</w:t>
            </w:r>
            <w:r>
              <w:rPr>
                <w:rFonts w:hint="eastAsia"/>
                <w:bCs/>
                <w:szCs w:val="21"/>
                <w:lang w:val="en-US" w:eastAsia="zh-CN"/>
              </w:rPr>
              <w:t>16.7</w:t>
            </w:r>
            <w:r>
              <w:rPr>
                <w:rFonts w:hint="eastAsia"/>
                <w:bCs/>
                <w:szCs w:val="21"/>
              </w:rPr>
              <w:t>%。</w:t>
            </w:r>
          </w:p>
          <w:p>
            <w:pPr>
              <w:adjustRightInd w:val="0"/>
              <w:snapToGrid w:val="0"/>
              <w:spacing w:line="400" w:lineRule="exact"/>
              <w:ind w:firstLine="420" w:firstLineChars="200"/>
              <w:rPr>
                <w:rFonts w:hint="eastAsia"/>
                <w:bCs/>
                <w:szCs w:val="21"/>
              </w:rPr>
            </w:pPr>
            <w:r>
              <w:rPr>
                <w:rFonts w:hint="eastAsia"/>
                <w:bCs/>
                <w:szCs w:val="21"/>
              </w:rPr>
              <w:t>（</w:t>
            </w:r>
            <w:r>
              <w:rPr>
                <w:bCs/>
                <w:szCs w:val="21"/>
              </w:rPr>
              <w:t>7</w:t>
            </w:r>
            <w:r>
              <w:rPr>
                <w:rFonts w:hint="eastAsia"/>
                <w:bCs/>
                <w:szCs w:val="21"/>
              </w:rPr>
              <w:t>）</w:t>
            </w:r>
            <w:r>
              <w:rPr>
                <w:bCs/>
                <w:szCs w:val="21"/>
              </w:rPr>
              <w:t>建设内容</w:t>
            </w:r>
            <w:r>
              <w:rPr>
                <w:rFonts w:hint="eastAsia"/>
                <w:bCs/>
                <w:szCs w:val="21"/>
                <w:lang w:val="en-US" w:eastAsia="zh-CN"/>
              </w:rPr>
              <w:t>及规模</w:t>
            </w:r>
            <w:r>
              <w:rPr>
                <w:bCs/>
                <w:szCs w:val="21"/>
              </w:rPr>
              <w:t>：</w:t>
            </w:r>
          </w:p>
          <w:p>
            <w:pPr>
              <w:adjustRightInd w:val="0"/>
              <w:snapToGrid w:val="0"/>
              <w:spacing w:line="400" w:lineRule="exact"/>
              <w:ind w:firstLine="420" w:firstLineChars="200"/>
              <w:rPr>
                <w:rFonts w:hint="eastAsia"/>
                <w:bCs/>
                <w:szCs w:val="21"/>
              </w:rPr>
            </w:pPr>
            <w:bookmarkStart w:id="16" w:name="_Hlk197509815"/>
            <w:r>
              <w:rPr>
                <w:rFonts w:hint="eastAsia"/>
                <w:bCs/>
                <w:szCs w:val="21"/>
                <w:lang w:val="en-US" w:eastAsia="zh-CN"/>
              </w:rPr>
              <w:t>项目不新增占地，对原有车间生产线进行技术改造，</w:t>
            </w:r>
            <w:r>
              <w:rPr>
                <w:rFonts w:hint="eastAsia"/>
                <w:bCs/>
                <w:szCs w:val="21"/>
              </w:rPr>
              <w:t>拆除现有包装纸箱生产线设备，更换预涂膜生产线一条。主要生产设备为预涂膜生产线1套，切割机3台等。项目技改完成后年生产预涂膜1500吨</w:t>
            </w:r>
            <w:r>
              <w:rPr>
                <w:rFonts w:hint="eastAsia"/>
                <w:spacing w:val="-3"/>
              </w:rPr>
              <w:t>。</w:t>
            </w:r>
            <w:bookmarkEnd w:id="16"/>
            <w:r>
              <w:rPr>
                <w:rFonts w:hint="eastAsia"/>
                <w:spacing w:val="-3"/>
              </w:rPr>
              <w:t>本项目组成见下表所示。</w:t>
            </w:r>
          </w:p>
          <w:p>
            <w:pPr>
              <w:spacing w:line="400" w:lineRule="exact"/>
              <w:jc w:val="center"/>
              <w:rPr>
                <w:b/>
                <w:szCs w:val="21"/>
              </w:rPr>
            </w:pPr>
            <w:r>
              <w:rPr>
                <w:b/>
                <w:szCs w:val="21"/>
              </w:rPr>
              <w:t>表2-</w:t>
            </w:r>
            <w:r>
              <w:rPr>
                <w:rFonts w:hint="eastAsia"/>
                <w:b/>
                <w:szCs w:val="21"/>
                <w:lang w:val="en-US" w:eastAsia="zh-CN"/>
              </w:rPr>
              <w:t>1</w:t>
            </w:r>
            <w:r>
              <w:rPr>
                <w:b/>
                <w:szCs w:val="21"/>
              </w:rPr>
              <w:t xml:space="preserve">  </w:t>
            </w:r>
            <w:r>
              <w:rPr>
                <w:rFonts w:hint="eastAsia"/>
                <w:b/>
                <w:szCs w:val="21"/>
              </w:rPr>
              <w:t>项目</w:t>
            </w:r>
            <w:r>
              <w:rPr>
                <w:b/>
                <w:szCs w:val="21"/>
              </w:rPr>
              <w:t>组成一览表</w:t>
            </w:r>
          </w:p>
          <w:tbl>
            <w:tblPr>
              <w:tblStyle w:val="90"/>
              <w:tblW w:w="4983"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91"/>
              <w:gridCol w:w="1390"/>
              <w:gridCol w:w="5134"/>
              <w:gridCol w:w="6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1316" w:type="pct"/>
                  <w:gridSpan w:val="2"/>
                  <w:vAlign w:val="center"/>
                </w:tcPr>
                <w:p>
                  <w:pPr>
                    <w:tabs>
                      <w:tab w:val="left" w:pos="3255"/>
                    </w:tabs>
                    <w:jc w:val="center"/>
                    <w:rPr>
                      <w:bCs/>
                      <w:szCs w:val="21"/>
                    </w:rPr>
                  </w:pPr>
                  <w:r>
                    <w:rPr>
                      <w:bCs/>
                      <w:szCs w:val="21"/>
                    </w:rPr>
                    <w:t>工程</w:t>
                  </w:r>
                  <w:r>
                    <w:rPr>
                      <w:rFonts w:hint="eastAsia"/>
                      <w:bCs/>
                      <w:szCs w:val="21"/>
                      <w:lang w:val="en-US" w:eastAsia="zh-CN"/>
                    </w:rPr>
                    <w:t>名称</w:t>
                  </w:r>
                </w:p>
              </w:tc>
              <w:tc>
                <w:tcPr>
                  <w:tcW w:w="3247" w:type="pct"/>
                  <w:vAlign w:val="center"/>
                </w:tcPr>
                <w:p>
                  <w:pPr>
                    <w:tabs>
                      <w:tab w:val="left" w:pos="3255"/>
                    </w:tabs>
                    <w:jc w:val="center"/>
                    <w:rPr>
                      <w:rFonts w:hint="default" w:eastAsia="宋体"/>
                      <w:bCs/>
                      <w:szCs w:val="21"/>
                      <w:lang w:val="en-US" w:eastAsia="zh-CN"/>
                    </w:rPr>
                  </w:pPr>
                  <w:r>
                    <w:rPr>
                      <w:rFonts w:hint="eastAsia"/>
                      <w:bCs/>
                      <w:szCs w:val="21"/>
                      <w:lang w:val="en-US" w:eastAsia="zh-CN"/>
                    </w:rPr>
                    <w:t>主要内容</w:t>
                  </w:r>
                </w:p>
              </w:tc>
              <w:tc>
                <w:tcPr>
                  <w:tcW w:w="435" w:type="pct"/>
                  <w:vAlign w:val="center"/>
                </w:tcPr>
                <w:p>
                  <w:pPr>
                    <w:tabs>
                      <w:tab w:val="left" w:pos="3255"/>
                    </w:tabs>
                    <w:jc w:val="center"/>
                    <w:rPr>
                      <w:rFonts w:hint="default"/>
                      <w:bCs/>
                      <w:szCs w:val="21"/>
                      <w:lang w:val="en-US" w:eastAsia="zh-CN"/>
                    </w:rPr>
                  </w:pPr>
                  <w:r>
                    <w:rPr>
                      <w:rFonts w:hint="eastAsia"/>
                      <w:bCs/>
                      <w:szCs w:val="21"/>
                      <w:lang w:val="en-US" w:eastAsia="zh-CN"/>
                    </w:rPr>
                    <w:t>备注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437" w:type="pct"/>
                  <w:vAlign w:val="center"/>
                </w:tcPr>
                <w:p>
                  <w:pPr>
                    <w:tabs>
                      <w:tab w:val="left" w:pos="3255"/>
                    </w:tabs>
                    <w:jc w:val="center"/>
                    <w:rPr>
                      <w:bCs/>
                    </w:rPr>
                  </w:pPr>
                  <w:r>
                    <w:rPr>
                      <w:bCs/>
                    </w:rPr>
                    <w:t>主体工程</w:t>
                  </w:r>
                </w:p>
              </w:tc>
              <w:tc>
                <w:tcPr>
                  <w:tcW w:w="879" w:type="pct"/>
                  <w:vAlign w:val="center"/>
                </w:tcPr>
                <w:p>
                  <w:pPr>
                    <w:tabs>
                      <w:tab w:val="left" w:pos="3255"/>
                    </w:tabs>
                    <w:jc w:val="center"/>
                    <w:rPr>
                      <w:rFonts w:hint="default" w:eastAsia="宋体"/>
                      <w:bCs/>
                      <w:szCs w:val="21"/>
                      <w:lang w:val="en-US" w:eastAsia="zh-CN"/>
                    </w:rPr>
                  </w:pPr>
                  <w:r>
                    <w:rPr>
                      <w:rFonts w:hint="eastAsia"/>
                      <w:lang w:val="en-US" w:eastAsia="zh-CN"/>
                    </w:rPr>
                    <w:t>预涂膜车间</w:t>
                  </w:r>
                </w:p>
              </w:tc>
              <w:tc>
                <w:tcPr>
                  <w:tcW w:w="3247" w:type="pct"/>
                  <w:vAlign w:val="center"/>
                </w:tcPr>
                <w:p>
                  <w:pPr>
                    <w:widowControl/>
                    <w:jc w:val="left"/>
                    <w:rPr>
                      <w:bCs/>
                      <w:szCs w:val="21"/>
                    </w:rPr>
                  </w:pPr>
                  <w:r>
                    <w:rPr>
                      <w:rFonts w:hint="eastAsia"/>
                      <w:bCs/>
                      <w:szCs w:val="21"/>
                      <w:lang w:val="en-US" w:eastAsia="zh-CN"/>
                    </w:rPr>
                    <w:t>占地面积3000平方米，新购置</w:t>
                  </w:r>
                  <w:r>
                    <w:rPr>
                      <w:rFonts w:hint="eastAsia"/>
                      <w:bCs/>
                      <w:szCs w:val="21"/>
                    </w:rPr>
                    <w:t>预涂膜生产线1套，切割机3台等</w:t>
                  </w:r>
                  <w:r>
                    <w:rPr>
                      <w:rFonts w:hint="eastAsia"/>
                      <w:bCs/>
                      <w:szCs w:val="21"/>
                      <w:lang w:val="en-US" w:eastAsia="zh-CN"/>
                    </w:rPr>
                    <w:t>设备</w:t>
                  </w:r>
                  <w:r>
                    <w:rPr>
                      <w:rFonts w:hint="eastAsia"/>
                      <w:bCs/>
                      <w:szCs w:val="21"/>
                      <w:lang w:eastAsia="zh-CN"/>
                    </w:rPr>
                    <w:t>，年生产预涂膜1500吨</w:t>
                  </w:r>
                </w:p>
              </w:tc>
              <w:tc>
                <w:tcPr>
                  <w:tcW w:w="435" w:type="pct"/>
                  <w:vAlign w:val="center"/>
                </w:tcPr>
                <w:p>
                  <w:pPr>
                    <w:widowControl/>
                    <w:jc w:val="left"/>
                    <w:rPr>
                      <w:rFonts w:hint="default"/>
                      <w:bCs/>
                      <w:szCs w:val="21"/>
                      <w:lang w:val="en-US" w:eastAsia="zh-CN"/>
                    </w:rPr>
                  </w:pPr>
                  <w:r>
                    <w:rPr>
                      <w:rFonts w:hint="eastAsia"/>
                      <w:bCs/>
                      <w:szCs w:val="21"/>
                      <w:lang w:val="en-US" w:eastAsia="zh-CN"/>
                    </w:rPr>
                    <w:t>利用现有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437" w:type="pct"/>
                  <w:vMerge w:val="restart"/>
                  <w:vAlign w:val="center"/>
                </w:tcPr>
                <w:p>
                  <w:pPr>
                    <w:tabs>
                      <w:tab w:val="left" w:pos="3255"/>
                    </w:tabs>
                    <w:jc w:val="center"/>
                    <w:rPr>
                      <w:bCs/>
                    </w:rPr>
                  </w:pPr>
                  <w:r>
                    <w:rPr>
                      <w:rFonts w:hint="eastAsia"/>
                      <w:bCs/>
                    </w:rPr>
                    <w:t>储运工程</w:t>
                  </w:r>
                </w:p>
              </w:tc>
              <w:tc>
                <w:tcPr>
                  <w:tcW w:w="879" w:type="pct"/>
                  <w:vAlign w:val="center"/>
                </w:tcPr>
                <w:p>
                  <w:pPr>
                    <w:tabs>
                      <w:tab w:val="left" w:pos="3255"/>
                    </w:tabs>
                    <w:jc w:val="center"/>
                    <w:rPr>
                      <w:bCs/>
                      <w:szCs w:val="21"/>
                    </w:rPr>
                  </w:pPr>
                  <w:r>
                    <w:rPr>
                      <w:rFonts w:hint="eastAsia"/>
                      <w:bCs/>
                      <w:szCs w:val="21"/>
                    </w:rPr>
                    <w:t>库房</w:t>
                  </w:r>
                </w:p>
              </w:tc>
              <w:tc>
                <w:tcPr>
                  <w:tcW w:w="3247" w:type="pct"/>
                  <w:vAlign w:val="center"/>
                </w:tcPr>
                <w:p>
                  <w:pPr>
                    <w:widowControl/>
                    <w:jc w:val="left"/>
                    <w:rPr>
                      <w:rFonts w:hint="eastAsia" w:eastAsia="宋体"/>
                      <w:bCs/>
                      <w:szCs w:val="21"/>
                      <w:lang w:eastAsia="zh-CN"/>
                    </w:rPr>
                  </w:pPr>
                  <w:r>
                    <w:rPr>
                      <w:rFonts w:hint="eastAsia"/>
                      <w:bCs/>
                      <w:szCs w:val="21"/>
                      <w:lang w:val="en-US" w:eastAsia="zh-CN"/>
                    </w:rPr>
                    <w:t>5个，用于</w:t>
                  </w:r>
                  <w:r>
                    <w:rPr>
                      <w:rFonts w:hint="eastAsia"/>
                      <w:bCs/>
                      <w:szCs w:val="21"/>
                    </w:rPr>
                    <w:t>原</w:t>
                  </w:r>
                  <w:r>
                    <w:rPr>
                      <w:rFonts w:hint="eastAsia"/>
                      <w:bCs/>
                      <w:szCs w:val="21"/>
                      <w:lang w:val="en-US" w:eastAsia="zh-CN"/>
                    </w:rPr>
                    <w:t>辅料</w:t>
                  </w:r>
                  <w:r>
                    <w:rPr>
                      <w:rFonts w:hint="eastAsia"/>
                      <w:bCs/>
                      <w:szCs w:val="21"/>
                    </w:rPr>
                    <w:t>、成品</w:t>
                  </w:r>
                  <w:r>
                    <w:rPr>
                      <w:rFonts w:hint="eastAsia"/>
                      <w:bCs/>
                      <w:szCs w:val="21"/>
                      <w:lang w:val="en-US" w:eastAsia="zh-CN"/>
                    </w:rPr>
                    <w:t>及其它物品的暂存</w:t>
                  </w:r>
                </w:p>
              </w:tc>
              <w:tc>
                <w:tcPr>
                  <w:tcW w:w="435" w:type="pct"/>
                  <w:vAlign w:val="center"/>
                </w:tcPr>
                <w:p>
                  <w:pPr>
                    <w:widowControl/>
                    <w:jc w:val="left"/>
                    <w:rPr>
                      <w:rFonts w:hint="eastAsia"/>
                      <w:bCs/>
                      <w:szCs w:val="21"/>
                    </w:rPr>
                  </w:pPr>
                  <w:r>
                    <w:rPr>
                      <w:rFonts w:hint="eastAsia"/>
                      <w:bCs/>
                      <w:szCs w:val="21"/>
                      <w:lang w:val="en-US" w:eastAsia="zh-CN"/>
                    </w:rPr>
                    <w:t>利用现有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437" w:type="pct"/>
                  <w:vMerge w:val="continue"/>
                  <w:vAlign w:val="center"/>
                </w:tcPr>
                <w:p>
                  <w:pPr>
                    <w:tabs>
                      <w:tab w:val="left" w:pos="3255"/>
                    </w:tabs>
                    <w:jc w:val="center"/>
                    <w:rPr>
                      <w:rFonts w:hint="eastAsia"/>
                      <w:bCs/>
                    </w:rPr>
                  </w:pPr>
                </w:p>
              </w:tc>
              <w:tc>
                <w:tcPr>
                  <w:tcW w:w="879" w:type="pct"/>
                  <w:vAlign w:val="center"/>
                </w:tcPr>
                <w:p>
                  <w:pPr>
                    <w:tabs>
                      <w:tab w:val="left" w:pos="3255"/>
                    </w:tabs>
                    <w:jc w:val="center"/>
                    <w:rPr>
                      <w:rFonts w:hint="default" w:eastAsia="宋体"/>
                      <w:bCs/>
                      <w:szCs w:val="21"/>
                      <w:lang w:val="en-US" w:eastAsia="zh-CN"/>
                    </w:rPr>
                  </w:pPr>
                  <w:r>
                    <w:rPr>
                      <w:rFonts w:hint="eastAsia"/>
                      <w:bCs/>
                      <w:szCs w:val="21"/>
                      <w:lang w:val="en-US" w:eastAsia="zh-CN"/>
                    </w:rPr>
                    <w:t>危废间</w:t>
                  </w:r>
                </w:p>
              </w:tc>
              <w:tc>
                <w:tcPr>
                  <w:tcW w:w="3247" w:type="pct"/>
                  <w:vAlign w:val="center"/>
                </w:tcPr>
                <w:p>
                  <w:pPr>
                    <w:widowControl/>
                    <w:jc w:val="left"/>
                    <w:rPr>
                      <w:rFonts w:hint="eastAsia"/>
                      <w:bCs/>
                      <w:szCs w:val="21"/>
                      <w:lang w:val="en-US" w:eastAsia="zh-CN"/>
                    </w:rPr>
                  </w:pPr>
                  <w:r>
                    <w:rPr>
                      <w:rFonts w:hint="eastAsia" w:ascii="Times New Roman" w:hAnsi="Times New Roman" w:eastAsia="宋体" w:cs="Times New Roman"/>
                      <w:bCs/>
                      <w:szCs w:val="21"/>
                      <w:lang w:val="en-US" w:eastAsia="zh-CN"/>
                    </w:rPr>
                    <w:t>位于厂区南侧，用于存放本项目产生的危险废物</w:t>
                  </w:r>
                </w:p>
              </w:tc>
              <w:tc>
                <w:tcPr>
                  <w:tcW w:w="435" w:type="pct"/>
                  <w:vAlign w:val="center"/>
                </w:tcPr>
                <w:p>
                  <w:pPr>
                    <w:widowControl/>
                    <w:jc w:val="left"/>
                    <w:rPr>
                      <w:rFonts w:hint="eastAsia"/>
                      <w:bCs/>
                      <w:szCs w:val="21"/>
                      <w:lang w:val="en-US" w:eastAsia="zh-CN"/>
                    </w:rPr>
                  </w:pPr>
                  <w:r>
                    <w:rPr>
                      <w:rFonts w:hint="eastAsia"/>
                      <w:bCs/>
                      <w:szCs w:val="21"/>
                      <w:lang w:val="en-US" w:eastAsia="zh-CN"/>
                    </w:rPr>
                    <w:t>利用现有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437" w:type="pct"/>
                  <w:vAlign w:val="center"/>
                </w:tcPr>
                <w:p>
                  <w:pPr>
                    <w:tabs>
                      <w:tab w:val="left" w:pos="3255"/>
                    </w:tabs>
                    <w:jc w:val="center"/>
                    <w:rPr>
                      <w:rFonts w:hint="default" w:eastAsia="宋体"/>
                      <w:bCs/>
                      <w:lang w:val="en-US" w:eastAsia="zh-CN"/>
                    </w:rPr>
                  </w:pPr>
                  <w:r>
                    <w:rPr>
                      <w:rFonts w:hint="eastAsia"/>
                      <w:bCs/>
                      <w:lang w:val="en-US" w:eastAsia="zh-CN"/>
                    </w:rPr>
                    <w:t>辅助工程</w:t>
                  </w:r>
                </w:p>
              </w:tc>
              <w:tc>
                <w:tcPr>
                  <w:tcW w:w="879" w:type="pct"/>
                  <w:vAlign w:val="center"/>
                </w:tcPr>
                <w:p>
                  <w:pPr>
                    <w:tabs>
                      <w:tab w:val="left" w:pos="3255"/>
                    </w:tabs>
                    <w:jc w:val="center"/>
                    <w:rPr>
                      <w:rFonts w:hint="eastAsia" w:eastAsia="宋体"/>
                      <w:bCs/>
                      <w:szCs w:val="21"/>
                      <w:lang w:val="en-US" w:eastAsia="zh-CN"/>
                    </w:rPr>
                  </w:pPr>
                  <w:r>
                    <w:rPr>
                      <w:rFonts w:hint="eastAsia"/>
                      <w:bCs/>
                      <w:szCs w:val="21"/>
                      <w:lang w:val="en-US" w:eastAsia="zh-CN"/>
                    </w:rPr>
                    <w:t>办公室</w:t>
                  </w:r>
                </w:p>
              </w:tc>
              <w:tc>
                <w:tcPr>
                  <w:tcW w:w="3247" w:type="pct"/>
                  <w:vAlign w:val="center"/>
                </w:tcPr>
                <w:p>
                  <w:pPr>
                    <w:widowControl/>
                    <w:jc w:val="left"/>
                    <w:rPr>
                      <w:rFonts w:hint="default"/>
                      <w:bCs/>
                      <w:szCs w:val="21"/>
                      <w:lang w:val="en-US" w:eastAsia="zh-CN"/>
                    </w:rPr>
                  </w:pPr>
                  <w:r>
                    <w:rPr>
                      <w:rFonts w:hint="eastAsia"/>
                      <w:bCs/>
                      <w:szCs w:val="21"/>
                      <w:lang w:val="en-US" w:eastAsia="zh-CN"/>
                    </w:rPr>
                    <w:t>主要供人员日常办公、临时休息</w:t>
                  </w:r>
                </w:p>
              </w:tc>
              <w:tc>
                <w:tcPr>
                  <w:tcW w:w="435" w:type="pct"/>
                  <w:vAlign w:val="center"/>
                </w:tcPr>
                <w:p>
                  <w:pPr>
                    <w:widowControl/>
                    <w:jc w:val="left"/>
                    <w:rPr>
                      <w:rFonts w:hint="eastAsia"/>
                      <w:bCs/>
                      <w:szCs w:val="21"/>
                      <w:lang w:val="en-US" w:eastAsia="zh-CN"/>
                    </w:rPr>
                  </w:pPr>
                  <w:r>
                    <w:rPr>
                      <w:rFonts w:hint="eastAsia"/>
                      <w:bCs/>
                      <w:szCs w:val="21"/>
                      <w:lang w:val="en-US" w:eastAsia="zh-CN"/>
                    </w:rPr>
                    <w:t>利用现有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437" w:type="pct"/>
                  <w:vMerge w:val="restart"/>
                  <w:vAlign w:val="center"/>
                </w:tcPr>
                <w:p>
                  <w:pPr>
                    <w:tabs>
                      <w:tab w:val="left" w:pos="3255"/>
                    </w:tabs>
                    <w:jc w:val="center"/>
                    <w:rPr>
                      <w:bCs/>
                      <w:szCs w:val="21"/>
                    </w:rPr>
                  </w:pPr>
                  <w:r>
                    <w:rPr>
                      <w:bCs/>
                      <w:szCs w:val="21"/>
                    </w:rPr>
                    <w:t>公用工程</w:t>
                  </w:r>
                </w:p>
              </w:tc>
              <w:tc>
                <w:tcPr>
                  <w:tcW w:w="879" w:type="pct"/>
                  <w:vAlign w:val="center"/>
                </w:tcPr>
                <w:p>
                  <w:pPr>
                    <w:tabs>
                      <w:tab w:val="left" w:pos="3255"/>
                    </w:tabs>
                    <w:jc w:val="center"/>
                    <w:rPr>
                      <w:bCs/>
                      <w:szCs w:val="21"/>
                    </w:rPr>
                  </w:pPr>
                  <w:r>
                    <w:rPr>
                      <w:bCs/>
                      <w:szCs w:val="21"/>
                    </w:rPr>
                    <w:t>供电</w:t>
                  </w:r>
                </w:p>
              </w:tc>
              <w:tc>
                <w:tcPr>
                  <w:tcW w:w="3247" w:type="pct"/>
                  <w:vAlign w:val="center"/>
                </w:tcPr>
                <w:p>
                  <w:pPr>
                    <w:widowControl/>
                    <w:jc w:val="left"/>
                    <w:rPr>
                      <w:bCs/>
                      <w:szCs w:val="21"/>
                    </w:rPr>
                  </w:pPr>
                  <w:r>
                    <w:rPr>
                      <w:rFonts w:hint="eastAsia"/>
                      <w:bCs/>
                      <w:szCs w:val="21"/>
                      <w:lang w:val="en-US" w:eastAsia="zh-CN"/>
                    </w:rPr>
                    <w:t>依托现有，</w:t>
                  </w:r>
                  <w:r>
                    <w:rPr>
                      <w:bCs/>
                      <w:szCs w:val="21"/>
                    </w:rPr>
                    <w:t>由</w:t>
                  </w:r>
                  <w:r>
                    <w:rPr>
                      <w:rFonts w:hint="eastAsia"/>
                      <w:bCs/>
                      <w:szCs w:val="21"/>
                    </w:rPr>
                    <w:t>市政电网供应</w:t>
                  </w:r>
                </w:p>
              </w:tc>
              <w:tc>
                <w:tcPr>
                  <w:tcW w:w="435" w:type="pct"/>
                  <w:vAlign w:val="center"/>
                </w:tcPr>
                <w:p>
                  <w:pPr>
                    <w:widowControl/>
                    <w:jc w:val="left"/>
                    <w:rPr>
                      <w:rFonts w:hint="default" w:eastAsia="宋体"/>
                      <w:bCs/>
                      <w:szCs w:val="21"/>
                      <w:lang w:val="en-US" w:eastAsia="zh-CN"/>
                    </w:rPr>
                  </w:pPr>
                  <w:r>
                    <w:rPr>
                      <w:rFonts w:hint="eastAsia"/>
                      <w:bCs/>
                      <w:szCs w:val="21"/>
                      <w:lang w:val="en-US" w:eastAsia="zh-CN"/>
                    </w:rPr>
                    <w:t>利用现有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437" w:type="pct"/>
                  <w:vMerge w:val="continue"/>
                  <w:vAlign w:val="center"/>
                </w:tcPr>
                <w:p>
                  <w:pPr>
                    <w:tabs>
                      <w:tab w:val="left" w:pos="3255"/>
                    </w:tabs>
                    <w:jc w:val="center"/>
                    <w:rPr>
                      <w:bCs/>
                      <w:szCs w:val="21"/>
                    </w:rPr>
                  </w:pPr>
                </w:p>
              </w:tc>
              <w:tc>
                <w:tcPr>
                  <w:tcW w:w="879" w:type="pct"/>
                  <w:vAlign w:val="center"/>
                </w:tcPr>
                <w:p>
                  <w:pPr>
                    <w:tabs>
                      <w:tab w:val="left" w:pos="3255"/>
                    </w:tabs>
                    <w:jc w:val="center"/>
                    <w:rPr>
                      <w:bCs/>
                      <w:szCs w:val="21"/>
                    </w:rPr>
                  </w:pPr>
                  <w:r>
                    <w:rPr>
                      <w:rFonts w:hint="eastAsia"/>
                      <w:bCs/>
                      <w:szCs w:val="21"/>
                      <w:lang w:val="en-US" w:eastAsia="zh-CN"/>
                    </w:rPr>
                    <w:t>供</w:t>
                  </w:r>
                  <w:r>
                    <w:rPr>
                      <w:rFonts w:hint="eastAsia"/>
                      <w:bCs/>
                      <w:szCs w:val="21"/>
                    </w:rPr>
                    <w:t>水</w:t>
                  </w:r>
                </w:p>
              </w:tc>
              <w:tc>
                <w:tcPr>
                  <w:tcW w:w="3247" w:type="pct"/>
                  <w:vAlign w:val="center"/>
                </w:tcPr>
                <w:p>
                  <w:pPr>
                    <w:widowControl/>
                    <w:jc w:val="left"/>
                    <w:rPr>
                      <w:rFonts w:hint="default"/>
                      <w:bCs/>
                      <w:szCs w:val="21"/>
                      <w:lang w:val="en-US"/>
                    </w:rPr>
                  </w:pPr>
                  <w:r>
                    <w:rPr>
                      <w:rFonts w:hint="eastAsia"/>
                      <w:bCs/>
                      <w:szCs w:val="21"/>
                      <w:lang w:val="en-US" w:eastAsia="zh-CN"/>
                    </w:rPr>
                    <w:t>依托现有，由市政供水管网提供</w:t>
                  </w:r>
                </w:p>
              </w:tc>
              <w:tc>
                <w:tcPr>
                  <w:tcW w:w="435" w:type="pct"/>
                  <w:vAlign w:val="center"/>
                </w:tcPr>
                <w:p>
                  <w:pPr>
                    <w:widowControl/>
                    <w:jc w:val="left"/>
                    <w:rPr>
                      <w:rFonts w:hint="eastAsia" w:eastAsia="宋体"/>
                      <w:bCs/>
                      <w:szCs w:val="21"/>
                      <w:lang w:val="en-US" w:eastAsia="zh-CN"/>
                    </w:rPr>
                  </w:pPr>
                  <w:r>
                    <w:rPr>
                      <w:rFonts w:hint="eastAsia"/>
                      <w:bCs/>
                      <w:szCs w:val="21"/>
                      <w:lang w:val="en-US" w:eastAsia="zh-CN"/>
                    </w:rPr>
                    <w:t>利用现有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437" w:type="pct"/>
                  <w:vMerge w:val="continue"/>
                  <w:vAlign w:val="center"/>
                </w:tcPr>
                <w:p>
                  <w:pPr>
                    <w:tabs>
                      <w:tab w:val="left" w:pos="3255"/>
                    </w:tabs>
                    <w:jc w:val="center"/>
                    <w:rPr>
                      <w:bCs/>
                      <w:szCs w:val="21"/>
                    </w:rPr>
                  </w:pPr>
                </w:p>
              </w:tc>
              <w:tc>
                <w:tcPr>
                  <w:tcW w:w="879" w:type="pct"/>
                  <w:vAlign w:val="center"/>
                </w:tcPr>
                <w:p>
                  <w:pPr>
                    <w:tabs>
                      <w:tab w:val="left" w:pos="3255"/>
                    </w:tabs>
                    <w:jc w:val="center"/>
                    <w:rPr>
                      <w:bCs/>
                      <w:szCs w:val="21"/>
                    </w:rPr>
                  </w:pPr>
                  <w:r>
                    <w:rPr>
                      <w:rFonts w:hint="eastAsia"/>
                      <w:bCs/>
                      <w:szCs w:val="21"/>
                    </w:rPr>
                    <w:t>供热</w:t>
                  </w:r>
                </w:p>
              </w:tc>
              <w:tc>
                <w:tcPr>
                  <w:tcW w:w="3247" w:type="pct"/>
                  <w:vAlign w:val="center"/>
                </w:tcPr>
                <w:p>
                  <w:pPr>
                    <w:widowControl/>
                    <w:jc w:val="left"/>
                    <w:rPr>
                      <w:bCs/>
                      <w:szCs w:val="21"/>
                    </w:rPr>
                  </w:pPr>
                  <w:r>
                    <w:rPr>
                      <w:rFonts w:hint="eastAsia"/>
                      <w:bCs/>
                      <w:szCs w:val="21"/>
                    </w:rPr>
                    <w:t>生产采用电加热，职工冬季采用分体空调取暖</w:t>
                  </w:r>
                </w:p>
              </w:tc>
              <w:tc>
                <w:tcPr>
                  <w:tcW w:w="435" w:type="pct"/>
                  <w:vAlign w:val="center"/>
                </w:tcPr>
                <w:p>
                  <w:pPr>
                    <w:widowControl/>
                    <w:jc w:val="left"/>
                    <w:rPr>
                      <w:rFonts w:hint="eastAsia"/>
                      <w:bCs/>
                      <w:szCs w:val="21"/>
                    </w:rPr>
                  </w:pPr>
                  <w:r>
                    <w:rPr>
                      <w:rFonts w:hint="eastAsia"/>
                      <w:bCs/>
                      <w:szCs w:val="21"/>
                      <w:lang w:val="en-US" w:eastAsia="zh-CN"/>
                    </w:rPr>
                    <w:t>利用现有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437" w:type="pct"/>
                  <w:vMerge w:val="restart"/>
                  <w:vAlign w:val="center"/>
                </w:tcPr>
                <w:p>
                  <w:pPr>
                    <w:tabs>
                      <w:tab w:val="left" w:pos="3255"/>
                    </w:tabs>
                    <w:jc w:val="center"/>
                    <w:rPr>
                      <w:bCs/>
                      <w:szCs w:val="21"/>
                    </w:rPr>
                  </w:pPr>
                  <w:r>
                    <w:rPr>
                      <w:bCs/>
                      <w:szCs w:val="21"/>
                    </w:rPr>
                    <w:t>环保工程</w:t>
                  </w:r>
                </w:p>
              </w:tc>
              <w:tc>
                <w:tcPr>
                  <w:tcW w:w="879" w:type="pct"/>
                  <w:shd w:val="clear" w:color="auto" w:fill="auto"/>
                  <w:vAlign w:val="center"/>
                </w:tcPr>
                <w:p>
                  <w:pPr>
                    <w:tabs>
                      <w:tab w:val="left" w:pos="3255"/>
                    </w:tabs>
                    <w:jc w:val="center"/>
                    <w:rPr>
                      <w:rFonts w:ascii="Times New Roman" w:hAnsi="Times New Roman" w:eastAsia="宋体" w:cs="Times New Roman"/>
                      <w:bCs/>
                      <w:kern w:val="2"/>
                      <w:sz w:val="21"/>
                      <w:szCs w:val="21"/>
                      <w:highlight w:val="none"/>
                      <w:lang w:val="en-US" w:eastAsia="zh-CN" w:bidi="ar-SA"/>
                    </w:rPr>
                  </w:pPr>
                  <w:r>
                    <w:rPr>
                      <w:bCs/>
                      <w:szCs w:val="21"/>
                      <w:highlight w:val="none"/>
                    </w:rPr>
                    <w:t>废气</w:t>
                  </w:r>
                </w:p>
              </w:tc>
              <w:tc>
                <w:tcPr>
                  <w:tcW w:w="3247" w:type="pct"/>
                  <w:shd w:val="clear" w:color="auto" w:fill="auto"/>
                  <w:vAlign w:val="center"/>
                </w:tcPr>
                <w:p>
                  <w:pPr>
                    <w:widowControl/>
                    <w:jc w:val="left"/>
                    <w:rPr>
                      <w:rFonts w:hint="eastAsia" w:ascii="Times New Roman" w:hAnsi="Times New Roman" w:eastAsia="宋体" w:cs="Times New Roman"/>
                      <w:kern w:val="2"/>
                      <w:sz w:val="21"/>
                      <w:szCs w:val="24"/>
                      <w:highlight w:val="none"/>
                      <w:lang w:val="en-US" w:eastAsia="zh-CN" w:bidi="ar-SA"/>
                    </w:rPr>
                  </w:pPr>
                  <w:r>
                    <w:rPr>
                      <w:rFonts w:hint="eastAsia"/>
                      <w:szCs w:val="21"/>
                      <w:highlight w:val="none"/>
                    </w:rPr>
                    <w:t>封闭车间内作业，集气罩收集后，经过滤棉+二级活性炭吸附装置处理后，通过15m排气筒排放</w:t>
                  </w:r>
                  <w:r>
                    <w:rPr>
                      <w:rFonts w:hint="eastAsia"/>
                      <w:szCs w:val="21"/>
                      <w:highlight w:val="none"/>
                      <w:lang w:eastAsia="zh-CN"/>
                    </w:rPr>
                    <w:t>（</w:t>
                  </w:r>
                  <w:r>
                    <w:rPr>
                      <w:rFonts w:hint="eastAsia"/>
                      <w:szCs w:val="21"/>
                      <w:highlight w:val="none"/>
                      <w:lang w:val="en-US" w:eastAsia="zh-CN"/>
                    </w:rPr>
                    <w:t>DA001</w:t>
                  </w:r>
                  <w:r>
                    <w:rPr>
                      <w:rFonts w:hint="eastAsia"/>
                      <w:szCs w:val="21"/>
                      <w:highlight w:val="none"/>
                      <w:lang w:eastAsia="zh-CN"/>
                    </w:rPr>
                    <w:t>）</w:t>
                  </w:r>
                </w:p>
              </w:tc>
              <w:tc>
                <w:tcPr>
                  <w:tcW w:w="435" w:type="pct"/>
                  <w:vAlign w:val="center"/>
                </w:tcPr>
                <w:p>
                  <w:pPr>
                    <w:widowControl/>
                    <w:jc w:val="left"/>
                    <w:rPr>
                      <w:rFonts w:hint="eastAsia" w:eastAsia="宋体"/>
                      <w:lang w:val="en-US" w:eastAsia="zh-CN"/>
                    </w:rPr>
                  </w:pPr>
                  <w:r>
                    <w:rPr>
                      <w:rFonts w:hint="eastAsia"/>
                      <w:lang w:val="en-US" w:eastAsia="zh-CN"/>
                    </w:rPr>
                    <w:t>新建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437" w:type="pct"/>
                  <w:vMerge w:val="continue"/>
                  <w:vAlign w:val="center"/>
                </w:tcPr>
                <w:p>
                  <w:pPr>
                    <w:tabs>
                      <w:tab w:val="left" w:pos="3255"/>
                    </w:tabs>
                    <w:jc w:val="center"/>
                    <w:rPr>
                      <w:bCs/>
                      <w:szCs w:val="21"/>
                    </w:rPr>
                  </w:pPr>
                </w:p>
              </w:tc>
              <w:tc>
                <w:tcPr>
                  <w:tcW w:w="879" w:type="pct"/>
                  <w:shd w:val="clear" w:color="auto" w:fill="auto"/>
                  <w:vAlign w:val="center"/>
                </w:tcPr>
                <w:p>
                  <w:pPr>
                    <w:jc w:val="center"/>
                    <w:rPr>
                      <w:rFonts w:ascii="Times New Roman" w:hAnsi="Times New Roman" w:eastAsia="宋体" w:cs="Times New Roman"/>
                      <w:bCs/>
                      <w:kern w:val="2"/>
                      <w:sz w:val="21"/>
                      <w:szCs w:val="21"/>
                      <w:highlight w:val="none"/>
                      <w:lang w:val="en-US" w:eastAsia="zh-CN" w:bidi="ar-SA"/>
                    </w:rPr>
                  </w:pPr>
                  <w:r>
                    <w:rPr>
                      <w:bCs/>
                      <w:szCs w:val="21"/>
                      <w:highlight w:val="none"/>
                    </w:rPr>
                    <w:t>废水</w:t>
                  </w:r>
                </w:p>
              </w:tc>
              <w:tc>
                <w:tcPr>
                  <w:tcW w:w="3247" w:type="pct"/>
                  <w:shd w:val="clear" w:color="auto" w:fill="auto"/>
                  <w:vAlign w:val="center"/>
                </w:tcPr>
                <w:p>
                  <w:pPr>
                    <w:widowControl/>
                    <w:jc w:val="left"/>
                    <w:rPr>
                      <w:rFonts w:hint="eastAsia" w:ascii="Times New Roman" w:hAnsi="Times New Roman" w:eastAsia="宋体" w:cs="Times New Roman"/>
                      <w:kern w:val="2"/>
                      <w:sz w:val="21"/>
                      <w:szCs w:val="24"/>
                      <w:highlight w:val="none"/>
                      <w:lang w:val="en-US" w:eastAsia="zh-CN" w:bidi="ar-SA"/>
                    </w:rPr>
                  </w:pPr>
                  <w:r>
                    <w:rPr>
                      <w:highlight w:val="none"/>
                    </w:rPr>
                    <w:t>项目</w:t>
                  </w:r>
                  <w:r>
                    <w:rPr>
                      <w:rFonts w:hint="eastAsia"/>
                      <w:highlight w:val="none"/>
                      <w:lang w:val="en-US" w:eastAsia="zh-CN"/>
                    </w:rPr>
                    <w:t>冷却水循环利用，不外排；</w:t>
                  </w:r>
                  <w:r>
                    <w:rPr>
                      <w:highlight w:val="none"/>
                    </w:rPr>
                    <w:t>员工生活污水</w:t>
                  </w:r>
                  <w:r>
                    <w:rPr>
                      <w:rFonts w:hint="eastAsia"/>
                      <w:szCs w:val="21"/>
                      <w:highlight w:val="none"/>
                    </w:rPr>
                    <w:t>用于厂区内泼洒抑尘，旱厕定期清掏</w:t>
                  </w:r>
                </w:p>
              </w:tc>
              <w:tc>
                <w:tcPr>
                  <w:tcW w:w="435" w:type="pct"/>
                  <w:vAlign w:val="center"/>
                </w:tcPr>
                <w:p>
                  <w:pPr>
                    <w:widowControl/>
                    <w:jc w:val="left"/>
                    <w:rPr>
                      <w:rFonts w:hint="eastAsia"/>
                      <w:szCs w:val="21"/>
                    </w:rPr>
                  </w:pPr>
                  <w:r>
                    <w:rPr>
                      <w:rFonts w:hint="eastAsia"/>
                      <w:lang w:val="en-US" w:eastAsia="zh-CN"/>
                    </w:rPr>
                    <w:t>新建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437" w:type="pct"/>
                  <w:vMerge w:val="continue"/>
                  <w:vAlign w:val="center"/>
                </w:tcPr>
                <w:p>
                  <w:pPr>
                    <w:tabs>
                      <w:tab w:val="left" w:pos="3255"/>
                    </w:tabs>
                    <w:jc w:val="center"/>
                    <w:rPr>
                      <w:bCs/>
                      <w:szCs w:val="21"/>
                    </w:rPr>
                  </w:pPr>
                </w:p>
              </w:tc>
              <w:tc>
                <w:tcPr>
                  <w:tcW w:w="879" w:type="pct"/>
                  <w:vAlign w:val="center"/>
                </w:tcPr>
                <w:p>
                  <w:pPr>
                    <w:tabs>
                      <w:tab w:val="left" w:pos="3255"/>
                    </w:tabs>
                    <w:jc w:val="center"/>
                    <w:rPr>
                      <w:bCs/>
                      <w:szCs w:val="21"/>
                    </w:rPr>
                  </w:pPr>
                  <w:r>
                    <w:rPr>
                      <w:bCs/>
                      <w:szCs w:val="21"/>
                    </w:rPr>
                    <w:t>噪声</w:t>
                  </w:r>
                </w:p>
              </w:tc>
              <w:tc>
                <w:tcPr>
                  <w:tcW w:w="3247" w:type="pct"/>
                  <w:vAlign w:val="center"/>
                </w:tcPr>
                <w:p>
                  <w:pPr>
                    <w:tabs>
                      <w:tab w:val="left" w:pos="3255"/>
                    </w:tabs>
                    <w:jc w:val="left"/>
                    <w:rPr>
                      <w:bCs/>
                      <w:szCs w:val="21"/>
                    </w:rPr>
                  </w:pPr>
                  <w:r>
                    <w:rPr>
                      <w:bCs/>
                      <w:szCs w:val="21"/>
                    </w:rPr>
                    <w:t>选用低噪声设备，基础减振，</w:t>
                  </w:r>
                  <w:r>
                    <w:rPr>
                      <w:rFonts w:hint="eastAsia"/>
                      <w:bCs/>
                      <w:szCs w:val="21"/>
                      <w:lang w:val="en-US" w:eastAsia="zh-CN"/>
                    </w:rPr>
                    <w:t>厂房</w:t>
                  </w:r>
                  <w:r>
                    <w:rPr>
                      <w:bCs/>
                      <w:szCs w:val="21"/>
                    </w:rPr>
                    <w:t>隔声等措施</w:t>
                  </w:r>
                </w:p>
              </w:tc>
              <w:tc>
                <w:tcPr>
                  <w:tcW w:w="435" w:type="pct"/>
                  <w:vAlign w:val="center"/>
                </w:tcPr>
                <w:p>
                  <w:pPr>
                    <w:tabs>
                      <w:tab w:val="left" w:pos="3255"/>
                    </w:tabs>
                    <w:jc w:val="left"/>
                    <w:rPr>
                      <w:rFonts w:hint="eastAsia" w:eastAsia="宋体"/>
                      <w:bCs/>
                      <w:szCs w:val="21"/>
                      <w:lang w:val="en-US" w:eastAsia="zh-CN"/>
                    </w:rPr>
                  </w:pPr>
                  <w:r>
                    <w:rPr>
                      <w:rFonts w:hint="eastAsia"/>
                      <w:lang w:val="en-US" w:eastAsia="zh-CN"/>
                    </w:rPr>
                    <w:t>新建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2" w:hRule="atLeast"/>
                <w:jc w:val="center"/>
              </w:trPr>
              <w:tc>
                <w:tcPr>
                  <w:tcW w:w="437" w:type="pct"/>
                  <w:vMerge w:val="continue"/>
                  <w:vAlign w:val="center"/>
                </w:tcPr>
                <w:p>
                  <w:pPr>
                    <w:tabs>
                      <w:tab w:val="left" w:pos="3255"/>
                    </w:tabs>
                    <w:jc w:val="center"/>
                    <w:rPr>
                      <w:bCs/>
                      <w:szCs w:val="21"/>
                    </w:rPr>
                  </w:pPr>
                </w:p>
              </w:tc>
              <w:tc>
                <w:tcPr>
                  <w:tcW w:w="879" w:type="pct"/>
                  <w:vAlign w:val="center"/>
                </w:tcPr>
                <w:p>
                  <w:pPr>
                    <w:tabs>
                      <w:tab w:val="left" w:pos="3255"/>
                    </w:tabs>
                    <w:jc w:val="center"/>
                    <w:rPr>
                      <w:bCs/>
                      <w:szCs w:val="21"/>
                      <w:highlight w:val="none"/>
                    </w:rPr>
                  </w:pPr>
                  <w:r>
                    <w:rPr>
                      <w:rFonts w:hint="eastAsia"/>
                      <w:bCs/>
                      <w:szCs w:val="21"/>
                      <w:highlight w:val="none"/>
                    </w:rPr>
                    <w:t>固废</w:t>
                  </w:r>
                </w:p>
              </w:tc>
              <w:tc>
                <w:tcPr>
                  <w:tcW w:w="3247" w:type="pct"/>
                  <w:vAlign w:val="center"/>
                </w:tcPr>
                <w:p>
                  <w:pPr>
                    <w:tabs>
                      <w:tab w:val="left" w:pos="3255"/>
                    </w:tabs>
                    <w:jc w:val="left"/>
                    <w:rPr>
                      <w:bCs/>
                      <w:szCs w:val="21"/>
                      <w:highlight w:val="none"/>
                    </w:rPr>
                  </w:pPr>
                  <w:r>
                    <w:rPr>
                      <w:rFonts w:hint="eastAsia"/>
                      <w:bCs/>
                      <w:szCs w:val="21"/>
                      <w:highlight w:val="none"/>
                    </w:rPr>
                    <w:t>员工生活垃圾由环卫部门处理；废边角料、废包装物收集后外售；废活性炭、废过滤棉暂存于现有危废间</w:t>
                  </w:r>
                  <w:r>
                    <w:rPr>
                      <w:rFonts w:hint="eastAsia"/>
                      <w:bCs/>
                      <w:szCs w:val="21"/>
                      <w:highlight w:val="none"/>
                      <w:lang w:eastAsia="zh-CN"/>
                    </w:rPr>
                    <w:t>（</w:t>
                  </w:r>
                  <w:r>
                    <w:rPr>
                      <w:rFonts w:hint="eastAsia"/>
                      <w:bCs/>
                      <w:szCs w:val="21"/>
                      <w:highlight w:val="none"/>
                      <w:lang w:val="en-US" w:eastAsia="zh-CN"/>
                    </w:rPr>
                    <w:t>15m</w:t>
                  </w:r>
                  <w:r>
                    <w:rPr>
                      <w:rFonts w:hint="eastAsia"/>
                      <w:bCs/>
                      <w:szCs w:val="21"/>
                      <w:highlight w:val="none"/>
                      <w:vertAlign w:val="superscript"/>
                      <w:lang w:val="en-US" w:eastAsia="zh-CN"/>
                    </w:rPr>
                    <w:t>2</w:t>
                  </w:r>
                  <w:r>
                    <w:rPr>
                      <w:rFonts w:hint="eastAsia"/>
                      <w:bCs/>
                      <w:szCs w:val="21"/>
                      <w:highlight w:val="none"/>
                      <w:lang w:eastAsia="zh-CN"/>
                    </w:rPr>
                    <w:t>）</w:t>
                  </w:r>
                  <w:r>
                    <w:rPr>
                      <w:rFonts w:hint="eastAsia"/>
                      <w:bCs/>
                      <w:szCs w:val="21"/>
                      <w:highlight w:val="none"/>
                    </w:rPr>
                    <w:t>，定期委托有资质单位处置</w:t>
                  </w:r>
                </w:p>
              </w:tc>
              <w:tc>
                <w:tcPr>
                  <w:tcW w:w="435" w:type="pct"/>
                  <w:vAlign w:val="center"/>
                </w:tcPr>
                <w:p>
                  <w:pPr>
                    <w:tabs>
                      <w:tab w:val="left" w:pos="3255"/>
                    </w:tabs>
                    <w:jc w:val="left"/>
                    <w:rPr>
                      <w:rFonts w:hint="eastAsia"/>
                      <w:bCs/>
                      <w:szCs w:val="21"/>
                      <w:highlight w:val="none"/>
                    </w:rPr>
                  </w:pPr>
                  <w:r>
                    <w:rPr>
                      <w:rFonts w:hint="eastAsia"/>
                      <w:highlight w:val="none"/>
                      <w:lang w:val="en-US" w:eastAsia="zh-CN"/>
                    </w:rPr>
                    <w:t>新建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437" w:type="pct"/>
                  <w:vMerge w:val="restart"/>
                  <w:vAlign w:val="center"/>
                </w:tcPr>
                <w:p>
                  <w:pPr>
                    <w:tabs>
                      <w:tab w:val="left" w:pos="3255"/>
                    </w:tabs>
                    <w:jc w:val="center"/>
                    <w:rPr>
                      <w:rFonts w:hint="default" w:eastAsia="宋体"/>
                      <w:bCs/>
                      <w:szCs w:val="21"/>
                      <w:highlight w:val="none"/>
                      <w:lang w:val="en-US" w:eastAsia="zh-CN"/>
                    </w:rPr>
                  </w:pPr>
                  <w:r>
                    <w:rPr>
                      <w:rFonts w:hint="eastAsia"/>
                      <w:bCs/>
                      <w:szCs w:val="21"/>
                      <w:highlight w:val="none"/>
                      <w:lang w:val="en-US" w:eastAsia="zh-CN"/>
                    </w:rPr>
                    <w:t>依托工程</w:t>
                  </w:r>
                </w:p>
              </w:tc>
              <w:tc>
                <w:tcPr>
                  <w:tcW w:w="879" w:type="pct"/>
                  <w:vAlign w:val="center"/>
                </w:tcPr>
                <w:p>
                  <w:pPr>
                    <w:tabs>
                      <w:tab w:val="left" w:pos="3255"/>
                    </w:tabs>
                    <w:jc w:val="center"/>
                    <w:rPr>
                      <w:bCs/>
                      <w:szCs w:val="21"/>
                      <w:highlight w:val="none"/>
                    </w:rPr>
                  </w:pPr>
                  <w:r>
                    <w:rPr>
                      <w:rFonts w:hint="eastAsia"/>
                      <w:bCs/>
                      <w:szCs w:val="21"/>
                      <w:highlight w:val="none"/>
                      <w:lang w:val="en-US" w:eastAsia="zh-CN"/>
                    </w:rPr>
                    <w:t>危废间</w:t>
                  </w:r>
                </w:p>
              </w:tc>
              <w:tc>
                <w:tcPr>
                  <w:tcW w:w="3247" w:type="pct"/>
                  <w:vAlign w:val="center"/>
                </w:tcPr>
                <w:p>
                  <w:pPr>
                    <w:tabs>
                      <w:tab w:val="left" w:pos="3255"/>
                    </w:tabs>
                    <w:jc w:val="left"/>
                    <w:rPr>
                      <w:rFonts w:hint="default" w:eastAsia="宋体"/>
                      <w:bCs/>
                      <w:szCs w:val="21"/>
                      <w:highlight w:val="none"/>
                      <w:lang w:val="en-US" w:eastAsia="zh-CN"/>
                    </w:rPr>
                  </w:pPr>
                  <w:r>
                    <w:rPr>
                      <w:rFonts w:hint="eastAsia"/>
                      <w:bCs/>
                      <w:szCs w:val="21"/>
                      <w:highlight w:val="none"/>
                      <w:lang w:val="en-US" w:eastAsia="zh-CN"/>
                    </w:rPr>
                    <w:t>依托现有，危废间面积15m</w:t>
                  </w:r>
                  <w:r>
                    <w:rPr>
                      <w:rFonts w:hint="eastAsia"/>
                      <w:bCs/>
                      <w:szCs w:val="21"/>
                      <w:highlight w:val="none"/>
                      <w:vertAlign w:val="superscript"/>
                      <w:lang w:val="en-US" w:eastAsia="zh-CN"/>
                    </w:rPr>
                    <w:t>2</w:t>
                  </w:r>
                  <w:r>
                    <w:rPr>
                      <w:rFonts w:hint="eastAsia"/>
                      <w:bCs/>
                      <w:szCs w:val="21"/>
                      <w:highlight w:val="none"/>
                    </w:rPr>
                    <w:t>，</w:t>
                  </w:r>
                  <w:r>
                    <w:rPr>
                      <w:rFonts w:hint="eastAsia"/>
                      <w:bCs/>
                      <w:szCs w:val="21"/>
                      <w:highlight w:val="none"/>
                      <w:lang w:val="en-US" w:eastAsia="zh-CN"/>
                    </w:rPr>
                    <w:t>可用于本项目废过滤棉、废活性炭的暂存</w:t>
                  </w:r>
                </w:p>
              </w:tc>
              <w:tc>
                <w:tcPr>
                  <w:tcW w:w="435" w:type="pct"/>
                  <w:vAlign w:val="center"/>
                </w:tcPr>
                <w:p>
                  <w:pPr>
                    <w:tabs>
                      <w:tab w:val="left" w:pos="3255"/>
                    </w:tabs>
                    <w:jc w:val="left"/>
                    <w:rPr>
                      <w:rFonts w:hint="eastAsia" w:eastAsia="宋体"/>
                      <w:szCs w:val="21"/>
                      <w:highlight w:val="none"/>
                      <w:lang w:val="en-US" w:eastAsia="zh-CN"/>
                    </w:rPr>
                  </w:pPr>
                  <w:r>
                    <w:rPr>
                      <w:rFonts w:hint="eastAsia"/>
                      <w:szCs w:val="21"/>
                      <w:highlight w:val="none"/>
                      <w:lang w:val="en-US" w:eastAsia="zh-CN"/>
                    </w:rPr>
                    <w:t>可行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437" w:type="pct"/>
                  <w:vMerge w:val="continue"/>
                  <w:vAlign w:val="center"/>
                </w:tcPr>
                <w:p>
                  <w:pPr>
                    <w:tabs>
                      <w:tab w:val="left" w:pos="3255"/>
                    </w:tabs>
                    <w:jc w:val="center"/>
                    <w:rPr>
                      <w:rFonts w:hint="eastAsia"/>
                      <w:bCs/>
                      <w:szCs w:val="21"/>
                      <w:highlight w:val="none"/>
                      <w:lang w:val="en-US" w:eastAsia="zh-CN"/>
                    </w:rPr>
                  </w:pPr>
                </w:p>
              </w:tc>
              <w:tc>
                <w:tcPr>
                  <w:tcW w:w="1390" w:type="dxa"/>
                  <w:vAlign w:val="center"/>
                </w:tcPr>
                <w:p>
                  <w:pPr>
                    <w:tabs>
                      <w:tab w:val="left" w:pos="3255"/>
                    </w:tabs>
                    <w:jc w:val="center"/>
                    <w:rPr>
                      <w:rFonts w:hint="eastAsia"/>
                      <w:bCs/>
                      <w:szCs w:val="21"/>
                      <w:highlight w:val="none"/>
                      <w:lang w:val="en-US" w:eastAsia="zh-CN"/>
                    </w:rPr>
                  </w:pPr>
                  <w:r>
                    <w:rPr>
                      <w:bCs/>
                      <w:szCs w:val="21"/>
                      <w:highlight w:val="none"/>
                    </w:rPr>
                    <w:t>供电</w:t>
                  </w:r>
                </w:p>
              </w:tc>
              <w:tc>
                <w:tcPr>
                  <w:tcW w:w="5134" w:type="dxa"/>
                  <w:vAlign w:val="center"/>
                </w:tcPr>
                <w:p>
                  <w:pPr>
                    <w:widowControl/>
                    <w:jc w:val="left"/>
                    <w:rPr>
                      <w:rFonts w:hint="default" w:eastAsia="宋体"/>
                      <w:bCs/>
                      <w:szCs w:val="21"/>
                      <w:highlight w:val="none"/>
                      <w:lang w:val="en-US" w:eastAsia="zh-CN"/>
                    </w:rPr>
                  </w:pPr>
                  <w:r>
                    <w:rPr>
                      <w:rFonts w:hint="eastAsia"/>
                      <w:bCs/>
                      <w:szCs w:val="21"/>
                      <w:highlight w:val="none"/>
                      <w:lang w:val="en-US" w:eastAsia="zh-CN"/>
                    </w:rPr>
                    <w:t>依托现有，</w:t>
                  </w:r>
                  <w:r>
                    <w:rPr>
                      <w:bCs/>
                      <w:szCs w:val="21"/>
                      <w:highlight w:val="none"/>
                    </w:rPr>
                    <w:t>由</w:t>
                  </w:r>
                  <w:r>
                    <w:rPr>
                      <w:rFonts w:hint="eastAsia"/>
                      <w:bCs/>
                      <w:szCs w:val="21"/>
                      <w:highlight w:val="none"/>
                    </w:rPr>
                    <w:t>市政电网供应</w:t>
                  </w:r>
                  <w:r>
                    <w:rPr>
                      <w:rFonts w:hint="eastAsia"/>
                      <w:bCs/>
                      <w:szCs w:val="21"/>
                      <w:highlight w:val="none"/>
                      <w:lang w:eastAsia="zh-CN"/>
                    </w:rPr>
                    <w:t>，</w:t>
                  </w:r>
                  <w:r>
                    <w:rPr>
                      <w:color w:val="auto"/>
                      <w:highlight w:val="none"/>
                    </w:rPr>
                    <w:t>能够满足本项目需求</w:t>
                  </w:r>
                </w:p>
              </w:tc>
              <w:tc>
                <w:tcPr>
                  <w:tcW w:w="435" w:type="pct"/>
                  <w:vAlign w:val="center"/>
                </w:tcPr>
                <w:p>
                  <w:pPr>
                    <w:jc w:val="left"/>
                    <w:rPr>
                      <w:rFonts w:hint="eastAsia"/>
                      <w:szCs w:val="21"/>
                      <w:highlight w:val="none"/>
                      <w:lang w:val="en-US" w:eastAsia="zh-CN"/>
                    </w:rPr>
                  </w:pPr>
                  <w:r>
                    <w:rPr>
                      <w:rFonts w:hint="eastAsia"/>
                      <w:szCs w:val="21"/>
                      <w:highlight w:val="none"/>
                      <w:lang w:val="en-US" w:eastAsia="zh-CN"/>
                    </w:rPr>
                    <w:t>可行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437" w:type="pct"/>
                  <w:vMerge w:val="continue"/>
                  <w:vAlign w:val="center"/>
                </w:tcPr>
                <w:p>
                  <w:pPr>
                    <w:tabs>
                      <w:tab w:val="left" w:pos="3255"/>
                    </w:tabs>
                    <w:jc w:val="center"/>
                    <w:rPr>
                      <w:rFonts w:hint="eastAsia"/>
                      <w:bCs/>
                      <w:szCs w:val="21"/>
                      <w:highlight w:val="none"/>
                      <w:lang w:val="en-US" w:eastAsia="zh-CN"/>
                    </w:rPr>
                  </w:pPr>
                </w:p>
              </w:tc>
              <w:tc>
                <w:tcPr>
                  <w:tcW w:w="1390" w:type="dxa"/>
                  <w:vAlign w:val="center"/>
                </w:tcPr>
                <w:p>
                  <w:pPr>
                    <w:tabs>
                      <w:tab w:val="left" w:pos="3255"/>
                    </w:tabs>
                    <w:jc w:val="center"/>
                    <w:rPr>
                      <w:rFonts w:hint="eastAsia"/>
                      <w:bCs/>
                      <w:szCs w:val="21"/>
                      <w:highlight w:val="none"/>
                      <w:lang w:val="en-US" w:eastAsia="zh-CN"/>
                    </w:rPr>
                  </w:pPr>
                  <w:r>
                    <w:rPr>
                      <w:rFonts w:hint="eastAsia"/>
                      <w:bCs/>
                      <w:szCs w:val="21"/>
                      <w:highlight w:val="none"/>
                      <w:lang w:val="en-US" w:eastAsia="zh-CN"/>
                    </w:rPr>
                    <w:t>供</w:t>
                  </w:r>
                  <w:r>
                    <w:rPr>
                      <w:rFonts w:hint="eastAsia"/>
                      <w:bCs/>
                      <w:szCs w:val="21"/>
                      <w:highlight w:val="none"/>
                    </w:rPr>
                    <w:t>水</w:t>
                  </w:r>
                </w:p>
              </w:tc>
              <w:tc>
                <w:tcPr>
                  <w:tcW w:w="5134" w:type="dxa"/>
                  <w:vAlign w:val="center"/>
                </w:tcPr>
                <w:p>
                  <w:pPr>
                    <w:widowControl/>
                    <w:jc w:val="left"/>
                    <w:rPr>
                      <w:rFonts w:hint="eastAsia"/>
                      <w:bCs/>
                      <w:szCs w:val="21"/>
                      <w:highlight w:val="none"/>
                      <w:lang w:val="en-US" w:eastAsia="zh-CN"/>
                    </w:rPr>
                  </w:pPr>
                  <w:r>
                    <w:rPr>
                      <w:rFonts w:hint="eastAsia"/>
                      <w:bCs/>
                      <w:szCs w:val="21"/>
                      <w:highlight w:val="none"/>
                      <w:lang w:val="en-US" w:eastAsia="zh-CN"/>
                    </w:rPr>
                    <w:t>依托现有，由市政供水管网提供</w:t>
                  </w:r>
                  <w:r>
                    <w:rPr>
                      <w:color w:val="auto"/>
                      <w:kern w:val="0"/>
                      <w:szCs w:val="21"/>
                      <w:highlight w:val="none"/>
                    </w:rPr>
                    <w:t>，</w:t>
                  </w:r>
                  <w:r>
                    <w:rPr>
                      <w:color w:val="auto"/>
                      <w:highlight w:val="none"/>
                    </w:rPr>
                    <w:t>能够满足本项目需求</w:t>
                  </w:r>
                </w:p>
              </w:tc>
              <w:tc>
                <w:tcPr>
                  <w:tcW w:w="435" w:type="pct"/>
                  <w:vAlign w:val="center"/>
                </w:tcPr>
                <w:p>
                  <w:pPr>
                    <w:jc w:val="left"/>
                    <w:rPr>
                      <w:rFonts w:hint="eastAsia"/>
                      <w:szCs w:val="21"/>
                      <w:highlight w:val="none"/>
                      <w:lang w:val="en-US" w:eastAsia="zh-CN"/>
                    </w:rPr>
                  </w:pPr>
                  <w:r>
                    <w:rPr>
                      <w:rFonts w:hint="eastAsia"/>
                      <w:szCs w:val="21"/>
                      <w:highlight w:val="none"/>
                      <w:lang w:val="en-US" w:eastAsia="zh-CN"/>
                    </w:rPr>
                    <w:t>可行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 w:hRule="atLeast"/>
                <w:jc w:val="center"/>
              </w:trPr>
              <w:tc>
                <w:tcPr>
                  <w:tcW w:w="437" w:type="pct"/>
                  <w:vMerge w:val="continue"/>
                  <w:vAlign w:val="center"/>
                </w:tcPr>
                <w:p>
                  <w:pPr>
                    <w:tabs>
                      <w:tab w:val="left" w:pos="3255"/>
                    </w:tabs>
                    <w:jc w:val="center"/>
                    <w:rPr>
                      <w:rFonts w:hint="eastAsia"/>
                      <w:bCs/>
                      <w:szCs w:val="21"/>
                      <w:highlight w:val="none"/>
                      <w:lang w:val="en-US" w:eastAsia="zh-CN"/>
                    </w:rPr>
                  </w:pPr>
                </w:p>
              </w:tc>
              <w:tc>
                <w:tcPr>
                  <w:tcW w:w="1390" w:type="dxa"/>
                  <w:vAlign w:val="center"/>
                </w:tcPr>
                <w:p>
                  <w:pPr>
                    <w:tabs>
                      <w:tab w:val="left" w:pos="3255"/>
                    </w:tabs>
                    <w:jc w:val="center"/>
                    <w:rPr>
                      <w:rFonts w:hint="eastAsia"/>
                      <w:bCs/>
                      <w:szCs w:val="21"/>
                      <w:highlight w:val="none"/>
                    </w:rPr>
                  </w:pPr>
                  <w:r>
                    <w:rPr>
                      <w:rFonts w:hint="eastAsia"/>
                      <w:bCs/>
                      <w:szCs w:val="21"/>
                      <w:highlight w:val="none"/>
                    </w:rPr>
                    <w:t>供热</w:t>
                  </w:r>
                </w:p>
              </w:tc>
              <w:tc>
                <w:tcPr>
                  <w:tcW w:w="5134" w:type="dxa"/>
                  <w:vAlign w:val="center"/>
                </w:tcPr>
                <w:p>
                  <w:pPr>
                    <w:widowControl/>
                    <w:jc w:val="left"/>
                    <w:rPr>
                      <w:rFonts w:hint="eastAsia"/>
                      <w:szCs w:val="21"/>
                      <w:highlight w:val="none"/>
                    </w:rPr>
                  </w:pPr>
                  <w:r>
                    <w:rPr>
                      <w:rFonts w:hint="eastAsia"/>
                      <w:bCs/>
                      <w:szCs w:val="21"/>
                      <w:highlight w:val="none"/>
                    </w:rPr>
                    <w:t>生产采用电加热，职工冬季采用分体空调取暖</w:t>
                  </w:r>
                  <w:r>
                    <w:rPr>
                      <w:color w:val="auto"/>
                      <w:kern w:val="0"/>
                      <w:szCs w:val="21"/>
                      <w:highlight w:val="none"/>
                    </w:rPr>
                    <w:t>，</w:t>
                  </w:r>
                  <w:r>
                    <w:rPr>
                      <w:color w:val="auto"/>
                      <w:highlight w:val="none"/>
                    </w:rPr>
                    <w:t>能够满足本项目需求</w:t>
                  </w:r>
                </w:p>
              </w:tc>
              <w:tc>
                <w:tcPr>
                  <w:tcW w:w="435" w:type="pct"/>
                  <w:vAlign w:val="center"/>
                </w:tcPr>
                <w:p>
                  <w:pPr>
                    <w:tabs>
                      <w:tab w:val="left" w:pos="3255"/>
                    </w:tabs>
                    <w:jc w:val="left"/>
                    <w:rPr>
                      <w:rFonts w:hint="eastAsia"/>
                      <w:szCs w:val="21"/>
                      <w:highlight w:val="none"/>
                    </w:rPr>
                  </w:pPr>
                  <w:r>
                    <w:rPr>
                      <w:rFonts w:hint="eastAsia"/>
                      <w:szCs w:val="21"/>
                      <w:highlight w:val="none"/>
                      <w:lang w:val="en-US" w:eastAsia="zh-CN"/>
                    </w:rPr>
                    <w:t>可行</w:t>
                  </w:r>
                </w:p>
              </w:tc>
            </w:tr>
          </w:tbl>
          <w:p>
            <w:pPr>
              <w:adjustRightInd w:val="0"/>
              <w:snapToGrid w:val="0"/>
              <w:spacing w:line="400" w:lineRule="exact"/>
              <w:ind w:firstLine="420" w:firstLineChars="200"/>
              <w:rPr>
                <w:rFonts w:hint="default" w:eastAsia="宋体"/>
                <w:bCs/>
                <w:szCs w:val="21"/>
                <w:lang w:val="en-US" w:eastAsia="zh-CN"/>
              </w:rPr>
            </w:pPr>
            <w:r>
              <w:rPr>
                <w:rFonts w:hint="eastAsia"/>
                <w:bCs/>
                <w:szCs w:val="21"/>
              </w:rPr>
              <w:t>（</w:t>
            </w:r>
            <w:r>
              <w:rPr>
                <w:rFonts w:hint="eastAsia"/>
                <w:bCs/>
                <w:szCs w:val="21"/>
                <w:lang w:val="en-US" w:eastAsia="zh-CN"/>
              </w:rPr>
              <w:t>8</w:t>
            </w:r>
            <w:r>
              <w:rPr>
                <w:rFonts w:hint="eastAsia"/>
                <w:bCs/>
                <w:szCs w:val="21"/>
              </w:rPr>
              <w:t>）</w:t>
            </w:r>
            <w:r>
              <w:rPr>
                <w:rFonts w:hint="eastAsia"/>
                <w:bCs/>
                <w:szCs w:val="21"/>
                <w:lang w:val="en-US" w:eastAsia="zh-CN"/>
              </w:rPr>
              <w:t>产品方案</w:t>
            </w:r>
          </w:p>
          <w:p>
            <w:pPr>
              <w:adjustRightInd w:val="0"/>
              <w:snapToGrid w:val="0"/>
              <w:spacing w:line="400" w:lineRule="exact"/>
              <w:ind w:firstLine="420" w:firstLineChars="200"/>
              <w:rPr>
                <w:rFonts w:hint="default" w:eastAsia="宋体"/>
                <w:bCs/>
                <w:szCs w:val="21"/>
                <w:lang w:val="en-US" w:eastAsia="zh-CN"/>
              </w:rPr>
            </w:pPr>
            <w:r>
              <w:rPr>
                <w:rFonts w:hint="eastAsia"/>
                <w:bCs/>
                <w:szCs w:val="21"/>
                <w:lang w:val="en-US" w:eastAsia="zh-CN"/>
              </w:rPr>
              <w:t>企业现有工程已停产不再实施，现有包装纸箱产品已停产并淘汰，本项目实施后全厂生产规模：</w:t>
            </w:r>
            <w:r>
              <w:rPr>
                <w:rFonts w:hint="eastAsia"/>
                <w:bCs/>
                <w:szCs w:val="21"/>
              </w:rPr>
              <w:t>年生产预涂膜1500吨</w:t>
            </w:r>
            <w:r>
              <w:rPr>
                <w:rFonts w:hint="eastAsia"/>
                <w:bCs/>
                <w:szCs w:val="21"/>
                <w:lang w:val="en-US" w:eastAsia="zh-CN"/>
              </w:rPr>
              <w:t>。</w:t>
            </w:r>
          </w:p>
          <w:p>
            <w:pPr>
              <w:spacing w:line="400" w:lineRule="exact"/>
              <w:jc w:val="center"/>
              <w:rPr>
                <w:b/>
                <w:szCs w:val="21"/>
              </w:rPr>
            </w:pPr>
            <w:bookmarkStart w:id="17" w:name="_Hlk197509566"/>
            <w:r>
              <w:rPr>
                <w:rFonts w:hint="eastAsia"/>
                <w:b/>
                <w:szCs w:val="21"/>
              </w:rPr>
              <w:t>表</w:t>
            </w:r>
            <w:r>
              <w:rPr>
                <w:b/>
                <w:szCs w:val="21"/>
              </w:rPr>
              <w:t>2-</w:t>
            </w:r>
            <w:r>
              <w:rPr>
                <w:rFonts w:hint="eastAsia"/>
                <w:b/>
                <w:szCs w:val="21"/>
                <w:lang w:val="en-US" w:eastAsia="zh-CN"/>
              </w:rPr>
              <w:t>2</w:t>
            </w:r>
            <w:r>
              <w:rPr>
                <w:b/>
                <w:szCs w:val="21"/>
              </w:rPr>
              <w:t xml:space="preserve">  </w:t>
            </w:r>
            <w:r>
              <w:rPr>
                <w:rFonts w:hint="eastAsia"/>
                <w:b/>
                <w:szCs w:val="21"/>
              </w:rPr>
              <w:t>产品方案</w:t>
            </w:r>
          </w:p>
          <w:tbl>
            <w:tblPr>
              <w:tblStyle w:val="9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44"/>
              <w:gridCol w:w="2652"/>
              <w:gridCol w:w="31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1" w:type="pct"/>
                  <w:vAlign w:val="center"/>
                </w:tcPr>
                <w:p>
                  <w:pPr>
                    <w:tabs>
                      <w:tab w:val="left" w:pos="3255"/>
                    </w:tabs>
                    <w:jc w:val="center"/>
                  </w:pPr>
                  <w:r>
                    <w:rPr>
                      <w:rFonts w:hint="eastAsia"/>
                    </w:rPr>
                    <w:t>类别</w:t>
                  </w:r>
                </w:p>
              </w:tc>
              <w:tc>
                <w:tcPr>
                  <w:tcW w:w="1671" w:type="pct"/>
                  <w:vAlign w:val="center"/>
                </w:tcPr>
                <w:p>
                  <w:pPr>
                    <w:tabs>
                      <w:tab w:val="left" w:pos="3255"/>
                    </w:tabs>
                    <w:jc w:val="center"/>
                    <w:rPr>
                      <w:rFonts w:hint="default" w:eastAsia="宋体"/>
                      <w:lang w:val="en-US" w:eastAsia="zh-CN"/>
                    </w:rPr>
                  </w:pPr>
                  <w:r>
                    <w:rPr>
                      <w:rFonts w:hint="eastAsia"/>
                      <w:lang w:val="en-US" w:eastAsia="zh-CN"/>
                    </w:rPr>
                    <w:t>产能</w:t>
                  </w:r>
                </w:p>
              </w:tc>
              <w:tc>
                <w:tcPr>
                  <w:tcW w:w="1976" w:type="pct"/>
                  <w:vAlign w:val="center"/>
                </w:tcPr>
                <w:p>
                  <w:pPr>
                    <w:tabs>
                      <w:tab w:val="left" w:pos="3255"/>
                    </w:tabs>
                    <w:jc w:val="center"/>
                    <w:rPr>
                      <w:rFonts w:hint="eastAsia" w:eastAsia="宋体"/>
                      <w:lang w:eastAsia="zh-CN"/>
                    </w:rPr>
                  </w:pPr>
                  <w:r>
                    <w:rPr>
                      <w:rFonts w:hint="eastAsia"/>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1" w:type="pct"/>
                  <w:vAlign w:val="center"/>
                </w:tcPr>
                <w:p>
                  <w:pPr>
                    <w:tabs>
                      <w:tab w:val="left" w:pos="3255"/>
                    </w:tabs>
                    <w:jc w:val="center"/>
                  </w:pPr>
                  <w:r>
                    <w:rPr>
                      <w:rFonts w:hint="eastAsia"/>
                    </w:rPr>
                    <w:t>预涂膜</w:t>
                  </w:r>
                </w:p>
              </w:tc>
              <w:tc>
                <w:tcPr>
                  <w:tcW w:w="1671" w:type="pct"/>
                  <w:vAlign w:val="center"/>
                </w:tcPr>
                <w:p>
                  <w:pPr>
                    <w:tabs>
                      <w:tab w:val="left" w:pos="3255"/>
                    </w:tabs>
                    <w:jc w:val="center"/>
                    <w:rPr>
                      <w:rFonts w:hint="default" w:eastAsia="宋体"/>
                      <w:lang w:val="en-US" w:eastAsia="zh-CN"/>
                    </w:rPr>
                  </w:pPr>
                  <w:r>
                    <w:rPr>
                      <w:rFonts w:hint="eastAsia"/>
                      <w:lang w:val="en-US" w:eastAsia="zh-CN"/>
                    </w:rPr>
                    <w:t>1500吨/年</w:t>
                  </w:r>
                </w:p>
              </w:tc>
              <w:tc>
                <w:tcPr>
                  <w:tcW w:w="1976" w:type="pct"/>
                  <w:vAlign w:val="center"/>
                </w:tcPr>
                <w:p>
                  <w:pPr>
                    <w:tabs>
                      <w:tab w:val="left" w:pos="3255"/>
                    </w:tabs>
                    <w:jc w:val="center"/>
                    <w:rPr>
                      <w:rFonts w:hint="default" w:ascii="宋体" w:hAnsi="宋体" w:eastAsia="宋体" w:cs="宋体"/>
                      <w:lang w:val="en-US" w:eastAsia="zh-CN"/>
                    </w:rPr>
                  </w:pPr>
                  <w:r>
                    <w:rPr>
                      <w:rFonts w:hint="eastAsia" w:ascii="宋体" w:hAnsi="宋体" w:cs="宋体"/>
                      <w:lang w:val="en-US" w:eastAsia="zh-CN"/>
                    </w:rPr>
                    <w:t>技改后全厂</w:t>
                  </w:r>
                </w:p>
              </w:tc>
            </w:tr>
            <w:bookmarkEnd w:id="17"/>
          </w:tbl>
          <w:p>
            <w:pPr>
              <w:adjustRightInd w:val="0"/>
              <w:snapToGrid w:val="0"/>
              <w:spacing w:line="400" w:lineRule="exact"/>
              <w:ind w:firstLine="420" w:firstLineChars="200"/>
              <w:rPr>
                <w:bCs/>
                <w:szCs w:val="21"/>
              </w:rPr>
            </w:pPr>
            <w:r>
              <w:rPr>
                <w:rFonts w:hint="eastAsia"/>
                <w:bCs/>
                <w:szCs w:val="21"/>
              </w:rPr>
              <w:t>（</w:t>
            </w:r>
            <w:r>
              <w:rPr>
                <w:rFonts w:hint="eastAsia"/>
                <w:bCs/>
                <w:szCs w:val="21"/>
                <w:lang w:val="en-US" w:eastAsia="zh-CN"/>
              </w:rPr>
              <w:t>9</w:t>
            </w:r>
            <w:r>
              <w:rPr>
                <w:rFonts w:hint="eastAsia"/>
                <w:bCs/>
                <w:szCs w:val="21"/>
              </w:rPr>
              <w:t>）主要设备情况</w:t>
            </w:r>
          </w:p>
          <w:p>
            <w:pPr>
              <w:adjustRightInd w:val="0"/>
              <w:snapToGrid w:val="0"/>
              <w:spacing w:line="400" w:lineRule="exact"/>
              <w:ind w:firstLine="420" w:firstLineChars="200"/>
              <w:rPr>
                <w:rFonts w:hint="eastAsia" w:eastAsia="宋体"/>
                <w:bCs/>
                <w:szCs w:val="21"/>
                <w:lang w:val="en-US" w:eastAsia="zh-CN"/>
              </w:rPr>
            </w:pPr>
            <w:r>
              <w:rPr>
                <w:rFonts w:hint="eastAsia"/>
                <w:bCs/>
                <w:szCs w:val="21"/>
              </w:rPr>
              <w:t>本项目主要生产设备见</w:t>
            </w:r>
            <w:r>
              <w:rPr>
                <w:rFonts w:hint="eastAsia"/>
                <w:bCs/>
                <w:szCs w:val="21"/>
                <w:lang w:val="en-US" w:eastAsia="zh-CN"/>
              </w:rPr>
              <w:t>下表。</w:t>
            </w:r>
          </w:p>
          <w:p>
            <w:pPr>
              <w:spacing w:line="400" w:lineRule="exact"/>
              <w:jc w:val="center"/>
              <w:rPr>
                <w:rFonts w:hint="eastAsia"/>
                <w:b/>
                <w:szCs w:val="21"/>
              </w:rPr>
            </w:pPr>
            <w:bookmarkStart w:id="18" w:name="_Hlk112147922"/>
          </w:p>
          <w:p>
            <w:pPr>
              <w:spacing w:line="400" w:lineRule="exact"/>
              <w:jc w:val="center"/>
              <w:rPr>
                <w:rFonts w:hint="eastAsia"/>
                <w:b/>
                <w:szCs w:val="21"/>
              </w:rPr>
            </w:pPr>
          </w:p>
          <w:p>
            <w:pPr>
              <w:spacing w:line="400" w:lineRule="exact"/>
              <w:jc w:val="center"/>
              <w:rPr>
                <w:rFonts w:hint="eastAsia"/>
                <w:b/>
                <w:szCs w:val="21"/>
              </w:rPr>
            </w:pPr>
          </w:p>
          <w:p>
            <w:pPr>
              <w:spacing w:line="400" w:lineRule="exact"/>
              <w:jc w:val="center"/>
              <w:rPr>
                <w:b/>
                <w:szCs w:val="21"/>
              </w:rPr>
            </w:pPr>
            <w:r>
              <w:rPr>
                <w:rFonts w:hint="eastAsia"/>
                <w:b/>
                <w:szCs w:val="21"/>
              </w:rPr>
              <w:t>表2</w:t>
            </w:r>
            <w:r>
              <w:rPr>
                <w:b/>
                <w:szCs w:val="21"/>
              </w:rPr>
              <w:t xml:space="preserve">-3  </w:t>
            </w:r>
            <w:r>
              <w:rPr>
                <w:rFonts w:hint="eastAsia"/>
                <w:b/>
                <w:szCs w:val="21"/>
                <w:lang w:val="en-US" w:eastAsia="zh-CN"/>
              </w:rPr>
              <w:t>本项目</w:t>
            </w:r>
            <w:r>
              <w:rPr>
                <w:rFonts w:hint="eastAsia"/>
                <w:b/>
                <w:szCs w:val="21"/>
              </w:rPr>
              <w:t>主要</w:t>
            </w:r>
            <w:r>
              <w:rPr>
                <w:b/>
                <w:szCs w:val="21"/>
              </w:rPr>
              <w:t>设备情况</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1"/>
              <w:gridCol w:w="1842"/>
              <w:gridCol w:w="1934"/>
              <w:gridCol w:w="1616"/>
              <w:gridCol w:w="20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03" w:type="pct"/>
                  <w:vAlign w:val="center"/>
                </w:tcPr>
                <w:p>
                  <w:pPr>
                    <w:tabs>
                      <w:tab w:val="left" w:pos="3255"/>
                    </w:tabs>
                    <w:jc w:val="center"/>
                    <w:rPr>
                      <w:bCs/>
                      <w:szCs w:val="21"/>
                    </w:rPr>
                  </w:pPr>
                  <w:r>
                    <w:rPr>
                      <w:rFonts w:hint="eastAsia"/>
                      <w:bCs/>
                      <w:szCs w:val="21"/>
                    </w:rPr>
                    <w:t>序号</w:t>
                  </w:r>
                </w:p>
              </w:tc>
              <w:tc>
                <w:tcPr>
                  <w:tcW w:w="1160" w:type="pct"/>
                  <w:vAlign w:val="center"/>
                </w:tcPr>
                <w:p>
                  <w:pPr>
                    <w:tabs>
                      <w:tab w:val="left" w:pos="3255"/>
                    </w:tabs>
                    <w:jc w:val="center"/>
                    <w:rPr>
                      <w:bCs/>
                      <w:szCs w:val="21"/>
                    </w:rPr>
                  </w:pPr>
                  <w:r>
                    <w:rPr>
                      <w:rFonts w:hint="eastAsia"/>
                      <w:bCs/>
                      <w:szCs w:val="21"/>
                    </w:rPr>
                    <w:t>名称</w:t>
                  </w:r>
                </w:p>
              </w:tc>
              <w:tc>
                <w:tcPr>
                  <w:tcW w:w="1218" w:type="pct"/>
                  <w:vAlign w:val="center"/>
                </w:tcPr>
                <w:p>
                  <w:pPr>
                    <w:tabs>
                      <w:tab w:val="left" w:pos="3255"/>
                    </w:tabs>
                    <w:jc w:val="center"/>
                    <w:rPr>
                      <w:bCs/>
                      <w:szCs w:val="21"/>
                    </w:rPr>
                  </w:pPr>
                  <w:r>
                    <w:rPr>
                      <w:rFonts w:hint="eastAsia"/>
                      <w:bCs/>
                      <w:szCs w:val="21"/>
                    </w:rPr>
                    <w:t>型号</w:t>
                  </w:r>
                </w:p>
              </w:tc>
              <w:tc>
                <w:tcPr>
                  <w:tcW w:w="1018" w:type="pct"/>
                  <w:vAlign w:val="center"/>
                </w:tcPr>
                <w:p>
                  <w:pPr>
                    <w:tabs>
                      <w:tab w:val="left" w:pos="3255"/>
                    </w:tabs>
                    <w:jc w:val="center"/>
                    <w:rPr>
                      <w:bCs/>
                      <w:szCs w:val="21"/>
                    </w:rPr>
                  </w:pPr>
                  <w:r>
                    <w:rPr>
                      <w:rFonts w:hint="eastAsia"/>
                      <w:bCs/>
                      <w:szCs w:val="21"/>
                    </w:rPr>
                    <w:t>数量</w:t>
                  </w:r>
                </w:p>
              </w:tc>
              <w:tc>
                <w:tcPr>
                  <w:tcW w:w="1299" w:type="pct"/>
                  <w:vAlign w:val="center"/>
                </w:tcPr>
                <w:p>
                  <w:pPr>
                    <w:tabs>
                      <w:tab w:val="left" w:pos="3255"/>
                    </w:tabs>
                    <w:jc w:val="center"/>
                    <w:rPr>
                      <w:bCs/>
                      <w:szCs w:val="21"/>
                    </w:rPr>
                  </w:pPr>
                  <w:r>
                    <w:rPr>
                      <w:rFonts w:hint="eastAsia"/>
                      <w:bCs/>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4" w:hRule="atLeast"/>
                <w:jc w:val="center"/>
              </w:trPr>
              <w:tc>
                <w:tcPr>
                  <w:tcW w:w="303" w:type="pct"/>
                  <w:vAlign w:val="center"/>
                </w:tcPr>
                <w:p>
                  <w:pPr>
                    <w:tabs>
                      <w:tab w:val="left" w:pos="3255"/>
                    </w:tabs>
                    <w:jc w:val="center"/>
                    <w:rPr>
                      <w:bCs/>
                      <w:szCs w:val="21"/>
                    </w:rPr>
                  </w:pPr>
                  <w:r>
                    <w:rPr>
                      <w:bCs/>
                      <w:szCs w:val="21"/>
                    </w:rPr>
                    <w:t>1</w:t>
                  </w:r>
                </w:p>
              </w:tc>
              <w:tc>
                <w:tcPr>
                  <w:tcW w:w="1160" w:type="pct"/>
                  <w:vAlign w:val="center"/>
                </w:tcPr>
                <w:p>
                  <w:pPr>
                    <w:tabs>
                      <w:tab w:val="left" w:pos="3255"/>
                    </w:tabs>
                    <w:jc w:val="center"/>
                    <w:rPr>
                      <w:bCs/>
                      <w:szCs w:val="21"/>
                    </w:rPr>
                  </w:pPr>
                  <w:r>
                    <w:rPr>
                      <w:rFonts w:hint="eastAsia"/>
                      <w:bCs/>
                      <w:szCs w:val="21"/>
                    </w:rPr>
                    <w:t>预涂膜生产线</w:t>
                  </w:r>
                </w:p>
              </w:tc>
              <w:tc>
                <w:tcPr>
                  <w:tcW w:w="1218" w:type="pct"/>
                  <w:vAlign w:val="center"/>
                </w:tcPr>
                <w:p>
                  <w:pPr>
                    <w:tabs>
                      <w:tab w:val="left" w:pos="3255"/>
                    </w:tabs>
                    <w:jc w:val="center"/>
                    <w:rPr>
                      <w:rFonts w:hint="eastAsia" w:eastAsia="宋体"/>
                      <w:bCs/>
                      <w:szCs w:val="21"/>
                      <w:lang w:eastAsia="zh-CN"/>
                    </w:rPr>
                  </w:pPr>
                  <w:r>
                    <w:rPr>
                      <w:rFonts w:hint="eastAsia"/>
                      <w:bCs/>
                      <w:szCs w:val="21"/>
                      <w:lang w:val="en-US" w:eastAsia="zh-CN"/>
                    </w:rPr>
                    <w:t>EXC2300/90/250-5</w:t>
                  </w:r>
                </w:p>
              </w:tc>
              <w:tc>
                <w:tcPr>
                  <w:tcW w:w="1018" w:type="pct"/>
                  <w:vAlign w:val="center"/>
                </w:tcPr>
                <w:p>
                  <w:pPr>
                    <w:tabs>
                      <w:tab w:val="left" w:pos="3255"/>
                    </w:tabs>
                    <w:jc w:val="center"/>
                    <w:rPr>
                      <w:rFonts w:hint="default" w:eastAsia="宋体"/>
                      <w:bCs/>
                      <w:szCs w:val="21"/>
                      <w:lang w:val="en-US" w:eastAsia="zh-CN"/>
                    </w:rPr>
                  </w:pPr>
                  <w:r>
                    <w:rPr>
                      <w:rFonts w:hint="eastAsia"/>
                      <w:bCs/>
                      <w:szCs w:val="21"/>
                    </w:rPr>
                    <w:t>1</w:t>
                  </w:r>
                  <w:r>
                    <w:rPr>
                      <w:rFonts w:hint="eastAsia"/>
                      <w:bCs/>
                      <w:szCs w:val="21"/>
                      <w:lang w:val="en-US" w:eastAsia="zh-CN"/>
                    </w:rPr>
                    <w:t>条</w:t>
                  </w:r>
                </w:p>
              </w:tc>
              <w:tc>
                <w:tcPr>
                  <w:tcW w:w="1299" w:type="pct"/>
                  <w:vAlign w:val="center"/>
                </w:tcPr>
                <w:p>
                  <w:pPr>
                    <w:tabs>
                      <w:tab w:val="left" w:pos="3255"/>
                    </w:tabs>
                    <w:jc w:val="center"/>
                    <w:rPr>
                      <w:rFonts w:hint="default" w:eastAsia="宋体"/>
                      <w:bCs/>
                      <w:szCs w:val="21"/>
                      <w:lang w:val="en-US" w:eastAsia="zh-CN"/>
                    </w:rPr>
                  </w:pPr>
                  <w:r>
                    <w:rPr>
                      <w:rFonts w:hint="eastAsia"/>
                      <w:bCs/>
                      <w:szCs w:val="21"/>
                      <w:lang w:val="en-US" w:eastAsia="zh-CN"/>
                    </w:rPr>
                    <w:t>新引进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03" w:type="pct"/>
                  <w:vAlign w:val="center"/>
                </w:tcPr>
                <w:p>
                  <w:pPr>
                    <w:tabs>
                      <w:tab w:val="left" w:pos="3255"/>
                    </w:tabs>
                    <w:jc w:val="center"/>
                    <w:rPr>
                      <w:bCs/>
                      <w:szCs w:val="21"/>
                    </w:rPr>
                  </w:pPr>
                  <w:r>
                    <w:rPr>
                      <w:bCs/>
                      <w:szCs w:val="21"/>
                    </w:rPr>
                    <w:t>2</w:t>
                  </w:r>
                </w:p>
              </w:tc>
              <w:tc>
                <w:tcPr>
                  <w:tcW w:w="1160" w:type="pct"/>
                  <w:vAlign w:val="center"/>
                </w:tcPr>
                <w:p>
                  <w:pPr>
                    <w:tabs>
                      <w:tab w:val="left" w:pos="3255"/>
                    </w:tabs>
                    <w:jc w:val="center"/>
                    <w:rPr>
                      <w:bCs/>
                      <w:szCs w:val="21"/>
                    </w:rPr>
                  </w:pPr>
                  <w:r>
                    <w:rPr>
                      <w:rFonts w:hint="eastAsia"/>
                      <w:bCs/>
                      <w:szCs w:val="21"/>
                    </w:rPr>
                    <w:t>切割机</w:t>
                  </w:r>
                </w:p>
              </w:tc>
              <w:tc>
                <w:tcPr>
                  <w:tcW w:w="1218" w:type="pct"/>
                  <w:vAlign w:val="center"/>
                </w:tcPr>
                <w:p>
                  <w:pPr>
                    <w:tabs>
                      <w:tab w:val="left" w:pos="3255"/>
                    </w:tabs>
                    <w:jc w:val="center"/>
                    <w:rPr>
                      <w:rFonts w:hint="eastAsia" w:eastAsia="宋体"/>
                      <w:bCs/>
                      <w:szCs w:val="21"/>
                      <w:lang w:eastAsia="zh-CN"/>
                    </w:rPr>
                  </w:pPr>
                  <w:r>
                    <w:rPr>
                      <w:rFonts w:hint="eastAsia"/>
                      <w:bCs/>
                      <w:szCs w:val="21"/>
                      <w:lang w:val="en-US" w:eastAsia="zh-CN"/>
                    </w:rPr>
                    <w:t>/</w:t>
                  </w:r>
                </w:p>
              </w:tc>
              <w:tc>
                <w:tcPr>
                  <w:tcW w:w="1018" w:type="pct"/>
                  <w:vAlign w:val="center"/>
                </w:tcPr>
                <w:p>
                  <w:pPr>
                    <w:tabs>
                      <w:tab w:val="left" w:pos="3255"/>
                    </w:tabs>
                    <w:jc w:val="center"/>
                    <w:rPr>
                      <w:bCs/>
                      <w:szCs w:val="21"/>
                    </w:rPr>
                  </w:pPr>
                  <w:r>
                    <w:rPr>
                      <w:rFonts w:hint="eastAsia"/>
                      <w:bCs/>
                      <w:szCs w:val="21"/>
                      <w:lang w:val="en-US" w:eastAsia="zh-CN"/>
                    </w:rPr>
                    <w:t>3</w:t>
                  </w:r>
                  <w:r>
                    <w:rPr>
                      <w:rFonts w:hint="eastAsia"/>
                      <w:bCs/>
                      <w:szCs w:val="21"/>
                    </w:rPr>
                    <w:t>台</w:t>
                  </w:r>
                </w:p>
              </w:tc>
              <w:tc>
                <w:tcPr>
                  <w:tcW w:w="1299" w:type="pct"/>
                  <w:vAlign w:val="center"/>
                </w:tcPr>
                <w:p>
                  <w:pPr>
                    <w:tabs>
                      <w:tab w:val="left" w:pos="3255"/>
                    </w:tabs>
                    <w:jc w:val="center"/>
                    <w:rPr>
                      <w:bCs/>
                      <w:szCs w:val="21"/>
                    </w:rPr>
                  </w:pPr>
                  <w:r>
                    <w:rPr>
                      <w:rFonts w:hint="eastAsia"/>
                      <w:bCs/>
                      <w:szCs w:val="21"/>
                      <w:lang w:val="en-US" w:eastAsia="zh-CN"/>
                    </w:rPr>
                    <w:t>新引进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4" w:hRule="atLeast"/>
                <w:jc w:val="center"/>
              </w:trPr>
              <w:tc>
                <w:tcPr>
                  <w:tcW w:w="303" w:type="pct"/>
                  <w:vAlign w:val="center"/>
                </w:tcPr>
                <w:p>
                  <w:pPr>
                    <w:tabs>
                      <w:tab w:val="left" w:pos="3255"/>
                    </w:tabs>
                    <w:jc w:val="center"/>
                    <w:rPr>
                      <w:bCs/>
                      <w:szCs w:val="21"/>
                    </w:rPr>
                  </w:pPr>
                  <w:r>
                    <w:rPr>
                      <w:rFonts w:hint="eastAsia"/>
                      <w:bCs/>
                      <w:szCs w:val="21"/>
                    </w:rPr>
                    <w:t>3</w:t>
                  </w:r>
                </w:p>
              </w:tc>
              <w:tc>
                <w:tcPr>
                  <w:tcW w:w="1160" w:type="pct"/>
                  <w:shd w:val="clear" w:color="auto" w:fill="auto"/>
                  <w:vAlign w:val="center"/>
                </w:tcPr>
                <w:p>
                  <w:pPr>
                    <w:tabs>
                      <w:tab w:val="left" w:pos="3255"/>
                    </w:tabs>
                    <w:jc w:val="center"/>
                    <w:rPr>
                      <w:rFonts w:ascii="Times New Roman" w:hAnsi="Times New Roman" w:eastAsia="宋体" w:cs="Times New Roman"/>
                      <w:bCs/>
                      <w:kern w:val="2"/>
                      <w:sz w:val="21"/>
                      <w:szCs w:val="21"/>
                      <w:lang w:val="en-US" w:eastAsia="zh-CN" w:bidi="ar-SA"/>
                    </w:rPr>
                  </w:pPr>
                  <w:r>
                    <w:rPr>
                      <w:rFonts w:hint="eastAsia"/>
                      <w:bCs/>
                      <w:szCs w:val="21"/>
                    </w:rPr>
                    <w:t>废气处理设备</w:t>
                  </w:r>
                </w:p>
              </w:tc>
              <w:tc>
                <w:tcPr>
                  <w:tcW w:w="1218" w:type="pct"/>
                  <w:shd w:val="clear" w:color="auto" w:fill="auto"/>
                  <w:vAlign w:val="center"/>
                </w:tcPr>
                <w:p>
                  <w:pPr>
                    <w:tabs>
                      <w:tab w:val="left" w:pos="3255"/>
                    </w:tabs>
                    <w:jc w:val="center"/>
                    <w:rPr>
                      <w:rFonts w:hint="default" w:ascii="Times New Roman" w:hAnsi="Times New Roman" w:eastAsia="宋体" w:cs="Times New Roman"/>
                      <w:bCs/>
                      <w:kern w:val="2"/>
                      <w:sz w:val="21"/>
                      <w:szCs w:val="21"/>
                      <w:lang w:val="en-US" w:eastAsia="zh-CN" w:bidi="ar-SA"/>
                    </w:rPr>
                  </w:pPr>
                  <w:r>
                    <w:rPr>
                      <w:rFonts w:hint="eastAsia" w:cs="Times New Roman"/>
                      <w:bCs/>
                      <w:kern w:val="2"/>
                      <w:sz w:val="21"/>
                      <w:szCs w:val="21"/>
                      <w:lang w:val="en-US" w:eastAsia="zh-CN" w:bidi="ar-SA"/>
                    </w:rPr>
                    <w:t>/</w:t>
                  </w:r>
                </w:p>
              </w:tc>
              <w:tc>
                <w:tcPr>
                  <w:tcW w:w="1018" w:type="pct"/>
                  <w:vAlign w:val="center"/>
                </w:tcPr>
                <w:p>
                  <w:pPr>
                    <w:tabs>
                      <w:tab w:val="left" w:pos="3255"/>
                    </w:tabs>
                    <w:jc w:val="center"/>
                    <w:rPr>
                      <w:bCs/>
                      <w:szCs w:val="21"/>
                    </w:rPr>
                  </w:pPr>
                  <w:r>
                    <w:rPr>
                      <w:rFonts w:hint="eastAsia"/>
                      <w:bCs/>
                      <w:szCs w:val="21"/>
                    </w:rPr>
                    <w:t>1套</w:t>
                  </w:r>
                </w:p>
              </w:tc>
              <w:tc>
                <w:tcPr>
                  <w:tcW w:w="1299" w:type="pct"/>
                  <w:vAlign w:val="center"/>
                </w:tcPr>
                <w:p>
                  <w:pPr>
                    <w:tabs>
                      <w:tab w:val="left" w:pos="3255"/>
                    </w:tabs>
                    <w:jc w:val="center"/>
                    <w:rPr>
                      <w:bCs/>
                      <w:szCs w:val="21"/>
                    </w:rPr>
                  </w:pPr>
                  <w:r>
                    <w:rPr>
                      <w:rFonts w:hint="eastAsia"/>
                      <w:bCs/>
                      <w:szCs w:val="21"/>
                      <w:lang w:val="en-US" w:eastAsia="zh-CN"/>
                    </w:rPr>
                    <w:t>新引进</w:t>
                  </w:r>
                </w:p>
              </w:tc>
            </w:tr>
            <w:bookmarkEnd w:id="18"/>
          </w:tbl>
          <w:p>
            <w:pPr>
              <w:adjustRightInd w:val="0"/>
              <w:snapToGrid w:val="0"/>
              <w:spacing w:line="400" w:lineRule="exact"/>
              <w:ind w:firstLine="420" w:firstLineChars="200"/>
              <w:rPr>
                <w:bCs/>
                <w:szCs w:val="21"/>
              </w:rPr>
            </w:pPr>
            <w:r>
              <w:rPr>
                <w:rFonts w:hint="eastAsia"/>
                <w:bCs/>
                <w:szCs w:val="21"/>
              </w:rPr>
              <w:t>（</w:t>
            </w:r>
            <w:r>
              <w:rPr>
                <w:bCs/>
                <w:szCs w:val="21"/>
              </w:rPr>
              <w:t>1</w:t>
            </w:r>
            <w:r>
              <w:rPr>
                <w:rFonts w:hint="eastAsia"/>
                <w:bCs/>
                <w:szCs w:val="21"/>
                <w:lang w:val="en-US" w:eastAsia="zh-CN"/>
              </w:rPr>
              <w:t>0</w:t>
            </w:r>
            <w:r>
              <w:rPr>
                <w:rFonts w:hint="eastAsia"/>
                <w:bCs/>
                <w:szCs w:val="21"/>
              </w:rPr>
              <w:t>）主要原辅材料及资源能源消耗</w:t>
            </w:r>
          </w:p>
          <w:p>
            <w:pPr>
              <w:adjustRightInd w:val="0"/>
              <w:snapToGrid w:val="0"/>
              <w:spacing w:line="400" w:lineRule="exact"/>
              <w:ind w:firstLine="420" w:firstLineChars="200"/>
              <w:rPr>
                <w:rFonts w:hint="default" w:eastAsia="宋体"/>
                <w:bCs/>
                <w:szCs w:val="21"/>
                <w:lang w:val="en-US" w:eastAsia="zh-CN"/>
              </w:rPr>
            </w:pPr>
            <w:r>
              <w:rPr>
                <w:rFonts w:hint="eastAsia"/>
                <w:bCs/>
                <w:szCs w:val="21"/>
                <w:lang w:val="en-US" w:eastAsia="zh-CN"/>
              </w:rPr>
              <w:t>本项目主要</w:t>
            </w:r>
            <w:r>
              <w:rPr>
                <w:rFonts w:hint="eastAsia"/>
                <w:bCs/>
                <w:szCs w:val="21"/>
              </w:rPr>
              <w:t>原辅材料及资源能源消耗</w:t>
            </w:r>
            <w:r>
              <w:rPr>
                <w:rFonts w:hint="eastAsia"/>
                <w:bCs/>
                <w:szCs w:val="21"/>
                <w:lang w:val="en-US" w:eastAsia="zh-CN"/>
              </w:rPr>
              <w:t>情况见下表。</w:t>
            </w:r>
          </w:p>
          <w:p>
            <w:pPr>
              <w:spacing w:line="400" w:lineRule="exact"/>
              <w:jc w:val="center"/>
              <w:rPr>
                <w:b/>
                <w:szCs w:val="21"/>
              </w:rPr>
            </w:pPr>
            <w:bookmarkStart w:id="19" w:name="_Hlk197509549"/>
            <w:r>
              <w:rPr>
                <w:b/>
                <w:szCs w:val="21"/>
              </w:rPr>
              <w:t>表2-4 主要原辅材料及能源消耗一览表</w:t>
            </w:r>
          </w:p>
          <w:tbl>
            <w:tblPr>
              <w:tblStyle w:val="9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6"/>
              <w:gridCol w:w="1697"/>
              <w:gridCol w:w="1143"/>
              <w:gridCol w:w="973"/>
              <w:gridCol w:w="1227"/>
              <w:gridCol w:w="22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26" w:type="pct"/>
                  <w:vAlign w:val="center"/>
                </w:tcPr>
                <w:p>
                  <w:pPr>
                    <w:jc w:val="center"/>
                    <w:rPr>
                      <w:bCs/>
                      <w:szCs w:val="21"/>
                    </w:rPr>
                  </w:pPr>
                  <w:r>
                    <w:rPr>
                      <w:bCs/>
                      <w:szCs w:val="21"/>
                    </w:rPr>
                    <w:t>序号</w:t>
                  </w:r>
                </w:p>
              </w:tc>
              <w:tc>
                <w:tcPr>
                  <w:tcW w:w="1069" w:type="pct"/>
                  <w:vAlign w:val="center"/>
                </w:tcPr>
                <w:p>
                  <w:pPr>
                    <w:keepNext/>
                    <w:keepLines/>
                    <w:jc w:val="center"/>
                    <w:rPr>
                      <w:bCs/>
                      <w:szCs w:val="21"/>
                    </w:rPr>
                  </w:pPr>
                  <w:r>
                    <w:rPr>
                      <w:bCs/>
                      <w:szCs w:val="21"/>
                    </w:rPr>
                    <w:t>名称</w:t>
                  </w:r>
                </w:p>
              </w:tc>
              <w:tc>
                <w:tcPr>
                  <w:tcW w:w="720" w:type="pct"/>
                  <w:vAlign w:val="center"/>
                </w:tcPr>
                <w:p>
                  <w:pPr>
                    <w:keepNext/>
                    <w:keepLines/>
                    <w:jc w:val="center"/>
                    <w:rPr>
                      <w:rFonts w:hint="eastAsia" w:eastAsia="宋体"/>
                      <w:bCs/>
                      <w:szCs w:val="21"/>
                      <w:lang w:val="en-US" w:eastAsia="zh-CN"/>
                    </w:rPr>
                  </w:pPr>
                  <w:r>
                    <w:rPr>
                      <w:rFonts w:hint="eastAsia"/>
                      <w:bCs/>
                      <w:szCs w:val="21"/>
                      <w:lang w:val="en-US" w:eastAsia="zh-CN"/>
                    </w:rPr>
                    <w:t>单位</w:t>
                  </w:r>
                </w:p>
              </w:tc>
              <w:tc>
                <w:tcPr>
                  <w:tcW w:w="613" w:type="pct"/>
                  <w:vAlign w:val="center"/>
                </w:tcPr>
                <w:p>
                  <w:pPr>
                    <w:keepNext/>
                    <w:keepLines/>
                    <w:jc w:val="center"/>
                    <w:rPr>
                      <w:rFonts w:hint="eastAsia" w:eastAsia="宋体"/>
                      <w:bCs/>
                      <w:szCs w:val="21"/>
                      <w:lang w:eastAsia="zh-CN"/>
                    </w:rPr>
                  </w:pPr>
                  <w:r>
                    <w:rPr>
                      <w:rFonts w:hint="eastAsia"/>
                      <w:bCs/>
                      <w:szCs w:val="21"/>
                      <w:lang w:val="en-US" w:eastAsia="zh-CN"/>
                    </w:rPr>
                    <w:t>消耗量</w:t>
                  </w:r>
                </w:p>
              </w:tc>
              <w:tc>
                <w:tcPr>
                  <w:tcW w:w="773" w:type="pct"/>
                  <w:vAlign w:val="center"/>
                </w:tcPr>
                <w:p>
                  <w:pPr>
                    <w:keepNext/>
                    <w:keepLines/>
                    <w:jc w:val="center"/>
                    <w:rPr>
                      <w:rFonts w:hint="default" w:eastAsia="宋体"/>
                      <w:bCs/>
                      <w:szCs w:val="21"/>
                      <w:lang w:val="en-US" w:eastAsia="zh-CN"/>
                    </w:rPr>
                  </w:pPr>
                  <w:r>
                    <w:rPr>
                      <w:rFonts w:hint="eastAsia"/>
                      <w:bCs/>
                      <w:szCs w:val="21"/>
                      <w:lang w:val="en-US" w:eastAsia="zh-CN"/>
                    </w:rPr>
                    <w:t>包装形式</w:t>
                  </w:r>
                </w:p>
              </w:tc>
              <w:tc>
                <w:tcPr>
                  <w:tcW w:w="1396" w:type="pct"/>
                  <w:vAlign w:val="center"/>
                </w:tcPr>
                <w:p>
                  <w:pPr>
                    <w:keepNext/>
                    <w:keepLines/>
                    <w:jc w:val="center"/>
                    <w:rPr>
                      <w:bCs/>
                      <w:szCs w:val="21"/>
                    </w:rPr>
                  </w:pPr>
                  <w:r>
                    <w:rPr>
                      <w:bCs/>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26" w:type="pct"/>
                  <w:vAlign w:val="center"/>
                </w:tcPr>
                <w:p>
                  <w:pPr>
                    <w:jc w:val="center"/>
                    <w:rPr>
                      <w:bCs/>
                      <w:szCs w:val="21"/>
                    </w:rPr>
                  </w:pPr>
                  <w:r>
                    <w:rPr>
                      <w:bCs/>
                      <w:szCs w:val="21"/>
                    </w:rPr>
                    <w:t>1</w:t>
                  </w:r>
                </w:p>
              </w:tc>
              <w:tc>
                <w:tcPr>
                  <w:tcW w:w="1069" w:type="pct"/>
                  <w:vAlign w:val="center"/>
                </w:tcPr>
                <w:p>
                  <w:pPr>
                    <w:keepNext/>
                    <w:keepLines/>
                    <w:jc w:val="center"/>
                    <w:rPr>
                      <w:rFonts w:hint="default" w:eastAsia="宋体"/>
                      <w:bCs/>
                      <w:szCs w:val="21"/>
                      <w:lang w:val="en-US" w:eastAsia="zh-CN"/>
                    </w:rPr>
                  </w:pPr>
                  <w:r>
                    <w:rPr>
                      <w:rFonts w:hint="eastAsia"/>
                      <w:bCs/>
                      <w:szCs w:val="21"/>
                      <w:lang w:val="en-US" w:eastAsia="zh-CN"/>
                    </w:rPr>
                    <w:t>BOPP薄膜</w:t>
                  </w:r>
                </w:p>
              </w:tc>
              <w:tc>
                <w:tcPr>
                  <w:tcW w:w="720" w:type="pct"/>
                  <w:vAlign w:val="center"/>
                </w:tcPr>
                <w:p>
                  <w:pPr>
                    <w:keepNext/>
                    <w:keepLines/>
                    <w:jc w:val="center"/>
                    <w:rPr>
                      <w:rFonts w:hint="eastAsia" w:eastAsia="宋体"/>
                      <w:bCs/>
                      <w:szCs w:val="21"/>
                      <w:lang w:val="en-US" w:eastAsia="zh-CN"/>
                    </w:rPr>
                  </w:pPr>
                  <w:r>
                    <w:rPr>
                      <w:rFonts w:hint="eastAsia"/>
                      <w:bCs/>
                      <w:szCs w:val="21"/>
                      <w:lang w:val="en-US" w:eastAsia="zh-CN"/>
                    </w:rPr>
                    <w:t>t/a</w:t>
                  </w:r>
                </w:p>
              </w:tc>
              <w:tc>
                <w:tcPr>
                  <w:tcW w:w="613" w:type="pct"/>
                  <w:vAlign w:val="center"/>
                </w:tcPr>
                <w:p>
                  <w:pPr>
                    <w:keepNext/>
                    <w:keepLines/>
                    <w:jc w:val="center"/>
                    <w:rPr>
                      <w:rFonts w:hint="default" w:eastAsia="宋体"/>
                      <w:bCs/>
                      <w:szCs w:val="21"/>
                      <w:lang w:val="en-US" w:eastAsia="zh-CN"/>
                    </w:rPr>
                  </w:pPr>
                  <w:r>
                    <w:rPr>
                      <w:rFonts w:hint="eastAsia"/>
                      <w:bCs/>
                      <w:szCs w:val="21"/>
                      <w:lang w:val="en-US" w:eastAsia="zh-CN"/>
                    </w:rPr>
                    <w:t>1120.5</w:t>
                  </w:r>
                </w:p>
              </w:tc>
              <w:tc>
                <w:tcPr>
                  <w:tcW w:w="773" w:type="pct"/>
                  <w:vAlign w:val="center"/>
                </w:tcPr>
                <w:p>
                  <w:pPr>
                    <w:keepNext/>
                    <w:keepLines/>
                    <w:jc w:val="center"/>
                    <w:rPr>
                      <w:rFonts w:hint="default" w:eastAsia="宋体"/>
                      <w:bCs/>
                      <w:szCs w:val="21"/>
                      <w:lang w:val="en-US" w:eastAsia="zh-CN"/>
                    </w:rPr>
                  </w:pPr>
                  <w:r>
                    <w:rPr>
                      <w:rFonts w:hint="eastAsia"/>
                      <w:bCs/>
                      <w:szCs w:val="21"/>
                      <w:lang w:val="en-US" w:eastAsia="zh-CN"/>
                    </w:rPr>
                    <w:t>50kg/卷</w:t>
                  </w:r>
                </w:p>
              </w:tc>
              <w:tc>
                <w:tcPr>
                  <w:tcW w:w="1396" w:type="pct"/>
                  <w:vAlign w:val="center"/>
                </w:tcPr>
                <w:p>
                  <w:pPr>
                    <w:keepNext/>
                    <w:keepLines/>
                    <w:jc w:val="center"/>
                    <w:rPr>
                      <w:bCs/>
                      <w:szCs w:val="21"/>
                    </w:rPr>
                  </w:pPr>
                  <w:r>
                    <w:rPr>
                      <w:rFonts w:hint="eastAsia"/>
                      <w:bCs/>
                      <w:szCs w:val="21"/>
                    </w:rPr>
                    <w:t>外购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26" w:type="pct"/>
                  <w:vAlign w:val="center"/>
                </w:tcPr>
                <w:p>
                  <w:pPr>
                    <w:jc w:val="center"/>
                    <w:rPr>
                      <w:bCs/>
                      <w:szCs w:val="21"/>
                    </w:rPr>
                  </w:pPr>
                  <w:r>
                    <w:rPr>
                      <w:rFonts w:hint="eastAsia"/>
                      <w:bCs/>
                      <w:szCs w:val="21"/>
                    </w:rPr>
                    <w:t>2</w:t>
                  </w:r>
                </w:p>
              </w:tc>
              <w:tc>
                <w:tcPr>
                  <w:tcW w:w="1069" w:type="pct"/>
                  <w:vAlign w:val="center"/>
                </w:tcPr>
                <w:p>
                  <w:pPr>
                    <w:keepNext/>
                    <w:keepLines/>
                    <w:jc w:val="center"/>
                    <w:rPr>
                      <w:rFonts w:hint="default" w:eastAsia="宋体"/>
                      <w:bCs/>
                      <w:szCs w:val="21"/>
                      <w:lang w:val="en-US" w:eastAsia="zh-CN"/>
                    </w:rPr>
                  </w:pPr>
                  <w:r>
                    <w:rPr>
                      <w:rFonts w:hint="eastAsia"/>
                      <w:bCs/>
                      <w:szCs w:val="21"/>
                      <w:lang w:val="en-US" w:eastAsia="zh-CN"/>
                    </w:rPr>
                    <w:t>EVA颗粒</w:t>
                  </w:r>
                </w:p>
              </w:tc>
              <w:tc>
                <w:tcPr>
                  <w:tcW w:w="720" w:type="pct"/>
                  <w:vAlign w:val="center"/>
                </w:tcPr>
                <w:p>
                  <w:pPr>
                    <w:keepNext/>
                    <w:keepLines/>
                    <w:jc w:val="center"/>
                    <w:rPr>
                      <w:bCs/>
                      <w:szCs w:val="21"/>
                    </w:rPr>
                  </w:pPr>
                  <w:r>
                    <w:rPr>
                      <w:rFonts w:hint="eastAsia"/>
                      <w:bCs/>
                      <w:szCs w:val="21"/>
                      <w:lang w:val="en-US" w:eastAsia="zh-CN"/>
                    </w:rPr>
                    <w:t>t/a</w:t>
                  </w:r>
                </w:p>
              </w:tc>
              <w:tc>
                <w:tcPr>
                  <w:tcW w:w="613" w:type="pct"/>
                  <w:vAlign w:val="center"/>
                </w:tcPr>
                <w:p>
                  <w:pPr>
                    <w:keepNext/>
                    <w:keepLines/>
                    <w:jc w:val="center"/>
                    <w:rPr>
                      <w:rFonts w:hint="default" w:eastAsia="宋体"/>
                      <w:bCs/>
                      <w:szCs w:val="21"/>
                      <w:lang w:val="en-US" w:eastAsia="zh-CN"/>
                    </w:rPr>
                  </w:pPr>
                  <w:r>
                    <w:rPr>
                      <w:rFonts w:hint="eastAsia"/>
                      <w:bCs/>
                      <w:szCs w:val="21"/>
                      <w:lang w:val="en-US" w:eastAsia="zh-CN"/>
                    </w:rPr>
                    <w:t>380</w:t>
                  </w:r>
                </w:p>
              </w:tc>
              <w:tc>
                <w:tcPr>
                  <w:tcW w:w="773" w:type="pct"/>
                  <w:vAlign w:val="center"/>
                </w:tcPr>
                <w:p>
                  <w:pPr>
                    <w:keepNext/>
                    <w:keepLines/>
                    <w:jc w:val="center"/>
                    <w:rPr>
                      <w:rFonts w:hint="default" w:eastAsia="宋体"/>
                      <w:bCs/>
                      <w:szCs w:val="21"/>
                      <w:lang w:val="en-US" w:eastAsia="zh-CN"/>
                    </w:rPr>
                  </w:pPr>
                  <w:r>
                    <w:rPr>
                      <w:rFonts w:hint="eastAsia"/>
                      <w:bCs/>
                      <w:szCs w:val="21"/>
                      <w:lang w:val="en-US" w:eastAsia="zh-CN"/>
                    </w:rPr>
                    <w:t>25kg/袋</w:t>
                  </w:r>
                </w:p>
              </w:tc>
              <w:tc>
                <w:tcPr>
                  <w:tcW w:w="1396" w:type="pct"/>
                  <w:vAlign w:val="center"/>
                </w:tcPr>
                <w:p>
                  <w:pPr>
                    <w:keepNext/>
                    <w:keepLines/>
                    <w:jc w:val="center"/>
                    <w:rPr>
                      <w:bCs/>
                      <w:szCs w:val="21"/>
                    </w:rPr>
                  </w:pPr>
                  <w:r>
                    <w:rPr>
                      <w:rFonts w:hint="eastAsia"/>
                      <w:bCs/>
                      <w:szCs w:val="21"/>
                    </w:rPr>
                    <w:t>外购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26" w:type="pct"/>
                  <w:vAlign w:val="center"/>
                </w:tcPr>
                <w:p>
                  <w:pPr>
                    <w:jc w:val="center"/>
                    <w:rPr>
                      <w:bCs/>
                      <w:szCs w:val="21"/>
                    </w:rPr>
                  </w:pPr>
                  <w:r>
                    <w:rPr>
                      <w:rFonts w:hint="eastAsia"/>
                      <w:bCs/>
                      <w:szCs w:val="21"/>
                    </w:rPr>
                    <w:t>3</w:t>
                  </w:r>
                </w:p>
              </w:tc>
              <w:tc>
                <w:tcPr>
                  <w:tcW w:w="1069" w:type="pct"/>
                  <w:vAlign w:val="center"/>
                </w:tcPr>
                <w:p>
                  <w:pPr>
                    <w:keepNext/>
                    <w:keepLines/>
                    <w:jc w:val="center"/>
                    <w:rPr>
                      <w:rFonts w:hint="eastAsia" w:eastAsia="宋体"/>
                      <w:szCs w:val="21"/>
                      <w:lang w:eastAsia="zh-CN"/>
                    </w:rPr>
                  </w:pPr>
                  <w:r>
                    <w:rPr>
                      <w:rFonts w:hint="eastAsia"/>
                      <w:szCs w:val="21"/>
                      <w:lang w:val="en-US" w:eastAsia="zh-CN"/>
                    </w:rPr>
                    <w:t>工业酒精（甲醇）</w:t>
                  </w:r>
                </w:p>
              </w:tc>
              <w:tc>
                <w:tcPr>
                  <w:tcW w:w="720" w:type="pct"/>
                  <w:vAlign w:val="center"/>
                </w:tcPr>
                <w:p>
                  <w:pPr>
                    <w:keepNext/>
                    <w:keepLines/>
                    <w:jc w:val="center"/>
                    <w:rPr>
                      <w:rFonts w:hint="default" w:eastAsia="宋体"/>
                      <w:bCs/>
                      <w:szCs w:val="21"/>
                      <w:lang w:val="en-US" w:eastAsia="zh-CN"/>
                    </w:rPr>
                  </w:pPr>
                  <w:r>
                    <w:rPr>
                      <w:rFonts w:hint="eastAsia"/>
                      <w:bCs/>
                      <w:szCs w:val="21"/>
                      <w:lang w:val="en-US" w:eastAsia="zh-CN"/>
                    </w:rPr>
                    <w:t>t/a</w:t>
                  </w:r>
                </w:p>
              </w:tc>
              <w:tc>
                <w:tcPr>
                  <w:tcW w:w="613" w:type="pct"/>
                  <w:vAlign w:val="center"/>
                </w:tcPr>
                <w:p>
                  <w:pPr>
                    <w:keepNext/>
                    <w:keepLines/>
                    <w:jc w:val="center"/>
                    <w:rPr>
                      <w:rFonts w:hint="default" w:eastAsia="宋体"/>
                      <w:bCs/>
                      <w:szCs w:val="21"/>
                      <w:lang w:val="en-US" w:eastAsia="zh-CN"/>
                    </w:rPr>
                  </w:pPr>
                  <w:r>
                    <w:rPr>
                      <w:rFonts w:hint="eastAsia"/>
                      <w:bCs/>
                      <w:szCs w:val="21"/>
                      <w:lang w:val="en-US" w:eastAsia="zh-CN"/>
                    </w:rPr>
                    <w:t>0.4</w:t>
                  </w:r>
                </w:p>
              </w:tc>
              <w:tc>
                <w:tcPr>
                  <w:tcW w:w="773" w:type="pct"/>
                  <w:vAlign w:val="center"/>
                </w:tcPr>
                <w:p>
                  <w:pPr>
                    <w:keepNext/>
                    <w:keepLines/>
                    <w:jc w:val="center"/>
                    <w:rPr>
                      <w:rFonts w:hint="default" w:eastAsia="宋体"/>
                      <w:szCs w:val="21"/>
                      <w:lang w:val="en-US" w:eastAsia="zh-CN"/>
                    </w:rPr>
                  </w:pPr>
                  <w:r>
                    <w:rPr>
                      <w:rFonts w:hint="eastAsia"/>
                      <w:szCs w:val="21"/>
                      <w:lang w:val="en-US" w:eastAsia="zh-CN"/>
                    </w:rPr>
                    <w:t>15kg/桶</w:t>
                  </w:r>
                </w:p>
              </w:tc>
              <w:tc>
                <w:tcPr>
                  <w:tcW w:w="1396" w:type="pct"/>
                </w:tcPr>
                <w:p>
                  <w:pPr>
                    <w:keepNext/>
                    <w:keepLines/>
                    <w:jc w:val="center"/>
                    <w:rPr>
                      <w:rFonts w:hint="eastAsia" w:eastAsia="宋体"/>
                      <w:szCs w:val="21"/>
                      <w:lang w:eastAsia="zh-CN"/>
                    </w:rPr>
                  </w:pPr>
                  <w:r>
                    <w:rPr>
                      <w:rFonts w:hint="eastAsia"/>
                      <w:bCs/>
                      <w:szCs w:val="21"/>
                      <w:lang w:val="en-US" w:eastAsia="zh-CN"/>
                    </w:rPr>
                    <w:t>外购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26" w:type="pct"/>
                  <w:vAlign w:val="center"/>
                </w:tcPr>
                <w:p>
                  <w:pPr>
                    <w:jc w:val="center"/>
                    <w:rPr>
                      <w:rFonts w:hint="eastAsia" w:eastAsia="宋体"/>
                      <w:bCs/>
                      <w:szCs w:val="21"/>
                      <w:lang w:eastAsia="zh-CN"/>
                    </w:rPr>
                  </w:pPr>
                  <w:r>
                    <w:rPr>
                      <w:rFonts w:hint="eastAsia"/>
                      <w:bCs/>
                      <w:szCs w:val="21"/>
                      <w:lang w:val="en-US" w:eastAsia="zh-CN"/>
                    </w:rPr>
                    <w:t>4</w:t>
                  </w:r>
                </w:p>
              </w:tc>
              <w:tc>
                <w:tcPr>
                  <w:tcW w:w="1069" w:type="pct"/>
                  <w:vAlign w:val="center"/>
                </w:tcPr>
                <w:p>
                  <w:pPr>
                    <w:keepNext/>
                    <w:keepLines/>
                    <w:jc w:val="center"/>
                    <w:rPr>
                      <w:szCs w:val="21"/>
                    </w:rPr>
                  </w:pPr>
                  <w:r>
                    <w:rPr>
                      <w:rFonts w:hint="eastAsia"/>
                      <w:szCs w:val="21"/>
                      <w:lang w:val="en-US" w:eastAsia="zh-CN"/>
                    </w:rPr>
                    <w:t>新鲜</w:t>
                  </w:r>
                  <w:r>
                    <w:rPr>
                      <w:rFonts w:hint="eastAsia"/>
                      <w:szCs w:val="21"/>
                    </w:rPr>
                    <w:t>水</w:t>
                  </w:r>
                </w:p>
              </w:tc>
              <w:tc>
                <w:tcPr>
                  <w:tcW w:w="720" w:type="pct"/>
                  <w:vAlign w:val="center"/>
                </w:tcPr>
                <w:p>
                  <w:pPr>
                    <w:keepNext/>
                    <w:keepLines/>
                    <w:jc w:val="center"/>
                    <w:rPr>
                      <w:bCs/>
                      <w:kern w:val="0"/>
                      <w:szCs w:val="21"/>
                    </w:rPr>
                  </w:pPr>
                  <w:r>
                    <w:rPr>
                      <w:bCs/>
                      <w:kern w:val="0"/>
                      <w:szCs w:val="21"/>
                    </w:rPr>
                    <w:t>m</w:t>
                  </w:r>
                  <w:r>
                    <w:rPr>
                      <w:bCs/>
                      <w:kern w:val="0"/>
                      <w:szCs w:val="21"/>
                      <w:vertAlign w:val="superscript"/>
                    </w:rPr>
                    <w:t>3</w:t>
                  </w:r>
                  <w:r>
                    <w:rPr>
                      <w:bCs/>
                      <w:kern w:val="0"/>
                      <w:szCs w:val="21"/>
                    </w:rPr>
                    <w:t>/a</w:t>
                  </w:r>
                </w:p>
              </w:tc>
              <w:tc>
                <w:tcPr>
                  <w:tcW w:w="613" w:type="pct"/>
                  <w:vAlign w:val="center"/>
                </w:tcPr>
                <w:p>
                  <w:pPr>
                    <w:keepNext/>
                    <w:keepLines/>
                    <w:jc w:val="center"/>
                    <w:rPr>
                      <w:rFonts w:hint="default" w:eastAsia="宋体"/>
                      <w:bCs/>
                      <w:kern w:val="0"/>
                      <w:szCs w:val="21"/>
                      <w:highlight w:val="none"/>
                      <w:lang w:val="en-US" w:eastAsia="zh-CN"/>
                    </w:rPr>
                  </w:pPr>
                  <w:r>
                    <w:rPr>
                      <w:rFonts w:hint="eastAsia"/>
                      <w:bCs/>
                      <w:kern w:val="0"/>
                      <w:szCs w:val="21"/>
                      <w:highlight w:val="none"/>
                      <w:lang w:val="en-US" w:eastAsia="zh-CN"/>
                    </w:rPr>
                    <w:t>260</w:t>
                  </w:r>
                </w:p>
              </w:tc>
              <w:tc>
                <w:tcPr>
                  <w:tcW w:w="773" w:type="pct"/>
                  <w:vAlign w:val="center"/>
                </w:tcPr>
                <w:p>
                  <w:pPr>
                    <w:keepNext/>
                    <w:keepLines/>
                    <w:jc w:val="center"/>
                    <w:rPr>
                      <w:szCs w:val="21"/>
                      <w:highlight w:val="none"/>
                    </w:rPr>
                  </w:pPr>
                  <w:r>
                    <w:rPr>
                      <w:rFonts w:hint="eastAsia"/>
                      <w:szCs w:val="21"/>
                      <w:highlight w:val="none"/>
                    </w:rPr>
                    <w:t>/</w:t>
                  </w:r>
                </w:p>
              </w:tc>
              <w:tc>
                <w:tcPr>
                  <w:tcW w:w="1396" w:type="pct"/>
                  <w:vAlign w:val="center"/>
                </w:tcPr>
                <w:p>
                  <w:pPr>
                    <w:keepNext/>
                    <w:keepLines/>
                    <w:jc w:val="center"/>
                    <w:rPr>
                      <w:rFonts w:hint="eastAsia"/>
                      <w:bCs/>
                      <w:szCs w:val="21"/>
                      <w:lang w:val="en-US" w:eastAsia="zh-CN"/>
                    </w:rPr>
                  </w:pPr>
                  <w:r>
                    <w:rPr>
                      <w:rFonts w:hint="eastAsia"/>
                      <w:bCs/>
                      <w:szCs w:val="21"/>
                      <w:lang w:val="en-US" w:eastAsia="zh-CN"/>
                    </w:rPr>
                    <w:t>依托现有，由市政供水管网提供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26" w:type="pct"/>
                  <w:vAlign w:val="center"/>
                </w:tcPr>
                <w:p>
                  <w:pPr>
                    <w:jc w:val="center"/>
                    <w:rPr>
                      <w:rFonts w:hint="eastAsia" w:eastAsia="宋体"/>
                      <w:bCs/>
                      <w:szCs w:val="21"/>
                      <w:lang w:eastAsia="zh-CN"/>
                    </w:rPr>
                  </w:pPr>
                  <w:r>
                    <w:rPr>
                      <w:rFonts w:hint="eastAsia"/>
                      <w:bCs/>
                      <w:szCs w:val="21"/>
                      <w:lang w:val="en-US" w:eastAsia="zh-CN"/>
                    </w:rPr>
                    <w:t>5</w:t>
                  </w:r>
                </w:p>
              </w:tc>
              <w:tc>
                <w:tcPr>
                  <w:tcW w:w="1069" w:type="pct"/>
                  <w:vAlign w:val="center"/>
                </w:tcPr>
                <w:p>
                  <w:pPr>
                    <w:keepNext/>
                    <w:keepLines/>
                    <w:jc w:val="center"/>
                    <w:rPr>
                      <w:szCs w:val="21"/>
                    </w:rPr>
                  </w:pPr>
                  <w:r>
                    <w:rPr>
                      <w:rFonts w:hint="eastAsia"/>
                      <w:szCs w:val="21"/>
                    </w:rPr>
                    <w:t>电</w:t>
                  </w:r>
                </w:p>
              </w:tc>
              <w:tc>
                <w:tcPr>
                  <w:tcW w:w="720" w:type="pct"/>
                  <w:vAlign w:val="center"/>
                </w:tcPr>
                <w:p>
                  <w:pPr>
                    <w:keepNext/>
                    <w:keepLines/>
                    <w:jc w:val="center"/>
                    <w:rPr>
                      <w:bCs/>
                      <w:szCs w:val="21"/>
                    </w:rPr>
                  </w:pPr>
                  <w:r>
                    <w:rPr>
                      <w:rFonts w:hint="eastAsia"/>
                      <w:bCs/>
                      <w:szCs w:val="21"/>
                      <w:lang w:val="en-US" w:eastAsia="zh-CN"/>
                    </w:rPr>
                    <w:t>万</w:t>
                  </w:r>
                  <w:r>
                    <w:rPr>
                      <w:rFonts w:hint="eastAsia"/>
                      <w:bCs/>
                      <w:szCs w:val="21"/>
                    </w:rPr>
                    <w:t>k</w:t>
                  </w:r>
                  <w:r>
                    <w:rPr>
                      <w:bCs/>
                      <w:szCs w:val="21"/>
                    </w:rPr>
                    <w:t>w▪h/a</w:t>
                  </w:r>
                </w:p>
              </w:tc>
              <w:tc>
                <w:tcPr>
                  <w:tcW w:w="613" w:type="pct"/>
                  <w:vAlign w:val="center"/>
                </w:tcPr>
                <w:p>
                  <w:pPr>
                    <w:keepNext/>
                    <w:keepLines/>
                    <w:jc w:val="center"/>
                    <w:rPr>
                      <w:rFonts w:hint="eastAsia" w:eastAsia="宋体"/>
                      <w:bCs/>
                      <w:kern w:val="0"/>
                      <w:szCs w:val="21"/>
                      <w:highlight w:val="none"/>
                      <w:lang w:eastAsia="zh-CN"/>
                    </w:rPr>
                  </w:pPr>
                  <w:r>
                    <w:rPr>
                      <w:rFonts w:hint="eastAsia"/>
                      <w:bCs/>
                      <w:szCs w:val="21"/>
                      <w:highlight w:val="none"/>
                      <w:lang w:val="en-US" w:eastAsia="zh-CN"/>
                    </w:rPr>
                    <w:t>8</w:t>
                  </w:r>
                </w:p>
              </w:tc>
              <w:tc>
                <w:tcPr>
                  <w:tcW w:w="773" w:type="pct"/>
                  <w:vAlign w:val="center"/>
                </w:tcPr>
                <w:p>
                  <w:pPr>
                    <w:keepNext/>
                    <w:keepLines/>
                    <w:jc w:val="center"/>
                    <w:rPr>
                      <w:szCs w:val="21"/>
                      <w:highlight w:val="none"/>
                    </w:rPr>
                  </w:pPr>
                  <w:r>
                    <w:rPr>
                      <w:rFonts w:hint="eastAsia"/>
                      <w:szCs w:val="21"/>
                      <w:highlight w:val="none"/>
                    </w:rPr>
                    <w:t>/</w:t>
                  </w:r>
                </w:p>
              </w:tc>
              <w:tc>
                <w:tcPr>
                  <w:tcW w:w="1396" w:type="pct"/>
                  <w:vAlign w:val="center"/>
                </w:tcPr>
                <w:p>
                  <w:pPr>
                    <w:keepNext/>
                    <w:keepLines/>
                    <w:jc w:val="center"/>
                    <w:rPr>
                      <w:rFonts w:hint="eastAsia"/>
                      <w:bCs/>
                      <w:szCs w:val="21"/>
                      <w:lang w:val="en-US" w:eastAsia="zh-CN"/>
                    </w:rPr>
                  </w:pPr>
                  <w:r>
                    <w:rPr>
                      <w:rFonts w:hint="eastAsia"/>
                      <w:bCs/>
                      <w:szCs w:val="21"/>
                      <w:lang w:val="en-US" w:eastAsia="zh-CN"/>
                    </w:rPr>
                    <w:t>依托现有，由市政电网供应</w:t>
                  </w:r>
                </w:p>
              </w:tc>
            </w:tr>
            <w:bookmarkEnd w:id="19"/>
          </w:tbl>
          <w:p>
            <w:pPr>
              <w:adjustRightInd w:val="0"/>
              <w:snapToGrid w:val="0"/>
              <w:spacing w:line="400" w:lineRule="exact"/>
              <w:ind w:firstLine="422" w:firstLineChars="200"/>
              <w:rPr>
                <w:b/>
                <w:szCs w:val="21"/>
              </w:rPr>
            </w:pPr>
            <w:r>
              <w:rPr>
                <w:rFonts w:hint="eastAsia"/>
                <w:b/>
                <w:szCs w:val="21"/>
              </w:rPr>
              <w:t>主要原料理化性质：</w:t>
            </w:r>
          </w:p>
          <w:p>
            <w:pPr>
              <w:adjustRightInd w:val="0"/>
              <w:snapToGrid w:val="0"/>
              <w:spacing w:line="400" w:lineRule="exact"/>
              <w:ind w:firstLine="422" w:firstLineChars="200"/>
              <w:rPr>
                <w:rFonts w:hint="eastAsia"/>
                <w:bCs/>
                <w:szCs w:val="21"/>
              </w:rPr>
            </w:pPr>
            <w:r>
              <w:rPr>
                <w:rFonts w:hint="eastAsia"/>
                <w:b/>
                <w:bCs w:val="0"/>
                <w:szCs w:val="21"/>
              </w:rPr>
              <w:t>BOPP</w:t>
            </w:r>
            <w:r>
              <w:rPr>
                <w:rFonts w:hint="eastAsia"/>
                <w:b/>
                <w:bCs w:val="0"/>
                <w:szCs w:val="21"/>
                <w:lang w:val="en-US" w:eastAsia="zh-CN"/>
              </w:rPr>
              <w:t xml:space="preserve"> </w:t>
            </w:r>
            <w:r>
              <w:rPr>
                <w:rFonts w:hint="eastAsia"/>
                <w:b/>
                <w:bCs w:val="0"/>
                <w:szCs w:val="21"/>
              </w:rPr>
              <w:t>薄膜：</w:t>
            </w:r>
            <w:r>
              <w:rPr>
                <w:rFonts w:hint="eastAsia"/>
                <w:bCs/>
                <w:szCs w:val="21"/>
              </w:rPr>
              <w:t>BOPP(双向拉伸聚丙烯薄膜)一般为多层共挤薄膜，是由聚丙烯颗粒经共挤形成片材后，再经纵横两个方向的拉伸而制得的。其具有质轻、无毒、无臭、防潮、机械强度高，尺寸稳定性好、印刷性能良好、透明性好等优点，且透明度高、光泽好、阻隔性好、抗冲强度高、耐低温等。代表的物理性质数据为：聚丙烯分解温度&gt;310℃、浊度&lt;1.5%、光泽度&gt;85%、拉伸强度(纵向/横向)&gt;120/200MPa、断裂伸长率(纵向/横向)&lt;180%/65%、弹性模量为1700~2500Mpa、脆化温度变为-50℃。</w:t>
            </w:r>
          </w:p>
          <w:p>
            <w:pPr>
              <w:adjustRightInd w:val="0"/>
              <w:snapToGrid w:val="0"/>
              <w:spacing w:line="400" w:lineRule="exact"/>
              <w:ind w:firstLine="422" w:firstLineChars="200"/>
              <w:rPr>
                <w:rFonts w:hint="eastAsia" w:ascii="Times New Roman" w:hAnsi="Times New Roman" w:eastAsia="宋体" w:cs="Times New Roman"/>
                <w:bCs/>
                <w:szCs w:val="21"/>
              </w:rPr>
            </w:pPr>
            <w:r>
              <w:rPr>
                <w:rFonts w:hint="eastAsia"/>
                <w:b/>
                <w:bCs w:val="0"/>
                <w:szCs w:val="21"/>
              </w:rPr>
              <w:t xml:space="preserve">EVA </w:t>
            </w:r>
            <w:r>
              <w:rPr>
                <w:rFonts w:hint="eastAsia"/>
                <w:b/>
                <w:bCs w:val="0"/>
                <w:szCs w:val="21"/>
                <w:lang w:val="en-US" w:eastAsia="zh-CN"/>
              </w:rPr>
              <w:t>颗粒</w:t>
            </w:r>
            <w:r>
              <w:rPr>
                <w:rFonts w:hint="eastAsia"/>
                <w:b/>
                <w:bCs w:val="0"/>
                <w:szCs w:val="21"/>
              </w:rPr>
              <w:t>：</w:t>
            </w:r>
            <w:r>
              <w:rPr>
                <w:rFonts w:hint="eastAsia"/>
                <w:bCs/>
                <w:szCs w:val="21"/>
              </w:rPr>
              <w:t>全称乙烯—醋酸乙烯共聚体，乙烯—醋酸乙烯共聚体是由无极性、结晶性的乙烯单体(C</w:t>
            </w:r>
            <w:r>
              <w:rPr>
                <w:rFonts w:hint="eastAsia"/>
                <w:bCs/>
                <w:szCs w:val="21"/>
                <w:vertAlign w:val="subscript"/>
              </w:rPr>
              <w:t>2</w:t>
            </w:r>
            <w:r>
              <w:rPr>
                <w:rFonts w:hint="eastAsia"/>
                <w:bCs/>
                <w:szCs w:val="21"/>
              </w:rPr>
              <w:t>H</w:t>
            </w:r>
            <w:r>
              <w:rPr>
                <w:rFonts w:hint="eastAsia"/>
                <w:bCs/>
                <w:szCs w:val="21"/>
                <w:vertAlign w:val="subscript"/>
              </w:rPr>
              <w:t>4</w:t>
            </w:r>
            <w:r>
              <w:rPr>
                <w:rFonts w:hint="eastAsia"/>
                <w:bCs/>
                <w:szCs w:val="21"/>
              </w:rPr>
              <w:t>)和强极性、非结晶性的乙酸乙烯单体(CH</w:t>
            </w:r>
            <w:r>
              <w:rPr>
                <w:rFonts w:hint="eastAsia"/>
                <w:bCs/>
                <w:szCs w:val="21"/>
                <w:vertAlign w:val="subscript"/>
              </w:rPr>
              <w:t>3</w:t>
            </w:r>
            <w:r>
              <w:rPr>
                <w:rFonts w:hint="eastAsia"/>
                <w:bCs/>
                <w:szCs w:val="21"/>
              </w:rPr>
              <w:t>COOC</w:t>
            </w:r>
            <w:r>
              <w:rPr>
                <w:rFonts w:hint="eastAsia"/>
                <w:bCs/>
                <w:szCs w:val="21"/>
                <w:vertAlign w:val="subscript"/>
              </w:rPr>
              <w:t>2</w:t>
            </w:r>
            <w:r>
              <w:rPr>
                <w:rFonts w:hint="eastAsia"/>
                <w:bCs/>
                <w:szCs w:val="21"/>
              </w:rPr>
              <w:t>H</w:t>
            </w:r>
            <w:r>
              <w:rPr>
                <w:rFonts w:hint="eastAsia"/>
                <w:bCs/>
                <w:szCs w:val="21"/>
                <w:vertAlign w:val="subscript"/>
              </w:rPr>
              <w:t>3</w:t>
            </w:r>
            <w:r>
              <w:rPr>
                <w:rFonts w:hint="eastAsia"/>
                <w:bCs/>
                <w:szCs w:val="21"/>
              </w:rPr>
              <w:t>)在引发剂存在下经高压本体聚合而成的热塑性树脂。EVA 可注塑、挤塑、吹塑、热成型、发泡、涂敷、热封、焊</w:t>
            </w:r>
            <w:r>
              <w:rPr>
                <w:rFonts w:hint="eastAsia" w:ascii="Times New Roman" w:hAnsi="Times New Roman" w:eastAsia="宋体" w:cs="Times New Roman"/>
                <w:bCs/>
                <w:szCs w:val="21"/>
              </w:rPr>
              <w:t>接等成型加工。其熔点为99℃，闪点为68.2℃，热分解温度约230~250℃。</w:t>
            </w:r>
          </w:p>
          <w:p>
            <w:pPr>
              <w:adjustRightInd w:val="0"/>
              <w:snapToGrid w:val="0"/>
              <w:spacing w:line="400" w:lineRule="exact"/>
              <w:ind w:firstLine="422" w:firstLineChars="200"/>
              <w:rPr>
                <w:rFonts w:hint="eastAsia" w:ascii="Times New Roman" w:hAnsi="Times New Roman" w:eastAsia="宋体" w:cs="Times New Roman"/>
                <w:bCs/>
                <w:szCs w:val="21"/>
              </w:rPr>
            </w:pPr>
            <w:r>
              <w:rPr>
                <w:rFonts w:hint="eastAsia" w:ascii="Times New Roman" w:hAnsi="Times New Roman" w:eastAsia="宋体" w:cs="Times New Roman"/>
                <w:b/>
                <w:bCs w:val="0"/>
                <w:szCs w:val="21"/>
              </w:rPr>
              <w:t>甲醇：</w:t>
            </w:r>
            <w:r>
              <w:rPr>
                <w:rFonts w:hint="eastAsia" w:ascii="Times New Roman" w:hAnsi="Times New Roman" w:eastAsia="宋体" w:cs="Times New Roman"/>
                <w:bCs/>
                <w:szCs w:val="21"/>
              </w:rPr>
              <w:t>甲醇（Methanol）又称羟基甲烷，是一种有机化合物，是结构最为简单的饱和一元醇，其化学式为CH</w:t>
            </w:r>
            <w:r>
              <w:rPr>
                <w:rFonts w:hint="eastAsia" w:ascii="Times New Roman" w:hAnsi="Times New Roman" w:eastAsia="宋体" w:cs="Times New Roman"/>
                <w:bCs/>
                <w:szCs w:val="21"/>
                <w:vertAlign w:val="subscript"/>
              </w:rPr>
              <w:t>3</w:t>
            </w:r>
            <w:r>
              <w:rPr>
                <w:rFonts w:hint="eastAsia" w:ascii="Times New Roman" w:hAnsi="Times New Roman" w:eastAsia="宋体" w:cs="Times New Roman"/>
                <w:bCs/>
                <w:szCs w:val="21"/>
              </w:rPr>
              <w:t>OH/CH</w:t>
            </w:r>
            <w:r>
              <w:rPr>
                <w:rFonts w:hint="eastAsia" w:ascii="Times New Roman" w:hAnsi="Times New Roman" w:eastAsia="宋体" w:cs="Times New Roman"/>
                <w:bCs/>
                <w:szCs w:val="21"/>
                <w:vertAlign w:val="subscript"/>
              </w:rPr>
              <w:t>4</w:t>
            </w:r>
            <w:r>
              <w:rPr>
                <w:rFonts w:hint="eastAsia" w:ascii="Times New Roman" w:hAnsi="Times New Roman" w:eastAsia="宋体" w:cs="Times New Roman"/>
                <w:bCs/>
                <w:szCs w:val="21"/>
              </w:rPr>
              <w:t>O，其中CH</w:t>
            </w:r>
            <w:r>
              <w:rPr>
                <w:rFonts w:hint="eastAsia" w:ascii="Times New Roman" w:hAnsi="Times New Roman" w:eastAsia="宋体" w:cs="Times New Roman"/>
                <w:bCs/>
                <w:szCs w:val="21"/>
                <w:vertAlign w:val="subscript"/>
              </w:rPr>
              <w:t>3</w:t>
            </w:r>
            <w:r>
              <w:rPr>
                <w:rFonts w:hint="eastAsia" w:ascii="Times New Roman" w:hAnsi="Times New Roman" w:eastAsia="宋体" w:cs="Times New Roman"/>
                <w:bCs/>
                <w:szCs w:val="21"/>
              </w:rPr>
              <w:t>OH是结构简式，能突出甲醇的羟基，CAS号为67-56-1，分子量为32.042，密度0.791g/cm</w:t>
            </w:r>
            <w:r>
              <w:rPr>
                <w:rFonts w:hint="eastAsia" w:ascii="Times New Roman" w:hAnsi="Times New Roman" w:eastAsia="宋体" w:cs="Times New Roman"/>
                <w:bCs/>
                <w:szCs w:val="21"/>
                <w:vertAlign w:val="superscript"/>
              </w:rPr>
              <w:t>3</w:t>
            </w:r>
            <w:r>
              <w:rPr>
                <w:rFonts w:hint="eastAsia" w:ascii="Times New Roman" w:hAnsi="Times New Roman" w:eastAsia="宋体" w:cs="Times New Roman"/>
                <w:bCs/>
                <w:szCs w:val="21"/>
              </w:rPr>
              <w:t>，熔点：-97.8°C，沸点为64.7°C。因在干馏木材中首次发现，故又称“木醇”或“木精”。是无色有酒精气味易挥发的液体。与水互溶，可混溶于醇类、乙醚等多数有机溶剂。人口服中毒最低剂量约为100mg/kg体重，经口摄入0.3～1g/kg可致死。成品通常由一氧化碳与氢气反应制得。</w:t>
            </w:r>
          </w:p>
          <w:p>
            <w:pPr>
              <w:adjustRightInd w:val="0"/>
              <w:snapToGrid w:val="0"/>
              <w:spacing w:line="400" w:lineRule="exact"/>
              <w:ind w:firstLine="420" w:firstLineChars="200"/>
              <w:rPr>
                <w:rFonts w:hint="eastAsia"/>
                <w:bCs/>
                <w:szCs w:val="21"/>
              </w:rPr>
            </w:pPr>
            <w:r>
              <w:rPr>
                <w:rFonts w:hint="eastAsia"/>
                <w:bCs/>
                <w:szCs w:val="21"/>
              </w:rPr>
              <w:t>（</w:t>
            </w:r>
            <w:r>
              <w:rPr>
                <w:bCs/>
                <w:szCs w:val="21"/>
              </w:rPr>
              <w:t>1</w:t>
            </w:r>
            <w:r>
              <w:rPr>
                <w:rFonts w:hint="eastAsia"/>
                <w:bCs/>
                <w:szCs w:val="21"/>
                <w:lang w:val="en-US" w:eastAsia="zh-CN"/>
              </w:rPr>
              <w:t>1</w:t>
            </w:r>
            <w:r>
              <w:rPr>
                <w:rFonts w:hint="eastAsia"/>
                <w:bCs/>
                <w:szCs w:val="21"/>
              </w:rPr>
              <w:t>）公用工程</w:t>
            </w:r>
          </w:p>
          <w:p>
            <w:pPr>
              <w:adjustRightInd w:val="0"/>
              <w:snapToGrid w:val="0"/>
              <w:spacing w:line="400" w:lineRule="exact"/>
              <w:ind w:firstLine="420" w:firstLineChars="200"/>
              <w:rPr>
                <w:rFonts w:hint="default" w:eastAsia="宋体"/>
                <w:bCs/>
                <w:szCs w:val="21"/>
                <w:lang w:val="en-US" w:eastAsia="zh-CN"/>
              </w:rPr>
            </w:pPr>
            <w:r>
              <w:rPr>
                <w:rFonts w:hint="eastAsia"/>
                <w:bCs/>
                <w:szCs w:val="21"/>
                <w:lang w:val="en-US" w:eastAsia="zh-CN"/>
              </w:rPr>
              <w:t>①给排水</w:t>
            </w:r>
          </w:p>
          <w:p>
            <w:pPr>
              <w:adjustRightInd w:val="0"/>
              <w:snapToGrid w:val="0"/>
              <w:spacing w:line="400" w:lineRule="exact"/>
              <w:ind w:firstLine="420" w:firstLineChars="200"/>
              <w:rPr>
                <w:rFonts w:hint="default" w:eastAsia="宋体"/>
                <w:bCs/>
                <w:szCs w:val="21"/>
                <w:lang w:val="en-US" w:eastAsia="zh-CN"/>
              </w:rPr>
            </w:pPr>
            <w:r>
              <w:rPr>
                <w:rFonts w:hint="eastAsia"/>
                <w:bCs/>
                <w:szCs w:val="21"/>
              </w:rPr>
              <w:t>本项目</w:t>
            </w:r>
            <w:r>
              <w:rPr>
                <w:rFonts w:hint="eastAsia"/>
                <w:bCs/>
                <w:szCs w:val="21"/>
                <w:lang w:val="en-US" w:eastAsia="zh-CN"/>
              </w:rPr>
              <w:t>技改后，全厂</w:t>
            </w:r>
            <w:r>
              <w:rPr>
                <w:rFonts w:hint="eastAsia"/>
                <w:bCs/>
                <w:szCs w:val="21"/>
              </w:rPr>
              <w:t>用水主要为冷却用水、职工生活用水，用水依托现有，由市政供水管网提供。</w:t>
            </w:r>
          </w:p>
          <w:p>
            <w:pPr>
              <w:adjustRightInd w:val="0"/>
              <w:snapToGrid w:val="0"/>
              <w:spacing w:line="400" w:lineRule="exact"/>
              <w:ind w:firstLine="420" w:firstLineChars="200"/>
              <w:rPr>
                <w:rFonts w:hint="eastAsia"/>
                <w:bCs/>
                <w:szCs w:val="21"/>
              </w:rPr>
            </w:pPr>
            <w:r>
              <w:rPr>
                <w:rFonts w:hint="eastAsia"/>
                <w:bCs/>
                <w:szCs w:val="21"/>
              </w:rPr>
              <w:t>冷却水用于</w:t>
            </w:r>
            <w:r>
              <w:rPr>
                <w:rFonts w:hint="eastAsia"/>
                <w:bCs/>
                <w:szCs w:val="21"/>
                <w:lang w:val="en-US" w:eastAsia="zh-CN"/>
              </w:rPr>
              <w:t>涂膜</w:t>
            </w:r>
            <w:r>
              <w:rPr>
                <w:rFonts w:hint="eastAsia"/>
                <w:bCs/>
                <w:szCs w:val="21"/>
              </w:rPr>
              <w:t>后冷却，为间接冷却水，冷却水在循环过程中会有部分损耗，根据建设单位提供，冷却循环水箱为4m³，补充水量按照循环水箱的5%计算约0.2m³/d（60m³/a），冷却水循环使用，不外排。</w:t>
            </w:r>
          </w:p>
          <w:p>
            <w:pPr>
              <w:adjustRightInd w:val="0"/>
              <w:snapToGrid w:val="0"/>
              <w:spacing w:line="400" w:lineRule="exact"/>
              <w:ind w:firstLine="420" w:firstLineChars="200"/>
              <w:rPr>
                <w:rFonts w:hint="eastAsia"/>
                <w:bCs/>
                <w:szCs w:val="21"/>
              </w:rPr>
            </w:pPr>
            <w:r>
              <w:rPr>
                <w:rFonts w:hint="eastAsia"/>
                <w:bCs/>
                <w:szCs w:val="21"/>
              </w:rPr>
              <w:t>厂内不设住宿、食堂、洗浴等设施，厂区内设旱厕，生活用水主要为职工饮用水及洗手用水，</w:t>
            </w:r>
            <w:r>
              <w:rPr>
                <w:rFonts w:hint="eastAsia"/>
                <w:bCs/>
                <w:szCs w:val="21"/>
                <w:lang w:val="en-US" w:eastAsia="zh-CN"/>
              </w:rPr>
              <w:t>本项目劳动定员10人，</w:t>
            </w:r>
            <w:r>
              <w:rPr>
                <w:rFonts w:hint="eastAsia"/>
                <w:bCs/>
                <w:szCs w:val="21"/>
              </w:rPr>
              <w:t>参照《生活与服务业用水定额第2 部分：服务业》（DB13/T5450.2-2021）</w:t>
            </w:r>
            <w:r>
              <w:rPr>
                <w:rFonts w:hint="eastAsia" w:ascii="宋体" w:hAnsi="宋体"/>
                <w:color w:val="auto"/>
              </w:rPr>
              <w:t>用水定额取</w:t>
            </w:r>
            <w:r>
              <w:rPr>
                <w:rFonts w:ascii="Times New Roman" w:eastAsia="Times New Roman"/>
                <w:color w:val="auto"/>
              </w:rPr>
              <w:t>20m</w:t>
            </w:r>
            <w:r>
              <w:rPr>
                <w:rFonts w:ascii="Times New Roman" w:eastAsia="Times New Roman"/>
                <w:color w:val="auto"/>
                <w:position w:val="8"/>
                <w:sz w:val="15"/>
              </w:rPr>
              <w:t>3</w:t>
            </w:r>
            <w:r>
              <w:rPr>
                <w:rFonts w:ascii="Times New Roman" w:eastAsia="Times New Roman"/>
                <w:color w:val="auto"/>
              </w:rPr>
              <w:t>/</w:t>
            </w:r>
            <w:r>
              <w:rPr>
                <w:color w:val="auto"/>
              </w:rPr>
              <w:t>人</w:t>
            </w:r>
            <w:r>
              <w:rPr>
                <w:rFonts w:ascii="Times New Roman" w:eastAsia="Times New Roman"/>
                <w:color w:val="auto"/>
                <w:spacing w:val="-6"/>
              </w:rPr>
              <w:t>/a</w:t>
            </w:r>
            <w:r>
              <w:rPr>
                <w:rFonts w:hint="eastAsia" w:ascii="宋体" w:hAnsi="宋体"/>
                <w:color w:val="auto"/>
              </w:rPr>
              <w:t>，则本项目生活用水量为</w:t>
            </w:r>
            <w:r>
              <w:rPr>
                <w:rFonts w:hint="eastAsia"/>
                <w:color w:val="auto"/>
                <w:lang w:val="en-US" w:eastAsia="zh-CN"/>
              </w:rPr>
              <w:t>0.67</w:t>
            </w:r>
            <w:r>
              <w:rPr>
                <w:rFonts w:hint="eastAsia"/>
                <w:color w:val="auto"/>
              </w:rPr>
              <w:t>m</w:t>
            </w:r>
            <w:r>
              <w:rPr>
                <w:rFonts w:hint="eastAsia"/>
                <w:color w:val="auto"/>
                <w:vertAlign w:val="superscript"/>
              </w:rPr>
              <w:t>3</w:t>
            </w:r>
            <w:r>
              <w:rPr>
                <w:rFonts w:hint="eastAsia"/>
                <w:color w:val="auto"/>
              </w:rPr>
              <w:t>/d</w:t>
            </w:r>
            <w:r>
              <w:rPr>
                <w:rFonts w:hint="eastAsia" w:ascii="宋体" w:hAnsi="宋体"/>
                <w:color w:val="auto"/>
              </w:rPr>
              <w:t>（</w:t>
            </w:r>
            <w:r>
              <w:rPr>
                <w:rFonts w:hint="eastAsia"/>
                <w:color w:val="auto"/>
                <w:lang w:val="en-US" w:eastAsia="zh-CN"/>
              </w:rPr>
              <w:t>200</w:t>
            </w:r>
            <w:r>
              <w:rPr>
                <w:rFonts w:hint="eastAsia"/>
                <w:color w:val="auto"/>
              </w:rPr>
              <w:t>m</w:t>
            </w:r>
            <w:r>
              <w:rPr>
                <w:rFonts w:hint="eastAsia"/>
                <w:color w:val="auto"/>
                <w:vertAlign w:val="superscript"/>
              </w:rPr>
              <w:t>3</w:t>
            </w:r>
            <w:r>
              <w:rPr>
                <w:rFonts w:hint="eastAsia"/>
                <w:color w:val="auto"/>
              </w:rPr>
              <w:t>/a</w:t>
            </w:r>
            <w:r>
              <w:rPr>
                <w:rFonts w:hint="eastAsia" w:ascii="宋体" w:hAnsi="宋体"/>
                <w:color w:val="auto"/>
              </w:rPr>
              <w:t>）</w:t>
            </w:r>
            <w:r>
              <w:rPr>
                <w:rFonts w:hint="eastAsia" w:ascii="宋体" w:hAnsi="宋体"/>
                <w:color w:val="auto"/>
                <w:lang w:eastAsia="zh-CN"/>
              </w:rPr>
              <w:t>；职工</w:t>
            </w:r>
            <w:r>
              <w:rPr>
                <w:rFonts w:hint="eastAsia"/>
                <w:bCs/>
                <w:kern w:val="0"/>
                <w:szCs w:val="21"/>
                <w:lang w:val="en-US" w:eastAsia="zh-CN"/>
              </w:rPr>
              <w:t>生活污水按用水量的80%计，</w:t>
            </w:r>
            <w:r>
              <w:rPr>
                <w:rFonts w:hint="eastAsia"/>
                <w:bCs/>
                <w:color w:val="0000FF"/>
                <w:kern w:val="0"/>
                <w:szCs w:val="21"/>
                <w:lang w:val="en-US" w:eastAsia="zh-CN"/>
              </w:rPr>
              <w:t>产生量为0.536</w:t>
            </w:r>
            <w:r>
              <w:rPr>
                <w:rFonts w:hint="eastAsia"/>
                <w:bCs/>
                <w:color w:val="0000FF"/>
                <w:szCs w:val="21"/>
              </w:rPr>
              <w:t>m³/d（</w:t>
            </w:r>
            <w:r>
              <w:rPr>
                <w:rFonts w:hint="eastAsia"/>
                <w:bCs/>
                <w:color w:val="0000FF"/>
                <w:szCs w:val="21"/>
                <w:lang w:val="en-US" w:eastAsia="zh-CN"/>
              </w:rPr>
              <w:t>1</w:t>
            </w:r>
            <w:r>
              <w:rPr>
                <w:rFonts w:hint="eastAsia"/>
                <w:bCs/>
                <w:color w:val="0000FF"/>
                <w:szCs w:val="21"/>
              </w:rPr>
              <w:t>60m³/a）</w:t>
            </w:r>
            <w:r>
              <w:rPr>
                <w:rFonts w:hint="eastAsia"/>
                <w:bCs/>
                <w:color w:val="0000FF"/>
                <w:szCs w:val="21"/>
                <w:lang w:eastAsia="zh-CN"/>
              </w:rPr>
              <w:t>，</w:t>
            </w:r>
            <w:r>
              <w:rPr>
                <w:rFonts w:hint="eastAsia"/>
                <w:bCs/>
                <w:color w:val="0000FF"/>
                <w:szCs w:val="21"/>
                <w:lang w:val="en-US" w:eastAsia="zh-CN"/>
              </w:rPr>
              <w:t>用于</w:t>
            </w:r>
            <w:r>
              <w:rPr>
                <w:rFonts w:hint="eastAsia"/>
                <w:bCs/>
                <w:color w:val="0000FF"/>
                <w:kern w:val="0"/>
                <w:szCs w:val="21"/>
                <w:lang w:val="en-US" w:eastAsia="zh-CN"/>
              </w:rPr>
              <w:t>厂区内泼洒抑尘，</w:t>
            </w:r>
            <w:r>
              <w:rPr>
                <w:rFonts w:hint="eastAsia"/>
                <w:bCs/>
                <w:kern w:val="0"/>
                <w:szCs w:val="21"/>
              </w:rPr>
              <w:t>不外排</w:t>
            </w:r>
            <w:r>
              <w:rPr>
                <w:rFonts w:hint="eastAsia"/>
                <w:bCs/>
                <w:kern w:val="0"/>
                <w:szCs w:val="21"/>
                <w:lang w:eastAsia="zh-CN"/>
              </w:rPr>
              <w:t>；</w:t>
            </w:r>
            <w:r>
              <w:rPr>
                <w:rFonts w:hint="eastAsia"/>
                <w:bCs/>
                <w:kern w:val="0"/>
                <w:szCs w:val="21"/>
              </w:rPr>
              <w:t>厂区设置旱厕，定期清掏农用。</w:t>
            </w:r>
          </w:p>
          <w:p>
            <w:pPr>
              <w:adjustRightInd w:val="0"/>
              <w:snapToGrid w:val="0"/>
              <w:spacing w:line="400" w:lineRule="exact"/>
              <w:ind w:firstLine="420" w:firstLineChars="200"/>
              <w:rPr>
                <w:rFonts w:hint="eastAsia" w:ascii="Times New Roman" w:hAnsi="Times New Roman" w:eastAsia="宋体" w:cs="Times New Roman"/>
                <w:bCs/>
                <w:kern w:val="0"/>
                <w:szCs w:val="21"/>
                <w:lang w:val="en-US" w:eastAsia="zh-CN"/>
              </w:rPr>
            </w:pPr>
            <w:r>
              <w:rPr>
                <w:rFonts w:hint="eastAsia" w:ascii="Times New Roman" w:hAnsi="Times New Roman" w:eastAsia="宋体" w:cs="Times New Roman"/>
                <w:bCs/>
                <w:kern w:val="0"/>
                <w:szCs w:val="21"/>
                <w:lang w:val="en-US" w:eastAsia="zh-CN"/>
              </w:rPr>
              <w:t>本项目技改完成给排水情况详见下图2-1和表2-5。</w:t>
            </w:r>
          </w:p>
          <w:p>
            <w:pPr>
              <w:spacing w:line="400" w:lineRule="exact"/>
              <w:jc w:val="center"/>
              <w:rPr>
                <w:rFonts w:hint="eastAsia" w:ascii="Times New Roman" w:hAnsi="Times New Roman" w:eastAsia="宋体" w:cs="Times New Roman"/>
                <w:b/>
                <w:szCs w:val="21"/>
              </w:rPr>
            </w:pPr>
            <w:r>
              <w:rPr>
                <w:rFonts w:ascii="Times New Roman" w:hAnsi="Times New Roman" w:eastAsia="宋体" w:cs="Times New Roman"/>
                <w:b/>
                <w:szCs w:val="21"/>
              </w:rPr>
              <w:t>表</w:t>
            </w:r>
            <w:r>
              <w:rPr>
                <w:rFonts w:hint="eastAsia" w:ascii="Times New Roman" w:hAnsi="Times New Roman" w:eastAsia="宋体" w:cs="Times New Roman"/>
                <w:b/>
                <w:szCs w:val="21"/>
              </w:rPr>
              <w:t>2-</w:t>
            </w:r>
            <w:r>
              <w:rPr>
                <w:rFonts w:hint="eastAsia" w:ascii="Times New Roman" w:hAnsi="Times New Roman" w:eastAsia="宋体" w:cs="Times New Roman"/>
                <w:b/>
                <w:szCs w:val="21"/>
                <w:lang w:val="en-US" w:eastAsia="zh-CN"/>
              </w:rPr>
              <w:t>5</w:t>
            </w:r>
            <w:r>
              <w:rPr>
                <w:rFonts w:hint="eastAsia" w:ascii="Times New Roman" w:hAnsi="Times New Roman" w:eastAsia="宋体" w:cs="Times New Roman"/>
                <w:b/>
                <w:szCs w:val="21"/>
              </w:rPr>
              <w:t xml:space="preserve">   </w:t>
            </w:r>
            <w:r>
              <w:rPr>
                <w:rFonts w:ascii="Times New Roman" w:hAnsi="Times New Roman" w:eastAsia="宋体" w:cs="Times New Roman"/>
                <w:b/>
                <w:szCs w:val="21"/>
              </w:rPr>
              <w:t>项目</w:t>
            </w:r>
            <w:r>
              <w:rPr>
                <w:rFonts w:hint="eastAsia" w:ascii="Times New Roman" w:hAnsi="Times New Roman" w:eastAsia="宋体" w:cs="Times New Roman"/>
                <w:b/>
                <w:szCs w:val="21"/>
                <w:lang w:val="en-US" w:eastAsia="zh-CN"/>
              </w:rPr>
              <w:t>技改后</w:t>
            </w:r>
            <w:r>
              <w:rPr>
                <w:rFonts w:ascii="Times New Roman" w:hAnsi="Times New Roman" w:eastAsia="宋体" w:cs="Times New Roman"/>
                <w:b/>
                <w:szCs w:val="21"/>
              </w:rPr>
              <w:t>用水情况一览表   单位</w:t>
            </w:r>
            <w:r>
              <w:rPr>
                <w:rFonts w:hint="eastAsia" w:ascii="Times New Roman" w:hAnsi="Times New Roman" w:eastAsia="宋体" w:cs="Times New Roman"/>
                <w:b/>
                <w:szCs w:val="21"/>
              </w:rPr>
              <w:t>：</w:t>
            </w:r>
            <w:r>
              <w:rPr>
                <w:rFonts w:ascii="Times New Roman" w:hAnsi="Times New Roman" w:eastAsia="宋体" w:cs="Times New Roman"/>
                <w:b/>
                <w:szCs w:val="21"/>
              </w:rPr>
              <w:t>m</w:t>
            </w:r>
            <w:r>
              <w:rPr>
                <w:rFonts w:ascii="Times New Roman" w:hAnsi="Times New Roman" w:eastAsia="宋体" w:cs="Times New Roman"/>
                <w:b/>
                <w:szCs w:val="21"/>
                <w:vertAlign w:val="superscript"/>
              </w:rPr>
              <w:t>3</w:t>
            </w:r>
            <w:r>
              <w:rPr>
                <w:rFonts w:ascii="Times New Roman" w:hAnsi="Times New Roman" w:eastAsia="宋体" w:cs="Times New Roman"/>
                <w:b/>
                <w:szCs w:val="21"/>
              </w:rPr>
              <w:t>/</w:t>
            </w:r>
            <w:r>
              <w:rPr>
                <w:rFonts w:hint="eastAsia" w:ascii="Times New Roman" w:hAnsi="Times New Roman" w:eastAsia="宋体" w:cs="Times New Roman"/>
                <w:b/>
                <w:szCs w:val="21"/>
              </w:rPr>
              <w:t>d</w:t>
            </w:r>
          </w:p>
          <w:tbl>
            <w:tblPr>
              <w:tblStyle w:val="90"/>
              <w:tblW w:w="4996" w:type="pct"/>
              <w:tblInd w:w="0" w:type="dxa"/>
              <w:tblLayout w:type="autofit"/>
              <w:tblCellMar>
                <w:top w:w="15" w:type="dxa"/>
                <w:left w:w="15" w:type="dxa"/>
                <w:bottom w:w="15" w:type="dxa"/>
                <w:right w:w="15" w:type="dxa"/>
              </w:tblCellMar>
            </w:tblPr>
            <w:tblGrid>
              <w:gridCol w:w="492"/>
              <w:gridCol w:w="1438"/>
              <w:gridCol w:w="968"/>
              <w:gridCol w:w="966"/>
              <w:gridCol w:w="1077"/>
              <w:gridCol w:w="774"/>
              <w:gridCol w:w="1112"/>
              <w:gridCol w:w="1112"/>
            </w:tblGrid>
            <w:tr>
              <w:tblPrEx>
                <w:tblCellMar>
                  <w:top w:w="15" w:type="dxa"/>
                  <w:left w:w="15" w:type="dxa"/>
                  <w:bottom w:w="15" w:type="dxa"/>
                  <w:right w:w="15" w:type="dxa"/>
                </w:tblCellMar>
              </w:tblPrEx>
              <w:trPr>
                <w:trHeight w:val="539" w:hRule="exact"/>
              </w:trPr>
              <w:tc>
                <w:tcPr>
                  <w:tcW w:w="310"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ascii="Times New Roman" w:hAnsi="Times New Roman" w:cs="Times New Roman"/>
                      <w:b/>
                      <w:color w:val="auto"/>
                      <w:szCs w:val="21"/>
                    </w:rPr>
                  </w:pPr>
                  <w:r>
                    <w:rPr>
                      <w:rStyle w:val="180"/>
                      <w:rFonts w:hint="default" w:ascii="Times New Roman" w:hAnsi="Times New Roman" w:cs="Times New Roman"/>
                      <w:b/>
                      <w:color w:val="auto"/>
                      <w:sz w:val="21"/>
                      <w:szCs w:val="21"/>
                      <w:lang w:bidi="ar"/>
                    </w:rPr>
                    <w:t>序号</w:t>
                  </w:r>
                </w:p>
              </w:tc>
              <w:tc>
                <w:tcPr>
                  <w:tcW w:w="904"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ascii="Times New Roman" w:hAnsi="Times New Roman" w:cs="Times New Roman"/>
                      <w:b/>
                      <w:color w:val="auto"/>
                      <w:szCs w:val="21"/>
                    </w:rPr>
                  </w:pPr>
                  <w:r>
                    <w:rPr>
                      <w:rStyle w:val="180"/>
                      <w:rFonts w:hint="default" w:ascii="Times New Roman" w:hAnsi="Times New Roman" w:cs="Times New Roman"/>
                      <w:b/>
                      <w:color w:val="auto"/>
                      <w:sz w:val="21"/>
                      <w:szCs w:val="21"/>
                      <w:lang w:bidi="ar"/>
                    </w:rPr>
                    <w:t>用水单元</w:t>
                  </w:r>
                </w:p>
              </w:tc>
              <w:tc>
                <w:tcPr>
                  <w:tcW w:w="609"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ascii="Times New Roman" w:hAnsi="Times New Roman" w:cs="Times New Roman"/>
                      <w:b/>
                      <w:color w:val="auto"/>
                      <w:szCs w:val="21"/>
                    </w:rPr>
                  </w:pPr>
                  <w:r>
                    <w:rPr>
                      <w:rStyle w:val="180"/>
                      <w:rFonts w:hint="default" w:ascii="Times New Roman" w:hAnsi="Times New Roman" w:cs="Times New Roman"/>
                      <w:b/>
                      <w:color w:val="auto"/>
                      <w:sz w:val="21"/>
                      <w:szCs w:val="21"/>
                      <w:lang w:bidi="ar"/>
                    </w:rPr>
                    <w:t>总用水量</w:t>
                  </w:r>
                </w:p>
              </w:tc>
              <w:tc>
                <w:tcPr>
                  <w:tcW w:w="608" w:type="pct"/>
                  <w:tcBorders>
                    <w:top w:val="single" w:color="000000" w:sz="4" w:space="0"/>
                    <w:left w:val="single" w:color="000000" w:sz="4" w:space="0"/>
                    <w:bottom w:val="single" w:color="000000" w:sz="4" w:space="0"/>
                    <w:right w:val="single" w:color="auto" w:sz="4" w:space="0"/>
                  </w:tcBorders>
                  <w:noWrap w:val="0"/>
                  <w:vAlign w:val="center"/>
                </w:tcPr>
                <w:p>
                  <w:pPr>
                    <w:widowControl/>
                    <w:spacing w:line="0" w:lineRule="atLeast"/>
                    <w:jc w:val="center"/>
                    <w:textAlignment w:val="center"/>
                    <w:rPr>
                      <w:rFonts w:ascii="Times New Roman" w:hAnsi="Times New Roman" w:cs="Times New Roman"/>
                      <w:b/>
                      <w:color w:val="auto"/>
                      <w:szCs w:val="21"/>
                    </w:rPr>
                  </w:pPr>
                  <w:r>
                    <w:rPr>
                      <w:rFonts w:ascii="Times New Roman" w:hAnsi="Times New Roman" w:cs="Times New Roman"/>
                      <w:b/>
                      <w:color w:val="auto"/>
                      <w:kern w:val="0"/>
                      <w:szCs w:val="21"/>
                      <w:lang w:bidi="ar"/>
                    </w:rPr>
                    <w:t>新鲜水量</w:t>
                  </w:r>
                </w:p>
              </w:tc>
              <w:tc>
                <w:tcPr>
                  <w:tcW w:w="678"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ascii="Times New Roman" w:hAnsi="Times New Roman" w:cs="Times New Roman"/>
                      <w:b/>
                      <w:color w:val="auto"/>
                      <w:szCs w:val="21"/>
                    </w:rPr>
                  </w:pPr>
                  <w:r>
                    <w:rPr>
                      <w:rFonts w:hint="eastAsia" w:ascii="Times New Roman" w:hAnsi="Times New Roman" w:cs="Times New Roman"/>
                      <w:b/>
                      <w:color w:val="auto"/>
                      <w:kern w:val="0"/>
                      <w:szCs w:val="21"/>
                      <w:lang w:bidi="ar"/>
                    </w:rPr>
                    <w:t>循环</w:t>
                  </w:r>
                  <w:r>
                    <w:rPr>
                      <w:rFonts w:ascii="Times New Roman" w:hAnsi="Times New Roman" w:cs="Times New Roman"/>
                      <w:b/>
                      <w:color w:val="auto"/>
                      <w:kern w:val="0"/>
                      <w:szCs w:val="21"/>
                      <w:lang w:bidi="ar"/>
                    </w:rPr>
                    <w:t>水量</w:t>
                  </w:r>
                </w:p>
              </w:tc>
              <w:tc>
                <w:tcPr>
                  <w:tcW w:w="48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ascii="Times New Roman" w:hAnsi="Times New Roman" w:cs="Times New Roman"/>
                      <w:b/>
                      <w:color w:val="auto"/>
                      <w:szCs w:val="21"/>
                    </w:rPr>
                  </w:pPr>
                  <w:r>
                    <w:rPr>
                      <w:rFonts w:ascii="Times New Roman" w:hAnsi="Times New Roman" w:cs="Times New Roman"/>
                      <w:b/>
                      <w:color w:val="auto"/>
                      <w:szCs w:val="21"/>
                    </w:rPr>
                    <w:t>损耗量</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shd w:val="clear" w:color="auto" w:fill="auto"/>
                    <w:jc w:val="center"/>
                    <w:rPr>
                      <w:rFonts w:ascii="宋体" w:hAnsi="宋体"/>
                      <w:b/>
                      <w:color w:val="0000FF"/>
                      <w:szCs w:val="21"/>
                    </w:rPr>
                  </w:pPr>
                  <w:r>
                    <w:rPr>
                      <w:rFonts w:hint="eastAsia" w:ascii="宋体" w:hAnsi="宋体"/>
                      <w:b/>
                      <w:color w:val="0000FF"/>
                    </w:rPr>
                    <w:t>废水</w:t>
                  </w:r>
                </w:p>
                <w:p>
                  <w:pPr>
                    <w:shd w:val="clear" w:color="auto" w:fill="auto"/>
                    <w:jc w:val="center"/>
                    <w:rPr>
                      <w:rFonts w:ascii="Times New Roman" w:hAnsi="Times New Roman" w:eastAsia="宋体" w:cs="Times New Roman"/>
                      <w:b/>
                      <w:color w:val="0000FF"/>
                      <w:kern w:val="2"/>
                      <w:sz w:val="21"/>
                      <w:szCs w:val="21"/>
                      <w:lang w:val="en-US" w:eastAsia="zh-CN" w:bidi="ar-SA"/>
                    </w:rPr>
                  </w:pPr>
                  <w:r>
                    <w:rPr>
                      <w:rFonts w:hint="eastAsia" w:ascii="宋体" w:hAnsi="宋体"/>
                      <w:b/>
                      <w:color w:val="0000FF"/>
                    </w:rPr>
                    <w:t>产生</w:t>
                  </w:r>
                  <w:r>
                    <w:rPr>
                      <w:rFonts w:ascii="宋体" w:hAnsi="宋体"/>
                      <w:b/>
                      <w:color w:val="0000FF"/>
                    </w:rPr>
                    <w:t>量</w:t>
                  </w:r>
                </w:p>
              </w:tc>
              <w:tc>
                <w:tcPr>
                  <w:tcW w:w="700"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shd w:val="clear" w:color="auto" w:fill="auto"/>
                    <w:jc w:val="center"/>
                    <w:rPr>
                      <w:rFonts w:ascii="宋体" w:hAnsi="宋体"/>
                      <w:b/>
                      <w:color w:val="0000FF"/>
                      <w:szCs w:val="21"/>
                    </w:rPr>
                  </w:pPr>
                  <w:r>
                    <w:rPr>
                      <w:rFonts w:hint="eastAsia" w:ascii="宋体" w:hAnsi="宋体"/>
                      <w:b/>
                      <w:color w:val="0000FF"/>
                    </w:rPr>
                    <w:t>废水</w:t>
                  </w:r>
                </w:p>
                <w:p>
                  <w:pPr>
                    <w:shd w:val="clear" w:color="auto" w:fill="auto"/>
                    <w:jc w:val="center"/>
                    <w:rPr>
                      <w:rFonts w:ascii="Times New Roman" w:hAnsi="Times New Roman" w:eastAsia="宋体" w:cs="Times New Roman"/>
                      <w:color w:val="0000FF"/>
                      <w:kern w:val="2"/>
                      <w:sz w:val="21"/>
                      <w:szCs w:val="21"/>
                      <w:lang w:val="en-US" w:eastAsia="zh-CN" w:bidi="ar-SA"/>
                    </w:rPr>
                  </w:pPr>
                  <w:r>
                    <w:rPr>
                      <w:rFonts w:hint="eastAsia" w:ascii="宋体" w:hAnsi="宋体"/>
                      <w:b/>
                      <w:color w:val="0000FF"/>
                    </w:rPr>
                    <w:t>排放</w:t>
                  </w:r>
                  <w:r>
                    <w:rPr>
                      <w:rFonts w:ascii="宋体" w:hAnsi="宋体"/>
                      <w:b/>
                      <w:color w:val="0000FF"/>
                    </w:rPr>
                    <w:t>量</w:t>
                  </w:r>
                </w:p>
              </w:tc>
            </w:tr>
            <w:tr>
              <w:tblPrEx>
                <w:tblCellMar>
                  <w:top w:w="15" w:type="dxa"/>
                  <w:left w:w="15" w:type="dxa"/>
                  <w:bottom w:w="15" w:type="dxa"/>
                  <w:right w:w="15" w:type="dxa"/>
                </w:tblCellMar>
              </w:tblPrEx>
              <w:trPr>
                <w:trHeight w:val="494" w:hRule="exact"/>
              </w:trPr>
              <w:tc>
                <w:tcPr>
                  <w:tcW w:w="310"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eastAsia" w:ascii="Times New Roman" w:hAnsi="Times New Roman"/>
                      <w:color w:val="auto"/>
                      <w:kern w:val="0"/>
                      <w:szCs w:val="21"/>
                      <w:lang w:bidi="ar"/>
                    </w:rPr>
                  </w:pPr>
                  <w:r>
                    <w:rPr>
                      <w:rFonts w:hint="eastAsia" w:ascii="Times New Roman" w:hAnsi="Times New Roman"/>
                      <w:color w:val="auto"/>
                      <w:kern w:val="0"/>
                      <w:szCs w:val="21"/>
                      <w:lang w:bidi="ar"/>
                    </w:rPr>
                    <w:t>1</w:t>
                  </w:r>
                </w:p>
              </w:tc>
              <w:tc>
                <w:tcPr>
                  <w:tcW w:w="904"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eastAsia" w:ascii="Times New Roman" w:hAnsi="Times New Roman"/>
                      <w:color w:val="auto"/>
                      <w:szCs w:val="21"/>
                    </w:rPr>
                  </w:pPr>
                  <w:r>
                    <w:rPr>
                      <w:rFonts w:hint="eastAsia" w:ascii="Times New Roman" w:hAnsi="Times New Roman" w:cs="Times New Roman"/>
                      <w:color w:val="auto"/>
                      <w:szCs w:val="21"/>
                    </w:rPr>
                    <w:t>职工生活用水</w:t>
                  </w:r>
                </w:p>
              </w:tc>
              <w:tc>
                <w:tcPr>
                  <w:tcW w:w="609"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default" w:ascii="Times New Roman" w:hAnsi="Times New Roman" w:eastAsia="宋体"/>
                      <w:color w:val="auto"/>
                      <w:szCs w:val="21"/>
                      <w:lang w:val="en-US" w:eastAsia="zh-CN"/>
                    </w:rPr>
                  </w:pPr>
                  <w:r>
                    <w:rPr>
                      <w:rFonts w:hint="eastAsia" w:ascii="Times New Roman" w:hAnsi="Times New Roman"/>
                      <w:color w:val="auto"/>
                      <w:szCs w:val="21"/>
                      <w:lang w:val="en-US" w:eastAsia="zh-CN"/>
                    </w:rPr>
                    <w:t>0.6</w:t>
                  </w:r>
                  <w:r>
                    <w:rPr>
                      <w:rFonts w:hint="eastAsia"/>
                      <w:color w:val="auto"/>
                      <w:szCs w:val="21"/>
                      <w:lang w:val="en-US" w:eastAsia="zh-CN"/>
                    </w:rPr>
                    <w:t>7</w:t>
                  </w:r>
                </w:p>
              </w:tc>
              <w:tc>
                <w:tcPr>
                  <w:tcW w:w="608" w:type="pct"/>
                  <w:tcBorders>
                    <w:top w:val="single" w:color="000000" w:sz="4" w:space="0"/>
                    <w:left w:val="single" w:color="000000" w:sz="4" w:space="0"/>
                    <w:bottom w:val="single" w:color="000000" w:sz="4" w:space="0"/>
                    <w:right w:val="single" w:color="auto" w:sz="4" w:space="0"/>
                  </w:tcBorders>
                  <w:noWrap w:val="0"/>
                  <w:vAlign w:val="center"/>
                </w:tcPr>
                <w:p>
                  <w:pPr>
                    <w:widowControl/>
                    <w:spacing w:line="0" w:lineRule="atLeast"/>
                    <w:jc w:val="center"/>
                    <w:textAlignment w:val="center"/>
                    <w:rPr>
                      <w:rFonts w:hint="default" w:ascii="Times New Roman" w:hAnsi="Times New Roman" w:eastAsia="宋体"/>
                      <w:color w:val="auto"/>
                      <w:szCs w:val="21"/>
                      <w:lang w:val="en-US" w:eastAsia="zh-CN"/>
                    </w:rPr>
                  </w:pPr>
                  <w:r>
                    <w:rPr>
                      <w:rFonts w:hint="eastAsia" w:ascii="Times New Roman" w:hAnsi="Times New Roman"/>
                      <w:color w:val="auto"/>
                      <w:szCs w:val="21"/>
                      <w:lang w:val="en-US" w:eastAsia="zh-CN"/>
                    </w:rPr>
                    <w:t>0.6</w:t>
                  </w:r>
                  <w:r>
                    <w:rPr>
                      <w:rFonts w:hint="eastAsia"/>
                      <w:color w:val="auto"/>
                      <w:szCs w:val="21"/>
                      <w:lang w:val="en-US" w:eastAsia="zh-CN"/>
                    </w:rPr>
                    <w:t>7</w:t>
                  </w:r>
                </w:p>
              </w:tc>
              <w:tc>
                <w:tcPr>
                  <w:tcW w:w="678"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ascii="Times New Roman" w:hAnsi="Times New Roman"/>
                      <w:color w:val="auto"/>
                      <w:szCs w:val="21"/>
                    </w:rPr>
                  </w:pPr>
                  <w:r>
                    <w:rPr>
                      <w:rFonts w:hint="eastAsia" w:ascii="Times New Roman" w:hAnsi="Times New Roman"/>
                      <w:color w:val="auto"/>
                      <w:szCs w:val="21"/>
                    </w:rPr>
                    <w:t>0</w:t>
                  </w:r>
                </w:p>
              </w:tc>
              <w:tc>
                <w:tcPr>
                  <w:tcW w:w="48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default" w:ascii="Times New Roman" w:hAnsi="Times New Roman" w:eastAsia="宋体"/>
                      <w:color w:val="auto"/>
                      <w:szCs w:val="21"/>
                      <w:lang w:val="en-US" w:eastAsia="zh-CN"/>
                    </w:rPr>
                  </w:pPr>
                  <w:r>
                    <w:rPr>
                      <w:rFonts w:hint="eastAsia" w:ascii="Times New Roman" w:hAnsi="Times New Roman"/>
                      <w:color w:val="auto"/>
                      <w:szCs w:val="21"/>
                    </w:rPr>
                    <w:t>0.</w:t>
                  </w:r>
                  <w:r>
                    <w:rPr>
                      <w:rFonts w:hint="eastAsia" w:ascii="Times New Roman" w:hAnsi="Times New Roman"/>
                      <w:color w:val="auto"/>
                      <w:szCs w:val="21"/>
                      <w:lang w:val="en-US" w:eastAsia="zh-CN"/>
                    </w:rPr>
                    <w:t>1</w:t>
                  </w:r>
                  <w:r>
                    <w:rPr>
                      <w:rFonts w:hint="eastAsia"/>
                      <w:color w:val="auto"/>
                      <w:szCs w:val="21"/>
                      <w:lang w:val="en-US" w:eastAsia="zh-CN"/>
                    </w:rPr>
                    <w:t>34</w:t>
                  </w:r>
                </w:p>
              </w:tc>
              <w:tc>
                <w:tcPr>
                  <w:tcW w:w="700"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eastAsia" w:ascii="Times New Roman" w:hAnsi="Times New Roman"/>
                      <w:color w:val="0000FF"/>
                      <w:szCs w:val="21"/>
                    </w:rPr>
                  </w:pPr>
                  <w:r>
                    <w:rPr>
                      <w:rFonts w:hint="eastAsia" w:ascii="Times New Roman" w:hAnsi="Times New Roman" w:cs="Times New Roman"/>
                      <w:color w:val="0000FF"/>
                      <w:szCs w:val="21"/>
                    </w:rPr>
                    <w:t>0</w:t>
                  </w:r>
                  <w:r>
                    <w:rPr>
                      <w:rFonts w:hint="eastAsia" w:cs="Times New Roman"/>
                      <w:color w:val="0000FF"/>
                      <w:szCs w:val="21"/>
                      <w:lang w:val="en-US" w:eastAsia="zh-CN"/>
                    </w:rPr>
                    <w:t>.536</w:t>
                  </w:r>
                </w:p>
              </w:tc>
              <w:tc>
                <w:tcPr>
                  <w:tcW w:w="700"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eastAsia" w:ascii="Times New Roman" w:hAnsi="Times New Roman" w:eastAsia="宋体"/>
                      <w:color w:val="0000FF"/>
                      <w:szCs w:val="21"/>
                      <w:lang w:val="en-US" w:eastAsia="zh-CN"/>
                    </w:rPr>
                  </w:pPr>
                  <w:r>
                    <w:rPr>
                      <w:rFonts w:hint="eastAsia"/>
                      <w:color w:val="0000FF"/>
                      <w:szCs w:val="21"/>
                      <w:lang w:val="en-US" w:eastAsia="zh-CN"/>
                    </w:rPr>
                    <w:t>0</w:t>
                  </w:r>
                </w:p>
              </w:tc>
            </w:tr>
            <w:tr>
              <w:tblPrEx>
                <w:tblCellMar>
                  <w:top w:w="15" w:type="dxa"/>
                  <w:left w:w="15" w:type="dxa"/>
                  <w:bottom w:w="15" w:type="dxa"/>
                  <w:right w:w="15" w:type="dxa"/>
                </w:tblCellMar>
              </w:tblPrEx>
              <w:trPr>
                <w:trHeight w:val="494" w:hRule="exact"/>
              </w:trPr>
              <w:tc>
                <w:tcPr>
                  <w:tcW w:w="310"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eastAsia" w:ascii="Times New Roman" w:hAnsi="Times New Roman"/>
                      <w:color w:val="auto"/>
                      <w:kern w:val="0"/>
                      <w:szCs w:val="21"/>
                      <w:lang w:bidi="ar"/>
                    </w:rPr>
                  </w:pPr>
                  <w:r>
                    <w:rPr>
                      <w:rFonts w:hint="eastAsia" w:ascii="Times New Roman" w:hAnsi="Times New Roman"/>
                      <w:color w:val="auto"/>
                      <w:kern w:val="0"/>
                      <w:szCs w:val="21"/>
                      <w:lang w:bidi="ar"/>
                    </w:rPr>
                    <w:t>2</w:t>
                  </w:r>
                </w:p>
              </w:tc>
              <w:tc>
                <w:tcPr>
                  <w:tcW w:w="904"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eastAsia" w:ascii="Times New Roman" w:hAnsi="Times New Roman" w:cs="Times New Roman"/>
                      <w:color w:val="auto"/>
                      <w:szCs w:val="21"/>
                    </w:rPr>
                  </w:pPr>
                  <w:r>
                    <w:rPr>
                      <w:rFonts w:hint="eastAsia" w:ascii="Times New Roman" w:hAnsi="Times New Roman" w:cs="Times New Roman"/>
                      <w:color w:val="auto"/>
                      <w:szCs w:val="21"/>
                    </w:rPr>
                    <w:t>冷却水</w:t>
                  </w:r>
                </w:p>
              </w:tc>
              <w:tc>
                <w:tcPr>
                  <w:tcW w:w="609"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4</w:t>
                  </w:r>
                  <w:r>
                    <w:rPr>
                      <w:rFonts w:hint="eastAsia" w:ascii="Times New Roman" w:hAnsi="Times New Roman" w:cs="Times New Roman"/>
                      <w:color w:val="auto"/>
                      <w:szCs w:val="21"/>
                      <w:lang w:val="en-US" w:eastAsia="zh-CN"/>
                    </w:rPr>
                    <w:t>.2</w:t>
                  </w:r>
                </w:p>
              </w:tc>
              <w:tc>
                <w:tcPr>
                  <w:tcW w:w="608" w:type="pct"/>
                  <w:tcBorders>
                    <w:top w:val="single" w:color="000000" w:sz="4" w:space="0"/>
                    <w:left w:val="single" w:color="000000" w:sz="4" w:space="0"/>
                    <w:bottom w:val="single" w:color="000000" w:sz="4" w:space="0"/>
                    <w:right w:val="single" w:color="auto" w:sz="4" w:space="0"/>
                  </w:tcBorders>
                  <w:noWrap w:val="0"/>
                  <w:vAlign w:val="center"/>
                </w:tcPr>
                <w:p>
                  <w:pPr>
                    <w:widowControl/>
                    <w:spacing w:line="0" w:lineRule="atLeast"/>
                    <w:jc w:val="center"/>
                    <w:textAlignment w:val="center"/>
                    <w:rPr>
                      <w:rFonts w:hint="default" w:ascii="Times New Roman" w:hAnsi="Times New Roman" w:eastAsia="宋体" w:cs="Times New Roman"/>
                      <w:color w:val="auto"/>
                      <w:szCs w:val="21"/>
                      <w:lang w:val="en-US" w:eastAsia="zh-CN"/>
                    </w:rPr>
                  </w:pPr>
                  <w:r>
                    <w:rPr>
                      <w:rFonts w:hint="eastAsia" w:ascii="Times New Roman" w:hAnsi="Times New Roman" w:cs="Times New Roman"/>
                      <w:color w:val="auto"/>
                      <w:szCs w:val="21"/>
                    </w:rPr>
                    <w:t>0.</w:t>
                  </w:r>
                  <w:r>
                    <w:rPr>
                      <w:rFonts w:hint="eastAsia" w:ascii="Times New Roman" w:hAnsi="Times New Roman" w:cs="Times New Roman"/>
                      <w:color w:val="auto"/>
                      <w:szCs w:val="21"/>
                      <w:lang w:val="en-US" w:eastAsia="zh-CN"/>
                    </w:rPr>
                    <w:t>2</w:t>
                  </w:r>
                </w:p>
              </w:tc>
              <w:tc>
                <w:tcPr>
                  <w:tcW w:w="678"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4</w:t>
                  </w:r>
                </w:p>
              </w:tc>
              <w:tc>
                <w:tcPr>
                  <w:tcW w:w="48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default" w:ascii="Times New Roman" w:hAnsi="Times New Roman" w:eastAsia="宋体" w:cs="Times New Roman"/>
                      <w:color w:val="auto"/>
                      <w:szCs w:val="21"/>
                      <w:lang w:val="en-US" w:eastAsia="zh-CN"/>
                    </w:rPr>
                  </w:pPr>
                  <w:r>
                    <w:rPr>
                      <w:rFonts w:hint="eastAsia" w:ascii="Times New Roman" w:hAnsi="Times New Roman" w:eastAsia="宋体" w:cs="Times New Roman"/>
                      <w:color w:val="auto"/>
                      <w:szCs w:val="21"/>
                      <w:lang w:val="en-US" w:eastAsia="zh-CN"/>
                    </w:rPr>
                    <w:t>0.2</w:t>
                  </w:r>
                </w:p>
              </w:tc>
              <w:tc>
                <w:tcPr>
                  <w:tcW w:w="700"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default" w:ascii="Times New Roman" w:hAnsi="Times New Roman" w:eastAsia="宋体" w:cs="Times New Roman"/>
                      <w:color w:val="0000FF"/>
                      <w:szCs w:val="21"/>
                      <w:lang w:val="en-US" w:eastAsia="zh-CN"/>
                    </w:rPr>
                  </w:pPr>
                  <w:r>
                    <w:rPr>
                      <w:rFonts w:hint="eastAsia" w:cs="Times New Roman"/>
                      <w:color w:val="0000FF"/>
                      <w:szCs w:val="21"/>
                      <w:lang w:val="en-US" w:eastAsia="zh-CN"/>
                    </w:rPr>
                    <w:t>0</w:t>
                  </w:r>
                </w:p>
              </w:tc>
              <w:tc>
                <w:tcPr>
                  <w:tcW w:w="700"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ascii="Times New Roman" w:hAnsi="Times New Roman" w:cs="Times New Roman"/>
                      <w:color w:val="0000FF"/>
                      <w:szCs w:val="21"/>
                    </w:rPr>
                  </w:pPr>
                  <w:r>
                    <w:rPr>
                      <w:rFonts w:hint="eastAsia" w:ascii="Times New Roman" w:hAnsi="Times New Roman" w:cs="Times New Roman"/>
                      <w:color w:val="0000FF"/>
                      <w:szCs w:val="21"/>
                    </w:rPr>
                    <w:t>0</w:t>
                  </w:r>
                </w:p>
              </w:tc>
            </w:tr>
            <w:tr>
              <w:tblPrEx>
                <w:tblCellMar>
                  <w:top w:w="15" w:type="dxa"/>
                  <w:left w:w="15" w:type="dxa"/>
                  <w:bottom w:w="15" w:type="dxa"/>
                  <w:right w:w="15" w:type="dxa"/>
                </w:tblCellMar>
              </w:tblPrEx>
              <w:trPr>
                <w:trHeight w:val="425" w:hRule="exact"/>
              </w:trPr>
              <w:tc>
                <w:tcPr>
                  <w:tcW w:w="1215" w:type="pct"/>
                  <w:gridSpan w:val="2"/>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eastAsia" w:ascii="Times New Roman" w:hAnsi="Times New Roman" w:cs="Times New Roman"/>
                      <w:color w:val="auto"/>
                      <w:szCs w:val="21"/>
                    </w:rPr>
                  </w:pPr>
                  <w:r>
                    <w:rPr>
                      <w:rFonts w:ascii="Times New Roman" w:hAnsi="Times New Roman" w:cs="Times New Roman"/>
                      <w:color w:val="auto"/>
                      <w:szCs w:val="21"/>
                    </w:rPr>
                    <w:t>合计</w:t>
                  </w:r>
                </w:p>
              </w:tc>
              <w:tc>
                <w:tcPr>
                  <w:tcW w:w="609"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4.87</w:t>
                  </w:r>
                </w:p>
              </w:tc>
              <w:tc>
                <w:tcPr>
                  <w:tcW w:w="608" w:type="pct"/>
                  <w:tcBorders>
                    <w:top w:val="single" w:color="000000" w:sz="4" w:space="0"/>
                    <w:left w:val="single" w:color="000000" w:sz="4" w:space="0"/>
                    <w:bottom w:val="single" w:color="000000" w:sz="4" w:space="0"/>
                    <w:right w:val="single" w:color="auto" w:sz="4" w:space="0"/>
                  </w:tcBorders>
                  <w:noWrap w:val="0"/>
                  <w:vAlign w:val="center"/>
                </w:tcPr>
                <w:p>
                  <w:pPr>
                    <w:widowControl/>
                    <w:spacing w:line="0" w:lineRule="atLeast"/>
                    <w:jc w:val="center"/>
                    <w:textAlignment w:val="center"/>
                    <w:rPr>
                      <w:rFonts w:hint="default" w:ascii="Times New Roman" w:hAnsi="Times New Roman" w:eastAsia="宋体" w:cs="Times New Roman"/>
                      <w:color w:val="auto"/>
                      <w:szCs w:val="21"/>
                      <w:lang w:val="en-US" w:eastAsia="zh-CN"/>
                    </w:rPr>
                  </w:pPr>
                  <w:r>
                    <w:rPr>
                      <w:rFonts w:hint="eastAsia" w:ascii="Times New Roman" w:hAnsi="Times New Roman" w:cs="Times New Roman"/>
                      <w:color w:val="auto"/>
                      <w:szCs w:val="21"/>
                      <w:lang w:val="en-US" w:eastAsia="zh-CN"/>
                    </w:rPr>
                    <w:t>0.8</w:t>
                  </w:r>
                  <w:r>
                    <w:rPr>
                      <w:rFonts w:hint="eastAsia" w:cs="Times New Roman"/>
                      <w:color w:val="auto"/>
                      <w:szCs w:val="21"/>
                      <w:lang w:val="en-US" w:eastAsia="zh-CN"/>
                    </w:rPr>
                    <w:t>7</w:t>
                  </w:r>
                </w:p>
              </w:tc>
              <w:tc>
                <w:tcPr>
                  <w:tcW w:w="678"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4</w:t>
                  </w:r>
                </w:p>
              </w:tc>
              <w:tc>
                <w:tcPr>
                  <w:tcW w:w="487"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default" w:ascii="Times New Roman" w:hAnsi="Times New Roman" w:eastAsia="宋体" w:cs="Times New Roman"/>
                      <w:color w:val="auto"/>
                      <w:szCs w:val="21"/>
                      <w:lang w:val="en-US" w:eastAsia="zh-CN"/>
                    </w:rPr>
                  </w:pPr>
                  <w:r>
                    <w:rPr>
                      <w:rFonts w:hint="eastAsia" w:ascii="Times New Roman" w:hAnsi="Times New Roman" w:cs="Times New Roman"/>
                      <w:color w:val="auto"/>
                      <w:szCs w:val="21"/>
                      <w:lang w:val="en-US" w:eastAsia="zh-CN"/>
                    </w:rPr>
                    <w:t>0.3</w:t>
                  </w:r>
                  <w:r>
                    <w:rPr>
                      <w:rFonts w:hint="eastAsia" w:cs="Times New Roman"/>
                      <w:color w:val="auto"/>
                      <w:szCs w:val="21"/>
                      <w:lang w:val="en-US" w:eastAsia="zh-CN"/>
                    </w:rPr>
                    <w:t>34</w:t>
                  </w:r>
                </w:p>
              </w:tc>
              <w:tc>
                <w:tcPr>
                  <w:tcW w:w="700"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eastAsia" w:ascii="Times New Roman" w:hAnsi="Times New Roman" w:cs="Times New Roman"/>
                      <w:color w:val="0000FF"/>
                      <w:szCs w:val="21"/>
                      <w:lang w:val="en-US" w:eastAsia="zh-CN"/>
                    </w:rPr>
                  </w:pPr>
                  <w:r>
                    <w:rPr>
                      <w:rFonts w:hint="eastAsia" w:ascii="Times New Roman" w:hAnsi="Times New Roman" w:cs="Times New Roman"/>
                      <w:color w:val="0000FF"/>
                      <w:szCs w:val="21"/>
                    </w:rPr>
                    <w:t>0</w:t>
                  </w:r>
                  <w:r>
                    <w:rPr>
                      <w:rFonts w:hint="eastAsia" w:cs="Times New Roman"/>
                      <w:color w:val="0000FF"/>
                      <w:szCs w:val="21"/>
                      <w:lang w:val="en-US" w:eastAsia="zh-CN"/>
                    </w:rPr>
                    <w:t>.536</w:t>
                  </w:r>
                </w:p>
              </w:tc>
              <w:tc>
                <w:tcPr>
                  <w:tcW w:w="700" w:type="pct"/>
                  <w:tcBorders>
                    <w:top w:val="single" w:color="000000" w:sz="4" w:space="0"/>
                    <w:left w:val="single" w:color="000000" w:sz="4" w:space="0"/>
                    <w:bottom w:val="single" w:color="000000" w:sz="4" w:space="0"/>
                    <w:right w:val="single" w:color="000000" w:sz="4" w:space="0"/>
                  </w:tcBorders>
                  <w:noWrap w:val="0"/>
                  <w:vAlign w:val="center"/>
                </w:tcPr>
                <w:p>
                  <w:pPr>
                    <w:widowControl/>
                    <w:spacing w:line="0" w:lineRule="atLeast"/>
                    <w:jc w:val="center"/>
                    <w:textAlignment w:val="center"/>
                    <w:rPr>
                      <w:rFonts w:hint="eastAsia" w:ascii="Times New Roman" w:hAnsi="Times New Roman" w:eastAsia="宋体" w:cs="Times New Roman"/>
                      <w:color w:val="0000FF"/>
                      <w:szCs w:val="21"/>
                      <w:lang w:val="en-US" w:eastAsia="zh-CN"/>
                    </w:rPr>
                  </w:pPr>
                  <w:r>
                    <w:rPr>
                      <w:rFonts w:hint="eastAsia" w:cs="Times New Roman"/>
                      <w:color w:val="0000FF"/>
                      <w:szCs w:val="21"/>
                      <w:lang w:val="en-US" w:eastAsia="zh-CN"/>
                    </w:rPr>
                    <w:t>0</w:t>
                  </w:r>
                </w:p>
              </w:tc>
            </w:tr>
          </w:tbl>
          <w:p>
            <w:pPr>
              <w:pStyle w:val="21"/>
              <w:ind w:firstLine="0"/>
              <w:rPr>
                <w:rFonts w:hint="eastAsia" w:ascii="Times New Roman" w:hAnsi="Times New Roman"/>
                <w:color w:val="auto"/>
                <w:lang w:val="en-US" w:eastAsia="zh-CN"/>
              </w:rPr>
            </w:pPr>
          </w:p>
          <w:p>
            <w:pPr>
              <w:pStyle w:val="21"/>
              <w:ind w:firstLine="0"/>
              <w:jc w:val="center"/>
              <w:rPr>
                <w:rFonts w:hint="eastAsia" w:ascii="Times New Roman" w:hAnsi="Times New Roman"/>
                <w:color w:val="auto"/>
                <w:lang w:val="en-US" w:eastAsia="zh-CN"/>
              </w:rPr>
            </w:pPr>
            <w:r>
              <w:rPr>
                <w:rFonts w:hint="eastAsia"/>
                <w:color w:val="auto"/>
              </w:rPr>
              <w:object>
                <v:shape id="_x0000_i1025" o:spt="75" type="#_x0000_t75" style="height:86.1pt;width:332.85pt;" o:ole="t" filled="f" o:preferrelative="t" stroked="f" coordsize="21600,21600">
                  <v:path/>
                  <v:fill on="f" focussize="0,0"/>
                  <v:stroke on="f"/>
                  <v:imagedata r:id="rId11" o:title=""/>
                  <o:lock v:ext="edit" aspectratio="f"/>
                  <w10:wrap type="none"/>
                  <w10:anchorlock/>
                </v:shape>
                <o:OLEObject Type="Embed" ProgID="Visio.Drawing.15" ShapeID="_x0000_i1025" DrawAspect="Content" ObjectID="_1468075725" r:id="rId10">
                  <o:LockedField>false</o:LockedField>
                </o:OLEObject>
              </w:object>
            </w:r>
          </w:p>
          <w:p>
            <w:pPr>
              <w:pStyle w:val="48"/>
              <w:numPr>
                <w:ilvl w:val="0"/>
                <w:numId w:val="0"/>
              </w:numPr>
              <w:tabs>
                <w:tab w:val="left" w:pos="2880"/>
                <w:tab w:val="clear" w:pos="2040"/>
              </w:tabs>
              <w:spacing w:line="480" w:lineRule="exact"/>
              <w:jc w:val="center"/>
              <w:rPr>
                <w:rFonts w:hint="eastAsia" w:ascii="Times New Roman" w:hAnsi="Times New Roman" w:eastAsia="宋体" w:cs="Times New Roman"/>
                <w:b/>
                <w:kern w:val="2"/>
                <w:sz w:val="21"/>
                <w:szCs w:val="21"/>
                <w:lang w:val="en-US" w:eastAsia="zh-CN" w:bidi="ar-SA"/>
              </w:rPr>
            </w:pPr>
            <w:r>
              <w:rPr>
                <w:rFonts w:ascii="Times New Roman" w:hAnsi="Times New Roman" w:eastAsia="宋体" w:cs="Times New Roman"/>
                <w:b/>
                <w:kern w:val="2"/>
                <w:sz w:val="21"/>
                <w:szCs w:val="21"/>
                <w:lang w:val="en-US" w:eastAsia="zh-CN" w:bidi="ar-SA"/>
              </w:rPr>
              <w:t>图</w:t>
            </w:r>
            <w:r>
              <w:rPr>
                <w:rFonts w:hint="eastAsia" w:ascii="Times New Roman" w:hAnsi="Times New Roman" w:eastAsia="宋体" w:cs="Times New Roman"/>
                <w:b/>
                <w:kern w:val="2"/>
                <w:sz w:val="21"/>
                <w:szCs w:val="21"/>
                <w:lang w:val="en-US" w:eastAsia="zh-CN" w:bidi="ar-SA"/>
              </w:rPr>
              <w:t>2-1</w:t>
            </w:r>
            <w:r>
              <w:rPr>
                <w:rFonts w:ascii="Times New Roman" w:hAnsi="Times New Roman" w:eastAsia="宋体" w:cs="Times New Roman"/>
                <w:b/>
                <w:kern w:val="2"/>
                <w:sz w:val="21"/>
                <w:szCs w:val="21"/>
                <w:lang w:val="en-US" w:eastAsia="zh-CN" w:bidi="ar-SA"/>
              </w:rPr>
              <w:t xml:space="preserve">   </w:t>
            </w:r>
            <w:r>
              <w:rPr>
                <w:rFonts w:hint="eastAsia" w:ascii="Times New Roman" w:hAnsi="Times New Roman" w:eastAsia="宋体" w:cs="Times New Roman"/>
                <w:b/>
                <w:kern w:val="2"/>
                <w:sz w:val="21"/>
                <w:szCs w:val="21"/>
                <w:lang w:val="en-US" w:eastAsia="zh-CN" w:bidi="ar-SA"/>
              </w:rPr>
              <w:t>技改后</w:t>
            </w:r>
            <w:r>
              <w:rPr>
                <w:rFonts w:ascii="Times New Roman" w:hAnsi="Times New Roman" w:eastAsia="宋体" w:cs="Times New Roman"/>
                <w:b/>
                <w:kern w:val="2"/>
                <w:sz w:val="21"/>
                <w:szCs w:val="21"/>
                <w:lang w:val="en-US" w:eastAsia="zh-CN" w:bidi="ar-SA"/>
              </w:rPr>
              <w:t>水平衡图</w:t>
            </w:r>
            <w:r>
              <w:rPr>
                <w:rFonts w:hint="eastAsia" w:ascii="Times New Roman" w:hAnsi="Times New Roman" w:eastAsia="宋体" w:cs="Times New Roman"/>
                <w:b/>
                <w:kern w:val="2"/>
                <w:sz w:val="21"/>
                <w:szCs w:val="21"/>
                <w:lang w:val="en-US" w:eastAsia="zh-CN" w:bidi="ar-SA"/>
              </w:rPr>
              <w:t xml:space="preserve">    单位：m</w:t>
            </w:r>
            <w:r>
              <w:rPr>
                <w:rFonts w:hint="eastAsia" w:ascii="Times New Roman" w:hAnsi="Times New Roman" w:eastAsia="宋体" w:cs="Times New Roman"/>
                <w:b/>
                <w:kern w:val="2"/>
                <w:sz w:val="21"/>
                <w:szCs w:val="21"/>
                <w:vertAlign w:val="superscript"/>
                <w:lang w:val="en-US" w:eastAsia="zh-CN" w:bidi="ar-SA"/>
              </w:rPr>
              <w:t>3</w:t>
            </w:r>
            <w:r>
              <w:rPr>
                <w:rFonts w:hint="eastAsia" w:ascii="Times New Roman" w:hAnsi="Times New Roman" w:eastAsia="宋体" w:cs="Times New Roman"/>
                <w:b/>
                <w:kern w:val="2"/>
                <w:sz w:val="21"/>
                <w:szCs w:val="21"/>
                <w:lang w:val="en-US" w:eastAsia="zh-CN" w:bidi="ar-SA"/>
              </w:rPr>
              <w:t>/d</w:t>
            </w:r>
          </w:p>
          <w:p>
            <w:pPr>
              <w:adjustRightInd w:val="0"/>
              <w:snapToGrid w:val="0"/>
              <w:spacing w:line="400" w:lineRule="exact"/>
              <w:ind w:firstLine="420" w:firstLineChars="200"/>
              <w:rPr>
                <w:rFonts w:hint="eastAsia"/>
                <w:bCs/>
                <w:kern w:val="0"/>
                <w:szCs w:val="21"/>
              </w:rPr>
            </w:pPr>
            <w:r>
              <w:rPr>
                <w:rFonts w:hint="eastAsia"/>
                <w:bCs/>
                <w:kern w:val="0"/>
                <w:szCs w:val="21"/>
                <w:lang w:val="en-US" w:eastAsia="zh-CN"/>
              </w:rPr>
              <w:t>②</w:t>
            </w:r>
            <w:r>
              <w:rPr>
                <w:rFonts w:hint="eastAsia"/>
                <w:bCs/>
                <w:kern w:val="0"/>
                <w:szCs w:val="21"/>
              </w:rPr>
              <w:t>供电</w:t>
            </w:r>
          </w:p>
          <w:p>
            <w:pPr>
              <w:adjustRightInd w:val="0"/>
              <w:snapToGrid w:val="0"/>
              <w:spacing w:line="400" w:lineRule="exact"/>
              <w:ind w:firstLine="420" w:firstLineChars="200"/>
              <w:rPr>
                <w:rFonts w:hint="eastAsia"/>
                <w:bCs/>
                <w:kern w:val="0"/>
                <w:szCs w:val="21"/>
              </w:rPr>
            </w:pPr>
            <w:r>
              <w:rPr>
                <w:rFonts w:hint="eastAsia"/>
                <w:bCs/>
                <w:kern w:val="0"/>
                <w:szCs w:val="21"/>
              </w:rPr>
              <w:t>本项目用电由</w:t>
            </w:r>
            <w:r>
              <w:rPr>
                <w:rFonts w:hint="eastAsia"/>
                <w:bCs/>
                <w:szCs w:val="21"/>
                <w:lang w:val="en-US" w:eastAsia="zh-CN"/>
              </w:rPr>
              <w:t>市政电网供应</w:t>
            </w:r>
            <w:r>
              <w:rPr>
                <w:rFonts w:hint="eastAsia"/>
                <w:bCs/>
                <w:kern w:val="0"/>
                <w:szCs w:val="21"/>
              </w:rPr>
              <w:t>，</w:t>
            </w:r>
            <w:r>
              <w:rPr>
                <w:rFonts w:hint="eastAsia"/>
                <w:bCs/>
                <w:kern w:val="0"/>
                <w:szCs w:val="21"/>
                <w:lang w:val="en-US" w:eastAsia="zh-CN"/>
              </w:rPr>
              <w:t>技改后</w:t>
            </w:r>
            <w:r>
              <w:rPr>
                <w:rFonts w:hint="eastAsia"/>
                <w:bCs/>
                <w:kern w:val="0"/>
                <w:szCs w:val="21"/>
              </w:rPr>
              <w:t>用电量</w:t>
            </w:r>
            <w:r>
              <w:rPr>
                <w:rFonts w:hint="eastAsia"/>
                <w:bCs/>
                <w:kern w:val="0"/>
                <w:szCs w:val="21"/>
                <w:lang w:val="en-US" w:eastAsia="zh-CN"/>
              </w:rPr>
              <w:t>为8</w:t>
            </w:r>
            <w:r>
              <w:rPr>
                <w:rFonts w:hint="eastAsia"/>
                <w:bCs/>
                <w:kern w:val="0"/>
                <w:szCs w:val="21"/>
              </w:rPr>
              <w:t>万KW·h/a，能够满足项目用电需求。</w:t>
            </w:r>
          </w:p>
          <w:p>
            <w:pPr>
              <w:adjustRightInd w:val="0"/>
              <w:snapToGrid w:val="0"/>
              <w:spacing w:line="400" w:lineRule="exact"/>
              <w:ind w:firstLine="420" w:firstLineChars="200"/>
              <w:rPr>
                <w:rFonts w:hint="eastAsia"/>
                <w:bCs/>
                <w:kern w:val="0"/>
                <w:szCs w:val="21"/>
              </w:rPr>
            </w:pPr>
            <w:r>
              <w:rPr>
                <w:rFonts w:hint="eastAsia"/>
                <w:bCs/>
                <w:kern w:val="0"/>
                <w:szCs w:val="21"/>
                <w:lang w:val="en-US" w:eastAsia="zh-CN"/>
              </w:rPr>
              <w:t>③</w:t>
            </w:r>
            <w:r>
              <w:rPr>
                <w:rFonts w:hint="eastAsia"/>
                <w:bCs/>
                <w:kern w:val="0"/>
                <w:szCs w:val="21"/>
              </w:rPr>
              <w:t>供热</w:t>
            </w:r>
          </w:p>
          <w:p>
            <w:pPr>
              <w:adjustRightInd w:val="0"/>
              <w:snapToGrid w:val="0"/>
              <w:spacing w:line="400" w:lineRule="exact"/>
              <w:ind w:firstLine="420" w:firstLineChars="200"/>
              <w:rPr>
                <w:rFonts w:hint="eastAsia"/>
                <w:bCs/>
                <w:kern w:val="0"/>
                <w:szCs w:val="21"/>
              </w:rPr>
            </w:pPr>
            <w:r>
              <w:rPr>
                <w:rFonts w:hint="eastAsia"/>
                <w:bCs/>
                <w:kern w:val="0"/>
                <w:szCs w:val="21"/>
              </w:rPr>
              <w:t>项目生产采用电加热，职工冬季采用分体空调取暖。</w:t>
            </w:r>
          </w:p>
          <w:p>
            <w:pPr>
              <w:adjustRightInd w:val="0"/>
              <w:snapToGrid w:val="0"/>
              <w:spacing w:line="400" w:lineRule="exact"/>
              <w:ind w:firstLine="420" w:firstLineChars="200"/>
              <w:rPr>
                <w:rFonts w:hint="default"/>
                <w:bCs/>
                <w:szCs w:val="21"/>
                <w:lang w:val="en-US"/>
              </w:rPr>
            </w:pPr>
            <w:r>
              <w:rPr>
                <w:rFonts w:hint="eastAsia"/>
                <w:bCs/>
                <w:szCs w:val="21"/>
              </w:rPr>
              <w:t>（</w:t>
            </w:r>
            <w:r>
              <w:rPr>
                <w:bCs/>
                <w:szCs w:val="21"/>
              </w:rPr>
              <w:t>1</w:t>
            </w:r>
            <w:r>
              <w:rPr>
                <w:rFonts w:hint="eastAsia"/>
                <w:bCs/>
                <w:szCs w:val="21"/>
                <w:lang w:val="en-US" w:eastAsia="zh-CN"/>
              </w:rPr>
              <w:t>2</w:t>
            </w:r>
            <w:r>
              <w:rPr>
                <w:rFonts w:hint="eastAsia"/>
                <w:bCs/>
                <w:szCs w:val="21"/>
              </w:rPr>
              <w:t>）</w:t>
            </w:r>
            <w:r>
              <w:rPr>
                <w:rFonts w:hint="eastAsia"/>
                <w:bCs/>
                <w:szCs w:val="21"/>
                <w:lang w:val="en-US" w:eastAsia="zh-CN"/>
              </w:rPr>
              <w:t>平面布置图</w:t>
            </w:r>
          </w:p>
          <w:p>
            <w:pPr>
              <w:adjustRightInd w:val="0"/>
              <w:snapToGrid w:val="0"/>
              <w:spacing w:line="400" w:lineRule="exact"/>
              <w:ind w:firstLine="420" w:firstLineChars="200"/>
              <w:rPr>
                <w:rFonts w:hint="eastAsia"/>
                <w:bCs/>
                <w:kern w:val="0"/>
                <w:szCs w:val="21"/>
              </w:rPr>
            </w:pPr>
            <w:r>
              <w:rPr>
                <w:rFonts w:hint="eastAsia" w:ascii="Times New Roman" w:hAnsi="Times New Roman" w:eastAsia="宋体" w:cs="Times New Roman"/>
                <w:bCs/>
                <w:kern w:val="0"/>
                <w:szCs w:val="21"/>
              </w:rPr>
              <w:t>本项目</w:t>
            </w:r>
            <w:r>
              <w:rPr>
                <w:rFonts w:hint="eastAsia" w:ascii="Times New Roman" w:hAnsi="Times New Roman" w:eastAsia="宋体" w:cs="Times New Roman"/>
                <w:bCs/>
                <w:kern w:val="0"/>
                <w:szCs w:val="21"/>
                <w:lang w:val="en-US" w:eastAsia="zh-CN"/>
              </w:rPr>
              <w:t>利用现有厂区车间</w:t>
            </w:r>
            <w:r>
              <w:rPr>
                <w:rFonts w:hint="eastAsia" w:ascii="Times New Roman" w:hAnsi="Times New Roman" w:eastAsia="宋体" w:cs="Times New Roman"/>
                <w:bCs/>
                <w:kern w:val="0"/>
                <w:szCs w:val="21"/>
              </w:rPr>
              <w:t>，大</w:t>
            </w:r>
            <w:r>
              <w:rPr>
                <w:rFonts w:hint="eastAsia"/>
                <w:bCs/>
                <w:kern w:val="0"/>
                <w:szCs w:val="21"/>
              </w:rPr>
              <w:t>门位于厂区</w:t>
            </w:r>
            <w:r>
              <w:rPr>
                <w:rFonts w:hint="eastAsia"/>
                <w:bCs/>
                <w:kern w:val="0"/>
                <w:szCs w:val="21"/>
                <w:lang w:val="en-US" w:eastAsia="zh-CN"/>
              </w:rPr>
              <w:t>东</w:t>
            </w:r>
            <w:r>
              <w:rPr>
                <w:rFonts w:hint="eastAsia"/>
                <w:bCs/>
                <w:kern w:val="0"/>
                <w:szCs w:val="21"/>
              </w:rPr>
              <w:t>侧，</w:t>
            </w:r>
            <w:r>
              <w:rPr>
                <w:rFonts w:hint="eastAsia"/>
                <w:bCs/>
                <w:kern w:val="0"/>
                <w:szCs w:val="21"/>
                <w:lang w:val="en-US" w:eastAsia="zh-CN"/>
              </w:rPr>
              <w:t>预涂膜</w:t>
            </w:r>
            <w:r>
              <w:rPr>
                <w:rFonts w:hint="eastAsia"/>
                <w:bCs/>
                <w:kern w:val="0"/>
                <w:szCs w:val="21"/>
              </w:rPr>
              <w:t>车间位于厂区</w:t>
            </w:r>
            <w:r>
              <w:rPr>
                <w:rFonts w:hint="eastAsia"/>
                <w:bCs/>
                <w:kern w:val="0"/>
                <w:szCs w:val="21"/>
                <w:lang w:val="en-US" w:eastAsia="zh-CN"/>
              </w:rPr>
              <w:t>北部</w:t>
            </w:r>
            <w:r>
              <w:rPr>
                <w:rFonts w:hint="eastAsia"/>
                <w:bCs/>
                <w:kern w:val="0"/>
                <w:szCs w:val="21"/>
              </w:rPr>
              <w:t>，</w:t>
            </w:r>
            <w:r>
              <w:rPr>
                <w:rFonts w:hint="eastAsia"/>
                <w:bCs/>
                <w:kern w:val="0"/>
                <w:szCs w:val="21"/>
                <w:lang w:val="en-US" w:eastAsia="zh-CN"/>
              </w:rPr>
              <w:t>厂区西侧库房用于成品暂存，预涂膜车间南侧偏东库房用于原辅料暂存，办公室位于此库房南侧，</w:t>
            </w:r>
            <w:r>
              <w:rPr>
                <w:rFonts w:hint="eastAsia"/>
                <w:bCs/>
                <w:kern w:val="0"/>
                <w:szCs w:val="21"/>
                <w:highlight w:val="none"/>
              </w:rPr>
              <w:t>危废间位于</w:t>
            </w:r>
            <w:r>
              <w:rPr>
                <w:rFonts w:hint="eastAsia" w:cs="Times New Roman"/>
                <w:bCs/>
                <w:szCs w:val="21"/>
                <w:highlight w:val="none"/>
                <w:lang w:val="en-US" w:eastAsia="zh-CN"/>
              </w:rPr>
              <w:t>厂区南侧</w:t>
            </w:r>
            <w:r>
              <w:rPr>
                <w:rFonts w:hint="eastAsia"/>
                <w:bCs/>
                <w:kern w:val="0"/>
                <w:szCs w:val="21"/>
                <w:highlight w:val="none"/>
              </w:rPr>
              <w:t>。</w:t>
            </w:r>
            <w:r>
              <w:rPr>
                <w:rFonts w:hint="eastAsia"/>
                <w:bCs/>
                <w:kern w:val="0"/>
                <w:szCs w:val="21"/>
              </w:rPr>
              <w:t>本项目平面布置紧凑，工艺流程顺畅，设计合理。</w:t>
            </w:r>
          </w:p>
          <w:p>
            <w:pPr>
              <w:adjustRightInd w:val="0"/>
              <w:snapToGrid w:val="0"/>
              <w:spacing w:line="400" w:lineRule="exact"/>
              <w:ind w:firstLine="420" w:firstLineChars="200"/>
              <w:rPr>
                <w:bCs/>
                <w:kern w:val="0"/>
                <w:szCs w:val="21"/>
              </w:rPr>
            </w:pPr>
            <w:r>
              <w:rPr>
                <w:rFonts w:hint="eastAsia"/>
                <w:bCs/>
                <w:kern w:val="0"/>
                <w:szCs w:val="21"/>
              </w:rPr>
              <w:t>本项目平面布置详见附图3。</w:t>
            </w:r>
          </w:p>
          <w:p>
            <w:pPr>
              <w:adjustRightInd w:val="0"/>
              <w:snapToGrid w:val="0"/>
              <w:spacing w:line="400" w:lineRule="exact"/>
              <w:rPr>
                <w:bCs/>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62" w:hRule="atLeast"/>
          <w:jc w:val="center"/>
        </w:trPr>
        <w:tc>
          <w:tcPr>
            <w:tcW w:w="823" w:type="dxa"/>
            <w:vAlign w:val="center"/>
          </w:tcPr>
          <w:p>
            <w:pPr>
              <w:pStyle w:val="83"/>
              <w:adjustRightInd w:val="0"/>
              <w:snapToGrid w:val="0"/>
              <w:spacing w:before="0" w:beforeAutospacing="0" w:after="0" w:afterAutospacing="0"/>
              <w:jc w:val="center"/>
              <w:rPr>
                <w:rFonts w:cs="宋体"/>
                <w:sz w:val="21"/>
                <w:szCs w:val="21"/>
              </w:rPr>
            </w:pPr>
            <w:r>
              <w:rPr>
                <w:rFonts w:hint="eastAsia" w:cs="宋体"/>
                <w:sz w:val="21"/>
                <w:szCs w:val="21"/>
              </w:rPr>
              <w:t>工艺流程和产排污环节</w:t>
            </w:r>
          </w:p>
        </w:tc>
        <w:tc>
          <w:tcPr>
            <w:tcW w:w="8161" w:type="dxa"/>
          </w:tcPr>
          <w:p>
            <w:pPr>
              <w:adjustRightInd w:val="0"/>
              <w:snapToGrid w:val="0"/>
              <w:spacing w:line="400" w:lineRule="exact"/>
              <w:rPr>
                <w:b/>
                <w:szCs w:val="21"/>
              </w:rPr>
            </w:pPr>
            <w:r>
              <w:rPr>
                <w:b/>
                <w:szCs w:val="21"/>
              </w:rPr>
              <w:t>施工期：</w:t>
            </w:r>
          </w:p>
          <w:p>
            <w:pPr>
              <w:adjustRightInd w:val="0"/>
              <w:snapToGrid w:val="0"/>
              <w:spacing w:line="400" w:lineRule="exact"/>
              <w:ind w:firstLine="420" w:firstLineChars="200"/>
              <w:rPr>
                <w:b/>
                <w:szCs w:val="21"/>
              </w:rPr>
            </w:pPr>
            <w:r>
              <w:rPr>
                <w:bCs/>
                <w:szCs w:val="21"/>
              </w:rPr>
              <w:t>本项目</w:t>
            </w:r>
            <w:r>
              <w:rPr>
                <w:rFonts w:hint="eastAsia"/>
                <w:bCs/>
                <w:szCs w:val="21"/>
                <w:lang w:val="en-US" w:eastAsia="zh-CN"/>
              </w:rPr>
              <w:t>在现有车间</w:t>
            </w:r>
            <w:r>
              <w:rPr>
                <w:rFonts w:hint="eastAsia"/>
                <w:bCs/>
                <w:szCs w:val="21"/>
              </w:rPr>
              <w:t>内实施，不存在土建工程施工，</w:t>
            </w:r>
            <w:r>
              <w:rPr>
                <w:bCs/>
                <w:szCs w:val="21"/>
              </w:rPr>
              <w:t>施工期</w:t>
            </w:r>
            <w:r>
              <w:rPr>
                <w:rFonts w:hint="eastAsia"/>
                <w:bCs/>
                <w:szCs w:val="21"/>
              </w:rPr>
              <w:t>主要为</w:t>
            </w:r>
            <w:r>
              <w:rPr>
                <w:bCs/>
                <w:szCs w:val="21"/>
              </w:rPr>
              <w:t>设备安装</w:t>
            </w:r>
            <w:r>
              <w:rPr>
                <w:rFonts w:hint="eastAsia"/>
                <w:bCs/>
                <w:szCs w:val="21"/>
              </w:rPr>
              <w:t>、调试</w:t>
            </w:r>
            <w:r>
              <w:rPr>
                <w:bCs/>
                <w:szCs w:val="21"/>
              </w:rPr>
              <w:t>，期间会有施工噪声、扬尘、生活污水、建筑垃圾等。但施工期影响不长，随着施工期结束，相关影响也就消失</w:t>
            </w:r>
            <w:r>
              <w:rPr>
                <w:rFonts w:hint="eastAsia"/>
                <w:bCs/>
                <w:szCs w:val="21"/>
              </w:rPr>
              <w:t>，对环境影响很小</w:t>
            </w:r>
            <w:r>
              <w:rPr>
                <w:bCs/>
                <w:szCs w:val="21"/>
              </w:rPr>
              <w:t>。</w:t>
            </w:r>
          </w:p>
          <w:p>
            <w:pPr>
              <w:adjustRightInd w:val="0"/>
              <w:snapToGrid w:val="0"/>
              <w:spacing w:line="400" w:lineRule="exact"/>
              <w:rPr>
                <w:b/>
                <w:szCs w:val="21"/>
              </w:rPr>
            </w:pPr>
            <w:r>
              <w:rPr>
                <w:b/>
                <w:szCs w:val="21"/>
              </w:rPr>
              <w:t>运营期：</w:t>
            </w:r>
          </w:p>
          <w:p>
            <w:pPr>
              <w:adjustRightInd w:val="0"/>
              <w:snapToGrid w:val="0"/>
              <w:spacing w:line="400" w:lineRule="exact"/>
              <w:ind w:firstLine="420" w:firstLineChars="200"/>
              <w:rPr>
                <w:bCs/>
                <w:szCs w:val="21"/>
              </w:rPr>
            </w:pPr>
            <w:r>
              <w:rPr>
                <w:rFonts w:hint="eastAsia"/>
                <w:bCs/>
                <w:szCs w:val="21"/>
              </w:rPr>
              <w:t>本项目产品为预涂膜，具体工艺流程</w:t>
            </w:r>
            <w:r>
              <w:rPr>
                <w:rFonts w:hint="eastAsia"/>
                <w:bCs/>
                <w:szCs w:val="21"/>
                <w:lang w:val="en-US" w:eastAsia="zh-CN"/>
              </w:rPr>
              <w:t>见下图</w:t>
            </w:r>
            <w:r>
              <w:rPr>
                <w:rFonts w:hint="eastAsia"/>
                <w:bCs/>
                <w:szCs w:val="21"/>
              </w:rPr>
              <w:t>。</w:t>
            </w:r>
          </w:p>
          <w:p>
            <w:pPr>
              <w:adjustRightInd w:val="0"/>
              <w:snapToGrid w:val="0"/>
              <w:jc w:val="center"/>
            </w:pPr>
            <w:r>
              <w:rPr>
                <w:rFonts w:hint="eastAsia"/>
                <w:color w:val="auto"/>
              </w:rPr>
              <w:object>
                <v:shape id="_x0000_i1026" o:spt="75" type="#_x0000_t75" style="height:328.8pt;width:211.75pt;" o:ole="t" filled="f" o:preferrelative="t" stroked="f" coordsize="21600,21600">
                  <v:path/>
                  <v:fill on="f" focussize="0,0"/>
                  <v:stroke on="f"/>
                  <v:imagedata r:id="rId13" o:title=""/>
                  <o:lock v:ext="edit" aspectratio="f"/>
                  <w10:wrap type="none"/>
                  <w10:anchorlock/>
                </v:shape>
                <o:OLEObject Type="Embed" ProgID="Visio.Drawing.15" ShapeID="_x0000_i1026" DrawAspect="Content" ObjectID="_1468075726" r:id="rId12">
                  <o:LockedField>false</o:LockedField>
                </o:OLEObject>
              </w:object>
            </w:r>
          </w:p>
          <w:p>
            <w:pPr>
              <w:spacing w:line="400" w:lineRule="exact"/>
              <w:jc w:val="center"/>
              <w:rPr>
                <w:b/>
                <w:szCs w:val="21"/>
              </w:rPr>
            </w:pPr>
            <w:r>
              <w:rPr>
                <w:b/>
                <w:szCs w:val="21"/>
              </w:rPr>
              <w:t>图</w:t>
            </w:r>
            <w:r>
              <w:rPr>
                <w:rFonts w:hint="eastAsia"/>
                <w:b/>
                <w:szCs w:val="21"/>
              </w:rPr>
              <w:t>2</w:t>
            </w:r>
            <w:r>
              <w:rPr>
                <w:b/>
                <w:szCs w:val="21"/>
              </w:rPr>
              <w:t>-</w:t>
            </w:r>
            <w:r>
              <w:rPr>
                <w:rFonts w:hint="eastAsia"/>
                <w:b/>
                <w:szCs w:val="21"/>
                <w:lang w:val="en-US" w:eastAsia="zh-CN"/>
              </w:rPr>
              <w:t>2</w:t>
            </w:r>
            <w:r>
              <w:rPr>
                <w:b/>
                <w:szCs w:val="21"/>
              </w:rPr>
              <w:t xml:space="preserve">  </w:t>
            </w:r>
            <w:r>
              <w:rPr>
                <w:rFonts w:hint="eastAsia"/>
                <w:b/>
                <w:szCs w:val="21"/>
              </w:rPr>
              <w:t xml:space="preserve"> </w:t>
            </w:r>
            <w:r>
              <w:rPr>
                <w:b/>
                <w:szCs w:val="21"/>
              </w:rPr>
              <w:t>工艺流程及产排污节点图</w:t>
            </w:r>
          </w:p>
          <w:p>
            <w:pPr>
              <w:adjustRightInd w:val="0"/>
              <w:snapToGrid w:val="0"/>
              <w:spacing w:line="400" w:lineRule="exact"/>
              <w:ind w:firstLine="422" w:firstLineChars="200"/>
              <w:rPr>
                <w:rFonts w:hint="default" w:eastAsia="宋体"/>
                <w:b/>
                <w:szCs w:val="21"/>
                <w:lang w:val="en-US" w:eastAsia="zh-CN"/>
              </w:rPr>
            </w:pPr>
            <w:r>
              <w:rPr>
                <w:rFonts w:hint="eastAsia"/>
                <w:b/>
                <w:szCs w:val="21"/>
                <w:lang w:val="en-US" w:eastAsia="zh-CN"/>
              </w:rPr>
              <w:t>工艺流程简介：</w:t>
            </w:r>
          </w:p>
          <w:p>
            <w:pPr>
              <w:adjustRightInd w:val="0"/>
              <w:snapToGrid w:val="0"/>
              <w:spacing w:line="400" w:lineRule="exact"/>
              <w:ind w:firstLine="422" w:firstLineChars="200"/>
              <w:rPr>
                <w:rFonts w:hint="eastAsia"/>
                <w:b/>
                <w:szCs w:val="21"/>
              </w:rPr>
            </w:pPr>
            <w:r>
              <w:rPr>
                <w:rFonts w:hint="eastAsia"/>
                <w:b/>
                <w:szCs w:val="21"/>
              </w:rPr>
              <w:t>（1）</w:t>
            </w:r>
            <w:r>
              <w:rPr>
                <w:rFonts w:hint="eastAsia"/>
                <w:b/>
                <w:szCs w:val="21"/>
                <w:lang w:val="en-US" w:eastAsia="zh-CN"/>
              </w:rPr>
              <w:t>电打</w:t>
            </w:r>
            <w:r>
              <w:rPr>
                <w:rFonts w:hint="eastAsia"/>
                <w:b/>
                <w:szCs w:val="21"/>
              </w:rPr>
              <w:t>晕</w:t>
            </w:r>
          </w:p>
          <w:p>
            <w:pPr>
              <w:adjustRightInd w:val="0"/>
              <w:snapToGrid w:val="0"/>
              <w:spacing w:line="400" w:lineRule="exact"/>
              <w:ind w:firstLine="420" w:firstLineChars="200"/>
              <w:rPr>
                <w:rFonts w:hint="eastAsia"/>
                <w:b w:val="0"/>
                <w:bCs/>
                <w:szCs w:val="21"/>
              </w:rPr>
            </w:pPr>
            <w:r>
              <w:rPr>
                <w:rFonts w:hint="eastAsia"/>
                <w:b w:val="0"/>
                <w:bCs/>
                <w:szCs w:val="21"/>
              </w:rPr>
              <w:t>外购的BOPP薄膜放</w:t>
            </w:r>
            <w:r>
              <w:rPr>
                <w:rFonts w:hint="eastAsia"/>
                <w:b w:val="0"/>
                <w:bCs/>
                <w:szCs w:val="21"/>
                <w:lang w:val="en-US" w:eastAsia="zh-CN"/>
              </w:rPr>
              <w:t>进入</w:t>
            </w:r>
            <w:r>
              <w:rPr>
                <w:rFonts w:hint="eastAsia"/>
                <w:b w:val="0"/>
                <w:bCs/>
                <w:szCs w:val="21"/>
              </w:rPr>
              <w:t>预涂膜生产线配套的电晕设备，该装置两端电极施加的高频高压电流会产生电晕放电，空气被电离产生高能离子，在强电场作用下冲击薄膜表面，使薄膜表面活化</w:t>
            </w:r>
            <w:r>
              <w:rPr>
                <w:rFonts w:hint="eastAsia"/>
                <w:b w:val="0"/>
                <w:bCs/>
                <w:szCs w:val="21"/>
                <w:lang w:val="en-US" w:eastAsia="zh-CN"/>
              </w:rPr>
              <w:t>粗糙</w:t>
            </w:r>
            <w:r>
              <w:rPr>
                <w:rFonts w:hint="eastAsia"/>
                <w:b w:val="0"/>
                <w:bCs/>
                <w:szCs w:val="21"/>
                <w:lang w:eastAsia="zh-CN"/>
              </w:rPr>
              <w:t>，</w:t>
            </w:r>
            <w:r>
              <w:rPr>
                <w:rFonts w:hint="eastAsia"/>
                <w:b w:val="0"/>
                <w:bCs/>
                <w:szCs w:val="21"/>
              </w:rPr>
              <w:t>增加其表面的润湿性和附着能力，便于后续涂</w:t>
            </w:r>
            <w:r>
              <w:rPr>
                <w:rFonts w:hint="eastAsia"/>
                <w:b w:val="0"/>
                <w:bCs/>
                <w:szCs w:val="21"/>
                <w:lang w:val="en-US" w:eastAsia="zh-CN"/>
              </w:rPr>
              <w:t>甲醇</w:t>
            </w:r>
            <w:r>
              <w:rPr>
                <w:rFonts w:hint="eastAsia"/>
                <w:b w:val="0"/>
                <w:bCs/>
                <w:szCs w:val="21"/>
              </w:rPr>
              <w:t>压合。电晕处理工序产生</w:t>
            </w:r>
            <w:r>
              <w:rPr>
                <w:rFonts w:hint="eastAsia"/>
                <w:b w:val="0"/>
                <w:bCs/>
                <w:szCs w:val="21"/>
                <w:lang w:val="en-US" w:eastAsia="zh-CN"/>
              </w:rPr>
              <w:t>少量的</w:t>
            </w:r>
            <w:r>
              <w:rPr>
                <w:rFonts w:hint="eastAsia"/>
                <w:b w:val="0"/>
                <w:bCs/>
                <w:szCs w:val="21"/>
              </w:rPr>
              <w:t>有机废气（以非甲烷总烃表征），本环评不进行定量分析。</w:t>
            </w:r>
          </w:p>
          <w:p>
            <w:pPr>
              <w:adjustRightInd w:val="0"/>
              <w:snapToGrid w:val="0"/>
              <w:spacing w:line="400" w:lineRule="exact"/>
              <w:ind w:firstLine="422" w:firstLineChars="200"/>
              <w:rPr>
                <w:b/>
                <w:szCs w:val="21"/>
              </w:rPr>
            </w:pPr>
            <w:r>
              <w:rPr>
                <w:rFonts w:hint="eastAsia"/>
                <w:b/>
                <w:szCs w:val="21"/>
                <w:lang w:val="en-US" w:eastAsia="zh-CN"/>
              </w:rPr>
              <w:t>此工序</w:t>
            </w:r>
            <w:r>
              <w:rPr>
                <w:rFonts w:hint="eastAsia"/>
                <w:b/>
                <w:szCs w:val="21"/>
              </w:rPr>
              <w:t>主要污染物为：</w:t>
            </w:r>
            <w:r>
              <w:rPr>
                <w:rFonts w:hint="eastAsia"/>
                <w:b/>
                <w:szCs w:val="21"/>
                <w:lang w:val="en-US" w:eastAsia="zh-CN"/>
              </w:rPr>
              <w:t>电打晕产生的非甲烷总烃（G1），设备运行产生的</w:t>
            </w:r>
            <w:r>
              <w:rPr>
                <w:rFonts w:hint="eastAsia"/>
                <w:b/>
                <w:szCs w:val="21"/>
              </w:rPr>
              <w:t>噪声</w:t>
            </w:r>
            <w:r>
              <w:rPr>
                <w:rFonts w:hint="eastAsia"/>
                <w:b/>
                <w:szCs w:val="21"/>
                <w:lang w:val="en-US" w:eastAsia="zh-CN"/>
              </w:rPr>
              <w:t>（N）</w:t>
            </w:r>
            <w:r>
              <w:rPr>
                <w:rFonts w:hint="eastAsia"/>
                <w:b/>
                <w:szCs w:val="21"/>
              </w:rPr>
              <w:t>。</w:t>
            </w:r>
          </w:p>
          <w:p>
            <w:pPr>
              <w:adjustRightInd w:val="0"/>
              <w:snapToGrid w:val="0"/>
              <w:spacing w:line="400" w:lineRule="exact"/>
              <w:ind w:firstLine="422" w:firstLineChars="200"/>
              <w:rPr>
                <w:rFonts w:hint="default" w:eastAsia="宋体"/>
                <w:b/>
                <w:szCs w:val="21"/>
                <w:lang w:val="en-US" w:eastAsia="zh-CN"/>
              </w:rPr>
            </w:pPr>
            <w:r>
              <w:rPr>
                <w:rFonts w:hint="eastAsia"/>
                <w:b/>
                <w:szCs w:val="21"/>
              </w:rPr>
              <w:t>（2）</w:t>
            </w:r>
            <w:r>
              <w:rPr>
                <w:rFonts w:hint="eastAsia"/>
                <w:b/>
                <w:szCs w:val="21"/>
                <w:lang w:val="en-US" w:eastAsia="zh-CN"/>
              </w:rPr>
              <w:t>表面涂甲醇</w:t>
            </w:r>
          </w:p>
          <w:p>
            <w:pPr>
              <w:adjustRightInd w:val="0"/>
              <w:snapToGrid w:val="0"/>
              <w:spacing w:line="400" w:lineRule="exact"/>
              <w:ind w:firstLine="420" w:firstLineChars="200"/>
              <w:rPr>
                <w:rFonts w:hint="eastAsia"/>
                <w:b/>
                <w:szCs w:val="21"/>
              </w:rPr>
            </w:pPr>
            <w:r>
              <w:rPr>
                <w:rFonts w:hint="eastAsia"/>
                <w:b w:val="0"/>
                <w:bCs/>
                <w:szCs w:val="21"/>
              </w:rPr>
              <w:t>电</w:t>
            </w:r>
            <w:r>
              <w:rPr>
                <w:rFonts w:hint="eastAsia"/>
                <w:b w:val="0"/>
                <w:bCs/>
                <w:szCs w:val="21"/>
                <w:lang w:val="en-US" w:eastAsia="zh-CN"/>
              </w:rPr>
              <w:t>打</w:t>
            </w:r>
            <w:r>
              <w:rPr>
                <w:rFonts w:hint="eastAsia"/>
                <w:b w:val="0"/>
                <w:bCs/>
                <w:szCs w:val="21"/>
              </w:rPr>
              <w:t>晕处理后的BOPP薄膜需在其表面涂适量的</w:t>
            </w:r>
            <w:r>
              <w:rPr>
                <w:rFonts w:hint="eastAsia"/>
                <w:b w:val="0"/>
                <w:bCs/>
                <w:szCs w:val="21"/>
                <w:lang w:val="en-US" w:eastAsia="zh-CN"/>
              </w:rPr>
              <w:t>甲醇，有利于塑料膜黏结性，</w:t>
            </w:r>
            <w:r>
              <w:rPr>
                <w:rFonts w:hint="eastAsia"/>
                <w:b w:val="0"/>
                <w:bCs/>
                <w:szCs w:val="21"/>
              </w:rPr>
              <w:t>以保障与后续的EVA膜压合效果。</w:t>
            </w:r>
          </w:p>
          <w:p>
            <w:pPr>
              <w:adjustRightInd w:val="0"/>
              <w:snapToGrid w:val="0"/>
              <w:spacing w:line="400" w:lineRule="exact"/>
              <w:ind w:firstLine="422" w:firstLineChars="200"/>
              <w:rPr>
                <w:b/>
                <w:szCs w:val="21"/>
              </w:rPr>
            </w:pPr>
            <w:r>
              <w:rPr>
                <w:rFonts w:hint="eastAsia"/>
                <w:b/>
                <w:szCs w:val="21"/>
                <w:lang w:val="en-US" w:eastAsia="zh-CN"/>
              </w:rPr>
              <w:t>此工序</w:t>
            </w:r>
            <w:r>
              <w:rPr>
                <w:rFonts w:hint="eastAsia"/>
                <w:b/>
                <w:szCs w:val="21"/>
              </w:rPr>
              <w:t>主要污染物为：</w:t>
            </w:r>
            <w:r>
              <w:rPr>
                <w:rFonts w:hint="eastAsia"/>
                <w:b/>
                <w:szCs w:val="21"/>
                <w:lang w:val="en-US" w:eastAsia="zh-CN"/>
              </w:rPr>
              <w:t>表面涂甲醇产生的非甲烷总烃（G2），设备运行产生的</w:t>
            </w:r>
            <w:r>
              <w:rPr>
                <w:rFonts w:hint="eastAsia"/>
                <w:b/>
                <w:szCs w:val="21"/>
              </w:rPr>
              <w:t>噪声</w:t>
            </w:r>
            <w:r>
              <w:rPr>
                <w:rFonts w:hint="eastAsia"/>
                <w:b/>
                <w:szCs w:val="21"/>
                <w:lang w:val="en-US" w:eastAsia="zh-CN"/>
              </w:rPr>
              <w:t>（N）</w:t>
            </w:r>
            <w:r>
              <w:rPr>
                <w:rFonts w:hint="eastAsia"/>
                <w:b/>
                <w:szCs w:val="21"/>
              </w:rPr>
              <w:t>。</w:t>
            </w:r>
          </w:p>
          <w:p>
            <w:pPr>
              <w:adjustRightInd w:val="0"/>
              <w:snapToGrid w:val="0"/>
              <w:spacing w:line="400" w:lineRule="exact"/>
              <w:ind w:firstLine="422" w:firstLineChars="200"/>
              <w:rPr>
                <w:rFonts w:hint="eastAsia" w:eastAsia="宋体"/>
                <w:b/>
                <w:szCs w:val="21"/>
                <w:lang w:eastAsia="zh-CN"/>
              </w:rPr>
            </w:pPr>
            <w:r>
              <w:rPr>
                <w:rFonts w:hint="eastAsia"/>
                <w:b/>
                <w:szCs w:val="21"/>
              </w:rPr>
              <w:t>（3）烘</w:t>
            </w:r>
            <w:r>
              <w:rPr>
                <w:rFonts w:hint="eastAsia"/>
                <w:b/>
                <w:szCs w:val="21"/>
                <w:lang w:val="en-US" w:eastAsia="zh-CN"/>
              </w:rPr>
              <w:t>干</w:t>
            </w:r>
          </w:p>
          <w:p>
            <w:pPr>
              <w:adjustRightInd w:val="0"/>
              <w:snapToGrid w:val="0"/>
              <w:spacing w:line="400" w:lineRule="exact"/>
              <w:ind w:firstLine="420" w:firstLineChars="200"/>
              <w:rPr>
                <w:rFonts w:hint="eastAsia"/>
                <w:b w:val="0"/>
                <w:bCs/>
                <w:szCs w:val="21"/>
              </w:rPr>
            </w:pPr>
            <w:r>
              <w:rPr>
                <w:rFonts w:hint="eastAsia"/>
                <w:b w:val="0"/>
                <w:bCs/>
                <w:szCs w:val="21"/>
              </w:rPr>
              <w:t>经涂</w:t>
            </w:r>
            <w:r>
              <w:rPr>
                <w:rFonts w:hint="eastAsia"/>
                <w:b w:val="0"/>
                <w:bCs/>
                <w:szCs w:val="21"/>
                <w:lang w:val="en-US" w:eastAsia="zh-CN"/>
              </w:rPr>
              <w:t>甲醇</w:t>
            </w:r>
            <w:r>
              <w:rPr>
                <w:rFonts w:hint="eastAsia"/>
                <w:b w:val="0"/>
                <w:bCs/>
                <w:szCs w:val="21"/>
              </w:rPr>
              <w:t>后的BOPP薄膜</w:t>
            </w:r>
            <w:r>
              <w:rPr>
                <w:rFonts w:hint="eastAsia"/>
                <w:b w:val="0"/>
                <w:bCs/>
                <w:szCs w:val="21"/>
                <w:lang w:val="en-US" w:eastAsia="zh-CN"/>
              </w:rPr>
              <w:t>进入预涂膜生产线的烘干工序，使薄膜干燥，烘干时间5秒钟</w:t>
            </w:r>
            <w:r>
              <w:rPr>
                <w:rFonts w:hint="eastAsia"/>
                <w:b w:val="0"/>
                <w:bCs/>
                <w:szCs w:val="21"/>
              </w:rPr>
              <w:t>，烘</w:t>
            </w:r>
            <w:r>
              <w:rPr>
                <w:rFonts w:hint="eastAsia"/>
                <w:b w:val="0"/>
                <w:bCs/>
                <w:szCs w:val="21"/>
                <w:lang w:val="en-US" w:eastAsia="zh-CN"/>
              </w:rPr>
              <w:t>干</w:t>
            </w:r>
            <w:r>
              <w:rPr>
                <w:rFonts w:hint="eastAsia"/>
                <w:b w:val="0"/>
                <w:bCs/>
                <w:szCs w:val="21"/>
              </w:rPr>
              <w:t>温度</w:t>
            </w:r>
            <w:r>
              <w:rPr>
                <w:rFonts w:hint="eastAsia"/>
                <w:b w:val="0"/>
                <w:bCs/>
                <w:szCs w:val="21"/>
                <w:lang w:val="en-US" w:eastAsia="zh-CN"/>
              </w:rPr>
              <w:t>120</w:t>
            </w:r>
            <w:r>
              <w:rPr>
                <w:rFonts w:hint="eastAsia"/>
                <w:b w:val="0"/>
                <w:bCs/>
                <w:szCs w:val="21"/>
              </w:rPr>
              <w:t>℃，采用电加热。</w:t>
            </w:r>
          </w:p>
          <w:p>
            <w:pPr>
              <w:adjustRightInd w:val="0"/>
              <w:snapToGrid w:val="0"/>
              <w:spacing w:line="400" w:lineRule="exact"/>
              <w:ind w:firstLine="422" w:firstLineChars="200"/>
              <w:rPr>
                <w:b/>
                <w:szCs w:val="21"/>
              </w:rPr>
            </w:pPr>
            <w:r>
              <w:rPr>
                <w:rFonts w:hint="eastAsia"/>
                <w:b/>
                <w:szCs w:val="21"/>
                <w:lang w:val="en-US" w:eastAsia="zh-CN"/>
              </w:rPr>
              <w:t>此工序</w:t>
            </w:r>
            <w:r>
              <w:rPr>
                <w:rFonts w:hint="eastAsia"/>
                <w:b/>
                <w:szCs w:val="21"/>
              </w:rPr>
              <w:t>主要污染物为：</w:t>
            </w:r>
            <w:r>
              <w:rPr>
                <w:rFonts w:hint="eastAsia"/>
                <w:b/>
                <w:szCs w:val="21"/>
                <w:lang w:val="en-US" w:eastAsia="zh-CN"/>
              </w:rPr>
              <w:t>烘干工序产生的非甲烷总烃（G3），设备运行产生的</w:t>
            </w:r>
            <w:r>
              <w:rPr>
                <w:rFonts w:hint="eastAsia"/>
                <w:b/>
                <w:szCs w:val="21"/>
              </w:rPr>
              <w:t>噪声</w:t>
            </w:r>
            <w:r>
              <w:rPr>
                <w:rFonts w:hint="eastAsia"/>
                <w:b/>
                <w:szCs w:val="21"/>
                <w:lang w:val="en-US" w:eastAsia="zh-CN"/>
              </w:rPr>
              <w:t>（N）</w:t>
            </w:r>
            <w:r>
              <w:rPr>
                <w:rFonts w:hint="eastAsia"/>
                <w:b/>
                <w:szCs w:val="21"/>
              </w:rPr>
              <w:t>。</w:t>
            </w:r>
          </w:p>
          <w:p>
            <w:pPr>
              <w:adjustRightInd w:val="0"/>
              <w:snapToGrid w:val="0"/>
              <w:spacing w:line="400" w:lineRule="exact"/>
              <w:ind w:firstLine="422" w:firstLineChars="200"/>
              <w:rPr>
                <w:rFonts w:hint="default" w:eastAsia="宋体"/>
                <w:b/>
                <w:szCs w:val="21"/>
                <w:lang w:val="en-US" w:eastAsia="zh-CN"/>
              </w:rPr>
            </w:pPr>
            <w:r>
              <w:rPr>
                <w:rFonts w:hint="eastAsia"/>
                <w:b/>
                <w:szCs w:val="21"/>
                <w:lang w:eastAsia="zh-CN"/>
              </w:rPr>
              <w:t>（</w:t>
            </w:r>
            <w:r>
              <w:rPr>
                <w:rFonts w:hint="eastAsia"/>
                <w:b/>
                <w:szCs w:val="21"/>
                <w:lang w:val="en-US" w:eastAsia="zh-CN"/>
              </w:rPr>
              <w:t>4</w:t>
            </w:r>
            <w:r>
              <w:rPr>
                <w:rFonts w:hint="eastAsia"/>
                <w:b/>
                <w:szCs w:val="21"/>
                <w:lang w:eastAsia="zh-CN"/>
              </w:rPr>
              <w:t>）</w:t>
            </w:r>
            <w:r>
              <w:rPr>
                <w:rFonts w:hint="eastAsia"/>
                <w:b/>
                <w:szCs w:val="21"/>
                <w:lang w:val="en-US" w:eastAsia="zh-CN"/>
              </w:rPr>
              <w:t>涂膜</w:t>
            </w:r>
          </w:p>
          <w:p>
            <w:pPr>
              <w:adjustRightInd w:val="0"/>
              <w:snapToGrid w:val="0"/>
              <w:spacing w:line="400" w:lineRule="exact"/>
              <w:ind w:firstLine="420" w:firstLineChars="200"/>
              <w:rPr>
                <w:rFonts w:hint="eastAsia"/>
                <w:b w:val="0"/>
                <w:bCs/>
                <w:szCs w:val="21"/>
              </w:rPr>
            </w:pPr>
            <w:r>
              <w:rPr>
                <w:rFonts w:hint="eastAsia"/>
                <w:b w:val="0"/>
                <w:bCs/>
                <w:szCs w:val="21"/>
              </w:rPr>
              <w:t>EVA</w:t>
            </w:r>
            <w:r>
              <w:rPr>
                <w:rFonts w:hint="eastAsia"/>
                <w:b w:val="0"/>
                <w:bCs/>
                <w:szCs w:val="21"/>
                <w:lang w:val="en-US" w:eastAsia="zh-CN"/>
              </w:rPr>
              <w:t>颗粒通过预涂膜生产线的挤出机加热挤出为液态，均匀的涂抹到烘干后的</w:t>
            </w:r>
            <w:r>
              <w:rPr>
                <w:rFonts w:hint="eastAsia"/>
                <w:b w:val="0"/>
                <w:bCs/>
                <w:szCs w:val="21"/>
              </w:rPr>
              <w:t>BOPP薄膜</w:t>
            </w:r>
            <w:r>
              <w:rPr>
                <w:rFonts w:hint="eastAsia"/>
                <w:b w:val="0"/>
                <w:bCs/>
                <w:szCs w:val="21"/>
                <w:lang w:val="en-US" w:eastAsia="zh-CN"/>
              </w:rPr>
              <w:t>上进行复合，挤出加热温度约为100℃。采用电加热</w:t>
            </w:r>
            <w:r>
              <w:rPr>
                <w:rFonts w:hint="eastAsia"/>
                <w:b w:val="0"/>
                <w:bCs/>
                <w:szCs w:val="21"/>
              </w:rPr>
              <w:t>。</w:t>
            </w:r>
          </w:p>
          <w:p>
            <w:pPr>
              <w:adjustRightInd w:val="0"/>
              <w:snapToGrid w:val="0"/>
              <w:spacing w:line="400" w:lineRule="exact"/>
              <w:ind w:firstLine="422" w:firstLineChars="200"/>
              <w:rPr>
                <w:b/>
                <w:szCs w:val="21"/>
              </w:rPr>
            </w:pPr>
            <w:r>
              <w:rPr>
                <w:rFonts w:hint="eastAsia"/>
                <w:b/>
                <w:szCs w:val="21"/>
                <w:lang w:val="en-US" w:eastAsia="zh-CN"/>
              </w:rPr>
              <w:t>此工序</w:t>
            </w:r>
            <w:r>
              <w:rPr>
                <w:rFonts w:hint="eastAsia"/>
                <w:b/>
                <w:szCs w:val="21"/>
              </w:rPr>
              <w:t>主要污染物为：</w:t>
            </w:r>
            <w:r>
              <w:rPr>
                <w:rFonts w:hint="eastAsia"/>
                <w:b/>
                <w:szCs w:val="21"/>
                <w:lang w:val="en-US" w:eastAsia="zh-CN"/>
              </w:rPr>
              <w:t>挤出工序产生的非甲烷总烃（G4）、涂膜产生的非甲烷总烃（G5），设备运行产生的</w:t>
            </w:r>
            <w:r>
              <w:rPr>
                <w:rFonts w:hint="eastAsia"/>
                <w:b/>
                <w:szCs w:val="21"/>
              </w:rPr>
              <w:t>噪声</w:t>
            </w:r>
            <w:r>
              <w:rPr>
                <w:rFonts w:hint="eastAsia"/>
                <w:b/>
                <w:szCs w:val="21"/>
                <w:lang w:val="en-US" w:eastAsia="zh-CN"/>
              </w:rPr>
              <w:t>（N）</w:t>
            </w:r>
            <w:r>
              <w:rPr>
                <w:rFonts w:hint="eastAsia"/>
                <w:b/>
                <w:szCs w:val="21"/>
              </w:rPr>
              <w:t>。</w:t>
            </w:r>
          </w:p>
          <w:p>
            <w:pPr>
              <w:adjustRightInd w:val="0"/>
              <w:snapToGrid w:val="0"/>
              <w:spacing w:line="400" w:lineRule="exact"/>
              <w:ind w:firstLine="422" w:firstLineChars="200"/>
              <w:rPr>
                <w:rFonts w:hint="eastAsia" w:eastAsia="宋体"/>
                <w:b/>
                <w:szCs w:val="21"/>
                <w:lang w:val="en-US" w:eastAsia="zh-CN"/>
              </w:rPr>
            </w:pPr>
            <w:r>
              <w:rPr>
                <w:rFonts w:hint="eastAsia"/>
                <w:b/>
                <w:szCs w:val="21"/>
              </w:rPr>
              <w:t>（5）</w:t>
            </w:r>
            <w:r>
              <w:rPr>
                <w:rFonts w:hint="eastAsia"/>
                <w:b/>
                <w:szCs w:val="21"/>
                <w:lang w:val="en-US" w:eastAsia="zh-CN"/>
              </w:rPr>
              <w:t>冷却</w:t>
            </w:r>
          </w:p>
          <w:p>
            <w:pPr>
              <w:adjustRightInd w:val="0"/>
              <w:snapToGrid w:val="0"/>
              <w:spacing w:line="400" w:lineRule="exact"/>
              <w:ind w:firstLine="420" w:firstLineChars="200"/>
              <w:rPr>
                <w:rFonts w:hint="default" w:eastAsia="宋体"/>
                <w:b w:val="0"/>
                <w:bCs/>
                <w:szCs w:val="21"/>
                <w:lang w:val="en-US" w:eastAsia="zh-CN"/>
              </w:rPr>
            </w:pPr>
            <w:r>
              <w:rPr>
                <w:rFonts w:hint="eastAsia"/>
                <w:b w:val="0"/>
                <w:bCs/>
                <w:szCs w:val="21"/>
              </w:rPr>
              <w:t>完成</w:t>
            </w:r>
            <w:r>
              <w:rPr>
                <w:rFonts w:hint="eastAsia"/>
                <w:b w:val="0"/>
                <w:bCs/>
                <w:szCs w:val="21"/>
                <w:lang w:val="en-US" w:eastAsia="zh-CN"/>
              </w:rPr>
              <w:t>涂膜</w:t>
            </w:r>
            <w:r>
              <w:rPr>
                <w:rFonts w:hint="eastAsia"/>
                <w:b w:val="0"/>
                <w:bCs/>
                <w:szCs w:val="21"/>
              </w:rPr>
              <w:t>后的BOPP薄膜</w:t>
            </w:r>
            <w:r>
              <w:rPr>
                <w:rFonts w:hint="eastAsia"/>
                <w:b w:val="0"/>
                <w:bCs/>
                <w:szCs w:val="21"/>
                <w:lang w:val="en-US" w:eastAsia="zh-CN"/>
              </w:rPr>
              <w:t>经过预涂膜生产线配套的冷却水箱进行冷却，冷却后即为半成品，冷却过程使用冷却水，冷却水循环利用，不外排。</w:t>
            </w:r>
          </w:p>
          <w:p>
            <w:pPr>
              <w:adjustRightInd w:val="0"/>
              <w:snapToGrid w:val="0"/>
              <w:spacing w:line="400" w:lineRule="exact"/>
              <w:ind w:firstLine="422" w:firstLineChars="200"/>
              <w:rPr>
                <w:b/>
                <w:szCs w:val="21"/>
              </w:rPr>
            </w:pPr>
            <w:r>
              <w:rPr>
                <w:rFonts w:hint="eastAsia"/>
                <w:b/>
                <w:szCs w:val="21"/>
                <w:lang w:val="en-US" w:eastAsia="zh-CN"/>
              </w:rPr>
              <w:t>此工序</w:t>
            </w:r>
            <w:r>
              <w:rPr>
                <w:rFonts w:hint="eastAsia"/>
                <w:b/>
                <w:szCs w:val="21"/>
              </w:rPr>
              <w:t>主要污染物为：</w:t>
            </w:r>
            <w:r>
              <w:rPr>
                <w:rFonts w:hint="eastAsia"/>
                <w:b/>
                <w:szCs w:val="21"/>
                <w:lang w:val="en-US" w:eastAsia="zh-CN"/>
              </w:rPr>
              <w:t>冷却工序产生的冷却水（W1），设备运行产生的</w:t>
            </w:r>
            <w:r>
              <w:rPr>
                <w:rFonts w:hint="eastAsia"/>
                <w:b/>
                <w:szCs w:val="21"/>
              </w:rPr>
              <w:t>噪声</w:t>
            </w:r>
            <w:r>
              <w:rPr>
                <w:rFonts w:hint="eastAsia"/>
                <w:b/>
                <w:szCs w:val="21"/>
                <w:lang w:val="en-US" w:eastAsia="zh-CN"/>
              </w:rPr>
              <w:t>（N）</w:t>
            </w:r>
            <w:r>
              <w:rPr>
                <w:rFonts w:hint="eastAsia"/>
                <w:b/>
                <w:szCs w:val="21"/>
              </w:rPr>
              <w:t>。</w:t>
            </w:r>
          </w:p>
          <w:p>
            <w:pPr>
              <w:adjustRightInd w:val="0"/>
              <w:snapToGrid w:val="0"/>
              <w:spacing w:line="400" w:lineRule="exact"/>
              <w:ind w:firstLine="422" w:firstLineChars="200"/>
              <w:rPr>
                <w:rFonts w:hint="default" w:eastAsia="宋体"/>
                <w:b/>
                <w:bCs w:val="0"/>
                <w:szCs w:val="21"/>
                <w:lang w:val="en-US" w:eastAsia="zh-CN"/>
              </w:rPr>
            </w:pPr>
            <w:r>
              <w:rPr>
                <w:rFonts w:hint="eastAsia"/>
                <w:b/>
                <w:bCs w:val="0"/>
                <w:szCs w:val="21"/>
                <w:lang w:eastAsia="zh-CN"/>
              </w:rPr>
              <w:t>（</w:t>
            </w:r>
            <w:r>
              <w:rPr>
                <w:rFonts w:hint="eastAsia"/>
                <w:b/>
                <w:bCs w:val="0"/>
                <w:szCs w:val="21"/>
                <w:lang w:val="en-US" w:eastAsia="zh-CN"/>
              </w:rPr>
              <w:t>6</w:t>
            </w:r>
            <w:r>
              <w:rPr>
                <w:rFonts w:hint="eastAsia"/>
                <w:b/>
                <w:bCs w:val="0"/>
                <w:szCs w:val="21"/>
                <w:lang w:eastAsia="zh-CN"/>
              </w:rPr>
              <w:t>）</w:t>
            </w:r>
            <w:r>
              <w:rPr>
                <w:rFonts w:hint="eastAsia"/>
                <w:b/>
                <w:bCs w:val="0"/>
                <w:szCs w:val="21"/>
                <w:lang w:val="en-US" w:eastAsia="zh-CN"/>
              </w:rPr>
              <w:t>切割</w:t>
            </w:r>
          </w:p>
          <w:p>
            <w:pPr>
              <w:adjustRightInd w:val="0"/>
              <w:snapToGrid w:val="0"/>
              <w:spacing w:line="400" w:lineRule="exact"/>
              <w:ind w:firstLine="420" w:firstLineChars="200"/>
              <w:rPr>
                <w:rFonts w:hint="eastAsia"/>
                <w:b w:val="0"/>
                <w:bCs/>
                <w:szCs w:val="21"/>
              </w:rPr>
            </w:pPr>
            <w:r>
              <w:rPr>
                <w:rFonts w:hint="eastAsia"/>
                <w:b w:val="0"/>
                <w:bCs/>
                <w:szCs w:val="21"/>
                <w:lang w:val="en-US" w:eastAsia="zh-CN"/>
              </w:rPr>
              <w:t>根据客户需求，经冷却后的半成品经切割机切割成不同尺寸的成品</w:t>
            </w:r>
            <w:r>
              <w:rPr>
                <w:rFonts w:hint="eastAsia"/>
                <w:b w:val="0"/>
                <w:bCs/>
                <w:szCs w:val="21"/>
              </w:rPr>
              <w:t>。</w:t>
            </w:r>
          </w:p>
          <w:p>
            <w:pPr>
              <w:adjustRightInd w:val="0"/>
              <w:snapToGrid w:val="0"/>
              <w:spacing w:line="400" w:lineRule="exact"/>
              <w:ind w:firstLine="422" w:firstLineChars="200"/>
              <w:rPr>
                <w:b/>
                <w:szCs w:val="21"/>
              </w:rPr>
            </w:pPr>
            <w:r>
              <w:rPr>
                <w:rFonts w:hint="eastAsia"/>
                <w:b/>
                <w:szCs w:val="21"/>
                <w:lang w:val="en-US" w:eastAsia="zh-CN"/>
              </w:rPr>
              <w:t>此工序</w:t>
            </w:r>
            <w:r>
              <w:rPr>
                <w:rFonts w:hint="eastAsia"/>
                <w:b/>
                <w:szCs w:val="21"/>
              </w:rPr>
              <w:t>主要污染物为：</w:t>
            </w:r>
            <w:r>
              <w:rPr>
                <w:rFonts w:hint="eastAsia"/>
                <w:b/>
                <w:szCs w:val="21"/>
                <w:lang w:val="en-US" w:eastAsia="zh-CN"/>
              </w:rPr>
              <w:t>切割工序产生的废边角料（S1），设备运行产生的</w:t>
            </w:r>
            <w:r>
              <w:rPr>
                <w:rFonts w:hint="eastAsia"/>
                <w:b/>
                <w:szCs w:val="21"/>
              </w:rPr>
              <w:t>噪声</w:t>
            </w:r>
            <w:r>
              <w:rPr>
                <w:rFonts w:hint="eastAsia"/>
                <w:b/>
                <w:szCs w:val="21"/>
                <w:lang w:val="en-US" w:eastAsia="zh-CN"/>
              </w:rPr>
              <w:t>（N）</w:t>
            </w:r>
            <w:r>
              <w:rPr>
                <w:rFonts w:hint="eastAsia"/>
                <w:b/>
                <w:szCs w:val="21"/>
              </w:rPr>
              <w:t>。</w:t>
            </w:r>
          </w:p>
          <w:p>
            <w:pPr>
              <w:adjustRightInd w:val="0"/>
              <w:snapToGrid w:val="0"/>
              <w:spacing w:line="400" w:lineRule="exact"/>
              <w:ind w:firstLine="422" w:firstLineChars="200"/>
              <w:rPr>
                <w:b/>
                <w:szCs w:val="21"/>
              </w:rPr>
            </w:pPr>
            <w:r>
              <w:rPr>
                <w:rFonts w:hint="eastAsia"/>
                <w:b/>
                <w:szCs w:val="21"/>
              </w:rPr>
              <w:t>产污环节：</w:t>
            </w:r>
          </w:p>
          <w:p>
            <w:pPr>
              <w:spacing w:line="400" w:lineRule="exact"/>
              <w:jc w:val="center"/>
              <w:rPr>
                <w:b/>
                <w:szCs w:val="21"/>
              </w:rPr>
            </w:pPr>
            <w:r>
              <w:rPr>
                <w:rFonts w:hint="eastAsia"/>
                <w:b/>
                <w:szCs w:val="21"/>
              </w:rPr>
              <w:t>表</w:t>
            </w:r>
            <w:r>
              <w:rPr>
                <w:b/>
                <w:szCs w:val="21"/>
              </w:rPr>
              <w:t xml:space="preserve">2-6  </w:t>
            </w:r>
            <w:r>
              <w:rPr>
                <w:rFonts w:hint="eastAsia"/>
                <w:b/>
                <w:szCs w:val="21"/>
              </w:rPr>
              <w:t>产污环节一览表</w:t>
            </w:r>
          </w:p>
          <w:tbl>
            <w:tblPr>
              <w:tblStyle w:val="9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46"/>
              <w:gridCol w:w="1173"/>
              <w:gridCol w:w="1173"/>
              <w:gridCol w:w="1590"/>
              <w:gridCol w:w="32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70" w:type="pct"/>
                  <w:vAlign w:val="center"/>
                </w:tcPr>
                <w:p>
                  <w:pPr>
                    <w:jc w:val="center"/>
                    <w:rPr>
                      <w:szCs w:val="21"/>
                    </w:rPr>
                  </w:pPr>
                  <w:r>
                    <w:rPr>
                      <w:szCs w:val="21"/>
                    </w:rPr>
                    <w:t>污染物</w:t>
                  </w:r>
                </w:p>
                <w:p>
                  <w:pPr>
                    <w:jc w:val="center"/>
                    <w:rPr>
                      <w:szCs w:val="21"/>
                    </w:rPr>
                  </w:pPr>
                  <w:r>
                    <w:rPr>
                      <w:szCs w:val="21"/>
                    </w:rPr>
                    <w:t>类型</w:t>
                  </w:r>
                </w:p>
              </w:tc>
              <w:tc>
                <w:tcPr>
                  <w:tcW w:w="739" w:type="pct"/>
                  <w:vAlign w:val="center"/>
                </w:tcPr>
                <w:p>
                  <w:pPr>
                    <w:jc w:val="center"/>
                    <w:rPr>
                      <w:rFonts w:hint="eastAsia" w:eastAsia="宋体"/>
                      <w:szCs w:val="21"/>
                      <w:lang w:val="en-US" w:eastAsia="zh-CN"/>
                    </w:rPr>
                  </w:pPr>
                  <w:r>
                    <w:rPr>
                      <w:rFonts w:hint="eastAsia"/>
                      <w:szCs w:val="21"/>
                      <w:lang w:val="en-US" w:eastAsia="zh-CN"/>
                    </w:rPr>
                    <w:t>序号</w:t>
                  </w:r>
                </w:p>
              </w:tc>
              <w:tc>
                <w:tcPr>
                  <w:tcW w:w="739" w:type="pct"/>
                  <w:vAlign w:val="center"/>
                </w:tcPr>
                <w:p>
                  <w:pPr>
                    <w:jc w:val="center"/>
                    <w:rPr>
                      <w:szCs w:val="21"/>
                    </w:rPr>
                  </w:pPr>
                  <w:r>
                    <w:rPr>
                      <w:szCs w:val="21"/>
                    </w:rPr>
                    <w:t>污染源</w:t>
                  </w:r>
                </w:p>
              </w:tc>
              <w:tc>
                <w:tcPr>
                  <w:tcW w:w="1002" w:type="pct"/>
                  <w:vAlign w:val="center"/>
                </w:tcPr>
                <w:p>
                  <w:pPr>
                    <w:jc w:val="center"/>
                    <w:rPr>
                      <w:szCs w:val="21"/>
                    </w:rPr>
                  </w:pPr>
                  <w:r>
                    <w:rPr>
                      <w:szCs w:val="21"/>
                    </w:rPr>
                    <w:t>污染物</w:t>
                  </w:r>
                </w:p>
              </w:tc>
              <w:tc>
                <w:tcPr>
                  <w:tcW w:w="2048" w:type="pct"/>
                  <w:vAlign w:val="center"/>
                </w:tcPr>
                <w:p>
                  <w:pPr>
                    <w:jc w:val="center"/>
                    <w:rPr>
                      <w:szCs w:val="21"/>
                    </w:rPr>
                  </w:pPr>
                  <w:r>
                    <w:rPr>
                      <w:szCs w:val="21"/>
                    </w:rPr>
                    <w:t>防治措施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70" w:type="pct"/>
                  <w:vMerge w:val="restart"/>
                  <w:vAlign w:val="center"/>
                </w:tcPr>
                <w:p>
                  <w:pPr>
                    <w:jc w:val="center"/>
                    <w:rPr>
                      <w:szCs w:val="21"/>
                    </w:rPr>
                  </w:pPr>
                  <w:r>
                    <w:rPr>
                      <w:szCs w:val="21"/>
                    </w:rPr>
                    <w:t>废气</w:t>
                  </w:r>
                </w:p>
              </w:tc>
              <w:tc>
                <w:tcPr>
                  <w:tcW w:w="739" w:type="pct"/>
                  <w:vAlign w:val="center"/>
                </w:tcPr>
                <w:p>
                  <w:pPr>
                    <w:jc w:val="center"/>
                    <w:rPr>
                      <w:rFonts w:hint="default" w:eastAsia="宋体"/>
                      <w:bCs/>
                      <w:szCs w:val="21"/>
                      <w:lang w:val="en-US" w:eastAsia="zh-CN"/>
                    </w:rPr>
                  </w:pPr>
                  <w:r>
                    <w:rPr>
                      <w:rFonts w:hint="eastAsia"/>
                      <w:bCs/>
                      <w:szCs w:val="21"/>
                      <w:lang w:val="en-US" w:eastAsia="zh-CN"/>
                    </w:rPr>
                    <w:t>G1</w:t>
                  </w:r>
                </w:p>
              </w:tc>
              <w:tc>
                <w:tcPr>
                  <w:tcW w:w="739" w:type="pct"/>
                  <w:vAlign w:val="center"/>
                </w:tcPr>
                <w:p>
                  <w:pPr>
                    <w:jc w:val="center"/>
                    <w:rPr>
                      <w:rFonts w:hint="default" w:eastAsia="宋体"/>
                      <w:bCs/>
                      <w:szCs w:val="21"/>
                      <w:lang w:val="en-US" w:eastAsia="zh-CN"/>
                    </w:rPr>
                  </w:pPr>
                  <w:r>
                    <w:rPr>
                      <w:rFonts w:hint="eastAsia"/>
                      <w:bCs/>
                      <w:szCs w:val="21"/>
                      <w:lang w:val="en-US" w:eastAsia="zh-CN"/>
                    </w:rPr>
                    <w:t>电打晕</w:t>
                  </w:r>
                </w:p>
              </w:tc>
              <w:tc>
                <w:tcPr>
                  <w:tcW w:w="1002" w:type="pct"/>
                  <w:vMerge w:val="restart"/>
                  <w:vAlign w:val="center"/>
                </w:tcPr>
                <w:p>
                  <w:pPr>
                    <w:jc w:val="center"/>
                    <w:rPr>
                      <w:szCs w:val="21"/>
                    </w:rPr>
                  </w:pPr>
                  <w:r>
                    <w:rPr>
                      <w:rFonts w:hint="eastAsia"/>
                      <w:szCs w:val="21"/>
                    </w:rPr>
                    <w:t>非甲烷总烃</w:t>
                  </w:r>
                </w:p>
              </w:tc>
              <w:tc>
                <w:tcPr>
                  <w:tcW w:w="2048" w:type="pct"/>
                  <w:vMerge w:val="restart"/>
                  <w:vAlign w:val="center"/>
                </w:tcPr>
                <w:p>
                  <w:pPr>
                    <w:jc w:val="center"/>
                    <w:rPr>
                      <w:rFonts w:hint="eastAsia" w:eastAsia="宋体"/>
                      <w:szCs w:val="21"/>
                      <w:lang w:eastAsia="zh-CN"/>
                    </w:rPr>
                  </w:pPr>
                  <w:r>
                    <w:rPr>
                      <w:rFonts w:hint="eastAsia"/>
                      <w:szCs w:val="21"/>
                    </w:rPr>
                    <w:t>封闭车间内作业，集气罩</w:t>
                  </w:r>
                  <w:r>
                    <w:rPr>
                      <w:rFonts w:hint="eastAsia"/>
                      <w:szCs w:val="21"/>
                      <w:lang w:val="en-US" w:eastAsia="zh-CN"/>
                    </w:rPr>
                    <w:t>收集后</w:t>
                  </w:r>
                  <w:r>
                    <w:rPr>
                      <w:rFonts w:hint="eastAsia"/>
                      <w:szCs w:val="21"/>
                    </w:rPr>
                    <w:t>，经</w:t>
                  </w:r>
                  <w:r>
                    <w:rPr>
                      <w:rFonts w:hint="eastAsia"/>
                    </w:rPr>
                    <w:t>过滤</w:t>
                  </w:r>
                  <w:r>
                    <w:rPr>
                      <w:rFonts w:hint="eastAsia"/>
                      <w:lang w:val="en-US" w:eastAsia="zh-CN"/>
                    </w:rPr>
                    <w:t>棉</w:t>
                  </w:r>
                  <w:r>
                    <w:rPr>
                      <w:rFonts w:hint="eastAsia"/>
                    </w:rPr>
                    <w:t>+</w:t>
                  </w:r>
                  <w:r>
                    <w:rPr>
                      <w:rFonts w:hint="eastAsia"/>
                      <w:lang w:val="en-US" w:eastAsia="zh-CN"/>
                    </w:rPr>
                    <w:t>二级</w:t>
                  </w:r>
                  <w:r>
                    <w:rPr>
                      <w:rFonts w:hint="eastAsia"/>
                    </w:rPr>
                    <w:t>活性炭吸附</w:t>
                  </w:r>
                  <w:r>
                    <w:rPr>
                      <w:rFonts w:hint="eastAsia"/>
                      <w:lang w:val="en-US" w:eastAsia="zh-CN"/>
                    </w:rPr>
                    <w:t>装置</w:t>
                  </w:r>
                  <w:r>
                    <w:rPr>
                      <w:rFonts w:hint="eastAsia"/>
                      <w:szCs w:val="21"/>
                    </w:rPr>
                    <w:t>处理后，</w:t>
                  </w:r>
                  <w:r>
                    <w:rPr>
                      <w:rFonts w:hint="eastAsia"/>
                      <w:szCs w:val="21"/>
                      <w:lang w:val="en-US" w:eastAsia="zh-CN"/>
                    </w:rPr>
                    <w:t>通过</w:t>
                  </w:r>
                  <w:r>
                    <w:rPr>
                      <w:rFonts w:hint="eastAsia"/>
                      <w:szCs w:val="21"/>
                    </w:rPr>
                    <w:t>1</w:t>
                  </w:r>
                  <w:r>
                    <w:rPr>
                      <w:szCs w:val="21"/>
                    </w:rPr>
                    <w:t>5m</w:t>
                  </w:r>
                  <w:r>
                    <w:rPr>
                      <w:rFonts w:hint="eastAsia"/>
                      <w:szCs w:val="21"/>
                    </w:rPr>
                    <w:t>排气筒排放</w:t>
                  </w:r>
                  <w:r>
                    <w:rPr>
                      <w:rFonts w:hint="eastAsia"/>
                      <w:szCs w:val="21"/>
                      <w:lang w:eastAsia="zh-CN"/>
                    </w:rPr>
                    <w:t>（</w:t>
                  </w:r>
                  <w:r>
                    <w:rPr>
                      <w:rFonts w:hint="eastAsia"/>
                      <w:szCs w:val="21"/>
                      <w:lang w:val="en-US" w:eastAsia="zh-CN"/>
                    </w:rPr>
                    <w:t>DA001</w:t>
                  </w:r>
                  <w:r>
                    <w:rPr>
                      <w:rFonts w:hint="eastAsia"/>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70" w:type="pct"/>
                  <w:vMerge w:val="continue"/>
                  <w:vAlign w:val="center"/>
                </w:tcPr>
                <w:p>
                  <w:pPr>
                    <w:jc w:val="center"/>
                    <w:rPr>
                      <w:szCs w:val="21"/>
                    </w:rPr>
                  </w:pPr>
                </w:p>
              </w:tc>
              <w:tc>
                <w:tcPr>
                  <w:tcW w:w="739" w:type="pct"/>
                  <w:vAlign w:val="center"/>
                </w:tcPr>
                <w:p>
                  <w:pPr>
                    <w:jc w:val="center"/>
                    <w:rPr>
                      <w:rFonts w:hint="default"/>
                      <w:bCs/>
                      <w:szCs w:val="21"/>
                      <w:lang w:val="en-US"/>
                    </w:rPr>
                  </w:pPr>
                  <w:r>
                    <w:rPr>
                      <w:rFonts w:hint="eastAsia"/>
                      <w:bCs/>
                      <w:szCs w:val="21"/>
                      <w:lang w:val="en-US" w:eastAsia="zh-CN"/>
                    </w:rPr>
                    <w:t>G2</w:t>
                  </w:r>
                </w:p>
              </w:tc>
              <w:tc>
                <w:tcPr>
                  <w:tcW w:w="739" w:type="pct"/>
                  <w:vAlign w:val="center"/>
                </w:tcPr>
                <w:p>
                  <w:pPr>
                    <w:jc w:val="center"/>
                    <w:rPr>
                      <w:rFonts w:hint="default"/>
                      <w:bCs/>
                      <w:szCs w:val="21"/>
                      <w:lang w:val="en-US" w:eastAsia="zh-CN"/>
                    </w:rPr>
                  </w:pPr>
                  <w:r>
                    <w:rPr>
                      <w:rFonts w:hint="eastAsia"/>
                      <w:bCs/>
                      <w:szCs w:val="21"/>
                      <w:lang w:val="en-US" w:eastAsia="zh-CN"/>
                    </w:rPr>
                    <w:t>表面涂甲醇</w:t>
                  </w:r>
                </w:p>
              </w:tc>
              <w:tc>
                <w:tcPr>
                  <w:tcW w:w="1002" w:type="pct"/>
                  <w:vMerge w:val="continue"/>
                  <w:vAlign w:val="center"/>
                </w:tcPr>
                <w:p>
                  <w:pPr>
                    <w:jc w:val="center"/>
                    <w:rPr>
                      <w:rFonts w:hint="eastAsia"/>
                      <w:szCs w:val="21"/>
                    </w:rPr>
                  </w:pPr>
                </w:p>
              </w:tc>
              <w:tc>
                <w:tcPr>
                  <w:tcW w:w="2048" w:type="pct"/>
                  <w:vMerge w:val="continue"/>
                  <w:vAlign w:val="center"/>
                </w:tcPr>
                <w:p>
                  <w:pPr>
                    <w:jc w:val="center"/>
                    <w:rPr>
                      <w:rFonts w:hint="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70" w:type="pct"/>
                  <w:vMerge w:val="continue"/>
                  <w:vAlign w:val="center"/>
                </w:tcPr>
                <w:p>
                  <w:pPr>
                    <w:jc w:val="center"/>
                    <w:rPr>
                      <w:szCs w:val="21"/>
                    </w:rPr>
                  </w:pPr>
                </w:p>
              </w:tc>
              <w:tc>
                <w:tcPr>
                  <w:tcW w:w="739" w:type="pct"/>
                  <w:vAlign w:val="center"/>
                </w:tcPr>
                <w:p>
                  <w:pPr>
                    <w:jc w:val="center"/>
                    <w:rPr>
                      <w:rFonts w:hint="default"/>
                      <w:bCs/>
                      <w:szCs w:val="21"/>
                      <w:lang w:val="en-US"/>
                    </w:rPr>
                  </w:pPr>
                  <w:r>
                    <w:rPr>
                      <w:rFonts w:hint="eastAsia"/>
                      <w:bCs/>
                      <w:szCs w:val="21"/>
                      <w:lang w:val="en-US" w:eastAsia="zh-CN"/>
                    </w:rPr>
                    <w:t>G3</w:t>
                  </w:r>
                </w:p>
              </w:tc>
              <w:tc>
                <w:tcPr>
                  <w:tcW w:w="739" w:type="pct"/>
                  <w:vAlign w:val="center"/>
                </w:tcPr>
                <w:p>
                  <w:pPr>
                    <w:jc w:val="center"/>
                    <w:rPr>
                      <w:rFonts w:hint="default"/>
                      <w:bCs/>
                      <w:szCs w:val="21"/>
                      <w:lang w:val="en-US" w:eastAsia="zh-CN"/>
                    </w:rPr>
                  </w:pPr>
                  <w:r>
                    <w:rPr>
                      <w:rFonts w:hint="eastAsia"/>
                      <w:bCs/>
                      <w:szCs w:val="21"/>
                      <w:lang w:val="en-US" w:eastAsia="zh-CN"/>
                    </w:rPr>
                    <w:t>烘干</w:t>
                  </w:r>
                </w:p>
              </w:tc>
              <w:tc>
                <w:tcPr>
                  <w:tcW w:w="1002" w:type="pct"/>
                  <w:vMerge w:val="continue"/>
                  <w:vAlign w:val="center"/>
                </w:tcPr>
                <w:p>
                  <w:pPr>
                    <w:jc w:val="center"/>
                    <w:rPr>
                      <w:rFonts w:hint="eastAsia"/>
                      <w:szCs w:val="21"/>
                    </w:rPr>
                  </w:pPr>
                </w:p>
              </w:tc>
              <w:tc>
                <w:tcPr>
                  <w:tcW w:w="2048" w:type="pct"/>
                  <w:vMerge w:val="continue"/>
                  <w:vAlign w:val="center"/>
                </w:tcPr>
                <w:p>
                  <w:pPr>
                    <w:jc w:val="center"/>
                    <w:rPr>
                      <w:rFonts w:hint="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70" w:type="pct"/>
                  <w:vMerge w:val="continue"/>
                  <w:vAlign w:val="center"/>
                </w:tcPr>
                <w:p>
                  <w:pPr>
                    <w:jc w:val="center"/>
                    <w:rPr>
                      <w:szCs w:val="21"/>
                    </w:rPr>
                  </w:pPr>
                </w:p>
              </w:tc>
              <w:tc>
                <w:tcPr>
                  <w:tcW w:w="739" w:type="pct"/>
                  <w:vAlign w:val="center"/>
                </w:tcPr>
                <w:p>
                  <w:pPr>
                    <w:jc w:val="center"/>
                    <w:rPr>
                      <w:rFonts w:hint="default"/>
                      <w:bCs/>
                      <w:szCs w:val="21"/>
                      <w:lang w:val="en-US"/>
                    </w:rPr>
                  </w:pPr>
                  <w:r>
                    <w:rPr>
                      <w:rFonts w:hint="eastAsia"/>
                      <w:bCs/>
                      <w:szCs w:val="21"/>
                      <w:lang w:val="en-US" w:eastAsia="zh-CN"/>
                    </w:rPr>
                    <w:t>G4</w:t>
                  </w:r>
                </w:p>
              </w:tc>
              <w:tc>
                <w:tcPr>
                  <w:tcW w:w="739" w:type="pct"/>
                  <w:vAlign w:val="center"/>
                </w:tcPr>
                <w:p>
                  <w:pPr>
                    <w:jc w:val="center"/>
                    <w:rPr>
                      <w:rFonts w:hint="default"/>
                      <w:bCs/>
                      <w:szCs w:val="21"/>
                      <w:lang w:val="en-US" w:eastAsia="zh-CN"/>
                    </w:rPr>
                  </w:pPr>
                  <w:r>
                    <w:rPr>
                      <w:rFonts w:hint="eastAsia"/>
                      <w:bCs/>
                      <w:szCs w:val="21"/>
                      <w:lang w:val="en-US" w:eastAsia="zh-CN"/>
                    </w:rPr>
                    <w:t>挤出</w:t>
                  </w:r>
                </w:p>
              </w:tc>
              <w:tc>
                <w:tcPr>
                  <w:tcW w:w="1002" w:type="pct"/>
                  <w:vMerge w:val="continue"/>
                  <w:vAlign w:val="center"/>
                </w:tcPr>
                <w:p>
                  <w:pPr>
                    <w:jc w:val="center"/>
                    <w:rPr>
                      <w:rFonts w:hint="eastAsia"/>
                      <w:szCs w:val="21"/>
                    </w:rPr>
                  </w:pPr>
                </w:p>
              </w:tc>
              <w:tc>
                <w:tcPr>
                  <w:tcW w:w="2048" w:type="pct"/>
                  <w:vMerge w:val="continue"/>
                  <w:vAlign w:val="center"/>
                </w:tcPr>
                <w:p>
                  <w:pPr>
                    <w:jc w:val="center"/>
                    <w:rPr>
                      <w:rFonts w:hint="eastAsia"/>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70" w:type="pct"/>
                  <w:vMerge w:val="continue"/>
                  <w:vAlign w:val="center"/>
                </w:tcPr>
                <w:p>
                  <w:pPr>
                    <w:jc w:val="center"/>
                    <w:rPr>
                      <w:szCs w:val="21"/>
                    </w:rPr>
                  </w:pPr>
                </w:p>
              </w:tc>
              <w:tc>
                <w:tcPr>
                  <w:tcW w:w="739" w:type="pct"/>
                  <w:vAlign w:val="center"/>
                </w:tcPr>
                <w:p>
                  <w:pPr>
                    <w:jc w:val="center"/>
                    <w:rPr>
                      <w:rFonts w:hint="default"/>
                      <w:bCs/>
                      <w:szCs w:val="21"/>
                      <w:lang w:val="en-US"/>
                    </w:rPr>
                  </w:pPr>
                  <w:r>
                    <w:rPr>
                      <w:rFonts w:hint="eastAsia"/>
                      <w:bCs/>
                      <w:szCs w:val="21"/>
                      <w:lang w:val="en-US" w:eastAsia="zh-CN"/>
                    </w:rPr>
                    <w:t>G5</w:t>
                  </w:r>
                </w:p>
              </w:tc>
              <w:tc>
                <w:tcPr>
                  <w:tcW w:w="739" w:type="pct"/>
                  <w:vAlign w:val="center"/>
                </w:tcPr>
                <w:p>
                  <w:pPr>
                    <w:jc w:val="center"/>
                    <w:rPr>
                      <w:bCs/>
                      <w:szCs w:val="21"/>
                    </w:rPr>
                  </w:pPr>
                  <w:r>
                    <w:rPr>
                      <w:rFonts w:hint="eastAsia"/>
                      <w:bCs/>
                      <w:szCs w:val="21"/>
                      <w:lang w:val="en-US" w:eastAsia="zh-CN"/>
                    </w:rPr>
                    <w:t>涂</w:t>
                  </w:r>
                  <w:r>
                    <w:rPr>
                      <w:rFonts w:hint="eastAsia"/>
                      <w:bCs/>
                      <w:szCs w:val="21"/>
                    </w:rPr>
                    <w:t>膜</w:t>
                  </w:r>
                </w:p>
              </w:tc>
              <w:tc>
                <w:tcPr>
                  <w:tcW w:w="1002" w:type="pct"/>
                  <w:vMerge w:val="continue"/>
                  <w:vAlign w:val="center"/>
                </w:tcPr>
                <w:p>
                  <w:pPr>
                    <w:jc w:val="center"/>
                    <w:rPr>
                      <w:szCs w:val="21"/>
                    </w:rPr>
                  </w:pPr>
                </w:p>
              </w:tc>
              <w:tc>
                <w:tcPr>
                  <w:tcW w:w="2048" w:type="pct"/>
                  <w:vMerge w:val="continue"/>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70" w:type="pct"/>
                  <w:vAlign w:val="center"/>
                </w:tcPr>
                <w:p>
                  <w:pPr>
                    <w:jc w:val="center"/>
                    <w:rPr>
                      <w:szCs w:val="21"/>
                    </w:rPr>
                  </w:pPr>
                  <w:bookmarkStart w:id="20" w:name="OLE_LINK36" w:colFirst="1" w:colLast="1"/>
                  <w:bookmarkStart w:id="21" w:name="OLE_LINK37" w:colFirst="3" w:colLast="3"/>
                  <w:r>
                    <w:rPr>
                      <w:szCs w:val="21"/>
                    </w:rPr>
                    <w:t>噪声</w:t>
                  </w:r>
                </w:p>
              </w:tc>
              <w:tc>
                <w:tcPr>
                  <w:tcW w:w="739" w:type="pct"/>
                  <w:vAlign w:val="center"/>
                </w:tcPr>
                <w:p>
                  <w:pPr>
                    <w:jc w:val="center"/>
                    <w:rPr>
                      <w:rFonts w:hint="eastAsia" w:eastAsia="宋体"/>
                      <w:szCs w:val="21"/>
                      <w:lang w:val="en-US" w:eastAsia="zh-CN"/>
                    </w:rPr>
                  </w:pPr>
                  <w:r>
                    <w:rPr>
                      <w:rFonts w:hint="eastAsia"/>
                      <w:szCs w:val="21"/>
                      <w:lang w:val="en-US" w:eastAsia="zh-CN"/>
                    </w:rPr>
                    <w:t>N</w:t>
                  </w:r>
                </w:p>
              </w:tc>
              <w:tc>
                <w:tcPr>
                  <w:tcW w:w="739" w:type="pct"/>
                  <w:vAlign w:val="center"/>
                </w:tcPr>
                <w:p>
                  <w:pPr>
                    <w:jc w:val="center"/>
                    <w:rPr>
                      <w:szCs w:val="21"/>
                    </w:rPr>
                  </w:pPr>
                  <w:r>
                    <w:rPr>
                      <w:rFonts w:hint="eastAsia"/>
                      <w:szCs w:val="21"/>
                      <w:lang w:val="en-US" w:eastAsia="zh-CN"/>
                    </w:rPr>
                    <w:t>设备运行</w:t>
                  </w:r>
                  <w:r>
                    <w:rPr>
                      <w:rFonts w:hint="eastAsia"/>
                      <w:szCs w:val="21"/>
                    </w:rPr>
                    <w:t>等</w:t>
                  </w:r>
                </w:p>
              </w:tc>
              <w:tc>
                <w:tcPr>
                  <w:tcW w:w="1002" w:type="pct"/>
                  <w:vAlign w:val="center"/>
                </w:tcPr>
                <w:p>
                  <w:pPr>
                    <w:jc w:val="center"/>
                    <w:rPr>
                      <w:szCs w:val="21"/>
                    </w:rPr>
                  </w:pPr>
                  <w:r>
                    <w:rPr>
                      <w:rFonts w:hint="eastAsia"/>
                    </w:rPr>
                    <w:t>噪声</w:t>
                  </w:r>
                </w:p>
              </w:tc>
              <w:tc>
                <w:tcPr>
                  <w:tcW w:w="2048" w:type="pct"/>
                  <w:vAlign w:val="center"/>
                </w:tcPr>
                <w:p>
                  <w:pPr>
                    <w:pStyle w:val="127"/>
                    <w:spacing w:line="240" w:lineRule="auto"/>
                    <w:ind w:firstLine="0"/>
                    <w:jc w:val="center"/>
                    <w:rPr>
                      <w:rFonts w:ascii="Times New Roman"/>
                      <w:sz w:val="21"/>
                      <w:szCs w:val="21"/>
                    </w:rPr>
                  </w:pPr>
                  <w:r>
                    <w:rPr>
                      <w:rFonts w:ascii="Times New Roman"/>
                      <w:sz w:val="21"/>
                      <w:szCs w:val="21"/>
                    </w:rPr>
                    <w:t>低噪声设备、减振基础、</w:t>
                  </w:r>
                  <w:r>
                    <w:rPr>
                      <w:rFonts w:hint="eastAsia" w:ascii="Times New Roman"/>
                      <w:sz w:val="21"/>
                      <w:szCs w:val="21"/>
                      <w:lang w:val="en-US" w:eastAsia="zh-CN"/>
                    </w:rPr>
                    <w:t>厂房</w:t>
                  </w:r>
                  <w:r>
                    <w:rPr>
                      <w:rFonts w:hint="eastAsia" w:ascii="Times New Roman"/>
                      <w:sz w:val="21"/>
                      <w:szCs w:val="21"/>
                    </w:rPr>
                    <w:t>隔声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70" w:type="pct"/>
                  <w:vMerge w:val="restart"/>
                  <w:vAlign w:val="center"/>
                </w:tcPr>
                <w:p>
                  <w:pPr>
                    <w:jc w:val="center"/>
                    <w:rPr>
                      <w:szCs w:val="21"/>
                    </w:rPr>
                  </w:pPr>
                  <w:r>
                    <w:rPr>
                      <w:rFonts w:hint="eastAsia"/>
                      <w:szCs w:val="21"/>
                    </w:rPr>
                    <w:t>废水</w:t>
                  </w:r>
                </w:p>
              </w:tc>
              <w:tc>
                <w:tcPr>
                  <w:tcW w:w="739" w:type="pct"/>
                  <w:vAlign w:val="center"/>
                </w:tcPr>
                <w:p>
                  <w:pPr>
                    <w:jc w:val="center"/>
                    <w:rPr>
                      <w:rFonts w:hint="default" w:eastAsia="宋体"/>
                      <w:szCs w:val="21"/>
                      <w:lang w:val="en-US" w:eastAsia="zh-CN"/>
                    </w:rPr>
                  </w:pPr>
                  <w:r>
                    <w:rPr>
                      <w:rFonts w:hint="eastAsia"/>
                      <w:szCs w:val="21"/>
                      <w:lang w:val="en-US" w:eastAsia="zh-CN"/>
                    </w:rPr>
                    <w:t>W1</w:t>
                  </w:r>
                </w:p>
              </w:tc>
              <w:tc>
                <w:tcPr>
                  <w:tcW w:w="739" w:type="pct"/>
                  <w:vAlign w:val="center"/>
                </w:tcPr>
                <w:p>
                  <w:pPr>
                    <w:jc w:val="center"/>
                    <w:rPr>
                      <w:rFonts w:hint="eastAsia" w:eastAsia="宋体"/>
                      <w:szCs w:val="21"/>
                      <w:lang w:val="en-US" w:eastAsia="zh-CN"/>
                    </w:rPr>
                  </w:pPr>
                  <w:r>
                    <w:rPr>
                      <w:rFonts w:hint="eastAsia"/>
                      <w:szCs w:val="21"/>
                      <w:lang w:val="en-US" w:eastAsia="zh-CN"/>
                    </w:rPr>
                    <w:t>冷却工序</w:t>
                  </w:r>
                </w:p>
              </w:tc>
              <w:tc>
                <w:tcPr>
                  <w:tcW w:w="1002" w:type="pct"/>
                  <w:vAlign w:val="center"/>
                </w:tcPr>
                <w:p>
                  <w:pPr>
                    <w:jc w:val="center"/>
                    <w:rPr>
                      <w:rStyle w:val="129"/>
                      <w:rFonts w:hint="default"/>
                      <w:sz w:val="21"/>
                      <w:szCs w:val="21"/>
                      <w:lang w:val="en-US"/>
                    </w:rPr>
                  </w:pPr>
                  <w:r>
                    <w:rPr>
                      <w:rStyle w:val="129"/>
                      <w:rFonts w:hint="eastAsia"/>
                      <w:sz w:val="21"/>
                      <w:szCs w:val="21"/>
                      <w:lang w:val="en-US"/>
                    </w:rPr>
                    <w:t>冷却水</w:t>
                  </w:r>
                </w:p>
              </w:tc>
              <w:tc>
                <w:tcPr>
                  <w:tcW w:w="2048" w:type="pct"/>
                  <w:vAlign w:val="center"/>
                </w:tcPr>
                <w:p>
                  <w:pPr>
                    <w:pStyle w:val="127"/>
                    <w:spacing w:line="240" w:lineRule="auto"/>
                    <w:ind w:firstLine="0"/>
                    <w:jc w:val="center"/>
                    <w:rPr>
                      <w:rFonts w:hint="default" w:ascii="Times New Roman" w:eastAsia="宋体"/>
                      <w:sz w:val="21"/>
                      <w:szCs w:val="21"/>
                      <w:lang w:val="en-US" w:eastAsia="zh-CN"/>
                    </w:rPr>
                  </w:pPr>
                  <w:r>
                    <w:rPr>
                      <w:rFonts w:hint="eastAsia" w:ascii="Times New Roman"/>
                      <w:sz w:val="21"/>
                      <w:szCs w:val="21"/>
                      <w:lang w:val="en-US" w:eastAsia="zh-CN"/>
                    </w:rPr>
                    <w:t>循环利用，不外排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70" w:type="pct"/>
                  <w:vMerge w:val="continue"/>
                  <w:vAlign w:val="center"/>
                </w:tcPr>
                <w:p>
                  <w:pPr>
                    <w:jc w:val="center"/>
                    <w:rPr>
                      <w:rFonts w:hint="eastAsia"/>
                      <w:szCs w:val="21"/>
                    </w:rPr>
                  </w:pPr>
                </w:p>
              </w:tc>
              <w:tc>
                <w:tcPr>
                  <w:tcW w:w="739" w:type="pct"/>
                  <w:vAlign w:val="center"/>
                </w:tcPr>
                <w:p>
                  <w:pPr>
                    <w:jc w:val="center"/>
                    <w:rPr>
                      <w:rFonts w:hint="eastAsia" w:eastAsia="宋体"/>
                      <w:szCs w:val="21"/>
                      <w:lang w:eastAsia="zh-CN"/>
                    </w:rPr>
                  </w:pPr>
                  <w:r>
                    <w:rPr>
                      <w:rFonts w:hint="eastAsia"/>
                      <w:szCs w:val="21"/>
                      <w:lang w:eastAsia="zh-CN"/>
                    </w:rPr>
                    <w:t>—</w:t>
                  </w:r>
                </w:p>
              </w:tc>
              <w:tc>
                <w:tcPr>
                  <w:tcW w:w="739" w:type="pct"/>
                  <w:shd w:val="clear" w:color="auto" w:fill="auto"/>
                  <w:vAlign w:val="center"/>
                </w:tcPr>
                <w:p>
                  <w:pPr>
                    <w:jc w:val="center"/>
                    <w:rPr>
                      <w:rFonts w:hint="eastAsia" w:ascii="Times New Roman" w:hAnsi="Times New Roman" w:eastAsia="宋体" w:cs="Times New Roman"/>
                      <w:kern w:val="2"/>
                      <w:sz w:val="21"/>
                      <w:szCs w:val="21"/>
                      <w:lang w:val="en-US" w:eastAsia="zh-CN" w:bidi="ar-SA"/>
                    </w:rPr>
                  </w:pPr>
                  <w:r>
                    <w:rPr>
                      <w:rFonts w:hint="eastAsia"/>
                      <w:szCs w:val="21"/>
                    </w:rPr>
                    <w:t>员工生活</w:t>
                  </w:r>
                </w:p>
              </w:tc>
              <w:tc>
                <w:tcPr>
                  <w:tcW w:w="1002" w:type="pct"/>
                  <w:shd w:val="clear" w:color="auto" w:fill="auto"/>
                  <w:vAlign w:val="center"/>
                </w:tcPr>
                <w:p>
                  <w:pPr>
                    <w:jc w:val="center"/>
                    <w:rPr>
                      <w:rFonts w:hint="eastAsia" w:ascii="Times New Roman" w:hAnsi="Times New Roman" w:eastAsia="宋体" w:cs="Times New Roman"/>
                      <w:kern w:val="2"/>
                      <w:sz w:val="21"/>
                      <w:szCs w:val="21"/>
                      <w:lang w:val="en-US" w:eastAsia="zh-CN" w:bidi="ar-SA"/>
                    </w:rPr>
                  </w:pPr>
                  <w:r>
                    <w:rPr>
                      <w:rStyle w:val="129"/>
                      <w:rFonts w:hint="eastAsia"/>
                      <w:sz w:val="21"/>
                      <w:szCs w:val="21"/>
                      <w:lang w:val="en-US"/>
                    </w:rPr>
                    <w:t>生活</w:t>
                  </w:r>
                  <w:r>
                    <w:rPr>
                      <w:rStyle w:val="129"/>
                      <w:rFonts w:hint="eastAsia"/>
                      <w:sz w:val="21"/>
                      <w:szCs w:val="21"/>
                    </w:rPr>
                    <w:t>污水</w:t>
                  </w:r>
                </w:p>
              </w:tc>
              <w:tc>
                <w:tcPr>
                  <w:tcW w:w="2048" w:type="pct"/>
                  <w:shd w:val="clear" w:color="auto" w:fill="auto"/>
                  <w:vAlign w:val="center"/>
                </w:tcPr>
                <w:p>
                  <w:pPr>
                    <w:pStyle w:val="127"/>
                    <w:spacing w:line="240" w:lineRule="auto"/>
                    <w:ind w:firstLine="0" w:firstLineChars="0"/>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kern w:val="2"/>
                      <w:sz w:val="21"/>
                      <w:szCs w:val="21"/>
                      <w:lang w:val="en-US" w:eastAsia="zh-CN" w:bidi="ar-SA"/>
                    </w:rPr>
                    <w:t>用于厂区内泼洒抑尘，旱厕定期清掏</w:t>
                  </w:r>
                </w:p>
              </w:tc>
            </w:tr>
            <w:bookmarkEnd w:id="20"/>
            <w:bookmarkEnd w:id="21"/>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70" w:type="pct"/>
                  <w:vMerge w:val="restart"/>
                  <w:vAlign w:val="center"/>
                </w:tcPr>
                <w:p>
                  <w:pPr>
                    <w:jc w:val="center"/>
                    <w:rPr>
                      <w:szCs w:val="21"/>
                    </w:rPr>
                  </w:pPr>
                  <w:r>
                    <w:rPr>
                      <w:szCs w:val="21"/>
                    </w:rPr>
                    <w:t>固废</w:t>
                  </w:r>
                </w:p>
              </w:tc>
              <w:tc>
                <w:tcPr>
                  <w:tcW w:w="739" w:type="pct"/>
                  <w:vAlign w:val="center"/>
                </w:tcPr>
                <w:p>
                  <w:pPr>
                    <w:jc w:val="center"/>
                    <w:rPr>
                      <w:rFonts w:hint="default" w:eastAsia="宋体"/>
                      <w:szCs w:val="21"/>
                      <w:lang w:val="en-US" w:eastAsia="zh-CN"/>
                    </w:rPr>
                  </w:pPr>
                  <w:r>
                    <w:rPr>
                      <w:rFonts w:hint="eastAsia"/>
                      <w:szCs w:val="21"/>
                      <w:lang w:val="en-US" w:eastAsia="zh-CN"/>
                    </w:rPr>
                    <w:t>S1</w:t>
                  </w:r>
                </w:p>
              </w:tc>
              <w:tc>
                <w:tcPr>
                  <w:tcW w:w="739" w:type="pct"/>
                  <w:vAlign w:val="center"/>
                </w:tcPr>
                <w:p>
                  <w:pPr>
                    <w:jc w:val="center"/>
                    <w:rPr>
                      <w:rFonts w:hint="eastAsia" w:eastAsia="宋体"/>
                      <w:szCs w:val="21"/>
                      <w:lang w:eastAsia="zh-CN"/>
                    </w:rPr>
                  </w:pPr>
                  <w:r>
                    <w:rPr>
                      <w:rFonts w:hint="eastAsia"/>
                      <w:szCs w:val="21"/>
                      <w:lang w:val="en-US" w:eastAsia="zh-CN"/>
                    </w:rPr>
                    <w:t>切割</w:t>
                  </w:r>
                </w:p>
              </w:tc>
              <w:tc>
                <w:tcPr>
                  <w:tcW w:w="1002" w:type="pct"/>
                  <w:vAlign w:val="center"/>
                </w:tcPr>
                <w:p>
                  <w:pPr>
                    <w:jc w:val="center"/>
                    <w:rPr>
                      <w:szCs w:val="21"/>
                    </w:rPr>
                  </w:pPr>
                  <w:r>
                    <w:rPr>
                      <w:rFonts w:hint="eastAsia"/>
                      <w:szCs w:val="21"/>
                      <w:lang w:val="en-US" w:eastAsia="zh-CN"/>
                    </w:rPr>
                    <w:t>废</w:t>
                  </w:r>
                  <w:r>
                    <w:rPr>
                      <w:rFonts w:hint="eastAsia"/>
                      <w:szCs w:val="21"/>
                    </w:rPr>
                    <w:t>边角料</w:t>
                  </w:r>
                </w:p>
              </w:tc>
              <w:tc>
                <w:tcPr>
                  <w:tcW w:w="2048" w:type="pct"/>
                  <w:vAlign w:val="center"/>
                </w:tcPr>
                <w:p>
                  <w:pPr>
                    <w:jc w:val="center"/>
                    <w:rPr>
                      <w:szCs w:val="21"/>
                    </w:rPr>
                  </w:pPr>
                  <w:r>
                    <w:rPr>
                      <w:rFonts w:hint="eastAsia"/>
                      <w:szCs w:val="21"/>
                      <w:lang w:val="en-US" w:eastAsia="zh-CN"/>
                    </w:rPr>
                    <w:t>收集后</w:t>
                  </w:r>
                  <w:r>
                    <w:rPr>
                      <w:rFonts w:hint="eastAsia"/>
                      <w:szCs w:val="21"/>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70" w:type="pct"/>
                  <w:vMerge w:val="continue"/>
                  <w:vAlign w:val="center"/>
                </w:tcPr>
                <w:p>
                  <w:pPr>
                    <w:jc w:val="center"/>
                    <w:rPr>
                      <w:szCs w:val="21"/>
                    </w:rPr>
                  </w:pPr>
                </w:p>
              </w:tc>
              <w:tc>
                <w:tcPr>
                  <w:tcW w:w="739" w:type="pct"/>
                  <w:vAlign w:val="center"/>
                </w:tcPr>
                <w:p>
                  <w:pPr>
                    <w:jc w:val="center"/>
                    <w:rPr>
                      <w:rFonts w:hint="eastAsia"/>
                      <w:szCs w:val="21"/>
                      <w:lang w:val="en-US" w:eastAsia="zh-CN"/>
                    </w:rPr>
                  </w:pPr>
                  <w:r>
                    <w:rPr>
                      <w:rFonts w:hint="eastAsia"/>
                      <w:szCs w:val="21"/>
                      <w:lang w:eastAsia="zh-CN"/>
                    </w:rPr>
                    <w:t>—</w:t>
                  </w:r>
                </w:p>
              </w:tc>
              <w:tc>
                <w:tcPr>
                  <w:tcW w:w="739" w:type="pct"/>
                  <w:vAlign w:val="center"/>
                </w:tcPr>
                <w:p>
                  <w:pPr>
                    <w:jc w:val="center"/>
                    <w:rPr>
                      <w:rFonts w:hint="default"/>
                      <w:szCs w:val="21"/>
                      <w:lang w:val="en-US" w:eastAsia="zh-CN"/>
                    </w:rPr>
                  </w:pPr>
                  <w:r>
                    <w:rPr>
                      <w:rFonts w:hint="eastAsia"/>
                      <w:szCs w:val="21"/>
                      <w:lang w:val="en-US" w:eastAsia="zh-CN"/>
                    </w:rPr>
                    <w:t>原辅料包装</w:t>
                  </w:r>
                </w:p>
              </w:tc>
              <w:tc>
                <w:tcPr>
                  <w:tcW w:w="1002" w:type="pct"/>
                  <w:vAlign w:val="center"/>
                </w:tcPr>
                <w:p>
                  <w:pPr>
                    <w:jc w:val="center"/>
                    <w:rPr>
                      <w:rFonts w:hint="default"/>
                      <w:szCs w:val="21"/>
                      <w:lang w:val="en-US" w:eastAsia="zh-CN"/>
                    </w:rPr>
                  </w:pPr>
                  <w:r>
                    <w:rPr>
                      <w:rFonts w:hint="eastAsia"/>
                      <w:szCs w:val="21"/>
                      <w:lang w:val="en-US" w:eastAsia="zh-CN"/>
                    </w:rPr>
                    <w:t>废包装物</w:t>
                  </w:r>
                </w:p>
              </w:tc>
              <w:tc>
                <w:tcPr>
                  <w:tcW w:w="2048" w:type="pct"/>
                  <w:vAlign w:val="center"/>
                </w:tcPr>
                <w:p>
                  <w:pPr>
                    <w:jc w:val="center"/>
                    <w:rPr>
                      <w:rFonts w:hint="default"/>
                      <w:szCs w:val="21"/>
                      <w:lang w:val="en-US" w:eastAsia="zh-CN"/>
                    </w:rPr>
                  </w:pPr>
                  <w:r>
                    <w:rPr>
                      <w:rFonts w:hint="eastAsia"/>
                      <w:szCs w:val="21"/>
                      <w:lang w:val="en-US" w:eastAsia="zh-CN"/>
                    </w:rPr>
                    <w:t>收集后外售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70" w:type="pct"/>
                  <w:vMerge w:val="continue"/>
                  <w:vAlign w:val="center"/>
                </w:tcPr>
                <w:p>
                  <w:pPr>
                    <w:jc w:val="center"/>
                    <w:rPr>
                      <w:szCs w:val="21"/>
                    </w:rPr>
                  </w:pPr>
                </w:p>
              </w:tc>
              <w:tc>
                <w:tcPr>
                  <w:tcW w:w="739" w:type="pct"/>
                  <w:vAlign w:val="center"/>
                </w:tcPr>
                <w:p>
                  <w:pPr>
                    <w:jc w:val="center"/>
                    <w:rPr>
                      <w:rFonts w:hint="eastAsia"/>
                      <w:szCs w:val="21"/>
                    </w:rPr>
                  </w:pPr>
                  <w:r>
                    <w:rPr>
                      <w:rFonts w:hint="eastAsia"/>
                      <w:szCs w:val="21"/>
                      <w:lang w:eastAsia="zh-CN"/>
                    </w:rPr>
                    <w:t>—</w:t>
                  </w:r>
                </w:p>
              </w:tc>
              <w:tc>
                <w:tcPr>
                  <w:tcW w:w="739" w:type="pct"/>
                  <w:vMerge w:val="restart"/>
                  <w:vAlign w:val="center"/>
                </w:tcPr>
                <w:p>
                  <w:pPr>
                    <w:jc w:val="center"/>
                    <w:rPr>
                      <w:szCs w:val="21"/>
                    </w:rPr>
                  </w:pPr>
                  <w:r>
                    <w:rPr>
                      <w:rFonts w:hint="eastAsia"/>
                      <w:szCs w:val="21"/>
                    </w:rPr>
                    <w:t>废气处理</w:t>
                  </w:r>
                </w:p>
              </w:tc>
              <w:tc>
                <w:tcPr>
                  <w:tcW w:w="1002" w:type="pct"/>
                  <w:vAlign w:val="center"/>
                </w:tcPr>
                <w:p>
                  <w:pPr>
                    <w:jc w:val="center"/>
                    <w:rPr>
                      <w:szCs w:val="21"/>
                    </w:rPr>
                  </w:pPr>
                  <w:r>
                    <w:rPr>
                      <w:rFonts w:hint="eastAsia"/>
                      <w:szCs w:val="21"/>
                    </w:rPr>
                    <w:t>废活性炭</w:t>
                  </w:r>
                </w:p>
              </w:tc>
              <w:tc>
                <w:tcPr>
                  <w:tcW w:w="2048" w:type="pct"/>
                  <w:vMerge w:val="restart"/>
                  <w:vAlign w:val="center"/>
                </w:tcPr>
                <w:p>
                  <w:pPr>
                    <w:jc w:val="center"/>
                    <w:rPr>
                      <w:szCs w:val="21"/>
                    </w:rPr>
                  </w:pPr>
                  <w:r>
                    <w:rPr>
                      <w:rFonts w:hint="eastAsia"/>
                      <w:szCs w:val="21"/>
                    </w:rPr>
                    <w:t>暂存</w:t>
                  </w:r>
                  <w:r>
                    <w:rPr>
                      <w:rFonts w:hint="eastAsia"/>
                      <w:szCs w:val="21"/>
                      <w:lang w:val="en-US" w:eastAsia="zh-CN"/>
                    </w:rPr>
                    <w:t>于现有</w:t>
                  </w:r>
                  <w:r>
                    <w:rPr>
                      <w:rFonts w:hint="eastAsia"/>
                      <w:szCs w:val="21"/>
                    </w:rPr>
                    <w:t>危废间，</w:t>
                  </w:r>
                  <w:r>
                    <w:rPr>
                      <w:rFonts w:hint="eastAsia"/>
                      <w:bCs/>
                      <w:szCs w:val="21"/>
                      <w:highlight w:val="none"/>
                    </w:rPr>
                    <w:t>定期委托有资质单位处置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70" w:type="pct"/>
                  <w:vMerge w:val="continue"/>
                  <w:vAlign w:val="center"/>
                </w:tcPr>
                <w:p>
                  <w:pPr>
                    <w:jc w:val="center"/>
                    <w:rPr>
                      <w:szCs w:val="21"/>
                    </w:rPr>
                  </w:pPr>
                </w:p>
              </w:tc>
              <w:tc>
                <w:tcPr>
                  <w:tcW w:w="739" w:type="pct"/>
                  <w:vAlign w:val="center"/>
                </w:tcPr>
                <w:p>
                  <w:pPr>
                    <w:jc w:val="center"/>
                    <w:rPr>
                      <w:rFonts w:hint="eastAsia"/>
                      <w:szCs w:val="21"/>
                      <w:lang w:eastAsia="zh-CN"/>
                    </w:rPr>
                  </w:pPr>
                  <w:r>
                    <w:rPr>
                      <w:rFonts w:hint="eastAsia"/>
                      <w:szCs w:val="21"/>
                      <w:lang w:eastAsia="zh-CN"/>
                    </w:rPr>
                    <w:t>—</w:t>
                  </w:r>
                </w:p>
              </w:tc>
              <w:tc>
                <w:tcPr>
                  <w:tcW w:w="739" w:type="pct"/>
                  <w:vMerge w:val="continue"/>
                  <w:vAlign w:val="center"/>
                </w:tcPr>
                <w:p>
                  <w:pPr>
                    <w:jc w:val="center"/>
                    <w:rPr>
                      <w:rFonts w:hint="eastAsia"/>
                      <w:szCs w:val="21"/>
                    </w:rPr>
                  </w:pPr>
                </w:p>
              </w:tc>
              <w:tc>
                <w:tcPr>
                  <w:tcW w:w="1002" w:type="pct"/>
                  <w:vAlign w:val="center"/>
                </w:tcPr>
                <w:p>
                  <w:pPr>
                    <w:jc w:val="center"/>
                    <w:rPr>
                      <w:rFonts w:hint="default" w:eastAsia="宋体"/>
                      <w:szCs w:val="21"/>
                      <w:lang w:val="en-US" w:eastAsia="zh-CN"/>
                    </w:rPr>
                  </w:pPr>
                  <w:r>
                    <w:rPr>
                      <w:rFonts w:hint="eastAsia"/>
                      <w:szCs w:val="21"/>
                      <w:lang w:val="en-US" w:eastAsia="zh-CN"/>
                    </w:rPr>
                    <w:t>废过滤棉</w:t>
                  </w:r>
                </w:p>
              </w:tc>
              <w:tc>
                <w:tcPr>
                  <w:tcW w:w="2048" w:type="pct"/>
                  <w:vMerge w:val="continue"/>
                  <w:vAlign w:val="center"/>
                </w:tcPr>
                <w:p>
                  <w:pPr>
                    <w:jc w:val="center"/>
                    <w:rPr>
                      <w:rFonts w:hint="eastAsia"/>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470" w:type="pct"/>
                  <w:vMerge w:val="continue"/>
                  <w:vAlign w:val="center"/>
                </w:tcPr>
                <w:p>
                  <w:pPr>
                    <w:jc w:val="center"/>
                    <w:rPr>
                      <w:szCs w:val="21"/>
                    </w:rPr>
                  </w:pPr>
                </w:p>
              </w:tc>
              <w:tc>
                <w:tcPr>
                  <w:tcW w:w="739" w:type="pct"/>
                  <w:vAlign w:val="center"/>
                </w:tcPr>
                <w:p>
                  <w:pPr>
                    <w:jc w:val="center"/>
                    <w:rPr>
                      <w:rFonts w:hint="eastAsia"/>
                      <w:szCs w:val="21"/>
                    </w:rPr>
                  </w:pPr>
                  <w:r>
                    <w:rPr>
                      <w:rFonts w:hint="eastAsia"/>
                      <w:szCs w:val="21"/>
                      <w:lang w:eastAsia="zh-CN"/>
                    </w:rPr>
                    <w:t>—</w:t>
                  </w:r>
                </w:p>
              </w:tc>
              <w:tc>
                <w:tcPr>
                  <w:tcW w:w="739" w:type="pct"/>
                  <w:vAlign w:val="center"/>
                </w:tcPr>
                <w:p>
                  <w:pPr>
                    <w:jc w:val="center"/>
                    <w:rPr>
                      <w:szCs w:val="21"/>
                    </w:rPr>
                  </w:pPr>
                  <w:r>
                    <w:rPr>
                      <w:rFonts w:hint="eastAsia"/>
                      <w:szCs w:val="21"/>
                    </w:rPr>
                    <w:t>员工生活</w:t>
                  </w:r>
                </w:p>
              </w:tc>
              <w:tc>
                <w:tcPr>
                  <w:tcW w:w="1002" w:type="pct"/>
                  <w:vAlign w:val="center"/>
                </w:tcPr>
                <w:p>
                  <w:pPr>
                    <w:jc w:val="center"/>
                    <w:rPr>
                      <w:szCs w:val="21"/>
                    </w:rPr>
                  </w:pPr>
                  <w:r>
                    <w:rPr>
                      <w:rFonts w:hint="eastAsia"/>
                      <w:szCs w:val="21"/>
                    </w:rPr>
                    <w:t>生活垃圾</w:t>
                  </w:r>
                </w:p>
              </w:tc>
              <w:tc>
                <w:tcPr>
                  <w:tcW w:w="2048" w:type="pct"/>
                  <w:vAlign w:val="center"/>
                </w:tcPr>
                <w:p>
                  <w:pPr>
                    <w:jc w:val="center"/>
                    <w:rPr>
                      <w:szCs w:val="21"/>
                    </w:rPr>
                  </w:pPr>
                  <w:r>
                    <w:rPr>
                      <w:rFonts w:hint="eastAsia"/>
                      <w:szCs w:val="21"/>
                      <w:lang w:val="en-US" w:eastAsia="zh-CN"/>
                    </w:rPr>
                    <w:t>由</w:t>
                  </w:r>
                  <w:r>
                    <w:rPr>
                      <w:rFonts w:hint="eastAsia"/>
                      <w:szCs w:val="21"/>
                    </w:rPr>
                    <w:t>环卫部门处理</w:t>
                  </w:r>
                </w:p>
              </w:tc>
            </w:tr>
          </w:tbl>
          <w:p>
            <w:pPr>
              <w:adjustRightInd w:val="0"/>
              <w:snapToGrid w:val="0"/>
              <w:rPr>
                <w:rFonts w:ascii="宋体" w:hAnsi="宋体"/>
                <w:bCs/>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08" w:hRule="atLeast"/>
          <w:jc w:val="center"/>
        </w:trPr>
        <w:tc>
          <w:tcPr>
            <w:tcW w:w="823" w:type="dxa"/>
            <w:vAlign w:val="center"/>
          </w:tcPr>
          <w:p>
            <w:pPr>
              <w:pStyle w:val="83"/>
              <w:adjustRightInd w:val="0"/>
              <w:snapToGrid w:val="0"/>
              <w:spacing w:before="0" w:beforeAutospacing="0" w:after="0" w:afterAutospacing="0"/>
              <w:jc w:val="center"/>
              <w:rPr>
                <w:rFonts w:cs="宋体"/>
                <w:sz w:val="21"/>
                <w:szCs w:val="21"/>
              </w:rPr>
            </w:pPr>
            <w:r>
              <w:rPr>
                <w:rFonts w:hint="eastAsia" w:cs="宋体"/>
                <w:bCs/>
                <w:kern w:val="2"/>
                <w:sz w:val="21"/>
                <w:szCs w:val="21"/>
              </w:rPr>
              <w:t>与项目有关的原有环境污染问题</w:t>
            </w:r>
          </w:p>
        </w:tc>
        <w:tc>
          <w:tcPr>
            <w:tcW w:w="8161" w:type="dxa"/>
            <w:vAlign w:val="center"/>
          </w:tcPr>
          <w:p>
            <w:pPr>
              <w:adjustRightInd w:val="0"/>
              <w:snapToGrid w:val="0"/>
              <w:spacing w:line="400" w:lineRule="exact"/>
              <w:ind w:firstLine="420" w:firstLineChars="200"/>
              <w:rPr>
                <w:rFonts w:hint="eastAsia"/>
                <w:szCs w:val="21"/>
                <w:lang w:val="en-US" w:eastAsia="zh-CN"/>
              </w:rPr>
            </w:pPr>
            <w:r>
              <w:rPr>
                <w:rFonts w:hint="eastAsia"/>
                <w:szCs w:val="21"/>
                <w:lang w:val="en-US" w:eastAsia="zh-CN"/>
              </w:rPr>
              <w:t>1、现有工程环保手续履行情况</w:t>
            </w: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r>
              <w:rPr>
                <w:rFonts w:hint="eastAsia"/>
                <w:szCs w:val="21"/>
                <w:lang w:val="en-US" w:eastAsia="zh-CN"/>
              </w:rPr>
              <w:t>秦皇岛市抚宁区满亿印刷包装厂成立于2014年，于2018年编制完成了《年印刷生产200万个纸箱项目环境影响报告表》，2018年8月24日取得秦皇岛市环境保护局的审批意见，审批文号：抚环审表[2018]-8-5号，2018年进行了竣工环保验</w:t>
            </w:r>
            <w:r>
              <w:rPr>
                <w:rFonts w:hint="eastAsia"/>
                <w:szCs w:val="21"/>
                <w:highlight w:val="none"/>
                <w:lang w:val="en-US" w:eastAsia="zh-CN"/>
              </w:rPr>
              <w:t>收</w:t>
            </w:r>
            <w:r>
              <w:rPr>
                <w:rFonts w:hint="eastAsia"/>
                <w:color w:val="0000FF"/>
                <w:szCs w:val="21"/>
                <w:highlight w:val="none"/>
                <w:lang w:val="en-US" w:eastAsia="zh-CN"/>
              </w:rPr>
              <w:t>。</w:t>
            </w:r>
            <w:r>
              <w:rPr>
                <w:rFonts w:hint="eastAsia" w:ascii="Times New Roman" w:hAnsi="Times New Roman" w:eastAsia="宋体" w:cs="Times New Roman"/>
                <w:szCs w:val="21"/>
                <w:lang w:val="en-US" w:eastAsia="zh-CN"/>
              </w:rPr>
              <w:t>经现场核查，企业</w:t>
            </w:r>
            <w:r>
              <w:rPr>
                <w:rFonts w:hint="eastAsia"/>
                <w:szCs w:val="21"/>
                <w:lang w:val="en-US" w:eastAsia="zh-CN"/>
              </w:rPr>
              <w:t>现有工程包装纸箱生产线</w:t>
            </w:r>
            <w:r>
              <w:rPr>
                <w:rFonts w:hint="eastAsia" w:ascii="Times New Roman" w:hAnsi="Times New Roman" w:eastAsia="宋体" w:cs="Times New Roman"/>
                <w:szCs w:val="21"/>
                <w:lang w:val="en-US" w:eastAsia="zh-CN"/>
              </w:rPr>
              <w:t>目前已停产，生产设备已拆除，已无“三废”产生，原审批项目不再实施。</w:t>
            </w: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2、现有工程原有污染情况</w:t>
            </w:r>
          </w:p>
          <w:p>
            <w:pPr>
              <w:adjustRightInd w:val="0"/>
              <w:snapToGrid w:val="0"/>
              <w:spacing w:line="400" w:lineRule="exact"/>
              <w:ind w:firstLine="420" w:firstLineChars="200"/>
              <w:rPr>
                <w:rFonts w:hint="default" w:ascii="Times New Roman" w:hAnsi="Times New Roman" w:eastAsia="宋体" w:cs="Times New Roman"/>
                <w:szCs w:val="21"/>
                <w:lang w:val="en-US" w:eastAsia="zh-CN"/>
              </w:rPr>
            </w:pPr>
            <w:r>
              <w:rPr>
                <w:rFonts w:hint="eastAsia" w:cs="Times New Roman"/>
                <w:szCs w:val="21"/>
                <w:lang w:val="en-US" w:eastAsia="zh-CN"/>
              </w:rPr>
              <w:t>（1）废气</w:t>
            </w:r>
          </w:p>
          <w:p>
            <w:pPr>
              <w:adjustRightInd w:val="0"/>
              <w:snapToGrid w:val="0"/>
              <w:spacing w:line="400" w:lineRule="exact"/>
              <w:ind w:firstLine="420" w:firstLineChars="200"/>
              <w:rPr>
                <w:rFonts w:hint="default" w:cs="Times New Roman"/>
                <w:szCs w:val="21"/>
                <w:lang w:val="en-US" w:eastAsia="zh-CN"/>
              </w:rPr>
            </w:pPr>
            <w:r>
              <w:rPr>
                <w:rFonts w:hint="eastAsia" w:ascii="Times New Roman" w:hAnsi="Times New Roman" w:eastAsia="宋体" w:cs="Times New Roman"/>
                <w:szCs w:val="21"/>
                <w:lang w:val="en-US" w:eastAsia="zh-CN"/>
              </w:rPr>
              <w:t>根据202</w:t>
            </w:r>
            <w:r>
              <w:rPr>
                <w:rFonts w:hint="eastAsia" w:cs="Times New Roman"/>
                <w:szCs w:val="21"/>
                <w:lang w:val="en-US" w:eastAsia="zh-CN"/>
              </w:rPr>
              <w:t>3</w:t>
            </w:r>
            <w:r>
              <w:rPr>
                <w:rFonts w:hint="eastAsia" w:ascii="Times New Roman" w:hAnsi="Times New Roman" w:eastAsia="宋体" w:cs="Times New Roman"/>
                <w:szCs w:val="21"/>
                <w:lang w:val="en-US" w:eastAsia="zh-CN"/>
              </w:rPr>
              <w:t>年</w:t>
            </w:r>
            <w:r>
              <w:rPr>
                <w:rFonts w:hint="eastAsia" w:cs="Times New Roman"/>
                <w:szCs w:val="21"/>
                <w:lang w:val="en-US" w:eastAsia="zh-CN"/>
              </w:rPr>
              <w:t>6</w:t>
            </w:r>
            <w:r>
              <w:rPr>
                <w:rFonts w:hint="eastAsia" w:ascii="Times New Roman" w:hAnsi="Times New Roman" w:eastAsia="宋体" w:cs="Times New Roman"/>
                <w:szCs w:val="21"/>
                <w:lang w:val="en-US" w:eastAsia="zh-CN"/>
              </w:rPr>
              <w:t>月</w:t>
            </w:r>
            <w:r>
              <w:rPr>
                <w:rFonts w:hint="eastAsia" w:cs="Times New Roman"/>
                <w:szCs w:val="21"/>
                <w:lang w:val="en-US" w:eastAsia="zh-CN"/>
              </w:rPr>
              <w:t>秦皇岛洁之康环保科技</w:t>
            </w:r>
            <w:r>
              <w:rPr>
                <w:rFonts w:hint="eastAsia" w:ascii="Times New Roman" w:hAnsi="Times New Roman" w:eastAsia="宋体" w:cs="Times New Roman"/>
                <w:szCs w:val="21"/>
                <w:lang w:val="en-US" w:eastAsia="zh-CN"/>
              </w:rPr>
              <w:t>有限公司对</w:t>
            </w:r>
            <w:r>
              <w:rPr>
                <w:rFonts w:hint="eastAsia"/>
                <w:szCs w:val="21"/>
                <w:lang w:val="en-US" w:eastAsia="zh-CN"/>
              </w:rPr>
              <w:t>秦皇岛市抚宁区满亿印刷包装厂</w:t>
            </w:r>
            <w:r>
              <w:rPr>
                <w:rFonts w:hint="eastAsia" w:ascii="Times New Roman" w:hAnsi="Times New Roman" w:eastAsia="宋体" w:cs="Times New Roman"/>
                <w:szCs w:val="21"/>
                <w:lang w:val="en-US" w:eastAsia="zh-CN"/>
              </w:rPr>
              <w:t>出具的《检测报告》（报告编号</w:t>
            </w:r>
            <w:r>
              <w:rPr>
                <w:rFonts w:hint="eastAsia" w:cs="Times New Roman"/>
                <w:szCs w:val="21"/>
                <w:lang w:val="en-US" w:eastAsia="zh-CN"/>
              </w:rPr>
              <w:t>JZK-WT-20230525</w:t>
            </w:r>
            <w:r>
              <w:rPr>
                <w:rFonts w:hint="eastAsia" w:ascii="Times New Roman" w:hAnsi="Times New Roman" w:eastAsia="宋体" w:cs="Times New Roman"/>
                <w:szCs w:val="21"/>
                <w:lang w:val="en-US" w:eastAsia="zh-CN"/>
              </w:rPr>
              <w:t>），现有废气污染源排放及达标情况如下。</w:t>
            </w:r>
          </w:p>
          <w:p>
            <w:pPr>
              <w:spacing w:line="400" w:lineRule="exact"/>
              <w:jc w:val="center"/>
              <w:rPr>
                <w:rFonts w:hint="eastAsia" w:ascii="Times New Roman" w:hAnsi="Times New Roman" w:eastAsia="宋体" w:cs="Times New Roman"/>
                <w:b/>
                <w:szCs w:val="21"/>
              </w:rPr>
            </w:pPr>
            <w:r>
              <w:rPr>
                <w:rFonts w:hint="eastAsia" w:ascii="Times New Roman" w:hAnsi="Times New Roman" w:eastAsia="宋体" w:cs="Times New Roman"/>
                <w:b/>
                <w:szCs w:val="21"/>
              </w:rPr>
              <w:t>表2-</w:t>
            </w:r>
            <w:r>
              <w:rPr>
                <w:rFonts w:hint="eastAsia" w:ascii="Times New Roman" w:hAnsi="Times New Roman" w:eastAsia="宋体" w:cs="Times New Roman"/>
                <w:b/>
                <w:szCs w:val="21"/>
                <w:lang w:val="en-US" w:eastAsia="zh-CN"/>
              </w:rPr>
              <w:t>7</w:t>
            </w:r>
            <w:r>
              <w:rPr>
                <w:rFonts w:hint="eastAsia" w:ascii="Times New Roman" w:hAnsi="Times New Roman" w:eastAsia="宋体" w:cs="Times New Roman"/>
                <w:b/>
                <w:szCs w:val="21"/>
              </w:rPr>
              <w:t xml:space="preserve">   现有工程废气污染源及治理情况一览表</w:t>
            </w:r>
          </w:p>
          <w:tbl>
            <w:tblPr>
              <w:tblStyle w:val="91"/>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356"/>
              <w:gridCol w:w="564"/>
              <w:gridCol w:w="829"/>
              <w:gridCol w:w="802"/>
              <w:gridCol w:w="240"/>
              <w:gridCol w:w="594"/>
              <w:gridCol w:w="989"/>
              <w:gridCol w:w="911"/>
              <w:gridCol w:w="989"/>
              <w:gridCol w:w="551"/>
              <w:gridCol w:w="640"/>
              <w:gridCol w:w="4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序号</w:t>
                  </w:r>
                </w:p>
              </w:tc>
              <w:tc>
                <w:tcPr>
                  <w:tcW w:w="35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污染源名称</w:t>
                  </w:r>
                </w:p>
              </w:tc>
              <w:tc>
                <w:tcPr>
                  <w:tcW w:w="521"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排放量（m</w:t>
                  </w:r>
                  <w:r>
                    <w:rPr>
                      <w:rFonts w:hint="eastAsia" w:ascii="Times New Roman" w:hAnsi="Times New Roman" w:cs="Times New Roman"/>
                      <w:color w:val="auto"/>
                      <w:sz w:val="21"/>
                      <w:szCs w:val="21"/>
                      <w:vertAlign w:val="superscript"/>
                      <w:lang w:val="en-US" w:eastAsia="zh-CN"/>
                    </w:rPr>
                    <w:t>3</w:t>
                  </w:r>
                  <w:r>
                    <w:rPr>
                      <w:rFonts w:hint="eastAsia" w:ascii="Times New Roman" w:hAnsi="Times New Roman" w:cs="Times New Roman"/>
                      <w:color w:val="auto"/>
                      <w:sz w:val="21"/>
                      <w:szCs w:val="21"/>
                      <w:vertAlign w:val="baseline"/>
                      <w:lang w:val="en-US" w:eastAsia="zh-CN"/>
                    </w:rPr>
                    <w:t>/h）</w:t>
                  </w:r>
                </w:p>
              </w:tc>
              <w:tc>
                <w:tcPr>
                  <w:tcW w:w="50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污染因子</w:t>
                  </w:r>
                </w:p>
              </w:tc>
              <w:tc>
                <w:tcPr>
                  <w:tcW w:w="151"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治理措施</w:t>
                  </w:r>
                </w:p>
              </w:tc>
              <w:tc>
                <w:tcPr>
                  <w:tcW w:w="374"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排气筒高度（m）</w:t>
                  </w:r>
                </w:p>
              </w:tc>
              <w:tc>
                <w:tcPr>
                  <w:tcW w:w="62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排放浓度（mg/m</w:t>
                  </w:r>
                  <w:r>
                    <w:rPr>
                      <w:rFonts w:hint="eastAsia" w:ascii="Times New Roman" w:hAnsi="Times New Roman" w:cs="Times New Roman"/>
                      <w:color w:val="auto"/>
                      <w:sz w:val="21"/>
                      <w:szCs w:val="21"/>
                      <w:vertAlign w:val="superscript"/>
                      <w:lang w:val="en-US" w:eastAsia="zh-CN"/>
                    </w:rPr>
                    <w:t>3</w:t>
                  </w:r>
                  <w:r>
                    <w:rPr>
                      <w:rFonts w:hint="eastAsia" w:ascii="Times New Roman" w:hAnsi="Times New Roman" w:cs="Times New Roman"/>
                      <w:color w:val="auto"/>
                      <w:sz w:val="21"/>
                      <w:szCs w:val="21"/>
                      <w:vertAlign w:val="baseline"/>
                      <w:lang w:val="en-US" w:eastAsia="zh-CN"/>
                    </w:rPr>
                    <w:t>）</w:t>
                  </w:r>
                </w:p>
              </w:tc>
              <w:tc>
                <w:tcPr>
                  <w:tcW w:w="574"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排放速率（kg/h）</w:t>
                  </w:r>
                </w:p>
              </w:tc>
              <w:tc>
                <w:tcPr>
                  <w:tcW w:w="62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执行标准（mg/m</w:t>
                  </w:r>
                  <w:r>
                    <w:rPr>
                      <w:rFonts w:hint="eastAsia" w:ascii="Times New Roman" w:hAnsi="Times New Roman" w:cs="Times New Roman"/>
                      <w:color w:val="auto"/>
                      <w:sz w:val="21"/>
                      <w:szCs w:val="21"/>
                      <w:vertAlign w:val="superscript"/>
                      <w:lang w:val="en-US" w:eastAsia="zh-CN"/>
                    </w:rPr>
                    <w:t>3</w:t>
                  </w:r>
                  <w:r>
                    <w:rPr>
                      <w:rFonts w:hint="eastAsia" w:ascii="Times New Roman" w:hAnsi="Times New Roman" w:cs="Times New Roman"/>
                      <w:color w:val="auto"/>
                      <w:sz w:val="21"/>
                      <w:szCs w:val="21"/>
                      <w:vertAlign w:val="baseline"/>
                      <w:lang w:val="en-US" w:eastAsia="zh-CN"/>
                    </w:rPr>
                    <w:t>）</w:t>
                  </w:r>
                </w:p>
              </w:tc>
              <w:tc>
                <w:tcPr>
                  <w:tcW w:w="347"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运行时长（h）</w:t>
                  </w:r>
                </w:p>
              </w:tc>
              <w:tc>
                <w:tcPr>
                  <w:tcW w:w="40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年排放量（t/a）</w:t>
                  </w:r>
                </w:p>
              </w:tc>
              <w:tc>
                <w:tcPr>
                  <w:tcW w:w="292"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达标分析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225" w:type="pct"/>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1</w:t>
                  </w:r>
                </w:p>
              </w:tc>
              <w:tc>
                <w:tcPr>
                  <w:tcW w:w="355" w:type="pct"/>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 w:val="21"/>
                      <w:szCs w:val="21"/>
                      <w:vertAlign w:val="baseline"/>
                      <w:lang w:val="en-US" w:eastAsia="zh-CN"/>
                    </w:rPr>
                  </w:pPr>
                  <w:r>
                    <w:rPr>
                      <w:rFonts w:hint="eastAsia"/>
                      <w:color w:val="auto"/>
                      <w:spacing w:val="-10"/>
                      <w:szCs w:val="21"/>
                      <w:lang w:val="en-US" w:eastAsia="zh-CN"/>
                    </w:rPr>
                    <w:t>印刷工序排气筒</w:t>
                  </w:r>
                </w:p>
              </w:tc>
              <w:tc>
                <w:tcPr>
                  <w:tcW w:w="521" w:type="pct"/>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1630</w:t>
                  </w:r>
                </w:p>
              </w:tc>
              <w:tc>
                <w:tcPr>
                  <w:tcW w:w="50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非甲烷总烃</w:t>
                  </w:r>
                </w:p>
              </w:tc>
              <w:tc>
                <w:tcPr>
                  <w:tcW w:w="151" w:type="pct"/>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rPr>
                  </w:pPr>
                  <w:r>
                    <w:rPr>
                      <w:rFonts w:hint="eastAsia" w:ascii="Times New Roman" w:hAnsi="Times New Roman" w:cs="Times New Roman"/>
                      <w:color w:val="auto"/>
                      <w:sz w:val="21"/>
                      <w:szCs w:val="21"/>
                      <w:vertAlign w:val="baseline"/>
                    </w:rPr>
                    <w:t>光氧净化装置</w:t>
                  </w:r>
                </w:p>
              </w:tc>
              <w:tc>
                <w:tcPr>
                  <w:tcW w:w="374" w:type="pct"/>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15</w:t>
                  </w:r>
                </w:p>
              </w:tc>
              <w:tc>
                <w:tcPr>
                  <w:tcW w:w="62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10.4</w:t>
                  </w:r>
                </w:p>
              </w:tc>
              <w:tc>
                <w:tcPr>
                  <w:tcW w:w="574"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1.66×10</w:t>
                  </w:r>
                  <w:r>
                    <w:rPr>
                      <w:rFonts w:hint="eastAsia" w:ascii="Times New Roman" w:hAnsi="Times New Roman" w:cs="Times New Roman"/>
                      <w:color w:val="auto"/>
                      <w:sz w:val="21"/>
                      <w:szCs w:val="21"/>
                      <w:vertAlign w:val="superscript"/>
                      <w:lang w:val="en-US" w:eastAsia="zh-CN"/>
                    </w:rPr>
                    <w:t>-2</w:t>
                  </w:r>
                </w:p>
              </w:tc>
              <w:tc>
                <w:tcPr>
                  <w:tcW w:w="62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50</w:t>
                  </w:r>
                </w:p>
              </w:tc>
              <w:tc>
                <w:tcPr>
                  <w:tcW w:w="347"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1920</w:t>
                  </w:r>
                </w:p>
              </w:tc>
              <w:tc>
                <w:tcPr>
                  <w:tcW w:w="40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eastAsia="宋体" w:cs="Times New Roman"/>
                      <w:color w:val="auto"/>
                      <w:sz w:val="21"/>
                      <w:szCs w:val="21"/>
                      <w:vertAlign w:val="baseline"/>
                      <w:lang w:val="en-US" w:eastAsia="zh-CN"/>
                    </w:rPr>
                    <w:t>0.033</w:t>
                  </w:r>
                </w:p>
              </w:tc>
              <w:tc>
                <w:tcPr>
                  <w:tcW w:w="292"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rPr>
                  </w:pPr>
                  <w:r>
                    <w:rPr>
                      <w:rFonts w:hint="eastAsia" w:ascii="Times New Roman" w:hAnsi="Times New Roman" w:cs="Times New Roman"/>
                      <w:color w:val="auto"/>
                      <w:sz w:val="21"/>
                      <w:szCs w:val="21"/>
                      <w:vertAlign w:val="baseli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5"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p>
              </w:tc>
              <w:tc>
                <w:tcPr>
                  <w:tcW w:w="355"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olor w:val="auto"/>
                      <w:spacing w:val="-10"/>
                      <w:szCs w:val="21"/>
                      <w:lang w:val="en-US" w:eastAsia="zh-CN"/>
                    </w:rPr>
                  </w:pPr>
                </w:p>
              </w:tc>
              <w:tc>
                <w:tcPr>
                  <w:tcW w:w="521"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p>
              </w:tc>
              <w:tc>
                <w:tcPr>
                  <w:tcW w:w="50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苯</w:t>
                  </w:r>
                </w:p>
              </w:tc>
              <w:tc>
                <w:tcPr>
                  <w:tcW w:w="151"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rPr>
                  </w:pPr>
                </w:p>
              </w:tc>
              <w:tc>
                <w:tcPr>
                  <w:tcW w:w="374"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p>
              </w:tc>
              <w:tc>
                <w:tcPr>
                  <w:tcW w:w="62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ND</w:t>
                  </w:r>
                </w:p>
              </w:tc>
              <w:tc>
                <w:tcPr>
                  <w:tcW w:w="574"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ND</w:t>
                  </w:r>
                </w:p>
              </w:tc>
              <w:tc>
                <w:tcPr>
                  <w:tcW w:w="62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1</w:t>
                  </w:r>
                </w:p>
              </w:tc>
              <w:tc>
                <w:tcPr>
                  <w:tcW w:w="347"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1920</w:t>
                  </w:r>
                </w:p>
              </w:tc>
              <w:tc>
                <w:tcPr>
                  <w:tcW w:w="40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w:t>
                  </w:r>
                </w:p>
              </w:tc>
              <w:tc>
                <w:tcPr>
                  <w:tcW w:w="292"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5"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p>
              </w:tc>
              <w:tc>
                <w:tcPr>
                  <w:tcW w:w="355"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olor w:val="auto"/>
                      <w:spacing w:val="-10"/>
                      <w:szCs w:val="21"/>
                      <w:lang w:val="en-US" w:eastAsia="zh-CN"/>
                    </w:rPr>
                  </w:pPr>
                </w:p>
              </w:tc>
              <w:tc>
                <w:tcPr>
                  <w:tcW w:w="521"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p>
              </w:tc>
              <w:tc>
                <w:tcPr>
                  <w:tcW w:w="50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甲苯</w:t>
                  </w:r>
                </w:p>
              </w:tc>
              <w:tc>
                <w:tcPr>
                  <w:tcW w:w="151"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rPr>
                  </w:pPr>
                </w:p>
              </w:tc>
              <w:tc>
                <w:tcPr>
                  <w:tcW w:w="374"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p>
              </w:tc>
              <w:tc>
                <w:tcPr>
                  <w:tcW w:w="62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ND</w:t>
                  </w:r>
                </w:p>
              </w:tc>
              <w:tc>
                <w:tcPr>
                  <w:tcW w:w="574"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ND</w:t>
                  </w:r>
                </w:p>
              </w:tc>
              <w:tc>
                <w:tcPr>
                  <w:tcW w:w="62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w:t>
                  </w:r>
                </w:p>
              </w:tc>
              <w:tc>
                <w:tcPr>
                  <w:tcW w:w="347"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1920</w:t>
                  </w:r>
                </w:p>
              </w:tc>
              <w:tc>
                <w:tcPr>
                  <w:tcW w:w="40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w:t>
                  </w:r>
                </w:p>
              </w:tc>
              <w:tc>
                <w:tcPr>
                  <w:tcW w:w="292"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5"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p>
              </w:tc>
              <w:tc>
                <w:tcPr>
                  <w:tcW w:w="355"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olor w:val="auto"/>
                      <w:spacing w:val="-10"/>
                      <w:szCs w:val="21"/>
                      <w:lang w:val="en-US" w:eastAsia="zh-CN"/>
                    </w:rPr>
                  </w:pPr>
                </w:p>
              </w:tc>
              <w:tc>
                <w:tcPr>
                  <w:tcW w:w="521"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p>
              </w:tc>
              <w:tc>
                <w:tcPr>
                  <w:tcW w:w="50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二甲苯</w:t>
                  </w:r>
                </w:p>
              </w:tc>
              <w:tc>
                <w:tcPr>
                  <w:tcW w:w="151"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Cs w:val="21"/>
                    </w:rPr>
                  </w:pPr>
                </w:p>
              </w:tc>
              <w:tc>
                <w:tcPr>
                  <w:tcW w:w="374"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p>
              </w:tc>
              <w:tc>
                <w:tcPr>
                  <w:tcW w:w="62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ND</w:t>
                  </w:r>
                </w:p>
              </w:tc>
              <w:tc>
                <w:tcPr>
                  <w:tcW w:w="574"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ND</w:t>
                  </w:r>
                </w:p>
              </w:tc>
              <w:tc>
                <w:tcPr>
                  <w:tcW w:w="62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w:t>
                  </w:r>
                </w:p>
              </w:tc>
              <w:tc>
                <w:tcPr>
                  <w:tcW w:w="347"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1920</w:t>
                  </w:r>
                </w:p>
              </w:tc>
              <w:tc>
                <w:tcPr>
                  <w:tcW w:w="40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w:t>
                  </w:r>
                </w:p>
              </w:tc>
              <w:tc>
                <w:tcPr>
                  <w:tcW w:w="292"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225"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lang w:val="en-US" w:eastAsia="zh-CN"/>
                    </w:rPr>
                  </w:pPr>
                </w:p>
              </w:tc>
              <w:tc>
                <w:tcPr>
                  <w:tcW w:w="355"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olor w:val="auto"/>
                      <w:spacing w:val="-10"/>
                      <w:szCs w:val="21"/>
                    </w:rPr>
                  </w:pPr>
                </w:p>
              </w:tc>
              <w:tc>
                <w:tcPr>
                  <w:tcW w:w="521"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rPr>
                  </w:pPr>
                </w:p>
              </w:tc>
              <w:tc>
                <w:tcPr>
                  <w:tcW w:w="50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eastAsia="宋体" w:cs="Times New Roman"/>
                      <w:color w:val="auto"/>
                      <w:sz w:val="21"/>
                      <w:szCs w:val="21"/>
                      <w:vertAlign w:val="baseline"/>
                      <w:lang w:val="en-US" w:eastAsia="zh-CN"/>
                    </w:rPr>
                    <w:t>甲苯与二甲苯合计</w:t>
                  </w:r>
                </w:p>
              </w:tc>
              <w:tc>
                <w:tcPr>
                  <w:tcW w:w="151"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rPr>
                  </w:pPr>
                </w:p>
              </w:tc>
              <w:tc>
                <w:tcPr>
                  <w:tcW w:w="374"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rPr>
                  </w:pPr>
                </w:p>
              </w:tc>
              <w:tc>
                <w:tcPr>
                  <w:tcW w:w="62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ND</w:t>
                  </w:r>
                </w:p>
              </w:tc>
              <w:tc>
                <w:tcPr>
                  <w:tcW w:w="574"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ND</w:t>
                  </w:r>
                </w:p>
              </w:tc>
              <w:tc>
                <w:tcPr>
                  <w:tcW w:w="62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15</w:t>
                  </w:r>
                </w:p>
              </w:tc>
              <w:tc>
                <w:tcPr>
                  <w:tcW w:w="347"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1920</w:t>
                  </w:r>
                </w:p>
              </w:tc>
              <w:tc>
                <w:tcPr>
                  <w:tcW w:w="40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w:t>
                  </w:r>
                </w:p>
              </w:tc>
              <w:tc>
                <w:tcPr>
                  <w:tcW w:w="292"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rPr>
                  </w:pPr>
                  <w:r>
                    <w:rPr>
                      <w:rFonts w:hint="eastAsia" w:ascii="Times New Roman" w:hAnsi="Times New Roman" w:cs="Times New Roman"/>
                      <w:color w:val="auto"/>
                      <w:sz w:val="21"/>
                      <w:szCs w:val="21"/>
                      <w:vertAlign w:val="baseli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2</w:t>
                  </w:r>
                </w:p>
              </w:tc>
              <w:tc>
                <w:tcPr>
                  <w:tcW w:w="877" w:type="pct"/>
                  <w:gridSpan w:val="2"/>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rPr>
                  </w:pPr>
                  <w:r>
                    <w:rPr>
                      <w:rFonts w:hint="eastAsia" w:ascii="Times New Roman" w:hAnsi="Times New Roman" w:cs="Times New Roman"/>
                      <w:color w:val="auto"/>
                      <w:sz w:val="21"/>
                      <w:szCs w:val="21"/>
                      <w:vertAlign w:val="baseline"/>
                      <w:lang w:val="en-US" w:eastAsia="zh-CN"/>
                    </w:rPr>
                    <w:t>厂界无组织</w:t>
                  </w:r>
                </w:p>
              </w:tc>
              <w:tc>
                <w:tcPr>
                  <w:tcW w:w="50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非甲烷总烃</w:t>
                  </w:r>
                </w:p>
              </w:tc>
              <w:tc>
                <w:tcPr>
                  <w:tcW w:w="151"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w:t>
                  </w:r>
                </w:p>
              </w:tc>
              <w:tc>
                <w:tcPr>
                  <w:tcW w:w="374"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rPr>
                  </w:pPr>
                  <w:r>
                    <w:rPr>
                      <w:rFonts w:hint="eastAsia" w:ascii="Times New Roman" w:hAnsi="Times New Roman" w:cs="Times New Roman"/>
                      <w:color w:val="auto"/>
                      <w:sz w:val="21"/>
                      <w:szCs w:val="21"/>
                      <w:vertAlign w:val="baseline"/>
                      <w:lang w:val="en-US" w:eastAsia="zh-CN"/>
                    </w:rPr>
                    <w:t>—</w:t>
                  </w:r>
                </w:p>
              </w:tc>
              <w:tc>
                <w:tcPr>
                  <w:tcW w:w="62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1.33</w:t>
                  </w:r>
                </w:p>
              </w:tc>
              <w:tc>
                <w:tcPr>
                  <w:tcW w:w="574"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rPr>
                  </w:pPr>
                  <w:r>
                    <w:rPr>
                      <w:rFonts w:hint="eastAsia" w:ascii="Times New Roman" w:hAnsi="Times New Roman" w:cs="Times New Roman"/>
                      <w:color w:val="auto"/>
                      <w:sz w:val="21"/>
                      <w:szCs w:val="21"/>
                      <w:vertAlign w:val="baseline"/>
                      <w:lang w:val="en-US" w:eastAsia="zh-CN"/>
                    </w:rPr>
                    <w:t>—</w:t>
                  </w:r>
                </w:p>
              </w:tc>
              <w:tc>
                <w:tcPr>
                  <w:tcW w:w="62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2.0</w:t>
                  </w:r>
                </w:p>
              </w:tc>
              <w:tc>
                <w:tcPr>
                  <w:tcW w:w="347"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1920</w:t>
                  </w:r>
                </w:p>
              </w:tc>
              <w:tc>
                <w:tcPr>
                  <w:tcW w:w="40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rPr>
                  </w:pPr>
                  <w:r>
                    <w:rPr>
                      <w:rFonts w:hint="eastAsia" w:ascii="Times New Roman" w:hAnsi="Times New Roman" w:cs="Times New Roman"/>
                      <w:color w:val="auto"/>
                      <w:sz w:val="21"/>
                      <w:szCs w:val="21"/>
                      <w:vertAlign w:val="baseline"/>
                      <w:lang w:val="en-US" w:eastAsia="zh-CN"/>
                    </w:rPr>
                    <w:t>—</w:t>
                  </w:r>
                </w:p>
              </w:tc>
              <w:tc>
                <w:tcPr>
                  <w:tcW w:w="292"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22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eastAsia="宋体" w:cs="Times New Roman"/>
                      <w:color w:val="auto"/>
                      <w:sz w:val="21"/>
                      <w:szCs w:val="21"/>
                      <w:vertAlign w:val="baseline"/>
                      <w:lang w:val="en-US" w:eastAsia="zh-CN"/>
                    </w:rPr>
                    <w:t>3</w:t>
                  </w:r>
                </w:p>
              </w:tc>
              <w:tc>
                <w:tcPr>
                  <w:tcW w:w="877" w:type="pct"/>
                  <w:gridSpan w:val="2"/>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生产车间口</w:t>
                  </w:r>
                </w:p>
              </w:tc>
              <w:tc>
                <w:tcPr>
                  <w:tcW w:w="50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非甲烷总烃</w:t>
                  </w:r>
                </w:p>
              </w:tc>
              <w:tc>
                <w:tcPr>
                  <w:tcW w:w="151"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rPr>
                  </w:pPr>
                  <w:r>
                    <w:rPr>
                      <w:rFonts w:hint="eastAsia" w:ascii="Times New Roman" w:hAnsi="Times New Roman" w:cs="Times New Roman"/>
                      <w:color w:val="auto"/>
                      <w:sz w:val="21"/>
                      <w:szCs w:val="21"/>
                      <w:vertAlign w:val="baseline"/>
                      <w:lang w:val="en-US" w:eastAsia="zh-CN"/>
                    </w:rPr>
                    <w:t>—</w:t>
                  </w:r>
                </w:p>
              </w:tc>
              <w:tc>
                <w:tcPr>
                  <w:tcW w:w="374"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rPr>
                  </w:pPr>
                  <w:r>
                    <w:rPr>
                      <w:rFonts w:hint="eastAsia" w:ascii="Times New Roman" w:hAnsi="Times New Roman" w:cs="Times New Roman"/>
                      <w:color w:val="auto"/>
                      <w:sz w:val="21"/>
                      <w:szCs w:val="21"/>
                      <w:vertAlign w:val="baseline"/>
                      <w:lang w:val="en-US" w:eastAsia="zh-CN"/>
                    </w:rPr>
                    <w:t>—</w:t>
                  </w:r>
                </w:p>
              </w:tc>
              <w:tc>
                <w:tcPr>
                  <w:tcW w:w="62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2.88</w:t>
                  </w:r>
                </w:p>
              </w:tc>
              <w:tc>
                <w:tcPr>
                  <w:tcW w:w="574"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sz w:val="21"/>
                      <w:szCs w:val="21"/>
                      <w:vertAlign w:val="baseline"/>
                    </w:rPr>
                  </w:pPr>
                  <w:r>
                    <w:rPr>
                      <w:rFonts w:hint="eastAsia" w:ascii="Times New Roman" w:hAnsi="Times New Roman" w:cs="Times New Roman"/>
                      <w:color w:val="auto"/>
                      <w:sz w:val="21"/>
                      <w:szCs w:val="21"/>
                      <w:vertAlign w:val="baseline"/>
                      <w:lang w:val="en-US" w:eastAsia="zh-CN"/>
                    </w:rPr>
                    <w:t>—</w:t>
                  </w:r>
                </w:p>
              </w:tc>
              <w:tc>
                <w:tcPr>
                  <w:tcW w:w="623"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vertAlign w:val="baseline"/>
                      <w:lang w:val="en-US" w:eastAsia="zh-CN" w:bidi="ar-SA"/>
                    </w:rPr>
                  </w:pPr>
                  <w:r>
                    <w:rPr>
                      <w:rFonts w:hint="eastAsia" w:ascii="Times New Roman" w:hAnsi="Times New Roman" w:cs="Times New Roman"/>
                      <w:color w:val="auto"/>
                      <w:sz w:val="21"/>
                      <w:szCs w:val="21"/>
                      <w:vertAlign w:val="baseline"/>
                      <w:lang w:val="en-US" w:eastAsia="zh-CN"/>
                    </w:rPr>
                    <w:t>6.0</w:t>
                  </w:r>
                </w:p>
              </w:tc>
              <w:tc>
                <w:tcPr>
                  <w:tcW w:w="55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kern w:val="2"/>
                      <w:sz w:val="21"/>
                      <w:szCs w:val="21"/>
                      <w:vertAlign w:val="baseline"/>
                      <w:lang w:val="en-US" w:eastAsia="zh-CN" w:bidi="ar-SA"/>
                    </w:rPr>
                  </w:pPr>
                  <w:r>
                    <w:rPr>
                      <w:rFonts w:hint="eastAsia" w:ascii="Times New Roman" w:hAnsi="Times New Roman" w:cs="Times New Roman"/>
                      <w:color w:val="auto"/>
                      <w:sz w:val="21"/>
                      <w:szCs w:val="21"/>
                      <w:vertAlign w:val="baseline"/>
                      <w:lang w:val="en-US" w:eastAsia="zh-CN"/>
                    </w:rPr>
                    <w:t>1920</w:t>
                  </w:r>
                </w:p>
              </w:tc>
              <w:tc>
                <w:tcPr>
                  <w:tcW w:w="64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kern w:val="2"/>
                      <w:sz w:val="21"/>
                      <w:szCs w:val="21"/>
                      <w:vertAlign w:val="baseline"/>
                      <w:lang w:val="en-US" w:eastAsia="zh-CN" w:bidi="ar-SA"/>
                    </w:rPr>
                  </w:pPr>
                  <w:r>
                    <w:rPr>
                      <w:rFonts w:hint="eastAsia" w:ascii="Times New Roman" w:hAnsi="Times New Roman" w:cs="Times New Roman"/>
                      <w:color w:val="auto"/>
                      <w:sz w:val="21"/>
                      <w:szCs w:val="21"/>
                      <w:vertAlign w:val="baseline"/>
                      <w:lang w:val="en-US" w:eastAsia="zh-CN"/>
                    </w:rPr>
                    <w:t>—</w:t>
                  </w:r>
                </w:p>
              </w:tc>
              <w:tc>
                <w:tcPr>
                  <w:tcW w:w="292"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s="Times New Roman"/>
                      <w:color w:val="auto"/>
                      <w:kern w:val="2"/>
                      <w:sz w:val="21"/>
                      <w:szCs w:val="21"/>
                      <w:vertAlign w:val="baseline"/>
                      <w:lang w:val="en-US" w:eastAsia="zh-CN" w:bidi="ar-SA"/>
                    </w:rPr>
                  </w:pPr>
                  <w:r>
                    <w:rPr>
                      <w:rFonts w:hint="eastAsia" w:ascii="Times New Roman" w:hAnsi="Times New Roman" w:cs="Times New Roman"/>
                      <w:color w:val="auto"/>
                      <w:sz w:val="21"/>
                      <w:szCs w:val="21"/>
                      <w:vertAlign w:val="baseline"/>
                      <w:lang w:val="en-US" w:eastAsia="zh-CN"/>
                    </w:rPr>
                    <w:t>达标</w:t>
                  </w:r>
                </w:p>
              </w:tc>
            </w:tr>
          </w:tbl>
          <w:p>
            <w:pPr>
              <w:adjustRightInd w:val="0"/>
              <w:snapToGrid w:val="0"/>
              <w:spacing w:line="400" w:lineRule="exact"/>
              <w:ind w:firstLine="361" w:firstLineChars="200"/>
              <w:rPr>
                <w:rFonts w:hint="default" w:ascii="Times New Roman" w:hAnsi="Times New Roman" w:eastAsia="宋体" w:cs="Times New Roman"/>
                <w:b/>
                <w:bCs/>
                <w:sz w:val="18"/>
                <w:szCs w:val="18"/>
                <w:lang w:val="en-US" w:eastAsia="zh-CN"/>
              </w:rPr>
            </w:pPr>
            <w:r>
              <w:rPr>
                <w:rFonts w:hint="eastAsia" w:cs="Times New Roman"/>
                <w:b/>
                <w:bCs/>
                <w:sz w:val="18"/>
                <w:szCs w:val="18"/>
                <w:lang w:val="en-US" w:eastAsia="zh-CN"/>
              </w:rPr>
              <w:t>注：ND表示未检出</w:t>
            </w: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印刷工序产生的非甲烷总烃有组织最大排放浓度为</w:t>
            </w:r>
            <w:r>
              <w:rPr>
                <w:rFonts w:hint="eastAsia" w:cs="Times New Roman"/>
                <w:szCs w:val="21"/>
                <w:lang w:val="en-US" w:eastAsia="zh-CN"/>
              </w:rPr>
              <w:t>10.4</w:t>
            </w:r>
            <w:r>
              <w:rPr>
                <w:rFonts w:hint="eastAsia" w:ascii="Times New Roman" w:hAnsi="Times New Roman" w:eastAsia="宋体" w:cs="Times New Roman"/>
                <w:szCs w:val="21"/>
                <w:lang w:val="en-US" w:eastAsia="zh-CN"/>
              </w:rPr>
              <w:t>mg/m</w:t>
            </w:r>
            <w:r>
              <w:rPr>
                <w:rFonts w:hint="eastAsia" w:ascii="Times New Roman" w:hAnsi="Times New Roman" w:eastAsia="宋体" w:cs="Times New Roman"/>
                <w:szCs w:val="21"/>
                <w:vertAlign w:val="superscript"/>
                <w:lang w:val="en-US" w:eastAsia="zh-CN"/>
              </w:rPr>
              <w:t>3</w:t>
            </w:r>
            <w:r>
              <w:rPr>
                <w:rFonts w:hint="eastAsia" w:ascii="Times New Roman" w:hAnsi="Times New Roman" w:eastAsia="宋体" w:cs="Times New Roman"/>
                <w:szCs w:val="21"/>
                <w:lang w:val="en-US" w:eastAsia="zh-CN"/>
              </w:rPr>
              <w:t>，苯</w:t>
            </w:r>
            <w:r>
              <w:rPr>
                <w:rFonts w:hint="eastAsia" w:cs="Times New Roman"/>
                <w:szCs w:val="21"/>
                <w:lang w:val="en-US" w:eastAsia="zh-CN"/>
              </w:rPr>
              <w:t>、甲苯、二甲苯、甲苯与二甲苯合计均未检出</w:t>
            </w:r>
            <w:r>
              <w:rPr>
                <w:rFonts w:hint="eastAsia" w:ascii="Times New Roman" w:hAnsi="Times New Roman" w:eastAsia="宋体" w:cs="Times New Roman"/>
                <w:szCs w:val="21"/>
                <w:lang w:val="en-US" w:eastAsia="zh-CN"/>
              </w:rPr>
              <w:t>，排放浓度均满足《工业企业挥发性有机物排放控制标准》（DB13/</w:t>
            </w:r>
            <w:r>
              <w:rPr>
                <w:rFonts w:hint="eastAsia" w:cs="Times New Roman"/>
                <w:szCs w:val="21"/>
                <w:lang w:val="en-US" w:eastAsia="zh-CN"/>
              </w:rPr>
              <w:t>2322-2016</w:t>
            </w:r>
            <w:r>
              <w:rPr>
                <w:rFonts w:hint="eastAsia" w:ascii="Times New Roman" w:hAnsi="Times New Roman" w:eastAsia="宋体" w:cs="Times New Roman"/>
                <w:szCs w:val="21"/>
                <w:lang w:val="en-US" w:eastAsia="zh-CN"/>
              </w:rPr>
              <w:t>）</w:t>
            </w:r>
            <w:r>
              <w:rPr>
                <w:rFonts w:hint="eastAsia" w:cs="Times New Roman"/>
                <w:szCs w:val="21"/>
                <w:lang w:val="en-US" w:eastAsia="zh-CN"/>
              </w:rPr>
              <w:t>印刷工业类大气污染物排放限值</w:t>
            </w:r>
            <w:r>
              <w:rPr>
                <w:rFonts w:hint="eastAsia" w:ascii="Times New Roman" w:hAnsi="Times New Roman" w:eastAsia="宋体" w:cs="Times New Roman"/>
                <w:szCs w:val="21"/>
                <w:lang w:val="en-US" w:eastAsia="zh-CN"/>
              </w:rPr>
              <w:t>要求。厂界无组织非甲烷总烃最大浓度为</w:t>
            </w:r>
            <w:r>
              <w:rPr>
                <w:rFonts w:hint="eastAsia" w:cs="Times New Roman"/>
                <w:szCs w:val="21"/>
                <w:lang w:val="en-US" w:eastAsia="zh-CN"/>
              </w:rPr>
              <w:t>1.33</w:t>
            </w:r>
            <w:r>
              <w:rPr>
                <w:rFonts w:hint="eastAsia" w:ascii="Times New Roman" w:hAnsi="Times New Roman" w:eastAsia="宋体" w:cs="Times New Roman"/>
                <w:szCs w:val="21"/>
                <w:lang w:val="en-US" w:eastAsia="zh-CN"/>
              </w:rPr>
              <w:t>mg/m</w:t>
            </w:r>
            <w:r>
              <w:rPr>
                <w:rFonts w:hint="eastAsia" w:ascii="Times New Roman" w:hAnsi="Times New Roman" w:eastAsia="宋体" w:cs="Times New Roman"/>
                <w:szCs w:val="21"/>
                <w:vertAlign w:val="superscript"/>
                <w:lang w:val="en-US" w:eastAsia="zh-CN"/>
              </w:rPr>
              <w:t>3</w:t>
            </w:r>
            <w:r>
              <w:rPr>
                <w:rFonts w:hint="eastAsia" w:ascii="Times New Roman" w:hAnsi="Times New Roman" w:eastAsia="宋体" w:cs="Times New Roman"/>
                <w:szCs w:val="21"/>
                <w:lang w:val="en-US" w:eastAsia="zh-CN"/>
              </w:rPr>
              <w:t>，厂界无组织非甲烷总烃满足《工业企业挥发性有机物排放控制标准》（DB13/</w:t>
            </w:r>
            <w:r>
              <w:rPr>
                <w:rFonts w:hint="eastAsia" w:cs="Times New Roman"/>
                <w:szCs w:val="21"/>
                <w:lang w:val="en-US" w:eastAsia="zh-CN"/>
              </w:rPr>
              <w:t>2322-2016</w:t>
            </w:r>
            <w:r>
              <w:rPr>
                <w:rFonts w:hint="eastAsia" w:ascii="Times New Roman" w:hAnsi="Times New Roman" w:eastAsia="宋体" w:cs="Times New Roman"/>
                <w:szCs w:val="21"/>
                <w:lang w:val="en-US" w:eastAsia="zh-CN"/>
              </w:rPr>
              <w:t>）表2其他企业标准；生产车间无组织排放监控点非甲烷总烃浓度最大值为</w:t>
            </w:r>
            <w:r>
              <w:rPr>
                <w:rFonts w:hint="eastAsia" w:cs="Times New Roman"/>
                <w:szCs w:val="21"/>
                <w:lang w:val="en-US" w:eastAsia="zh-CN"/>
              </w:rPr>
              <w:t>2.88</w:t>
            </w:r>
            <w:r>
              <w:rPr>
                <w:rFonts w:hint="eastAsia" w:ascii="Times New Roman" w:hAnsi="Times New Roman" w:eastAsia="宋体" w:cs="Times New Roman"/>
                <w:szCs w:val="21"/>
                <w:lang w:val="en-US" w:eastAsia="zh-CN"/>
              </w:rPr>
              <w:t>mg/m</w:t>
            </w:r>
            <w:r>
              <w:rPr>
                <w:rFonts w:hint="eastAsia" w:ascii="Times New Roman" w:hAnsi="Times New Roman" w:eastAsia="宋体" w:cs="Times New Roman"/>
                <w:szCs w:val="21"/>
                <w:vertAlign w:val="superscript"/>
                <w:lang w:val="en-US" w:eastAsia="zh-CN"/>
              </w:rPr>
              <w:t>3</w:t>
            </w:r>
            <w:r>
              <w:rPr>
                <w:rFonts w:hint="eastAsia" w:ascii="Times New Roman" w:hAnsi="Times New Roman" w:eastAsia="宋体" w:cs="Times New Roman"/>
                <w:szCs w:val="21"/>
                <w:lang w:val="en-US" w:eastAsia="zh-CN"/>
              </w:rPr>
              <w:t>，满足《挥发性有机物无组织排放控制标准》（GB37822-2019）</w:t>
            </w:r>
            <w:r>
              <w:rPr>
                <w:rFonts w:hint="eastAsia" w:cs="Times New Roman"/>
                <w:szCs w:val="21"/>
                <w:lang w:val="en-US" w:eastAsia="zh-CN"/>
              </w:rPr>
              <w:t>表A.1</w:t>
            </w:r>
            <w:r>
              <w:rPr>
                <w:rFonts w:hint="eastAsia" w:ascii="Times New Roman" w:hAnsi="Times New Roman" w:eastAsia="宋体" w:cs="Times New Roman"/>
                <w:szCs w:val="21"/>
                <w:lang w:val="en-US" w:eastAsia="zh-CN"/>
              </w:rPr>
              <w:t>要求。</w:t>
            </w: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（2）废水</w:t>
            </w: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现有工程无生产废水产生，职工部分生活污水用于厂区路面抑尘，部分生活污水排入防渗旱厕，定期清掏，不外排。</w:t>
            </w: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（3）噪声</w:t>
            </w:r>
          </w:p>
          <w:p>
            <w:pPr>
              <w:adjustRightInd w:val="0"/>
              <w:snapToGrid w:val="0"/>
              <w:spacing w:line="400" w:lineRule="exact"/>
              <w:ind w:firstLine="420" w:firstLineChars="200"/>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现有工程噪声主要为生产设备、风机等设备噪声，采用</w:t>
            </w:r>
            <w:r>
              <w:rPr>
                <w:rFonts w:hint="eastAsia" w:cs="Times New Roman"/>
                <w:szCs w:val="21"/>
                <w:lang w:val="en-US" w:eastAsia="zh-CN"/>
              </w:rPr>
              <w:t>基</w:t>
            </w:r>
            <w:r>
              <w:rPr>
                <w:rFonts w:hint="eastAsia" w:ascii="Times New Roman" w:hAnsi="Times New Roman" w:eastAsia="宋体" w:cs="Times New Roman"/>
                <w:szCs w:val="21"/>
                <w:lang w:val="en-US" w:eastAsia="zh-CN"/>
              </w:rPr>
              <w:t>础减振、厂房隔声、距离减衰</w:t>
            </w:r>
            <w:r>
              <w:rPr>
                <w:rFonts w:hint="eastAsia" w:cs="Times New Roman"/>
                <w:szCs w:val="21"/>
                <w:lang w:val="en-US" w:eastAsia="zh-CN"/>
              </w:rPr>
              <w:t>等</w:t>
            </w:r>
            <w:r>
              <w:rPr>
                <w:rFonts w:hint="eastAsia" w:ascii="Times New Roman" w:hAnsi="Times New Roman" w:eastAsia="宋体" w:cs="Times New Roman"/>
                <w:szCs w:val="21"/>
                <w:lang w:val="en-US" w:eastAsia="zh-CN"/>
              </w:rPr>
              <w:t>措施。根据202</w:t>
            </w:r>
            <w:r>
              <w:rPr>
                <w:rFonts w:hint="eastAsia" w:cs="Times New Roman"/>
                <w:szCs w:val="21"/>
                <w:lang w:val="en-US" w:eastAsia="zh-CN"/>
              </w:rPr>
              <w:t>3</w:t>
            </w:r>
            <w:r>
              <w:rPr>
                <w:rFonts w:hint="eastAsia" w:ascii="Times New Roman" w:hAnsi="Times New Roman" w:eastAsia="宋体" w:cs="Times New Roman"/>
                <w:szCs w:val="21"/>
                <w:lang w:val="en-US" w:eastAsia="zh-CN"/>
              </w:rPr>
              <w:t>年</w:t>
            </w:r>
            <w:r>
              <w:rPr>
                <w:rFonts w:hint="eastAsia" w:cs="Times New Roman"/>
                <w:szCs w:val="21"/>
                <w:lang w:val="en-US" w:eastAsia="zh-CN"/>
              </w:rPr>
              <w:t>6</w:t>
            </w:r>
            <w:r>
              <w:rPr>
                <w:rFonts w:hint="eastAsia" w:ascii="Times New Roman" w:hAnsi="Times New Roman" w:eastAsia="宋体" w:cs="Times New Roman"/>
                <w:szCs w:val="21"/>
                <w:lang w:val="en-US" w:eastAsia="zh-CN"/>
              </w:rPr>
              <w:t>月</w:t>
            </w:r>
            <w:r>
              <w:rPr>
                <w:rFonts w:hint="eastAsia" w:cs="Times New Roman"/>
                <w:szCs w:val="21"/>
                <w:lang w:val="en-US" w:eastAsia="zh-CN"/>
              </w:rPr>
              <w:t>秦皇岛洁之康环保科技</w:t>
            </w:r>
            <w:r>
              <w:rPr>
                <w:rFonts w:hint="eastAsia" w:ascii="Times New Roman" w:hAnsi="Times New Roman" w:eastAsia="宋体" w:cs="Times New Roman"/>
                <w:szCs w:val="21"/>
                <w:lang w:val="en-US" w:eastAsia="zh-CN"/>
              </w:rPr>
              <w:t>有限公司对</w:t>
            </w:r>
            <w:r>
              <w:rPr>
                <w:rFonts w:hint="eastAsia"/>
                <w:szCs w:val="21"/>
                <w:lang w:val="en-US" w:eastAsia="zh-CN"/>
              </w:rPr>
              <w:t>秦皇岛市抚宁区满亿印刷包装厂</w:t>
            </w:r>
            <w:r>
              <w:rPr>
                <w:rFonts w:hint="eastAsia" w:ascii="Times New Roman" w:hAnsi="Times New Roman" w:eastAsia="宋体" w:cs="Times New Roman"/>
                <w:szCs w:val="21"/>
                <w:lang w:val="en-US" w:eastAsia="zh-CN"/>
              </w:rPr>
              <w:t>出具的《检测报告》（报告编号</w:t>
            </w:r>
            <w:r>
              <w:rPr>
                <w:rFonts w:hint="eastAsia" w:cs="Times New Roman"/>
                <w:szCs w:val="21"/>
                <w:lang w:val="en-US" w:eastAsia="zh-CN"/>
              </w:rPr>
              <w:t>JZK-WT-20230525</w:t>
            </w:r>
            <w:r>
              <w:rPr>
                <w:rFonts w:hint="eastAsia" w:ascii="Times New Roman" w:hAnsi="Times New Roman" w:eastAsia="宋体" w:cs="Times New Roman"/>
                <w:szCs w:val="21"/>
                <w:lang w:val="en-US" w:eastAsia="zh-CN"/>
              </w:rPr>
              <w:t>）可知：厂界昼间噪声值范围为5</w:t>
            </w:r>
            <w:r>
              <w:rPr>
                <w:rFonts w:hint="eastAsia" w:cs="Times New Roman"/>
                <w:szCs w:val="21"/>
                <w:lang w:val="en-US" w:eastAsia="zh-CN"/>
              </w:rPr>
              <w:t>2.3</w:t>
            </w:r>
            <w:r>
              <w:rPr>
                <w:rFonts w:hint="eastAsia" w:ascii="Times New Roman" w:hAnsi="Times New Roman" w:eastAsia="宋体" w:cs="Times New Roman"/>
                <w:szCs w:val="21"/>
                <w:lang w:val="en-US" w:eastAsia="zh-CN"/>
              </w:rPr>
              <w:t>-5</w:t>
            </w:r>
            <w:r>
              <w:rPr>
                <w:rFonts w:hint="eastAsia" w:cs="Times New Roman"/>
                <w:szCs w:val="21"/>
                <w:lang w:val="en-US" w:eastAsia="zh-CN"/>
              </w:rPr>
              <w:t>9.4</w:t>
            </w:r>
            <w:r>
              <w:rPr>
                <w:rFonts w:hint="eastAsia" w:ascii="Times New Roman" w:hAnsi="Times New Roman" w:eastAsia="宋体" w:cs="Times New Roman"/>
                <w:szCs w:val="21"/>
                <w:lang w:val="en-US" w:eastAsia="zh-CN"/>
              </w:rPr>
              <w:t>dB（A），夜间不生产，厂界噪声满足《工业企业厂界环境噪声排放标准》（GB12348-2008）2类标准。</w:t>
            </w: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（4）固体废物</w:t>
            </w:r>
          </w:p>
          <w:p>
            <w:pPr>
              <w:adjustRightInd w:val="0"/>
              <w:snapToGrid w:val="0"/>
              <w:spacing w:line="400" w:lineRule="exact"/>
              <w:ind w:firstLine="420" w:firstLineChars="200"/>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现有工程固体废物主要为</w:t>
            </w:r>
            <w:r>
              <w:rPr>
                <w:rFonts w:hint="eastAsia" w:cs="Times New Roman"/>
                <w:szCs w:val="21"/>
                <w:lang w:val="en-US" w:eastAsia="zh-CN"/>
              </w:rPr>
              <w:t>废纸屑</w:t>
            </w:r>
            <w:r>
              <w:rPr>
                <w:rFonts w:hint="eastAsia" w:ascii="Times New Roman" w:hAnsi="Times New Roman" w:eastAsia="宋体" w:cs="Times New Roman"/>
                <w:szCs w:val="21"/>
                <w:lang w:val="en-US" w:eastAsia="zh-CN"/>
              </w:rPr>
              <w:t>边角料、</w:t>
            </w:r>
            <w:r>
              <w:rPr>
                <w:rFonts w:hint="eastAsia" w:cs="Times New Roman"/>
                <w:szCs w:val="21"/>
                <w:lang w:val="en-US" w:eastAsia="zh-CN"/>
              </w:rPr>
              <w:t>废机油、废冷却液及油桶、废有机废气过滤棉、废显影液及包装、废油墨及包装物、制版冲洗水</w:t>
            </w:r>
            <w:r>
              <w:rPr>
                <w:rFonts w:hint="eastAsia" w:ascii="Times New Roman" w:hAnsi="Times New Roman" w:eastAsia="宋体" w:cs="Times New Roman"/>
                <w:color w:val="auto"/>
                <w:lang w:val="en-US" w:eastAsia="zh-CN"/>
              </w:rPr>
              <w:t>、</w:t>
            </w:r>
            <w:r>
              <w:rPr>
                <w:rFonts w:hint="eastAsia" w:ascii="Times New Roman" w:hAnsi="Times New Roman" w:eastAsia="宋体" w:cs="Times New Roman"/>
                <w:szCs w:val="21"/>
                <w:lang w:val="en-US" w:eastAsia="zh-CN"/>
              </w:rPr>
              <w:t>废</w:t>
            </w:r>
            <w:r>
              <w:rPr>
                <w:rFonts w:hint="eastAsia" w:cs="Times New Roman"/>
                <w:szCs w:val="21"/>
                <w:lang w:val="en-US" w:eastAsia="zh-CN"/>
              </w:rPr>
              <w:t>CPT</w:t>
            </w:r>
            <w:r>
              <w:rPr>
                <w:rFonts w:hint="eastAsia" w:ascii="Times New Roman" w:hAnsi="Times New Roman" w:eastAsia="宋体" w:cs="Times New Roman"/>
                <w:szCs w:val="21"/>
                <w:lang w:val="en-US" w:eastAsia="zh-CN"/>
              </w:rPr>
              <w:t>版和生活垃圾，</w:t>
            </w:r>
            <w:r>
              <w:rPr>
                <w:rFonts w:hint="eastAsia" w:cs="Times New Roman"/>
                <w:szCs w:val="21"/>
                <w:lang w:val="en-US" w:eastAsia="zh-CN"/>
              </w:rPr>
              <w:t>废纸屑边角料</w:t>
            </w:r>
            <w:r>
              <w:rPr>
                <w:rFonts w:hint="eastAsia" w:ascii="Times New Roman" w:hAnsi="Times New Roman" w:eastAsia="宋体" w:cs="Times New Roman"/>
                <w:szCs w:val="21"/>
                <w:lang w:val="en-US" w:eastAsia="zh-CN"/>
              </w:rPr>
              <w:t>收集后</w:t>
            </w:r>
            <w:r>
              <w:rPr>
                <w:rFonts w:hint="eastAsia" w:cs="Times New Roman"/>
                <w:szCs w:val="21"/>
                <w:lang w:val="en-US" w:eastAsia="zh-CN"/>
              </w:rPr>
              <w:t>用于废品回收</w:t>
            </w:r>
            <w:r>
              <w:rPr>
                <w:rFonts w:hint="eastAsia" w:ascii="Times New Roman" w:hAnsi="Times New Roman" w:eastAsia="宋体" w:cs="Times New Roman"/>
                <w:szCs w:val="21"/>
                <w:lang w:val="en-US" w:eastAsia="zh-CN"/>
              </w:rPr>
              <w:t>，</w:t>
            </w:r>
            <w:r>
              <w:rPr>
                <w:rFonts w:hint="eastAsia" w:cs="Times New Roman"/>
                <w:szCs w:val="21"/>
                <w:lang w:val="en-US" w:eastAsia="zh-CN"/>
              </w:rPr>
              <w:t>废机油、废冷却液及油桶、废有机废气过滤棉、废显影液及包装、废油墨及包装物、制版冲洗水</w:t>
            </w:r>
            <w:r>
              <w:rPr>
                <w:rFonts w:hint="eastAsia" w:ascii="Times New Roman" w:hAnsi="Times New Roman" w:eastAsia="宋体" w:cs="Times New Roman"/>
                <w:color w:val="auto"/>
                <w:lang w:val="en-US" w:eastAsia="zh-CN"/>
              </w:rPr>
              <w:t>、</w:t>
            </w:r>
            <w:r>
              <w:rPr>
                <w:rFonts w:hint="eastAsia" w:ascii="Times New Roman" w:hAnsi="Times New Roman" w:eastAsia="宋体" w:cs="Times New Roman"/>
                <w:szCs w:val="21"/>
                <w:lang w:val="en-US" w:eastAsia="zh-CN"/>
              </w:rPr>
              <w:t>废</w:t>
            </w:r>
            <w:r>
              <w:rPr>
                <w:rFonts w:hint="eastAsia" w:cs="Times New Roman"/>
                <w:szCs w:val="21"/>
                <w:lang w:val="en-US" w:eastAsia="zh-CN"/>
              </w:rPr>
              <w:t>CPT</w:t>
            </w:r>
            <w:r>
              <w:rPr>
                <w:rFonts w:hint="eastAsia" w:ascii="Times New Roman" w:hAnsi="Times New Roman" w:eastAsia="宋体" w:cs="Times New Roman"/>
                <w:szCs w:val="21"/>
                <w:lang w:val="en-US" w:eastAsia="zh-CN"/>
              </w:rPr>
              <w:t>版暂存危废间，由有资质的危废处置单位统一处理，职工生活垃圾</w:t>
            </w:r>
            <w:r>
              <w:rPr>
                <w:rFonts w:hint="eastAsia" w:cs="Times New Roman"/>
                <w:szCs w:val="21"/>
                <w:lang w:val="en-US" w:eastAsia="zh-CN"/>
              </w:rPr>
              <w:t>收集后，由环卫部门统一清运</w:t>
            </w:r>
            <w:r>
              <w:rPr>
                <w:rFonts w:hint="eastAsia" w:ascii="Times New Roman" w:hAnsi="Times New Roman" w:eastAsia="宋体" w:cs="Times New Roman"/>
                <w:szCs w:val="21"/>
                <w:lang w:val="en-US" w:eastAsia="zh-CN"/>
              </w:rPr>
              <w:t>。</w:t>
            </w: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r>
              <w:rPr>
                <w:rFonts w:hint="eastAsia" w:cs="Times New Roman"/>
                <w:szCs w:val="21"/>
                <w:lang w:val="en-US" w:eastAsia="zh-CN"/>
              </w:rPr>
              <w:t>3、</w:t>
            </w:r>
            <w:r>
              <w:rPr>
                <w:rFonts w:hint="eastAsia" w:ascii="Times New Roman" w:hAnsi="Times New Roman" w:eastAsia="宋体" w:cs="Times New Roman"/>
                <w:szCs w:val="21"/>
                <w:lang w:val="en-US" w:eastAsia="zh-CN"/>
              </w:rPr>
              <w:t>现有工程存在问题及整改措施</w:t>
            </w: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经现场踏勘，</w:t>
            </w:r>
            <w:r>
              <w:rPr>
                <w:rFonts w:hint="eastAsia" w:cs="Times New Roman"/>
                <w:szCs w:val="21"/>
                <w:lang w:val="en-US" w:eastAsia="zh-CN"/>
              </w:rPr>
              <w:t>不存在</w:t>
            </w:r>
            <w:r>
              <w:rPr>
                <w:rFonts w:hint="eastAsia" w:cs="Times New Roman"/>
                <w:b w:val="0"/>
                <w:bCs/>
                <w:color w:val="auto"/>
                <w:sz w:val="21"/>
                <w:szCs w:val="21"/>
              </w:rPr>
              <w:t>与</w:t>
            </w:r>
            <w:r>
              <w:rPr>
                <w:rFonts w:hint="eastAsia" w:cs="Times New Roman"/>
                <w:b w:val="0"/>
                <w:bCs/>
                <w:color w:val="auto"/>
                <w:sz w:val="21"/>
                <w:szCs w:val="21"/>
                <w:lang w:val="en-US" w:eastAsia="zh-CN"/>
              </w:rPr>
              <w:t>本</w:t>
            </w:r>
            <w:r>
              <w:rPr>
                <w:rFonts w:hint="eastAsia" w:cs="Times New Roman"/>
                <w:b w:val="0"/>
                <w:bCs/>
                <w:color w:val="auto"/>
                <w:sz w:val="21"/>
                <w:szCs w:val="21"/>
              </w:rPr>
              <w:t>项目有关的原有环境污染问题。</w:t>
            </w: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p>
          <w:p>
            <w:pPr>
              <w:adjustRightInd w:val="0"/>
              <w:snapToGrid w:val="0"/>
              <w:spacing w:line="400" w:lineRule="exact"/>
              <w:ind w:firstLine="420" w:firstLineChars="200"/>
              <w:rPr>
                <w:rFonts w:hint="eastAsia" w:ascii="Times New Roman" w:hAnsi="Times New Roman" w:eastAsia="宋体" w:cs="Times New Roman"/>
                <w:szCs w:val="21"/>
                <w:lang w:val="en-US" w:eastAsia="zh-CN"/>
              </w:rPr>
            </w:pPr>
          </w:p>
        </w:tc>
      </w:tr>
    </w:tbl>
    <w:p>
      <w:pPr>
        <w:pStyle w:val="83"/>
        <w:jc w:val="center"/>
        <w:rPr>
          <w:rFonts w:ascii="黑体" w:hAnsi="黑体" w:eastAsia="黑体"/>
          <w:snapToGrid w:val="0"/>
          <w:sz w:val="36"/>
          <w:szCs w:val="36"/>
        </w:rPr>
        <w:sectPr>
          <w:pgSz w:w="11906" w:h="16838"/>
          <w:pgMar w:top="1701" w:right="1531" w:bottom="1701" w:left="1531" w:header="851" w:footer="851" w:gutter="0"/>
          <w:pgNumType w:fmt="decimal"/>
          <w:cols w:space="720" w:num="1"/>
          <w:docGrid w:linePitch="312" w:charSpace="0"/>
        </w:sectPr>
      </w:pPr>
    </w:p>
    <w:p>
      <w:pPr>
        <w:pStyle w:val="83"/>
        <w:jc w:val="center"/>
        <w:outlineLvl w:val="0"/>
        <w:rPr>
          <w:rFonts w:ascii="黑体" w:hAnsi="黑体" w:eastAsia="黑体"/>
          <w:snapToGrid w:val="0"/>
          <w:sz w:val="30"/>
          <w:szCs w:val="30"/>
        </w:rPr>
      </w:pPr>
      <w:bookmarkStart w:id="22" w:name="_Toc30746"/>
      <w:r>
        <w:rPr>
          <w:rFonts w:hint="eastAsia" w:ascii="黑体" w:hAnsi="黑体" w:eastAsia="黑体"/>
          <w:snapToGrid w:val="0"/>
          <w:sz w:val="30"/>
          <w:szCs w:val="30"/>
        </w:rPr>
        <w:t>三、区域环境质量现状、环境保护目标及评价标准</w:t>
      </w:r>
      <w:bookmarkEnd w:id="22"/>
    </w:p>
    <w:tbl>
      <w:tblPr>
        <w:tblStyle w:val="9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00"/>
        <w:gridCol w:w="819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800" w:type="dxa"/>
            <w:vAlign w:val="center"/>
          </w:tcPr>
          <w:p>
            <w:pPr>
              <w:adjustRightInd w:val="0"/>
              <w:snapToGrid w:val="0"/>
              <w:jc w:val="center"/>
              <w:rPr>
                <w:rFonts w:ascii="宋体" w:hAnsi="宋体" w:cs="宋体"/>
                <w:kern w:val="0"/>
                <w:szCs w:val="21"/>
              </w:rPr>
            </w:pPr>
            <w:r>
              <w:rPr>
                <w:rFonts w:hint="eastAsia" w:ascii="宋体" w:hAnsi="宋体" w:cs="宋体"/>
                <w:kern w:val="0"/>
                <w:szCs w:val="21"/>
              </w:rPr>
              <w:t>区域</w:t>
            </w:r>
          </w:p>
          <w:p>
            <w:pPr>
              <w:adjustRightInd w:val="0"/>
              <w:snapToGrid w:val="0"/>
              <w:jc w:val="center"/>
              <w:rPr>
                <w:rFonts w:ascii="宋体" w:hAnsi="宋体" w:cs="宋体"/>
                <w:kern w:val="0"/>
                <w:szCs w:val="21"/>
              </w:rPr>
            </w:pPr>
            <w:r>
              <w:rPr>
                <w:rFonts w:hint="eastAsia" w:ascii="宋体" w:hAnsi="宋体" w:cs="宋体"/>
                <w:kern w:val="0"/>
                <w:szCs w:val="21"/>
              </w:rPr>
              <w:t>环境</w:t>
            </w:r>
          </w:p>
          <w:p>
            <w:pPr>
              <w:adjustRightInd w:val="0"/>
              <w:snapToGrid w:val="0"/>
              <w:jc w:val="center"/>
              <w:rPr>
                <w:rFonts w:ascii="宋体" w:hAnsi="宋体" w:cs="宋体"/>
                <w:kern w:val="0"/>
                <w:szCs w:val="21"/>
              </w:rPr>
            </w:pPr>
            <w:r>
              <w:rPr>
                <w:rFonts w:hint="eastAsia" w:ascii="宋体" w:hAnsi="宋体" w:cs="宋体"/>
                <w:kern w:val="0"/>
                <w:szCs w:val="21"/>
              </w:rPr>
              <w:t>质量</w:t>
            </w:r>
          </w:p>
          <w:p>
            <w:pPr>
              <w:adjustRightInd w:val="0"/>
              <w:snapToGrid w:val="0"/>
              <w:jc w:val="center"/>
              <w:rPr>
                <w:rFonts w:ascii="宋体" w:hAnsi="宋体" w:cs="宋体"/>
                <w:kern w:val="0"/>
                <w:szCs w:val="21"/>
              </w:rPr>
            </w:pPr>
            <w:r>
              <w:rPr>
                <w:rFonts w:hint="eastAsia" w:ascii="宋体" w:hAnsi="宋体" w:cs="宋体"/>
                <w:kern w:val="0"/>
                <w:szCs w:val="21"/>
              </w:rPr>
              <w:t>现状</w:t>
            </w:r>
          </w:p>
        </w:tc>
        <w:tc>
          <w:tcPr>
            <w:tcW w:w="8190" w:type="dxa"/>
            <w:vAlign w:val="center"/>
          </w:tcPr>
          <w:p>
            <w:pPr>
              <w:adjustRightInd w:val="0"/>
              <w:snapToGrid w:val="0"/>
              <w:spacing w:line="400" w:lineRule="exact"/>
              <w:ind w:firstLine="422" w:firstLineChars="200"/>
              <w:rPr>
                <w:b/>
                <w:szCs w:val="21"/>
              </w:rPr>
            </w:pPr>
            <w:r>
              <w:rPr>
                <w:rFonts w:hint="eastAsia"/>
                <w:b/>
                <w:szCs w:val="21"/>
              </w:rPr>
              <w:t>1、大气环境</w:t>
            </w:r>
          </w:p>
          <w:p>
            <w:pPr>
              <w:adjustRightInd w:val="0"/>
              <w:snapToGrid w:val="0"/>
              <w:spacing w:line="400" w:lineRule="exact"/>
              <w:ind w:firstLine="420" w:firstLineChars="200"/>
              <w:rPr>
                <w:rFonts w:hint="eastAsia"/>
                <w:bCs/>
                <w:szCs w:val="21"/>
              </w:rPr>
            </w:pPr>
            <w:bookmarkStart w:id="23" w:name="_Hlk112147339"/>
            <w:r>
              <w:rPr>
                <w:rFonts w:hint="eastAsia"/>
                <w:bCs/>
                <w:szCs w:val="21"/>
              </w:rPr>
              <w:t>（1）</w:t>
            </w:r>
            <w:r>
              <w:rPr>
                <w:bCs/>
                <w:szCs w:val="21"/>
              </w:rPr>
              <w:t>基本污染物</w:t>
            </w:r>
          </w:p>
          <w:p>
            <w:pPr>
              <w:adjustRightInd w:val="0"/>
              <w:snapToGrid w:val="0"/>
              <w:spacing w:line="400" w:lineRule="exact"/>
              <w:ind w:firstLine="420" w:firstLineChars="200"/>
              <w:rPr>
                <w:bCs/>
                <w:szCs w:val="21"/>
              </w:rPr>
            </w:pPr>
            <w:r>
              <w:rPr>
                <w:bCs/>
                <w:szCs w:val="21"/>
              </w:rPr>
              <w:t>基本污染物环境质量现状数据引用《</w:t>
            </w:r>
            <w:r>
              <w:rPr>
                <w:rFonts w:hint="eastAsia"/>
                <w:bCs/>
                <w:szCs w:val="21"/>
              </w:rPr>
              <w:t>关于2023年12月份环境空气质量情况的通报》（秦气防领办〔2024〕2号）中1~12月的数据</w:t>
            </w:r>
            <w:r>
              <w:rPr>
                <w:bCs/>
                <w:szCs w:val="21"/>
              </w:rPr>
              <w:t>》</w:t>
            </w:r>
            <w:r>
              <w:rPr>
                <w:rFonts w:hint="eastAsia"/>
                <w:bCs/>
                <w:szCs w:val="21"/>
              </w:rPr>
              <w:t>（秦气防领办〔202</w:t>
            </w:r>
            <w:r>
              <w:rPr>
                <w:bCs/>
                <w:szCs w:val="21"/>
              </w:rPr>
              <w:t>4</w:t>
            </w:r>
            <w:r>
              <w:rPr>
                <w:rFonts w:hint="eastAsia"/>
                <w:bCs/>
                <w:szCs w:val="21"/>
              </w:rPr>
              <w:t>〕</w:t>
            </w:r>
            <w:r>
              <w:rPr>
                <w:bCs/>
                <w:szCs w:val="21"/>
              </w:rPr>
              <w:t>2</w:t>
            </w:r>
            <w:r>
              <w:rPr>
                <w:rFonts w:hint="eastAsia"/>
                <w:bCs/>
                <w:szCs w:val="21"/>
              </w:rPr>
              <w:t>号）</w:t>
            </w:r>
            <w:r>
              <w:rPr>
                <w:bCs/>
                <w:szCs w:val="21"/>
              </w:rPr>
              <w:t>中的数据，</w:t>
            </w:r>
            <w:r>
              <w:rPr>
                <w:rFonts w:hint="eastAsia"/>
                <w:bCs/>
                <w:szCs w:val="21"/>
              </w:rPr>
              <w:t>抚宁区全年</w:t>
            </w:r>
            <w:r>
              <w:rPr>
                <w:bCs/>
                <w:szCs w:val="21"/>
              </w:rPr>
              <w:t>环境空气质量现状及评价如下：</w:t>
            </w:r>
          </w:p>
          <w:p>
            <w:pPr>
              <w:spacing w:line="400" w:lineRule="exact"/>
              <w:jc w:val="center"/>
              <w:rPr>
                <w:b/>
                <w:szCs w:val="21"/>
              </w:rPr>
            </w:pPr>
            <w:r>
              <w:rPr>
                <w:b/>
                <w:szCs w:val="21"/>
              </w:rPr>
              <w:t>表3-1  基本污染物环境质量现状一览表</w:t>
            </w:r>
          </w:p>
          <w:tbl>
            <w:tblPr>
              <w:tblStyle w:val="9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0"/>
              <w:gridCol w:w="2665"/>
              <w:gridCol w:w="1118"/>
              <w:gridCol w:w="1118"/>
              <w:gridCol w:w="1119"/>
              <w:gridCol w:w="11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5"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污染物</w:t>
                  </w:r>
                </w:p>
              </w:tc>
              <w:tc>
                <w:tcPr>
                  <w:tcW w:w="1673"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年评价指标</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现状浓度</w:t>
                  </w:r>
                </w:p>
                <w:p>
                  <w:pPr>
                    <w:pStyle w:val="116"/>
                    <w:spacing w:line="240" w:lineRule="auto"/>
                    <w:ind w:firstLine="0" w:firstLineChars="0"/>
                    <w:jc w:val="center"/>
                    <w:rPr>
                      <w:bCs/>
                      <w:sz w:val="21"/>
                      <w:szCs w:val="21"/>
                    </w:rPr>
                  </w:pPr>
                  <w:r>
                    <w:rPr>
                      <w:bCs/>
                      <w:sz w:val="21"/>
                      <w:szCs w:val="21"/>
                    </w:rPr>
                    <w:t>μg/m</w:t>
                  </w:r>
                  <w:r>
                    <w:rPr>
                      <w:bCs/>
                      <w:sz w:val="21"/>
                      <w:szCs w:val="21"/>
                      <w:vertAlign w:val="superscript"/>
                    </w:rPr>
                    <w:t>3</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标准值</w:t>
                  </w:r>
                </w:p>
                <w:p>
                  <w:pPr>
                    <w:pStyle w:val="116"/>
                    <w:spacing w:line="240" w:lineRule="auto"/>
                    <w:ind w:firstLine="0" w:firstLineChars="0"/>
                    <w:jc w:val="center"/>
                    <w:rPr>
                      <w:bCs/>
                      <w:sz w:val="21"/>
                      <w:szCs w:val="21"/>
                    </w:rPr>
                  </w:pPr>
                  <w:r>
                    <w:rPr>
                      <w:bCs/>
                      <w:sz w:val="21"/>
                      <w:szCs w:val="21"/>
                    </w:rPr>
                    <w:t>μg/m</w:t>
                  </w:r>
                  <w:r>
                    <w:rPr>
                      <w:bCs/>
                      <w:sz w:val="21"/>
                      <w:szCs w:val="21"/>
                      <w:vertAlign w:val="superscript"/>
                    </w:rPr>
                    <w:t>3</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超标倍数</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rFonts w:hint="default" w:eastAsia="宋体"/>
                      <w:bCs/>
                      <w:sz w:val="21"/>
                      <w:szCs w:val="21"/>
                      <w:lang w:val="en-US" w:eastAsia="zh-CN"/>
                    </w:rPr>
                  </w:pPr>
                  <w:r>
                    <w:rPr>
                      <w:rFonts w:hint="eastAsia"/>
                      <w:bCs/>
                      <w:sz w:val="21"/>
                      <w:szCs w:val="21"/>
                      <w:lang w:val="en-US" w:eastAsia="zh-CN"/>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5"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SO</w:t>
                  </w:r>
                  <w:r>
                    <w:rPr>
                      <w:bCs/>
                      <w:sz w:val="21"/>
                      <w:szCs w:val="21"/>
                      <w:vertAlign w:val="subscript"/>
                    </w:rPr>
                    <w:t>2</w:t>
                  </w:r>
                </w:p>
              </w:tc>
              <w:tc>
                <w:tcPr>
                  <w:tcW w:w="1673"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年平均质量浓度</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rFonts w:hint="eastAsia"/>
                      <w:bCs/>
                      <w:sz w:val="21"/>
                      <w:szCs w:val="21"/>
                    </w:rPr>
                    <w:t>1</w:t>
                  </w:r>
                  <w:r>
                    <w:rPr>
                      <w:bCs/>
                      <w:sz w:val="21"/>
                      <w:szCs w:val="21"/>
                    </w:rPr>
                    <w:t>2</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60</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rFonts w:hint="eastAsia" w:eastAsia="宋体"/>
                      <w:bCs/>
                      <w:sz w:val="21"/>
                      <w:szCs w:val="21"/>
                      <w:lang w:val="en-US" w:eastAsia="zh-CN"/>
                    </w:rPr>
                  </w:pPr>
                  <w:r>
                    <w:rPr>
                      <w:rFonts w:hint="eastAsia"/>
                      <w:bCs/>
                      <w:sz w:val="21"/>
                      <w:szCs w:val="21"/>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5"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NO</w:t>
                  </w:r>
                  <w:r>
                    <w:rPr>
                      <w:bCs/>
                      <w:sz w:val="21"/>
                      <w:szCs w:val="21"/>
                      <w:vertAlign w:val="subscript"/>
                    </w:rPr>
                    <w:t>2</w:t>
                  </w:r>
                </w:p>
              </w:tc>
              <w:tc>
                <w:tcPr>
                  <w:tcW w:w="1673"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年平均质量浓度</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rFonts w:hint="eastAsia"/>
                      <w:bCs/>
                      <w:sz w:val="21"/>
                      <w:szCs w:val="21"/>
                    </w:rPr>
                    <w:t>3</w:t>
                  </w:r>
                  <w:r>
                    <w:rPr>
                      <w:bCs/>
                      <w:sz w:val="21"/>
                      <w:szCs w:val="21"/>
                    </w:rPr>
                    <w:t>0</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40</w:t>
                  </w:r>
                </w:p>
              </w:tc>
              <w:tc>
                <w:tcPr>
                  <w:tcW w:w="702" w:type="pct"/>
                  <w:tcBorders>
                    <w:top w:val="single" w:color="auto" w:sz="4" w:space="0"/>
                    <w:left w:val="single" w:color="auto" w:sz="4" w:space="0"/>
                    <w:bottom w:val="single" w:color="auto" w:sz="4" w:space="0"/>
                    <w:right w:val="single" w:color="auto" w:sz="4" w:space="0"/>
                  </w:tcBorders>
                  <w:vAlign w:val="center"/>
                </w:tcPr>
                <w:p>
                  <w:pPr>
                    <w:jc w:val="center"/>
                    <w:rPr>
                      <w:bCs/>
                      <w:szCs w:val="21"/>
                    </w:rPr>
                  </w:pPr>
                  <w:r>
                    <w:rPr>
                      <w:rFonts w:hint="eastAsia"/>
                      <w:bCs/>
                      <w:szCs w:val="21"/>
                    </w:rPr>
                    <w:t>/</w:t>
                  </w:r>
                </w:p>
              </w:tc>
              <w:tc>
                <w:tcPr>
                  <w:tcW w:w="702" w:type="pct"/>
                  <w:tcBorders>
                    <w:top w:val="single" w:color="auto" w:sz="4" w:space="0"/>
                    <w:left w:val="single" w:color="auto" w:sz="4" w:space="0"/>
                    <w:bottom w:val="single" w:color="auto" w:sz="4" w:space="0"/>
                    <w:right w:val="single" w:color="auto" w:sz="4" w:space="0"/>
                  </w:tcBorders>
                  <w:vAlign w:val="center"/>
                </w:tcPr>
                <w:p>
                  <w:pPr>
                    <w:jc w:val="center"/>
                    <w:rPr>
                      <w:rFonts w:hint="eastAsia"/>
                      <w:bCs/>
                      <w:szCs w:val="21"/>
                    </w:rPr>
                  </w:pPr>
                  <w:r>
                    <w:rPr>
                      <w:rFonts w:hint="eastAsia"/>
                      <w:bCs/>
                      <w:sz w:val="21"/>
                      <w:szCs w:val="21"/>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5"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PM</w:t>
                  </w:r>
                  <w:r>
                    <w:rPr>
                      <w:bCs/>
                      <w:sz w:val="21"/>
                      <w:szCs w:val="21"/>
                      <w:vertAlign w:val="subscript"/>
                    </w:rPr>
                    <w:t>10</w:t>
                  </w:r>
                </w:p>
              </w:tc>
              <w:tc>
                <w:tcPr>
                  <w:tcW w:w="1673"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年平均质量浓度</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rFonts w:hint="eastAsia"/>
                      <w:bCs/>
                      <w:sz w:val="21"/>
                      <w:szCs w:val="21"/>
                    </w:rPr>
                    <w:t>5</w:t>
                  </w:r>
                  <w:r>
                    <w:rPr>
                      <w:bCs/>
                      <w:sz w:val="21"/>
                      <w:szCs w:val="21"/>
                    </w:rPr>
                    <w:t>8</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70</w:t>
                  </w:r>
                </w:p>
              </w:tc>
              <w:tc>
                <w:tcPr>
                  <w:tcW w:w="702" w:type="pct"/>
                  <w:tcBorders>
                    <w:top w:val="single" w:color="auto" w:sz="4" w:space="0"/>
                    <w:left w:val="single" w:color="auto" w:sz="4" w:space="0"/>
                    <w:bottom w:val="single" w:color="auto" w:sz="4" w:space="0"/>
                    <w:right w:val="single" w:color="auto" w:sz="4" w:space="0"/>
                  </w:tcBorders>
                  <w:vAlign w:val="center"/>
                </w:tcPr>
                <w:p>
                  <w:pPr>
                    <w:jc w:val="center"/>
                    <w:rPr>
                      <w:bCs/>
                      <w:szCs w:val="21"/>
                    </w:rPr>
                  </w:pPr>
                  <w:r>
                    <w:rPr>
                      <w:rFonts w:hint="eastAsia"/>
                      <w:bCs/>
                      <w:szCs w:val="21"/>
                    </w:rPr>
                    <w:t>/</w:t>
                  </w:r>
                </w:p>
              </w:tc>
              <w:tc>
                <w:tcPr>
                  <w:tcW w:w="702" w:type="pct"/>
                  <w:tcBorders>
                    <w:top w:val="single" w:color="auto" w:sz="4" w:space="0"/>
                    <w:left w:val="single" w:color="auto" w:sz="4" w:space="0"/>
                    <w:bottom w:val="single" w:color="auto" w:sz="4" w:space="0"/>
                    <w:right w:val="single" w:color="auto" w:sz="4" w:space="0"/>
                  </w:tcBorders>
                  <w:vAlign w:val="center"/>
                </w:tcPr>
                <w:p>
                  <w:pPr>
                    <w:jc w:val="center"/>
                    <w:rPr>
                      <w:rFonts w:hint="eastAsia"/>
                      <w:bCs/>
                      <w:szCs w:val="21"/>
                    </w:rPr>
                  </w:pPr>
                  <w:r>
                    <w:rPr>
                      <w:rFonts w:hint="eastAsia"/>
                      <w:bCs/>
                      <w:sz w:val="21"/>
                      <w:szCs w:val="21"/>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5"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PM</w:t>
                  </w:r>
                  <w:r>
                    <w:rPr>
                      <w:bCs/>
                      <w:sz w:val="21"/>
                      <w:szCs w:val="21"/>
                      <w:vertAlign w:val="subscript"/>
                    </w:rPr>
                    <w:t>2.5</w:t>
                  </w:r>
                </w:p>
              </w:tc>
              <w:tc>
                <w:tcPr>
                  <w:tcW w:w="1673"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年平均质量浓度</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rFonts w:hint="eastAsia"/>
                      <w:bCs/>
                      <w:sz w:val="21"/>
                      <w:szCs w:val="21"/>
                    </w:rPr>
                    <w:t>2</w:t>
                  </w:r>
                  <w:r>
                    <w:rPr>
                      <w:bCs/>
                      <w:sz w:val="21"/>
                      <w:szCs w:val="21"/>
                    </w:rPr>
                    <w:t>7</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35</w:t>
                  </w:r>
                </w:p>
              </w:tc>
              <w:tc>
                <w:tcPr>
                  <w:tcW w:w="702" w:type="pct"/>
                  <w:tcBorders>
                    <w:top w:val="single" w:color="auto" w:sz="4" w:space="0"/>
                    <w:left w:val="single" w:color="auto" w:sz="4" w:space="0"/>
                    <w:bottom w:val="single" w:color="auto" w:sz="4" w:space="0"/>
                    <w:right w:val="single" w:color="auto" w:sz="4" w:space="0"/>
                  </w:tcBorders>
                  <w:vAlign w:val="center"/>
                </w:tcPr>
                <w:p>
                  <w:pPr>
                    <w:jc w:val="center"/>
                    <w:rPr>
                      <w:bCs/>
                      <w:szCs w:val="21"/>
                    </w:rPr>
                  </w:pPr>
                  <w:r>
                    <w:rPr>
                      <w:bCs/>
                      <w:szCs w:val="21"/>
                    </w:rPr>
                    <w:t>/</w:t>
                  </w:r>
                </w:p>
              </w:tc>
              <w:tc>
                <w:tcPr>
                  <w:tcW w:w="702" w:type="pct"/>
                  <w:tcBorders>
                    <w:top w:val="single" w:color="auto" w:sz="4" w:space="0"/>
                    <w:left w:val="single" w:color="auto" w:sz="4" w:space="0"/>
                    <w:bottom w:val="single" w:color="auto" w:sz="4" w:space="0"/>
                    <w:right w:val="single" w:color="auto" w:sz="4" w:space="0"/>
                  </w:tcBorders>
                  <w:vAlign w:val="center"/>
                </w:tcPr>
                <w:p>
                  <w:pPr>
                    <w:jc w:val="center"/>
                    <w:rPr>
                      <w:bCs/>
                      <w:szCs w:val="21"/>
                    </w:rPr>
                  </w:pPr>
                  <w:r>
                    <w:rPr>
                      <w:rFonts w:hint="eastAsia"/>
                      <w:bCs/>
                      <w:sz w:val="21"/>
                      <w:szCs w:val="21"/>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5"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CO</w:t>
                  </w:r>
                </w:p>
              </w:tc>
              <w:tc>
                <w:tcPr>
                  <w:tcW w:w="1673" w:type="pct"/>
                  <w:tcBorders>
                    <w:top w:val="single" w:color="auto" w:sz="4" w:space="0"/>
                    <w:left w:val="single" w:color="auto" w:sz="4" w:space="0"/>
                    <w:bottom w:val="single" w:color="auto" w:sz="4" w:space="0"/>
                    <w:right w:val="single" w:color="auto" w:sz="4" w:space="0"/>
                  </w:tcBorders>
                  <w:vAlign w:val="center"/>
                </w:tcPr>
                <w:p>
                  <w:pPr>
                    <w:pStyle w:val="117"/>
                    <w:spacing w:line="240" w:lineRule="auto"/>
                    <w:rPr>
                      <w:bCs/>
                      <w:szCs w:val="21"/>
                    </w:rPr>
                  </w:pPr>
                  <w:r>
                    <w:rPr>
                      <w:bCs/>
                      <w:szCs w:val="21"/>
                    </w:rPr>
                    <w:t>24小时平均第95位百分位数</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rFonts w:hint="eastAsia"/>
                      <w:bCs/>
                      <w:sz w:val="21"/>
                      <w:szCs w:val="21"/>
                    </w:rPr>
                    <w:t>1</w:t>
                  </w:r>
                  <w:r>
                    <w:rPr>
                      <w:bCs/>
                      <w:sz w:val="21"/>
                      <w:szCs w:val="21"/>
                    </w:rPr>
                    <w:t>500</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4000</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w:t>
                  </w:r>
                </w:p>
              </w:tc>
              <w:tc>
                <w:tcPr>
                  <w:tcW w:w="702"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bCs/>
                      <w:sz w:val="21"/>
                      <w:szCs w:val="21"/>
                    </w:rPr>
                  </w:pPr>
                  <w:r>
                    <w:rPr>
                      <w:rFonts w:hint="eastAsia"/>
                      <w:bCs/>
                      <w:sz w:val="21"/>
                      <w:szCs w:val="21"/>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5"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O</w:t>
                  </w:r>
                  <w:r>
                    <w:rPr>
                      <w:bCs/>
                      <w:sz w:val="21"/>
                      <w:szCs w:val="21"/>
                      <w:vertAlign w:val="subscript"/>
                    </w:rPr>
                    <w:t>3</w:t>
                  </w:r>
                </w:p>
              </w:tc>
              <w:tc>
                <w:tcPr>
                  <w:tcW w:w="1673" w:type="pct"/>
                  <w:tcBorders>
                    <w:top w:val="single" w:color="auto" w:sz="4" w:space="0"/>
                    <w:left w:val="single" w:color="auto" w:sz="4" w:space="0"/>
                    <w:bottom w:val="single" w:color="auto" w:sz="4" w:space="0"/>
                    <w:right w:val="single" w:color="auto" w:sz="4" w:space="0"/>
                  </w:tcBorders>
                  <w:vAlign w:val="center"/>
                </w:tcPr>
                <w:p>
                  <w:pPr>
                    <w:pStyle w:val="117"/>
                    <w:spacing w:line="240" w:lineRule="auto"/>
                    <w:rPr>
                      <w:bCs/>
                      <w:szCs w:val="21"/>
                    </w:rPr>
                  </w:pPr>
                  <w:r>
                    <w:rPr>
                      <w:bCs/>
                      <w:szCs w:val="21"/>
                    </w:rPr>
                    <w:t>8小时平均第90位百分位数</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rFonts w:hint="eastAsia"/>
                      <w:bCs/>
                      <w:sz w:val="21"/>
                      <w:szCs w:val="21"/>
                    </w:rPr>
                    <w:t>1</w:t>
                  </w:r>
                  <w:r>
                    <w:rPr>
                      <w:bCs/>
                      <w:sz w:val="21"/>
                      <w:szCs w:val="21"/>
                    </w:rPr>
                    <w:t>74</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160</w:t>
                  </w:r>
                </w:p>
              </w:tc>
              <w:tc>
                <w:tcPr>
                  <w:tcW w:w="702" w:type="pct"/>
                  <w:tcBorders>
                    <w:top w:val="single" w:color="auto" w:sz="4" w:space="0"/>
                    <w:left w:val="single" w:color="auto" w:sz="4" w:space="0"/>
                    <w:bottom w:val="single" w:color="auto" w:sz="4" w:space="0"/>
                    <w:right w:val="single" w:color="auto" w:sz="4" w:space="0"/>
                  </w:tcBorders>
                  <w:vAlign w:val="center"/>
                </w:tcPr>
                <w:p>
                  <w:pPr>
                    <w:pStyle w:val="116"/>
                    <w:spacing w:line="240" w:lineRule="auto"/>
                    <w:ind w:firstLine="0" w:firstLineChars="0"/>
                    <w:jc w:val="center"/>
                    <w:rPr>
                      <w:bCs/>
                      <w:sz w:val="21"/>
                      <w:szCs w:val="21"/>
                    </w:rPr>
                  </w:pPr>
                  <w:r>
                    <w:rPr>
                      <w:bCs/>
                      <w:sz w:val="21"/>
                      <w:szCs w:val="21"/>
                    </w:rPr>
                    <w:t>0.0875</w:t>
                  </w:r>
                </w:p>
              </w:tc>
              <w:tc>
                <w:tcPr>
                  <w:tcW w:w="702" w:type="pct"/>
                  <w:tcBorders>
                    <w:top w:val="single" w:color="auto" w:sz="4" w:space="0"/>
                    <w:left w:val="single" w:color="auto" w:sz="4" w:space="0"/>
                    <w:bottom w:val="single" w:color="auto" w:sz="4" w:space="0"/>
                    <w:right w:val="single" w:color="auto" w:sz="4" w:space="0"/>
                  </w:tcBorders>
                  <w:vAlign w:val="center"/>
                </w:tcPr>
                <w:p>
                  <w:pPr>
                    <w:spacing w:line="240" w:lineRule="auto"/>
                    <w:ind w:firstLine="0" w:firstLineChars="0"/>
                    <w:jc w:val="center"/>
                    <w:rPr>
                      <w:bCs/>
                      <w:sz w:val="21"/>
                      <w:szCs w:val="21"/>
                    </w:rPr>
                  </w:pPr>
                  <w:r>
                    <w:rPr>
                      <w:rFonts w:hint="eastAsia"/>
                      <w:bCs/>
                      <w:sz w:val="21"/>
                      <w:szCs w:val="21"/>
                      <w:lang w:val="en-US" w:eastAsia="zh-CN"/>
                    </w:rPr>
                    <w:t>超标</w:t>
                  </w:r>
                </w:p>
              </w:tc>
            </w:tr>
          </w:tbl>
          <w:p>
            <w:pPr>
              <w:adjustRightInd w:val="0"/>
              <w:snapToGrid w:val="0"/>
              <w:spacing w:line="400" w:lineRule="exact"/>
              <w:ind w:firstLine="420" w:firstLineChars="200"/>
              <w:rPr>
                <w:bCs/>
                <w:szCs w:val="21"/>
              </w:rPr>
            </w:pPr>
            <w:r>
              <w:rPr>
                <w:bCs/>
                <w:szCs w:val="21"/>
              </w:rPr>
              <w:t>由上表可知，</w:t>
            </w:r>
            <w:r>
              <w:rPr>
                <w:rFonts w:hint="eastAsia"/>
                <w:bCs/>
                <w:szCs w:val="21"/>
              </w:rPr>
              <w:t>项目所在区域秦皇岛市抚宁区2023年环境空气质量中SO</w:t>
            </w:r>
            <w:r>
              <w:rPr>
                <w:rFonts w:hint="eastAsia"/>
                <w:bCs/>
                <w:szCs w:val="21"/>
                <w:vertAlign w:val="subscript"/>
              </w:rPr>
              <w:t>2</w:t>
            </w:r>
            <w:r>
              <w:rPr>
                <w:rFonts w:hint="eastAsia"/>
                <w:bCs/>
                <w:szCs w:val="21"/>
              </w:rPr>
              <w:t>、NO</w:t>
            </w:r>
            <w:r>
              <w:rPr>
                <w:rFonts w:hint="eastAsia"/>
                <w:bCs/>
                <w:szCs w:val="21"/>
                <w:vertAlign w:val="subscript"/>
              </w:rPr>
              <w:t>2</w:t>
            </w:r>
            <w:r>
              <w:rPr>
                <w:rFonts w:hint="eastAsia"/>
                <w:bCs/>
                <w:szCs w:val="21"/>
              </w:rPr>
              <w:t>、PM</w:t>
            </w:r>
            <w:r>
              <w:rPr>
                <w:rFonts w:hint="eastAsia"/>
                <w:bCs/>
                <w:szCs w:val="21"/>
                <w:vertAlign w:val="subscript"/>
              </w:rPr>
              <w:t>10</w:t>
            </w:r>
            <w:r>
              <w:rPr>
                <w:rFonts w:hint="eastAsia"/>
                <w:bCs/>
                <w:szCs w:val="21"/>
              </w:rPr>
              <w:t>、PM</w:t>
            </w:r>
            <w:r>
              <w:rPr>
                <w:rFonts w:hint="eastAsia"/>
                <w:bCs/>
                <w:szCs w:val="21"/>
                <w:vertAlign w:val="subscript"/>
              </w:rPr>
              <w:t>2.5</w:t>
            </w:r>
            <w:r>
              <w:rPr>
                <w:rFonts w:hint="eastAsia"/>
                <w:bCs/>
                <w:szCs w:val="21"/>
              </w:rPr>
              <w:t>和CO年均浓度均达到《环境空气质量标准》（GB3095-2012）及2018年修改单中二级标准限值要求；O</w:t>
            </w:r>
            <w:r>
              <w:rPr>
                <w:rFonts w:hint="eastAsia"/>
                <w:bCs/>
                <w:szCs w:val="21"/>
                <w:vertAlign w:val="subscript"/>
              </w:rPr>
              <w:t>3</w:t>
            </w:r>
            <w:r>
              <w:rPr>
                <w:rFonts w:hint="eastAsia"/>
                <w:bCs/>
                <w:szCs w:val="21"/>
              </w:rPr>
              <w:t>年均浓度</w:t>
            </w:r>
            <w:r>
              <w:rPr>
                <w:rFonts w:hint="eastAsia"/>
                <w:bCs/>
                <w:szCs w:val="21"/>
                <w:lang w:val="en-US" w:eastAsia="zh-CN"/>
              </w:rPr>
              <w:t>超过</w:t>
            </w:r>
            <w:r>
              <w:rPr>
                <w:rFonts w:hint="eastAsia"/>
                <w:bCs/>
                <w:szCs w:val="21"/>
              </w:rPr>
              <w:t>二级标准限值要求，因此，项目所在区域环境空气质量为不达标区。</w:t>
            </w:r>
          </w:p>
          <w:p>
            <w:pPr>
              <w:adjustRightInd w:val="0"/>
              <w:snapToGrid w:val="0"/>
              <w:spacing w:line="400" w:lineRule="exact"/>
              <w:ind w:firstLine="420" w:firstLineChars="200"/>
              <w:rPr>
                <w:rFonts w:hint="eastAsia"/>
                <w:bCs/>
                <w:szCs w:val="21"/>
              </w:rPr>
            </w:pPr>
            <w:r>
              <w:rPr>
                <w:rFonts w:hint="eastAsia"/>
                <w:bCs/>
                <w:szCs w:val="21"/>
              </w:rPr>
              <w:t>（2）</w:t>
            </w:r>
            <w:r>
              <w:rPr>
                <w:rFonts w:hint="eastAsia"/>
                <w:bCs/>
                <w:szCs w:val="21"/>
                <w:lang w:val="en-US" w:eastAsia="zh-CN"/>
              </w:rPr>
              <w:t>特征</w:t>
            </w:r>
            <w:r>
              <w:rPr>
                <w:rFonts w:hint="eastAsia"/>
                <w:bCs/>
                <w:szCs w:val="21"/>
              </w:rPr>
              <w:t>污染物</w:t>
            </w:r>
          </w:p>
          <w:p>
            <w:pPr>
              <w:adjustRightInd w:val="0"/>
              <w:snapToGrid w:val="0"/>
              <w:spacing w:line="400" w:lineRule="exact"/>
              <w:ind w:firstLine="420" w:firstLineChars="200"/>
              <w:rPr>
                <w:bCs/>
                <w:szCs w:val="21"/>
              </w:rPr>
            </w:pPr>
            <w:r>
              <w:rPr>
                <w:rFonts w:hint="eastAsia"/>
                <w:bCs/>
                <w:szCs w:val="21"/>
              </w:rPr>
              <w:t>本项目涉及的</w:t>
            </w:r>
            <w:r>
              <w:rPr>
                <w:rFonts w:hint="eastAsia"/>
                <w:bCs/>
                <w:szCs w:val="21"/>
                <w:lang w:val="en-US" w:eastAsia="zh-CN"/>
              </w:rPr>
              <w:t>特征</w:t>
            </w:r>
            <w:r>
              <w:rPr>
                <w:rFonts w:hint="eastAsia"/>
                <w:bCs/>
                <w:szCs w:val="21"/>
              </w:rPr>
              <w:t>污染物主要为非甲烷总烃，数据引自“秦皇岛润昇新材料科技有限公司</w:t>
            </w:r>
            <w:r>
              <w:rPr>
                <w:rFonts w:hint="eastAsia"/>
                <w:bCs/>
                <w:szCs w:val="21"/>
                <w:lang w:val="en-US" w:eastAsia="zh-CN"/>
              </w:rPr>
              <w:t>环境现状检验检测</w:t>
            </w:r>
            <w:r>
              <w:rPr>
                <w:rFonts w:hint="eastAsia"/>
                <w:bCs/>
                <w:szCs w:val="21"/>
              </w:rPr>
              <w:t>报告”（</w:t>
            </w:r>
            <w:r>
              <w:rPr>
                <w:rFonts w:hint="eastAsia"/>
                <w:bCs/>
                <w:szCs w:val="21"/>
                <w:lang w:val="en-US" w:eastAsia="zh-CN"/>
              </w:rPr>
              <w:t>报告编号：QCHJ2408217</w:t>
            </w:r>
            <w:r>
              <w:rPr>
                <w:rFonts w:hint="eastAsia"/>
                <w:bCs/>
                <w:szCs w:val="21"/>
              </w:rPr>
              <w:t>）中的数据，监测时间为2023年</w:t>
            </w:r>
            <w:r>
              <w:rPr>
                <w:rFonts w:hint="eastAsia"/>
                <w:bCs/>
                <w:szCs w:val="21"/>
                <w:lang w:val="en-US" w:eastAsia="zh-CN"/>
              </w:rPr>
              <w:t>8</w:t>
            </w:r>
            <w:r>
              <w:rPr>
                <w:rFonts w:hint="eastAsia"/>
                <w:bCs/>
                <w:szCs w:val="21"/>
              </w:rPr>
              <w:t>月</w:t>
            </w:r>
            <w:r>
              <w:rPr>
                <w:rFonts w:hint="eastAsia"/>
                <w:bCs/>
                <w:szCs w:val="21"/>
                <w:lang w:val="en-US" w:eastAsia="zh-CN"/>
              </w:rPr>
              <w:t>24</w:t>
            </w:r>
            <w:r>
              <w:rPr>
                <w:rFonts w:hint="eastAsia"/>
                <w:bCs/>
                <w:szCs w:val="21"/>
              </w:rPr>
              <w:t>日~</w:t>
            </w:r>
            <w:r>
              <w:rPr>
                <w:rFonts w:hint="eastAsia"/>
                <w:bCs/>
                <w:szCs w:val="21"/>
                <w:lang w:val="en-US" w:eastAsia="zh-CN"/>
              </w:rPr>
              <w:t>8</w:t>
            </w:r>
            <w:r>
              <w:rPr>
                <w:rFonts w:hint="eastAsia"/>
                <w:bCs/>
                <w:szCs w:val="21"/>
              </w:rPr>
              <w:t>月</w:t>
            </w:r>
            <w:r>
              <w:rPr>
                <w:rFonts w:hint="eastAsia"/>
                <w:bCs/>
                <w:szCs w:val="21"/>
                <w:lang w:val="en-US" w:eastAsia="zh-CN"/>
              </w:rPr>
              <w:t>26</w:t>
            </w:r>
            <w:r>
              <w:rPr>
                <w:rFonts w:hint="eastAsia"/>
                <w:bCs/>
                <w:szCs w:val="21"/>
              </w:rPr>
              <w:t>日，监测点位为秦皇岛润昇新材料科技有限公司</w:t>
            </w:r>
            <w:r>
              <w:rPr>
                <w:rFonts w:hint="eastAsia"/>
                <w:bCs/>
                <w:szCs w:val="21"/>
                <w:lang w:val="en-US" w:eastAsia="zh-CN"/>
              </w:rPr>
              <w:t>厂区下风向处（东南角）</w:t>
            </w:r>
            <w:r>
              <w:rPr>
                <w:rFonts w:hint="eastAsia"/>
                <w:bCs/>
                <w:szCs w:val="21"/>
              </w:rPr>
              <w:t>，现状监测点位位于本项目</w:t>
            </w:r>
            <w:r>
              <w:rPr>
                <w:rFonts w:hint="eastAsia"/>
                <w:bCs/>
                <w:szCs w:val="21"/>
                <w:lang w:val="en-US" w:eastAsia="zh-CN"/>
              </w:rPr>
              <w:t>西</w:t>
            </w:r>
            <w:r>
              <w:rPr>
                <w:rFonts w:hint="eastAsia"/>
                <w:bCs/>
                <w:szCs w:val="21"/>
              </w:rPr>
              <w:t>北侧</w:t>
            </w:r>
            <w:r>
              <w:rPr>
                <w:rFonts w:hint="eastAsia"/>
                <w:bCs/>
                <w:szCs w:val="21"/>
                <w:lang w:val="en-US" w:eastAsia="zh-CN"/>
              </w:rPr>
              <w:t>480</w:t>
            </w:r>
            <w:r>
              <w:rPr>
                <w:rFonts w:hint="eastAsia"/>
                <w:bCs/>
                <w:szCs w:val="21"/>
              </w:rPr>
              <w:t>m处，非甲烷总烃引用符合《建设项目环境影响报告表编制技术指南 污染影响类（试行）》中相关要求，具体情况如下：</w:t>
            </w:r>
          </w:p>
          <w:p>
            <w:pPr>
              <w:spacing w:line="400" w:lineRule="exact"/>
              <w:jc w:val="center"/>
              <w:rPr>
                <w:b/>
                <w:szCs w:val="21"/>
              </w:rPr>
            </w:pPr>
            <w:r>
              <w:rPr>
                <w:rFonts w:hint="eastAsia"/>
                <w:b/>
                <w:szCs w:val="21"/>
              </w:rPr>
              <w:t xml:space="preserve">表 </w:t>
            </w:r>
            <w:r>
              <w:rPr>
                <w:b/>
                <w:szCs w:val="21"/>
              </w:rPr>
              <w:t xml:space="preserve">3-2  </w:t>
            </w:r>
            <w:r>
              <w:rPr>
                <w:rFonts w:hint="eastAsia"/>
                <w:b/>
                <w:szCs w:val="21"/>
                <w:lang w:val="en-US" w:eastAsia="zh-CN"/>
              </w:rPr>
              <w:t>非甲烷总烃</w:t>
            </w:r>
            <w:r>
              <w:rPr>
                <w:rFonts w:hint="eastAsia"/>
                <w:b/>
                <w:szCs w:val="21"/>
              </w:rPr>
              <w:t>现状</w:t>
            </w:r>
            <w:r>
              <w:rPr>
                <w:rFonts w:hint="eastAsia"/>
                <w:b/>
                <w:szCs w:val="21"/>
                <w:lang w:val="en-US" w:eastAsia="zh-CN"/>
              </w:rPr>
              <w:t>监测</w:t>
            </w:r>
            <w:r>
              <w:rPr>
                <w:rFonts w:hint="eastAsia"/>
                <w:b/>
                <w:szCs w:val="21"/>
              </w:rPr>
              <w:t>情况</w:t>
            </w:r>
          </w:p>
          <w:tbl>
            <w:tblPr>
              <w:tblStyle w:val="9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84"/>
              <w:gridCol w:w="1185"/>
              <w:gridCol w:w="1155"/>
              <w:gridCol w:w="1230"/>
              <w:gridCol w:w="1260"/>
              <w:gridCol w:w="9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84" w:type="dxa"/>
                  <w:vAlign w:val="center"/>
                </w:tcPr>
                <w:p>
                  <w:pPr>
                    <w:pStyle w:val="117"/>
                    <w:spacing w:line="240" w:lineRule="auto"/>
                    <w:rPr>
                      <w:bCs/>
                      <w:szCs w:val="21"/>
                    </w:rPr>
                  </w:pPr>
                  <w:r>
                    <w:rPr>
                      <w:rFonts w:hint="eastAsia"/>
                      <w:bCs/>
                      <w:szCs w:val="21"/>
                    </w:rPr>
                    <w:t>监测点位</w:t>
                  </w:r>
                </w:p>
              </w:tc>
              <w:tc>
                <w:tcPr>
                  <w:tcW w:w="1185" w:type="dxa"/>
                  <w:vAlign w:val="center"/>
                </w:tcPr>
                <w:p>
                  <w:pPr>
                    <w:pStyle w:val="117"/>
                    <w:spacing w:line="240" w:lineRule="auto"/>
                    <w:rPr>
                      <w:bCs/>
                      <w:szCs w:val="21"/>
                    </w:rPr>
                  </w:pPr>
                  <w:r>
                    <w:rPr>
                      <w:rFonts w:hint="eastAsia"/>
                      <w:bCs/>
                      <w:szCs w:val="21"/>
                    </w:rPr>
                    <w:t>监测项目</w:t>
                  </w:r>
                </w:p>
              </w:tc>
              <w:tc>
                <w:tcPr>
                  <w:tcW w:w="1155" w:type="dxa"/>
                  <w:vAlign w:val="center"/>
                </w:tcPr>
                <w:p>
                  <w:pPr>
                    <w:pStyle w:val="117"/>
                    <w:spacing w:line="240" w:lineRule="auto"/>
                    <w:rPr>
                      <w:bCs/>
                      <w:szCs w:val="21"/>
                    </w:rPr>
                  </w:pPr>
                  <w:r>
                    <w:rPr>
                      <w:rFonts w:hint="eastAsia"/>
                      <w:bCs/>
                      <w:szCs w:val="21"/>
                    </w:rPr>
                    <w:t>检测频次</w:t>
                  </w:r>
                </w:p>
              </w:tc>
              <w:tc>
                <w:tcPr>
                  <w:tcW w:w="1230" w:type="dxa"/>
                  <w:vAlign w:val="center"/>
                </w:tcPr>
                <w:p>
                  <w:pPr>
                    <w:pStyle w:val="117"/>
                    <w:spacing w:line="240" w:lineRule="auto"/>
                    <w:rPr>
                      <w:bCs/>
                      <w:szCs w:val="21"/>
                    </w:rPr>
                  </w:pPr>
                  <w:r>
                    <w:rPr>
                      <w:rFonts w:hint="eastAsia"/>
                      <w:bCs/>
                      <w:szCs w:val="21"/>
                    </w:rPr>
                    <w:t>监测日期</w:t>
                  </w:r>
                </w:p>
              </w:tc>
              <w:tc>
                <w:tcPr>
                  <w:tcW w:w="1260" w:type="dxa"/>
                  <w:vAlign w:val="center"/>
                </w:tcPr>
                <w:p>
                  <w:pPr>
                    <w:pStyle w:val="117"/>
                    <w:spacing w:line="240" w:lineRule="auto"/>
                    <w:rPr>
                      <w:rFonts w:hint="eastAsia" w:eastAsia="宋体"/>
                      <w:bCs/>
                      <w:szCs w:val="21"/>
                      <w:lang w:eastAsia="zh-CN"/>
                    </w:rPr>
                  </w:pPr>
                  <w:r>
                    <w:rPr>
                      <w:rFonts w:hint="eastAsia"/>
                      <w:bCs/>
                      <w:szCs w:val="21"/>
                    </w:rPr>
                    <w:t>监测结果</w:t>
                  </w:r>
                  <w:r>
                    <w:rPr>
                      <w:rFonts w:hint="eastAsia"/>
                      <w:bCs/>
                      <w:szCs w:val="21"/>
                      <w:lang w:eastAsia="zh-CN"/>
                    </w:rPr>
                    <w:t>（</w:t>
                  </w:r>
                  <w:r>
                    <w:rPr>
                      <w:rFonts w:hint="eastAsia"/>
                      <w:bCs/>
                      <w:szCs w:val="21"/>
                    </w:rPr>
                    <w:t>mg/m</w:t>
                  </w:r>
                  <w:r>
                    <w:rPr>
                      <w:rFonts w:hint="eastAsia"/>
                      <w:bCs/>
                      <w:szCs w:val="21"/>
                      <w:vertAlign w:val="superscript"/>
                    </w:rPr>
                    <w:t>3</w:t>
                  </w:r>
                  <w:r>
                    <w:rPr>
                      <w:rFonts w:hint="eastAsia"/>
                      <w:bCs/>
                      <w:szCs w:val="21"/>
                      <w:lang w:eastAsia="zh-CN"/>
                    </w:rPr>
                    <w:t>）</w:t>
                  </w:r>
                </w:p>
              </w:tc>
              <w:tc>
                <w:tcPr>
                  <w:tcW w:w="948" w:type="dxa"/>
                  <w:vAlign w:val="center"/>
                </w:tcPr>
                <w:p>
                  <w:pPr>
                    <w:pStyle w:val="117"/>
                    <w:spacing w:line="240" w:lineRule="auto"/>
                    <w:rPr>
                      <w:rFonts w:hint="eastAsia" w:eastAsia="宋体"/>
                      <w:bCs/>
                      <w:szCs w:val="21"/>
                      <w:lang w:val="en-US" w:eastAsia="zh-CN"/>
                    </w:rPr>
                  </w:pPr>
                  <w:r>
                    <w:rPr>
                      <w:rFonts w:hint="eastAsia"/>
                      <w:bCs/>
                      <w:szCs w:val="21"/>
                      <w:lang w:val="en-US" w:eastAsia="zh-CN"/>
                    </w:rPr>
                    <w:t>超标率（%）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84" w:type="dxa"/>
                  <w:vAlign w:val="center"/>
                </w:tcPr>
                <w:p>
                  <w:pPr>
                    <w:pStyle w:val="117"/>
                    <w:spacing w:line="240" w:lineRule="auto"/>
                    <w:rPr>
                      <w:bCs/>
                      <w:szCs w:val="21"/>
                    </w:rPr>
                  </w:pPr>
                  <w:r>
                    <w:rPr>
                      <w:rFonts w:hint="eastAsia"/>
                      <w:bCs/>
                      <w:szCs w:val="21"/>
                    </w:rPr>
                    <w:t>秦皇岛润昇新材料科技有限公司厂区下风向处</w:t>
                  </w:r>
                  <w:r>
                    <w:rPr>
                      <w:rFonts w:hint="eastAsia"/>
                      <w:bCs/>
                      <w:szCs w:val="21"/>
                      <w:lang w:val="en-US" w:eastAsia="zh-CN"/>
                    </w:rPr>
                    <w:t>（东南角）</w:t>
                  </w:r>
                </w:p>
              </w:tc>
              <w:tc>
                <w:tcPr>
                  <w:tcW w:w="1185" w:type="dxa"/>
                  <w:vAlign w:val="center"/>
                </w:tcPr>
                <w:p>
                  <w:pPr>
                    <w:pStyle w:val="117"/>
                    <w:spacing w:line="240" w:lineRule="auto"/>
                    <w:rPr>
                      <w:bCs/>
                      <w:szCs w:val="21"/>
                    </w:rPr>
                  </w:pPr>
                  <w:r>
                    <w:rPr>
                      <w:rFonts w:hint="eastAsia"/>
                      <w:bCs/>
                      <w:szCs w:val="21"/>
                    </w:rPr>
                    <w:t>非甲烷总烃</w:t>
                  </w:r>
                </w:p>
              </w:tc>
              <w:tc>
                <w:tcPr>
                  <w:tcW w:w="1155" w:type="dxa"/>
                  <w:vAlign w:val="center"/>
                </w:tcPr>
                <w:p>
                  <w:pPr>
                    <w:pStyle w:val="117"/>
                    <w:spacing w:line="240" w:lineRule="auto"/>
                    <w:rPr>
                      <w:rFonts w:hint="eastAsia" w:eastAsia="宋体"/>
                      <w:bCs/>
                      <w:szCs w:val="21"/>
                      <w:lang w:val="en-US" w:eastAsia="zh-CN"/>
                    </w:rPr>
                  </w:pPr>
                  <w:r>
                    <w:rPr>
                      <w:rFonts w:hint="eastAsia"/>
                      <w:bCs/>
                      <w:szCs w:val="21"/>
                    </w:rPr>
                    <w:t>监测3天</w:t>
                  </w:r>
                </w:p>
                <w:p>
                  <w:pPr>
                    <w:pStyle w:val="117"/>
                    <w:spacing w:line="240" w:lineRule="auto"/>
                    <w:rPr>
                      <w:bCs/>
                      <w:szCs w:val="21"/>
                    </w:rPr>
                  </w:pPr>
                  <w:r>
                    <w:rPr>
                      <w:rFonts w:hint="eastAsia"/>
                      <w:bCs/>
                      <w:szCs w:val="21"/>
                    </w:rPr>
                    <w:t>每天</w:t>
                  </w:r>
                  <w:r>
                    <w:rPr>
                      <w:bCs/>
                      <w:szCs w:val="21"/>
                    </w:rPr>
                    <w:t>4</w:t>
                  </w:r>
                  <w:r>
                    <w:rPr>
                      <w:rFonts w:hint="eastAsia"/>
                      <w:bCs/>
                      <w:szCs w:val="21"/>
                    </w:rPr>
                    <w:t>次</w:t>
                  </w:r>
                </w:p>
              </w:tc>
              <w:tc>
                <w:tcPr>
                  <w:tcW w:w="1230" w:type="dxa"/>
                  <w:vAlign w:val="center"/>
                </w:tcPr>
                <w:p>
                  <w:pPr>
                    <w:pStyle w:val="117"/>
                    <w:spacing w:line="240" w:lineRule="auto"/>
                    <w:rPr>
                      <w:bCs/>
                      <w:szCs w:val="21"/>
                    </w:rPr>
                  </w:pPr>
                  <w:r>
                    <w:rPr>
                      <w:rFonts w:hint="eastAsia"/>
                      <w:bCs/>
                      <w:szCs w:val="21"/>
                    </w:rPr>
                    <w:t>2</w:t>
                  </w:r>
                  <w:r>
                    <w:rPr>
                      <w:bCs/>
                      <w:szCs w:val="21"/>
                    </w:rPr>
                    <w:t>02</w:t>
                  </w:r>
                  <w:r>
                    <w:rPr>
                      <w:rFonts w:hint="eastAsia"/>
                      <w:bCs/>
                      <w:szCs w:val="21"/>
                      <w:lang w:val="en-US" w:eastAsia="zh-CN"/>
                    </w:rPr>
                    <w:t>3</w:t>
                  </w:r>
                  <w:r>
                    <w:rPr>
                      <w:rFonts w:hint="eastAsia"/>
                      <w:bCs/>
                      <w:szCs w:val="21"/>
                    </w:rPr>
                    <w:t>年</w:t>
                  </w:r>
                  <w:r>
                    <w:rPr>
                      <w:rFonts w:hint="eastAsia"/>
                      <w:bCs/>
                      <w:szCs w:val="21"/>
                      <w:lang w:val="en-US" w:eastAsia="zh-CN"/>
                    </w:rPr>
                    <w:t>8</w:t>
                  </w:r>
                  <w:r>
                    <w:rPr>
                      <w:rFonts w:hint="eastAsia"/>
                      <w:bCs/>
                      <w:szCs w:val="21"/>
                    </w:rPr>
                    <w:t>月</w:t>
                  </w:r>
                  <w:r>
                    <w:rPr>
                      <w:rFonts w:hint="eastAsia"/>
                      <w:bCs/>
                      <w:szCs w:val="21"/>
                      <w:lang w:val="en-US" w:eastAsia="zh-CN"/>
                    </w:rPr>
                    <w:t>24</w:t>
                  </w:r>
                  <w:r>
                    <w:rPr>
                      <w:bCs/>
                      <w:szCs w:val="21"/>
                    </w:rPr>
                    <w:t>~</w:t>
                  </w:r>
                  <w:r>
                    <w:rPr>
                      <w:rFonts w:hint="eastAsia"/>
                      <w:bCs/>
                      <w:szCs w:val="21"/>
                      <w:lang w:val="en-US" w:eastAsia="zh-CN"/>
                    </w:rPr>
                    <w:t>26</w:t>
                  </w:r>
                  <w:r>
                    <w:rPr>
                      <w:rFonts w:hint="eastAsia"/>
                      <w:bCs/>
                      <w:szCs w:val="21"/>
                    </w:rPr>
                    <w:t>日</w:t>
                  </w:r>
                </w:p>
              </w:tc>
              <w:tc>
                <w:tcPr>
                  <w:tcW w:w="1260" w:type="dxa"/>
                  <w:vAlign w:val="center"/>
                </w:tcPr>
                <w:p>
                  <w:pPr>
                    <w:pStyle w:val="117"/>
                    <w:spacing w:line="240" w:lineRule="auto"/>
                    <w:rPr>
                      <w:bCs/>
                      <w:szCs w:val="21"/>
                    </w:rPr>
                  </w:pPr>
                  <w:r>
                    <w:rPr>
                      <w:rFonts w:hint="eastAsia"/>
                      <w:bCs/>
                      <w:szCs w:val="21"/>
                    </w:rPr>
                    <w:t>0</w:t>
                  </w:r>
                  <w:r>
                    <w:rPr>
                      <w:bCs/>
                      <w:szCs w:val="21"/>
                    </w:rPr>
                    <w:t>.5</w:t>
                  </w:r>
                  <w:r>
                    <w:rPr>
                      <w:rFonts w:hint="eastAsia"/>
                      <w:bCs/>
                      <w:szCs w:val="21"/>
                      <w:lang w:val="en-US" w:eastAsia="zh-CN"/>
                    </w:rPr>
                    <w:t>7</w:t>
                  </w:r>
                  <w:r>
                    <w:rPr>
                      <w:bCs/>
                      <w:szCs w:val="21"/>
                    </w:rPr>
                    <w:t>~0.</w:t>
                  </w:r>
                  <w:r>
                    <w:rPr>
                      <w:rFonts w:hint="eastAsia"/>
                      <w:bCs/>
                      <w:szCs w:val="21"/>
                      <w:lang w:val="en-US" w:eastAsia="zh-CN"/>
                    </w:rPr>
                    <w:t>82</w:t>
                  </w:r>
                </w:p>
              </w:tc>
              <w:tc>
                <w:tcPr>
                  <w:tcW w:w="948" w:type="dxa"/>
                  <w:vAlign w:val="center"/>
                </w:tcPr>
                <w:p>
                  <w:pPr>
                    <w:pStyle w:val="117"/>
                    <w:spacing w:line="240" w:lineRule="auto"/>
                    <w:rPr>
                      <w:rFonts w:hint="eastAsia" w:eastAsia="宋体"/>
                      <w:bCs/>
                      <w:szCs w:val="21"/>
                      <w:lang w:val="en-US" w:eastAsia="zh-CN"/>
                    </w:rPr>
                  </w:pPr>
                  <w:r>
                    <w:rPr>
                      <w:rFonts w:hint="eastAsia"/>
                      <w:bCs/>
                      <w:szCs w:val="21"/>
                      <w:lang w:val="en-US" w:eastAsia="zh-CN"/>
                    </w:rPr>
                    <w:t>0</w:t>
                  </w:r>
                </w:p>
              </w:tc>
            </w:tr>
          </w:tbl>
          <w:p>
            <w:pPr>
              <w:adjustRightInd w:val="0"/>
              <w:snapToGrid w:val="0"/>
              <w:spacing w:line="400" w:lineRule="exact"/>
              <w:ind w:firstLine="420" w:firstLineChars="200"/>
              <w:rPr>
                <w:bCs/>
                <w:szCs w:val="21"/>
              </w:rPr>
            </w:pPr>
            <w:r>
              <w:rPr>
                <w:rFonts w:hint="eastAsia"/>
                <w:bCs/>
                <w:szCs w:val="21"/>
                <w:lang w:val="en-US" w:eastAsia="zh-CN"/>
              </w:rPr>
              <w:t>由上表可知，项目所在区域</w:t>
            </w:r>
            <w:r>
              <w:rPr>
                <w:rFonts w:hint="eastAsia"/>
                <w:bCs/>
                <w:szCs w:val="21"/>
              </w:rPr>
              <w:t>非甲烷总烃</w:t>
            </w:r>
            <w:r>
              <w:rPr>
                <w:rFonts w:hint="eastAsia"/>
                <w:bCs/>
                <w:szCs w:val="21"/>
                <w:lang w:val="en-US" w:eastAsia="zh-CN"/>
              </w:rPr>
              <w:t>小时均值</w:t>
            </w:r>
            <w:r>
              <w:rPr>
                <w:rFonts w:hint="eastAsia"/>
                <w:bCs/>
                <w:szCs w:val="21"/>
              </w:rPr>
              <w:t>浓度范围为：0</w:t>
            </w:r>
            <w:r>
              <w:rPr>
                <w:bCs/>
                <w:szCs w:val="21"/>
              </w:rPr>
              <w:t>.5</w:t>
            </w:r>
            <w:r>
              <w:rPr>
                <w:rFonts w:hint="eastAsia"/>
                <w:bCs/>
                <w:szCs w:val="21"/>
                <w:lang w:val="en-US" w:eastAsia="zh-CN"/>
              </w:rPr>
              <w:t>7</w:t>
            </w:r>
            <w:r>
              <w:rPr>
                <w:bCs/>
                <w:szCs w:val="21"/>
              </w:rPr>
              <w:t>~0.</w:t>
            </w:r>
            <w:r>
              <w:rPr>
                <w:rFonts w:hint="eastAsia"/>
                <w:bCs/>
                <w:szCs w:val="21"/>
                <w:lang w:val="en-US" w:eastAsia="zh-CN"/>
              </w:rPr>
              <w:t>82</w:t>
            </w:r>
            <w:r>
              <w:rPr>
                <w:rFonts w:hint="eastAsia"/>
                <w:bCs/>
                <w:szCs w:val="21"/>
              </w:rPr>
              <w:t>mg/Nm</w:t>
            </w:r>
            <w:r>
              <w:rPr>
                <w:rFonts w:hint="eastAsia"/>
                <w:bCs/>
                <w:szCs w:val="21"/>
                <w:vertAlign w:val="superscript"/>
              </w:rPr>
              <w:t>3</w:t>
            </w:r>
            <w:r>
              <w:rPr>
                <w:rFonts w:hint="eastAsia"/>
                <w:bCs/>
                <w:szCs w:val="21"/>
              </w:rPr>
              <w:t>，满足《环境空气质量 非甲烷总烃限值》（D</w:t>
            </w:r>
            <w:r>
              <w:rPr>
                <w:bCs/>
                <w:szCs w:val="21"/>
              </w:rPr>
              <w:t>B13/1577-2012</w:t>
            </w:r>
            <w:r>
              <w:rPr>
                <w:rFonts w:hint="eastAsia"/>
                <w:bCs/>
                <w:szCs w:val="21"/>
              </w:rPr>
              <w:t>）表1中二级限值要求（</w:t>
            </w:r>
            <w:r>
              <w:rPr>
                <w:bCs/>
                <w:szCs w:val="21"/>
              </w:rPr>
              <w:t>2.0 mg/m</w:t>
            </w:r>
            <w:r>
              <w:rPr>
                <w:bCs/>
                <w:szCs w:val="21"/>
                <w:vertAlign w:val="superscript"/>
              </w:rPr>
              <w:t>3</w:t>
            </w:r>
            <w:r>
              <w:rPr>
                <w:rFonts w:hint="eastAsia"/>
                <w:bCs/>
                <w:szCs w:val="21"/>
              </w:rPr>
              <w:t>）。</w:t>
            </w:r>
          </w:p>
          <w:bookmarkEnd w:id="23"/>
          <w:p>
            <w:pPr>
              <w:adjustRightInd w:val="0"/>
              <w:snapToGrid w:val="0"/>
              <w:spacing w:line="400" w:lineRule="exact"/>
              <w:ind w:firstLine="422" w:firstLineChars="200"/>
              <w:rPr>
                <w:bCs/>
                <w:szCs w:val="21"/>
              </w:rPr>
            </w:pPr>
            <w:r>
              <w:rPr>
                <w:b/>
                <w:szCs w:val="21"/>
              </w:rPr>
              <w:t>2</w:t>
            </w:r>
            <w:r>
              <w:rPr>
                <w:rFonts w:hint="eastAsia"/>
                <w:b/>
                <w:szCs w:val="21"/>
              </w:rPr>
              <w:t>、声环境：</w:t>
            </w:r>
            <w:r>
              <w:rPr>
                <w:rFonts w:hint="eastAsia"/>
                <w:bCs/>
                <w:szCs w:val="21"/>
              </w:rPr>
              <w:t>本项目周边5</w:t>
            </w:r>
            <w:r>
              <w:rPr>
                <w:bCs/>
                <w:szCs w:val="21"/>
              </w:rPr>
              <w:t>0 m</w:t>
            </w:r>
            <w:r>
              <w:rPr>
                <w:rFonts w:hint="eastAsia"/>
                <w:bCs/>
                <w:szCs w:val="21"/>
              </w:rPr>
              <w:t>范围无声环境保护目标，无需开展声环境质量现状调查。</w:t>
            </w:r>
          </w:p>
          <w:p>
            <w:pPr>
              <w:adjustRightInd w:val="0"/>
              <w:snapToGrid w:val="0"/>
              <w:spacing w:line="400" w:lineRule="exact"/>
              <w:ind w:firstLine="422" w:firstLineChars="200"/>
              <w:rPr>
                <w:bCs/>
                <w:szCs w:val="21"/>
              </w:rPr>
            </w:pPr>
            <w:r>
              <w:rPr>
                <w:b/>
                <w:szCs w:val="21"/>
              </w:rPr>
              <w:t>3</w:t>
            </w:r>
            <w:r>
              <w:rPr>
                <w:rFonts w:hint="eastAsia"/>
                <w:b/>
                <w:szCs w:val="21"/>
              </w:rPr>
              <w:t>、生态环境：</w:t>
            </w:r>
            <w:r>
              <w:rPr>
                <w:rFonts w:hint="eastAsia"/>
                <w:bCs/>
                <w:szCs w:val="21"/>
              </w:rPr>
              <w:t>本项目</w:t>
            </w:r>
            <w:r>
              <w:rPr>
                <w:rFonts w:hint="eastAsia"/>
                <w:bCs/>
                <w:szCs w:val="21"/>
                <w:lang w:val="en-US" w:eastAsia="zh-CN"/>
              </w:rPr>
              <w:t>利用</w:t>
            </w:r>
            <w:r>
              <w:rPr>
                <w:rFonts w:hint="eastAsia"/>
                <w:bCs/>
                <w:szCs w:val="21"/>
              </w:rPr>
              <w:t>现有厂区内</w:t>
            </w:r>
            <w:r>
              <w:rPr>
                <w:rFonts w:hint="eastAsia"/>
                <w:bCs/>
                <w:szCs w:val="21"/>
                <w:lang w:val="en-US" w:eastAsia="zh-CN"/>
              </w:rPr>
              <w:t>车间</w:t>
            </w:r>
            <w:r>
              <w:rPr>
                <w:rFonts w:hint="eastAsia"/>
                <w:bCs/>
                <w:szCs w:val="21"/>
              </w:rPr>
              <w:t>建设，不新增占地。用地范围内无生态环境保护目标，无需进行生态环境现状调查与评价。</w:t>
            </w:r>
          </w:p>
          <w:p>
            <w:pPr>
              <w:adjustRightInd w:val="0"/>
              <w:snapToGrid w:val="0"/>
              <w:spacing w:line="400" w:lineRule="exact"/>
              <w:ind w:firstLine="422" w:firstLineChars="200"/>
              <w:rPr>
                <w:bCs/>
                <w:szCs w:val="21"/>
              </w:rPr>
            </w:pPr>
            <w:r>
              <w:rPr>
                <w:b/>
                <w:szCs w:val="21"/>
              </w:rPr>
              <w:t>4</w:t>
            </w:r>
            <w:r>
              <w:rPr>
                <w:rFonts w:hint="eastAsia"/>
                <w:b/>
                <w:szCs w:val="21"/>
              </w:rPr>
              <w:t>、地下水、土壤环境：</w:t>
            </w:r>
            <w:r>
              <w:rPr>
                <w:rFonts w:hint="eastAsia"/>
                <w:bCs/>
                <w:szCs w:val="21"/>
              </w:rPr>
              <w:t>根据《建设项目环境影响报告表编制技术指南（污染影响类）（试行）》，原则上不开展环境质量现状调查。现有工程已对生产车间、库房、厂区道路等地面进行了防渗措施，不存在土壤、地下水环境污染途径。因此，无需开展地下水、土壤环境质量现状调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33" w:hRule="atLeast"/>
          <w:jc w:val="center"/>
        </w:trPr>
        <w:tc>
          <w:tcPr>
            <w:tcW w:w="800" w:type="dxa"/>
            <w:vAlign w:val="center"/>
          </w:tcPr>
          <w:p>
            <w:pPr>
              <w:adjustRightInd w:val="0"/>
              <w:snapToGrid w:val="0"/>
              <w:jc w:val="center"/>
              <w:rPr>
                <w:rFonts w:ascii="宋体" w:hAnsi="宋体" w:cs="宋体"/>
                <w:kern w:val="0"/>
                <w:szCs w:val="21"/>
              </w:rPr>
            </w:pPr>
            <w:r>
              <w:rPr>
                <w:rFonts w:hint="eastAsia" w:ascii="宋体" w:hAnsi="宋体" w:cs="宋体"/>
                <w:kern w:val="0"/>
                <w:szCs w:val="21"/>
              </w:rPr>
              <w:t>环境</w:t>
            </w:r>
          </w:p>
          <w:p>
            <w:pPr>
              <w:adjustRightInd w:val="0"/>
              <w:snapToGrid w:val="0"/>
              <w:jc w:val="center"/>
              <w:rPr>
                <w:rFonts w:ascii="宋体" w:hAnsi="宋体" w:cs="宋体"/>
                <w:kern w:val="0"/>
                <w:szCs w:val="21"/>
              </w:rPr>
            </w:pPr>
            <w:r>
              <w:rPr>
                <w:rFonts w:hint="eastAsia" w:ascii="宋体" w:hAnsi="宋体" w:cs="宋体"/>
                <w:kern w:val="0"/>
                <w:szCs w:val="21"/>
              </w:rPr>
              <w:t>保护</w:t>
            </w:r>
          </w:p>
          <w:p>
            <w:pPr>
              <w:adjustRightInd w:val="0"/>
              <w:snapToGrid w:val="0"/>
              <w:jc w:val="center"/>
              <w:rPr>
                <w:rFonts w:ascii="宋体" w:hAnsi="宋体" w:cs="宋体"/>
                <w:kern w:val="0"/>
                <w:szCs w:val="21"/>
              </w:rPr>
            </w:pPr>
            <w:r>
              <w:rPr>
                <w:rFonts w:hint="eastAsia" w:ascii="宋体" w:hAnsi="宋体" w:cs="宋体"/>
                <w:kern w:val="0"/>
                <w:szCs w:val="21"/>
              </w:rPr>
              <w:t>目标</w:t>
            </w:r>
          </w:p>
        </w:tc>
        <w:tc>
          <w:tcPr>
            <w:tcW w:w="8190" w:type="dxa"/>
            <w:vAlign w:val="center"/>
          </w:tcPr>
          <w:p>
            <w:pPr>
              <w:adjustRightInd w:val="0"/>
              <w:snapToGrid w:val="0"/>
              <w:spacing w:line="400" w:lineRule="exact"/>
              <w:ind w:firstLine="420" w:firstLineChars="200"/>
              <w:rPr>
                <w:rFonts w:hint="eastAsia" w:eastAsia="宋体"/>
                <w:bCs/>
                <w:szCs w:val="21"/>
                <w:lang w:eastAsia="zh-CN"/>
              </w:rPr>
            </w:pPr>
            <w:r>
              <w:rPr>
                <w:rFonts w:hint="eastAsia"/>
                <w:bCs/>
                <w:szCs w:val="21"/>
              </w:rPr>
              <w:t>1、大气环境：本项目厂界外5</w:t>
            </w:r>
            <w:r>
              <w:rPr>
                <w:bCs/>
                <w:szCs w:val="21"/>
              </w:rPr>
              <w:t>00</w:t>
            </w:r>
            <w:r>
              <w:rPr>
                <w:rFonts w:hint="eastAsia"/>
                <w:bCs/>
                <w:szCs w:val="21"/>
              </w:rPr>
              <w:t>米范围内无自然保护区、风景名胜区、居住区、文化区和农村地区中人群较集中的区域等保护目标</w:t>
            </w:r>
            <w:r>
              <w:rPr>
                <w:rFonts w:hint="eastAsia"/>
                <w:bCs/>
                <w:szCs w:val="21"/>
                <w:lang w:eastAsia="zh-CN"/>
              </w:rPr>
              <w:t>。</w:t>
            </w:r>
          </w:p>
          <w:p>
            <w:pPr>
              <w:adjustRightInd w:val="0"/>
              <w:snapToGrid w:val="0"/>
              <w:spacing w:line="400" w:lineRule="exact"/>
              <w:ind w:firstLine="420" w:firstLineChars="200"/>
              <w:rPr>
                <w:bCs/>
                <w:szCs w:val="21"/>
              </w:rPr>
            </w:pPr>
            <w:r>
              <w:rPr>
                <w:rFonts w:hint="eastAsia"/>
                <w:bCs/>
                <w:szCs w:val="21"/>
              </w:rPr>
              <w:t>2、声环境：本项目</w:t>
            </w:r>
            <w:r>
              <w:rPr>
                <w:rFonts w:hint="eastAsia"/>
                <w:bCs/>
                <w:szCs w:val="21"/>
                <w:lang w:val="en-US" w:eastAsia="zh-CN"/>
              </w:rPr>
              <w:t>厂界外</w:t>
            </w:r>
            <w:r>
              <w:rPr>
                <w:rFonts w:hint="eastAsia"/>
                <w:bCs/>
                <w:szCs w:val="21"/>
              </w:rPr>
              <w:t>5</w:t>
            </w:r>
            <w:r>
              <w:rPr>
                <w:bCs/>
                <w:szCs w:val="21"/>
              </w:rPr>
              <w:t>0m</w:t>
            </w:r>
            <w:r>
              <w:rPr>
                <w:rFonts w:hint="eastAsia"/>
                <w:bCs/>
                <w:szCs w:val="21"/>
              </w:rPr>
              <w:t>范围</w:t>
            </w:r>
            <w:r>
              <w:rPr>
                <w:rFonts w:hint="eastAsia"/>
                <w:bCs/>
                <w:szCs w:val="21"/>
                <w:lang w:val="en-US" w:eastAsia="zh-CN"/>
              </w:rPr>
              <w:t>内</w:t>
            </w:r>
            <w:r>
              <w:rPr>
                <w:rFonts w:hint="eastAsia"/>
                <w:bCs/>
                <w:szCs w:val="21"/>
              </w:rPr>
              <w:t>无声环境</w:t>
            </w:r>
            <w:r>
              <w:rPr>
                <w:rFonts w:hint="eastAsia"/>
                <w:bCs/>
                <w:szCs w:val="21"/>
                <w:lang w:val="en-US" w:eastAsia="zh-CN"/>
              </w:rPr>
              <w:t>保护目标</w:t>
            </w:r>
            <w:r>
              <w:rPr>
                <w:rFonts w:hint="eastAsia"/>
                <w:bCs/>
                <w:szCs w:val="21"/>
              </w:rPr>
              <w:t>。</w:t>
            </w:r>
          </w:p>
          <w:p>
            <w:pPr>
              <w:adjustRightInd w:val="0"/>
              <w:snapToGrid w:val="0"/>
              <w:spacing w:line="400" w:lineRule="exact"/>
              <w:ind w:firstLine="420" w:firstLineChars="200"/>
              <w:rPr>
                <w:bCs/>
                <w:szCs w:val="21"/>
              </w:rPr>
            </w:pPr>
            <w:r>
              <w:rPr>
                <w:rFonts w:hint="eastAsia"/>
                <w:bCs/>
                <w:szCs w:val="21"/>
              </w:rPr>
              <w:t>3、地下水环境：本项目厂界外5</w:t>
            </w:r>
            <w:r>
              <w:rPr>
                <w:bCs/>
                <w:szCs w:val="21"/>
              </w:rPr>
              <w:t>00m</w:t>
            </w:r>
            <w:r>
              <w:rPr>
                <w:rFonts w:hint="eastAsia"/>
                <w:bCs/>
                <w:szCs w:val="21"/>
              </w:rPr>
              <w:t>范围内无地下水集中式饮用水水源和热水、矿泉水、温泉等特殊地下水资源，无相关保护目标。</w:t>
            </w:r>
          </w:p>
          <w:p>
            <w:pPr>
              <w:adjustRightInd w:val="0"/>
              <w:snapToGrid w:val="0"/>
              <w:spacing w:line="400" w:lineRule="exact"/>
              <w:ind w:firstLine="420" w:firstLineChars="200"/>
              <w:rPr>
                <w:bCs/>
                <w:szCs w:val="21"/>
              </w:rPr>
            </w:pPr>
            <w:r>
              <w:rPr>
                <w:rFonts w:hint="eastAsia"/>
                <w:bCs/>
                <w:szCs w:val="21"/>
              </w:rPr>
              <w:t>4、生态环境：本项目</w:t>
            </w:r>
            <w:r>
              <w:rPr>
                <w:rFonts w:hint="eastAsia"/>
                <w:bCs/>
                <w:szCs w:val="21"/>
                <w:lang w:val="en-US" w:eastAsia="zh-CN"/>
              </w:rPr>
              <w:t>利用</w:t>
            </w:r>
            <w:r>
              <w:rPr>
                <w:rFonts w:hint="eastAsia"/>
                <w:bCs/>
                <w:szCs w:val="21"/>
              </w:rPr>
              <w:t>现有厂区内</w:t>
            </w:r>
            <w:r>
              <w:rPr>
                <w:rFonts w:hint="eastAsia"/>
                <w:bCs/>
                <w:szCs w:val="21"/>
                <w:lang w:val="en-US" w:eastAsia="zh-CN"/>
              </w:rPr>
              <w:t>车间</w:t>
            </w:r>
            <w:r>
              <w:rPr>
                <w:rFonts w:hint="eastAsia"/>
                <w:bCs/>
                <w:szCs w:val="21"/>
              </w:rPr>
              <w:t>建设，不新增占地，无生态环境保护目标。</w:t>
            </w:r>
          </w:p>
          <w:p>
            <w:pPr>
              <w:adjustRightInd w:val="0"/>
              <w:snapToGrid w:val="0"/>
              <w:spacing w:line="400" w:lineRule="exact"/>
              <w:ind w:firstLine="420" w:firstLineChars="200"/>
              <w:rPr>
                <w:bCs/>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67" w:hRule="atLeast"/>
          <w:jc w:val="center"/>
        </w:trPr>
        <w:tc>
          <w:tcPr>
            <w:tcW w:w="800" w:type="dxa"/>
            <w:tcMar>
              <w:left w:w="28" w:type="dxa"/>
              <w:right w:w="28" w:type="dxa"/>
            </w:tcMar>
            <w:vAlign w:val="center"/>
          </w:tcPr>
          <w:p>
            <w:pPr>
              <w:adjustRightInd w:val="0"/>
              <w:snapToGrid w:val="0"/>
              <w:jc w:val="center"/>
              <w:rPr>
                <w:rFonts w:ascii="宋体" w:hAnsi="宋体" w:cs="宋体"/>
                <w:kern w:val="0"/>
                <w:szCs w:val="21"/>
              </w:rPr>
            </w:pPr>
            <w:r>
              <w:rPr>
                <w:rFonts w:hint="eastAsia" w:ascii="宋体" w:hAnsi="宋体" w:cs="宋体"/>
                <w:kern w:val="0"/>
                <w:szCs w:val="21"/>
              </w:rPr>
              <w:t>污染</w:t>
            </w:r>
          </w:p>
          <w:p>
            <w:pPr>
              <w:adjustRightInd w:val="0"/>
              <w:snapToGrid w:val="0"/>
              <w:jc w:val="center"/>
              <w:rPr>
                <w:rFonts w:ascii="宋体" w:hAnsi="宋体" w:cs="宋体"/>
                <w:kern w:val="0"/>
                <w:szCs w:val="21"/>
              </w:rPr>
            </w:pPr>
            <w:r>
              <w:rPr>
                <w:rFonts w:hint="eastAsia" w:ascii="宋体" w:hAnsi="宋体" w:cs="宋体"/>
                <w:kern w:val="0"/>
                <w:szCs w:val="21"/>
              </w:rPr>
              <w:t>物排</w:t>
            </w:r>
          </w:p>
          <w:p>
            <w:pPr>
              <w:adjustRightInd w:val="0"/>
              <w:snapToGrid w:val="0"/>
              <w:jc w:val="center"/>
              <w:rPr>
                <w:rFonts w:ascii="宋体" w:hAnsi="宋体" w:cs="宋体"/>
                <w:kern w:val="0"/>
                <w:szCs w:val="21"/>
              </w:rPr>
            </w:pPr>
            <w:r>
              <w:rPr>
                <w:rFonts w:hint="eastAsia" w:ascii="宋体" w:hAnsi="宋体" w:cs="宋体"/>
                <w:kern w:val="0"/>
                <w:szCs w:val="21"/>
              </w:rPr>
              <w:t>放控</w:t>
            </w:r>
          </w:p>
          <w:p>
            <w:pPr>
              <w:adjustRightInd w:val="0"/>
              <w:snapToGrid w:val="0"/>
              <w:jc w:val="center"/>
              <w:rPr>
                <w:rFonts w:ascii="宋体" w:hAnsi="宋体" w:cs="宋体"/>
                <w:kern w:val="0"/>
                <w:szCs w:val="21"/>
              </w:rPr>
            </w:pPr>
            <w:r>
              <w:rPr>
                <w:rFonts w:hint="eastAsia" w:ascii="宋体" w:hAnsi="宋体" w:cs="宋体"/>
                <w:kern w:val="0"/>
                <w:szCs w:val="21"/>
              </w:rPr>
              <w:t>制标</w:t>
            </w:r>
          </w:p>
          <w:p>
            <w:pPr>
              <w:adjustRightInd w:val="0"/>
              <w:snapToGrid w:val="0"/>
              <w:jc w:val="center"/>
              <w:rPr>
                <w:rFonts w:ascii="宋体" w:hAnsi="宋体" w:cs="宋体"/>
                <w:kern w:val="0"/>
                <w:szCs w:val="21"/>
              </w:rPr>
            </w:pPr>
            <w:r>
              <w:rPr>
                <w:rFonts w:hint="eastAsia" w:ascii="宋体" w:hAnsi="宋体" w:cs="宋体"/>
                <w:kern w:val="0"/>
                <w:szCs w:val="21"/>
              </w:rPr>
              <w:t>准</w:t>
            </w:r>
          </w:p>
        </w:tc>
        <w:tc>
          <w:tcPr>
            <w:tcW w:w="8190" w:type="dxa"/>
            <w:vAlign w:val="center"/>
          </w:tcPr>
          <w:p>
            <w:pPr>
              <w:adjustRightInd w:val="0"/>
              <w:snapToGrid w:val="0"/>
              <w:spacing w:line="400" w:lineRule="exact"/>
              <w:rPr>
                <w:b/>
                <w:szCs w:val="21"/>
              </w:rPr>
            </w:pPr>
            <w:bookmarkStart w:id="24" w:name="_Hlk112147318"/>
            <w:r>
              <w:rPr>
                <w:b/>
                <w:szCs w:val="21"/>
              </w:rPr>
              <w:t>施工期</w:t>
            </w:r>
          </w:p>
          <w:p>
            <w:pPr>
              <w:adjustRightInd w:val="0"/>
              <w:snapToGrid w:val="0"/>
              <w:spacing w:line="400" w:lineRule="exact"/>
              <w:ind w:firstLine="420" w:firstLineChars="200"/>
              <w:rPr>
                <w:bCs/>
                <w:szCs w:val="21"/>
              </w:rPr>
            </w:pPr>
            <w:r>
              <w:rPr>
                <w:rFonts w:hint="eastAsia"/>
                <w:bCs/>
                <w:szCs w:val="21"/>
              </w:rPr>
              <w:t>（1）</w:t>
            </w:r>
            <w:r>
              <w:rPr>
                <w:bCs/>
                <w:szCs w:val="21"/>
              </w:rPr>
              <w:t>大气污染物主要为施工扬尘，其排放执行《施工场地扬尘排放标准》（DB13/2934-2019）表1中要求：</w:t>
            </w:r>
          </w:p>
          <w:p>
            <w:pPr>
              <w:spacing w:line="400" w:lineRule="exact"/>
              <w:jc w:val="center"/>
              <w:rPr>
                <w:b/>
                <w:szCs w:val="21"/>
              </w:rPr>
            </w:pPr>
            <w:r>
              <w:rPr>
                <w:b/>
                <w:szCs w:val="21"/>
              </w:rPr>
              <w:t>表3-</w:t>
            </w:r>
            <w:r>
              <w:rPr>
                <w:rFonts w:hint="eastAsia"/>
                <w:b/>
                <w:szCs w:val="21"/>
                <w:lang w:val="en-US" w:eastAsia="zh-CN"/>
              </w:rPr>
              <w:t>3</w:t>
            </w:r>
            <w:r>
              <w:rPr>
                <w:b/>
                <w:szCs w:val="21"/>
              </w:rPr>
              <w:t xml:space="preserve">  施工扬尘排放浓度限值</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53"/>
              <w:gridCol w:w="2654"/>
              <w:gridCol w:w="26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666" w:type="pct"/>
                  <w:vAlign w:val="center"/>
                </w:tcPr>
                <w:p>
                  <w:pPr>
                    <w:jc w:val="center"/>
                  </w:pPr>
                  <w:r>
                    <w:t>控制项目</w:t>
                  </w:r>
                </w:p>
              </w:tc>
              <w:tc>
                <w:tcPr>
                  <w:tcW w:w="1666" w:type="pct"/>
                  <w:vAlign w:val="center"/>
                </w:tcPr>
                <w:p>
                  <w:pPr>
                    <w:jc w:val="center"/>
                  </w:pPr>
                  <w:r>
                    <w:t>浓度限值</w:t>
                  </w:r>
                </w:p>
              </w:tc>
              <w:tc>
                <w:tcPr>
                  <w:tcW w:w="1667" w:type="pct"/>
                  <w:vAlign w:val="center"/>
                </w:tcPr>
                <w:p>
                  <w:pPr>
                    <w:jc w:val="center"/>
                  </w:pPr>
                  <w:r>
                    <w:t>达标判定依据（次/天）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666" w:type="pct"/>
                  <w:vAlign w:val="center"/>
                </w:tcPr>
                <w:p>
                  <w:pPr>
                    <w:jc w:val="center"/>
                  </w:pPr>
                  <w:r>
                    <w:t>PM</w:t>
                  </w:r>
                  <w:r>
                    <w:rPr>
                      <w:vertAlign w:val="subscript"/>
                    </w:rPr>
                    <w:t>10</w:t>
                  </w:r>
                </w:p>
              </w:tc>
              <w:tc>
                <w:tcPr>
                  <w:tcW w:w="1666" w:type="pct"/>
                  <w:vAlign w:val="center"/>
                </w:tcPr>
                <w:p>
                  <w:pPr>
                    <w:jc w:val="center"/>
                  </w:pPr>
                  <w:r>
                    <w:t>80</w:t>
                  </w:r>
                </w:p>
              </w:tc>
              <w:tc>
                <w:tcPr>
                  <w:tcW w:w="1667" w:type="pct"/>
                  <w:vAlign w:val="center"/>
                </w:tcPr>
                <w:p>
                  <w:pPr>
                    <w:jc w:val="center"/>
                  </w:pPr>
                  <w: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000" w:type="pct"/>
                  <w:gridSpan w:val="3"/>
                  <w:vAlign w:val="center"/>
                </w:tcPr>
                <w:p>
                  <w:r>
                    <w:rPr>
                      <w:sz w:val="18"/>
                      <w:szCs w:val="18"/>
                    </w:rPr>
                    <w:t>浓度限值：指监测点PM</w:t>
                  </w:r>
                  <w:r>
                    <w:rPr>
                      <w:sz w:val="18"/>
                      <w:szCs w:val="18"/>
                      <w:vertAlign w:val="subscript"/>
                    </w:rPr>
                    <w:t>10</w:t>
                  </w:r>
                  <w:r>
                    <w:rPr>
                      <w:sz w:val="18"/>
                      <w:szCs w:val="18"/>
                    </w:rPr>
                    <w:t>小时平均浓度实测值与同时段所属（市、区）PM</w:t>
                  </w:r>
                  <w:r>
                    <w:rPr>
                      <w:sz w:val="18"/>
                      <w:szCs w:val="18"/>
                      <w:vertAlign w:val="subscript"/>
                    </w:rPr>
                    <w:t>10</w:t>
                  </w:r>
                  <w:r>
                    <w:rPr>
                      <w:sz w:val="18"/>
                      <w:szCs w:val="18"/>
                    </w:rPr>
                    <w:t>小时平均浓度的差值。当县（市、区）PM</w:t>
                  </w:r>
                  <w:r>
                    <w:rPr>
                      <w:sz w:val="18"/>
                      <w:szCs w:val="18"/>
                      <w:vertAlign w:val="subscript"/>
                    </w:rPr>
                    <w:t>10</w:t>
                  </w:r>
                  <w:r>
                    <w:rPr>
                      <w:sz w:val="18"/>
                      <w:szCs w:val="18"/>
                    </w:rPr>
                    <w:t>小时平均浓度值大于150μg/m³时，以150 μg/m³计。</w:t>
                  </w:r>
                </w:p>
              </w:tc>
            </w:tr>
          </w:tbl>
          <w:p>
            <w:pPr>
              <w:adjustRightInd w:val="0"/>
              <w:snapToGrid w:val="0"/>
              <w:spacing w:line="400" w:lineRule="exact"/>
              <w:ind w:firstLine="420" w:firstLineChars="200"/>
              <w:rPr>
                <w:bCs/>
                <w:szCs w:val="21"/>
              </w:rPr>
            </w:pPr>
            <w:r>
              <w:rPr>
                <w:bCs/>
                <w:szCs w:val="21"/>
              </w:rPr>
              <w:t>（2）噪声排放执行《建筑施工场界环境噪声排放标准》</w:t>
            </w:r>
            <w:r>
              <w:rPr>
                <w:rFonts w:hint="eastAsia"/>
                <w:bCs/>
                <w:szCs w:val="21"/>
              </w:rPr>
              <w:t>（</w:t>
            </w:r>
            <w:r>
              <w:rPr>
                <w:bCs/>
                <w:szCs w:val="21"/>
              </w:rPr>
              <w:t>GB12523-2011</w:t>
            </w:r>
            <w:r>
              <w:rPr>
                <w:rFonts w:hint="eastAsia"/>
                <w:bCs/>
                <w:szCs w:val="21"/>
              </w:rPr>
              <w:t>）</w:t>
            </w:r>
            <w:r>
              <w:rPr>
                <w:bCs/>
                <w:szCs w:val="21"/>
              </w:rPr>
              <w:t>标准：昼间70dB(A)、夜间55dB(A)；</w:t>
            </w:r>
          </w:p>
          <w:p>
            <w:pPr>
              <w:adjustRightInd w:val="0"/>
              <w:snapToGrid w:val="0"/>
              <w:spacing w:line="400" w:lineRule="exact"/>
              <w:rPr>
                <w:b/>
                <w:szCs w:val="21"/>
              </w:rPr>
            </w:pPr>
            <w:r>
              <w:rPr>
                <w:rFonts w:hint="eastAsia"/>
                <w:b/>
                <w:szCs w:val="21"/>
              </w:rPr>
              <w:t>运营</w:t>
            </w:r>
            <w:r>
              <w:rPr>
                <w:b/>
                <w:szCs w:val="21"/>
              </w:rPr>
              <w:t>期</w:t>
            </w:r>
          </w:p>
          <w:p>
            <w:pPr>
              <w:adjustRightInd w:val="0"/>
              <w:snapToGrid w:val="0"/>
              <w:spacing w:line="400" w:lineRule="exact"/>
              <w:ind w:firstLine="422" w:firstLineChars="200"/>
              <w:rPr>
                <w:bCs/>
                <w:szCs w:val="21"/>
              </w:rPr>
            </w:pPr>
            <w:r>
              <w:rPr>
                <w:b/>
                <w:szCs w:val="21"/>
              </w:rPr>
              <w:t>1、</w:t>
            </w:r>
            <w:r>
              <w:rPr>
                <w:rFonts w:hint="eastAsia"/>
                <w:b/>
                <w:szCs w:val="21"/>
              </w:rPr>
              <w:t>废气</w:t>
            </w:r>
            <w:r>
              <w:rPr>
                <w:b/>
                <w:szCs w:val="21"/>
              </w:rPr>
              <w:t>：</w:t>
            </w:r>
            <w:r>
              <w:rPr>
                <w:rFonts w:hint="eastAsia"/>
                <w:bCs/>
                <w:szCs w:val="21"/>
              </w:rPr>
              <w:t>本项目</w:t>
            </w:r>
            <w:r>
              <w:rPr>
                <w:rFonts w:hint="eastAsia"/>
                <w:bCs/>
                <w:szCs w:val="21"/>
                <w:lang w:val="en-US" w:eastAsia="zh-CN"/>
              </w:rPr>
              <w:t>有组织</w:t>
            </w:r>
            <w:r>
              <w:rPr>
                <w:rFonts w:hint="eastAsia"/>
                <w:bCs/>
                <w:szCs w:val="21"/>
              </w:rPr>
              <w:t>非甲烷总烃排放执行《合成树脂工业污染物排放标准》（GB31572-2015</w:t>
            </w:r>
            <w:r>
              <w:rPr>
                <w:rFonts w:hint="eastAsia"/>
                <w:bCs/>
                <w:szCs w:val="21"/>
                <w:lang w:val="en-US" w:eastAsia="zh-CN"/>
              </w:rPr>
              <w:t xml:space="preserve"> 含2024年修改单</w:t>
            </w:r>
            <w:r>
              <w:rPr>
                <w:rFonts w:hint="eastAsia"/>
                <w:bCs/>
                <w:szCs w:val="21"/>
              </w:rPr>
              <w:t>）</w:t>
            </w:r>
            <w:r>
              <w:rPr>
                <w:rFonts w:hint="eastAsia"/>
                <w:bCs/>
                <w:szCs w:val="21"/>
                <w:lang w:val="en-US" w:eastAsia="zh-CN"/>
              </w:rPr>
              <w:t>表5大气污染物特别排放</w:t>
            </w:r>
            <w:r>
              <w:rPr>
                <w:rFonts w:hint="eastAsia"/>
                <w:bCs/>
                <w:szCs w:val="21"/>
              </w:rPr>
              <w:t>限值要求，厂界无组织非甲烷总烃执行</w:t>
            </w:r>
            <w:r>
              <w:rPr>
                <w:rFonts w:hint="eastAsia" w:ascii="Times New Roman" w:hAnsi="Times New Roman" w:eastAsia="宋体" w:cs="Times New Roman"/>
                <w:color w:val="auto"/>
                <w:lang w:val="zh-CN"/>
              </w:rPr>
              <w:t>《工业企业挥发性有机物排放控制标准》（DB13/2322-2016）表2企业边界大气污染物浓度限值</w:t>
            </w:r>
            <w:r>
              <w:rPr>
                <w:rFonts w:hint="eastAsia"/>
                <w:bCs/>
                <w:szCs w:val="21"/>
                <w:lang w:val="en-US" w:eastAsia="zh-CN"/>
              </w:rPr>
              <w:t>，</w:t>
            </w:r>
            <w:r>
              <w:rPr>
                <w:rFonts w:hint="eastAsia"/>
                <w:bCs/>
                <w:szCs w:val="21"/>
              </w:rPr>
              <w:t>厂区内VOCs（以非甲烷总烃计）排放执行</w:t>
            </w:r>
            <w:r>
              <w:rPr>
                <w:rFonts w:hint="eastAsia" w:ascii="Times New Roman" w:hAnsi="Times New Roman" w:cs="Times New Roman"/>
                <w:color w:val="auto"/>
              </w:rPr>
              <w:t>《挥发性有机物无组织排放控制标准》（GB37822-2019）表A.1厂区内VOCs无组织特别排放限值要求</w:t>
            </w:r>
            <w:r>
              <w:rPr>
                <w:rFonts w:hint="eastAsia"/>
                <w:bCs/>
                <w:szCs w:val="21"/>
                <w:lang w:eastAsia="zh-CN"/>
              </w:rPr>
              <w:t>。</w:t>
            </w:r>
            <w:r>
              <w:rPr>
                <w:rFonts w:hint="eastAsia"/>
                <w:bCs/>
                <w:szCs w:val="21"/>
              </w:rPr>
              <w:t>排放标准执行情况如下：</w:t>
            </w:r>
          </w:p>
          <w:p>
            <w:pPr>
              <w:spacing w:line="400" w:lineRule="exact"/>
              <w:jc w:val="center"/>
              <w:rPr>
                <w:b/>
                <w:szCs w:val="21"/>
              </w:rPr>
            </w:pPr>
          </w:p>
          <w:p>
            <w:pPr>
              <w:spacing w:line="400" w:lineRule="exact"/>
              <w:jc w:val="center"/>
              <w:rPr>
                <w:b/>
                <w:szCs w:val="21"/>
              </w:rPr>
            </w:pPr>
            <w:r>
              <w:rPr>
                <w:b/>
                <w:szCs w:val="21"/>
              </w:rPr>
              <w:t>表3-</w:t>
            </w:r>
            <w:r>
              <w:rPr>
                <w:rFonts w:hint="eastAsia"/>
                <w:b/>
                <w:szCs w:val="21"/>
                <w:lang w:val="en-US" w:eastAsia="zh-CN"/>
              </w:rPr>
              <w:t>4</w:t>
            </w:r>
            <w:r>
              <w:rPr>
                <w:b/>
                <w:szCs w:val="21"/>
              </w:rPr>
              <w:t xml:space="preserve">  运营期废气污染物排放标准</w:t>
            </w:r>
          </w:p>
          <w:tbl>
            <w:tblPr>
              <w:tblStyle w:val="90"/>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28" w:type="dxa"/>
                <w:bottom w:w="0" w:type="dxa"/>
                <w:right w:w="28" w:type="dxa"/>
              </w:tblCellMar>
            </w:tblPr>
            <w:tblGrid>
              <w:gridCol w:w="1268"/>
              <w:gridCol w:w="1160"/>
              <w:gridCol w:w="1653"/>
              <w:gridCol w:w="37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blHeader/>
                <w:jc w:val="center"/>
              </w:trPr>
              <w:tc>
                <w:tcPr>
                  <w:tcW w:w="1268" w:type="dxa"/>
                  <w:tcMar>
                    <w:left w:w="28" w:type="dxa"/>
                    <w:right w:w="28" w:type="dxa"/>
                  </w:tcMar>
                  <w:vAlign w:val="center"/>
                </w:tcPr>
                <w:p>
                  <w:pPr>
                    <w:adjustRightInd w:val="0"/>
                    <w:snapToGrid w:val="0"/>
                    <w:jc w:val="center"/>
                    <w:rPr>
                      <w:szCs w:val="21"/>
                    </w:rPr>
                  </w:pPr>
                  <w:r>
                    <w:rPr>
                      <w:rFonts w:hint="eastAsia"/>
                      <w:szCs w:val="21"/>
                    </w:rPr>
                    <w:t>排放口编号</w:t>
                  </w:r>
                </w:p>
              </w:tc>
              <w:tc>
                <w:tcPr>
                  <w:tcW w:w="1160" w:type="dxa"/>
                  <w:tcBorders>
                    <w:right w:val="single" w:color="auto" w:sz="4" w:space="0"/>
                  </w:tcBorders>
                  <w:tcMar>
                    <w:left w:w="28" w:type="dxa"/>
                    <w:right w:w="28" w:type="dxa"/>
                  </w:tcMar>
                  <w:vAlign w:val="center"/>
                </w:tcPr>
                <w:p>
                  <w:pPr>
                    <w:adjustRightInd w:val="0"/>
                    <w:snapToGrid w:val="0"/>
                    <w:jc w:val="center"/>
                    <w:rPr>
                      <w:szCs w:val="21"/>
                    </w:rPr>
                  </w:pPr>
                  <w:r>
                    <w:rPr>
                      <w:szCs w:val="21"/>
                    </w:rPr>
                    <w:t>污染物</w:t>
                  </w:r>
                </w:p>
              </w:tc>
              <w:tc>
                <w:tcPr>
                  <w:tcW w:w="1653" w:type="dxa"/>
                  <w:tcBorders>
                    <w:right w:val="single" w:color="auto" w:sz="4" w:space="0"/>
                  </w:tcBorders>
                  <w:vAlign w:val="center"/>
                </w:tcPr>
                <w:p>
                  <w:pPr>
                    <w:adjustRightInd w:val="0"/>
                    <w:snapToGrid w:val="0"/>
                    <w:jc w:val="center"/>
                    <w:rPr>
                      <w:szCs w:val="21"/>
                    </w:rPr>
                  </w:pPr>
                  <w:r>
                    <w:rPr>
                      <w:szCs w:val="21"/>
                    </w:rPr>
                    <w:t>限值</w:t>
                  </w:r>
                </w:p>
              </w:tc>
              <w:tc>
                <w:tcPr>
                  <w:tcW w:w="3727" w:type="dxa"/>
                  <w:tcBorders>
                    <w:left w:val="single" w:color="auto" w:sz="4" w:space="0"/>
                    <w:right w:val="single" w:color="auto" w:sz="4" w:space="0"/>
                  </w:tcBorders>
                  <w:vAlign w:val="center"/>
                </w:tcPr>
                <w:p>
                  <w:pPr>
                    <w:adjustRightInd w:val="0"/>
                    <w:snapToGrid w:val="0"/>
                    <w:jc w:val="center"/>
                    <w:rPr>
                      <w:szCs w:val="21"/>
                    </w:rPr>
                  </w:pPr>
                  <w:r>
                    <w:rPr>
                      <w:szCs w:val="21"/>
                    </w:rPr>
                    <w:t>标准来源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226" w:hRule="atLeast"/>
                <w:tblHeader/>
                <w:jc w:val="center"/>
              </w:trPr>
              <w:tc>
                <w:tcPr>
                  <w:tcW w:w="1268" w:type="dxa"/>
                  <w:tcMar>
                    <w:left w:w="28" w:type="dxa"/>
                    <w:right w:w="28" w:type="dxa"/>
                  </w:tcMar>
                  <w:vAlign w:val="center"/>
                </w:tcPr>
                <w:p>
                  <w:pPr>
                    <w:adjustRightInd w:val="0"/>
                    <w:snapToGrid w:val="0"/>
                    <w:jc w:val="center"/>
                    <w:rPr>
                      <w:szCs w:val="21"/>
                    </w:rPr>
                  </w:pPr>
                  <w:r>
                    <w:rPr>
                      <w:rFonts w:hint="eastAsia"/>
                      <w:szCs w:val="21"/>
                    </w:rPr>
                    <w:t>废气排气筒D</w:t>
                  </w:r>
                  <w:r>
                    <w:rPr>
                      <w:szCs w:val="21"/>
                    </w:rPr>
                    <w:t>A001</w:t>
                  </w:r>
                </w:p>
              </w:tc>
              <w:tc>
                <w:tcPr>
                  <w:tcW w:w="1160" w:type="dxa"/>
                  <w:tcBorders>
                    <w:right w:val="single" w:color="auto" w:sz="4" w:space="0"/>
                  </w:tcBorders>
                  <w:tcMar>
                    <w:left w:w="28" w:type="dxa"/>
                    <w:right w:w="28" w:type="dxa"/>
                  </w:tcMar>
                  <w:vAlign w:val="center"/>
                </w:tcPr>
                <w:p>
                  <w:pPr>
                    <w:adjustRightInd w:val="0"/>
                    <w:snapToGrid w:val="0"/>
                    <w:jc w:val="center"/>
                    <w:rPr>
                      <w:szCs w:val="21"/>
                    </w:rPr>
                  </w:pPr>
                  <w:r>
                    <w:rPr>
                      <w:szCs w:val="21"/>
                    </w:rPr>
                    <w:t>非甲烷总烃</w:t>
                  </w:r>
                </w:p>
              </w:tc>
              <w:tc>
                <w:tcPr>
                  <w:tcW w:w="1653" w:type="dxa"/>
                  <w:tcBorders>
                    <w:right w:val="single" w:color="auto" w:sz="4" w:space="0"/>
                  </w:tcBorders>
                  <w:vAlign w:val="center"/>
                </w:tcPr>
                <w:p>
                  <w:pPr>
                    <w:adjustRightInd w:val="0"/>
                    <w:snapToGrid w:val="0"/>
                    <w:jc w:val="center"/>
                    <w:rPr>
                      <w:szCs w:val="21"/>
                    </w:rPr>
                  </w:pPr>
                  <w:r>
                    <w:rPr>
                      <w:rFonts w:hint="eastAsia"/>
                      <w:szCs w:val="21"/>
                      <w:lang w:val="en-US" w:eastAsia="zh-CN"/>
                    </w:rPr>
                    <w:t>6</w:t>
                  </w:r>
                  <w:r>
                    <w:rPr>
                      <w:szCs w:val="21"/>
                    </w:rPr>
                    <w:t>0 mg/m</w:t>
                  </w:r>
                  <w:r>
                    <w:rPr>
                      <w:szCs w:val="21"/>
                      <w:vertAlign w:val="superscript"/>
                    </w:rPr>
                    <w:t>3</w:t>
                  </w:r>
                </w:p>
              </w:tc>
              <w:tc>
                <w:tcPr>
                  <w:tcW w:w="3727" w:type="dxa"/>
                  <w:tcBorders>
                    <w:left w:val="single" w:color="auto" w:sz="4" w:space="0"/>
                    <w:right w:val="single" w:color="auto" w:sz="4" w:space="0"/>
                  </w:tcBorders>
                  <w:vAlign w:val="center"/>
                </w:tcPr>
                <w:p>
                  <w:pPr>
                    <w:adjustRightInd w:val="0"/>
                    <w:snapToGrid w:val="0"/>
                    <w:jc w:val="center"/>
                    <w:rPr>
                      <w:szCs w:val="21"/>
                    </w:rPr>
                  </w:pPr>
                  <w:r>
                    <w:rPr>
                      <w:rFonts w:hint="eastAsia"/>
                      <w:szCs w:val="21"/>
                    </w:rPr>
                    <w:t>《合成树脂工业污染物排放标准》（GB31572-2015 含2024年修改单）表5大气污染物特别排放限值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248" w:hRule="atLeast"/>
                <w:tblHeader/>
                <w:jc w:val="center"/>
              </w:trPr>
              <w:tc>
                <w:tcPr>
                  <w:tcW w:w="1268" w:type="dxa"/>
                  <w:tcMar>
                    <w:left w:w="28" w:type="dxa"/>
                    <w:right w:w="28" w:type="dxa"/>
                  </w:tcMar>
                  <w:vAlign w:val="center"/>
                </w:tcPr>
                <w:p>
                  <w:pPr>
                    <w:adjustRightInd w:val="0"/>
                    <w:snapToGrid w:val="0"/>
                    <w:jc w:val="center"/>
                    <w:rPr>
                      <w:szCs w:val="21"/>
                    </w:rPr>
                  </w:pPr>
                  <w:r>
                    <w:rPr>
                      <w:szCs w:val="21"/>
                    </w:rPr>
                    <w:t>厂界无组织</w:t>
                  </w:r>
                </w:p>
              </w:tc>
              <w:tc>
                <w:tcPr>
                  <w:tcW w:w="1160" w:type="dxa"/>
                  <w:tcBorders>
                    <w:right w:val="single" w:color="auto" w:sz="4" w:space="0"/>
                  </w:tcBorders>
                  <w:tcMar>
                    <w:left w:w="28" w:type="dxa"/>
                    <w:right w:w="28" w:type="dxa"/>
                  </w:tcMar>
                  <w:vAlign w:val="center"/>
                </w:tcPr>
                <w:p>
                  <w:pPr>
                    <w:adjustRightInd w:val="0"/>
                    <w:snapToGrid w:val="0"/>
                    <w:jc w:val="center"/>
                    <w:rPr>
                      <w:szCs w:val="21"/>
                    </w:rPr>
                  </w:pPr>
                  <w:r>
                    <w:rPr>
                      <w:szCs w:val="21"/>
                    </w:rPr>
                    <w:t>非甲烷总烃</w:t>
                  </w:r>
                </w:p>
              </w:tc>
              <w:tc>
                <w:tcPr>
                  <w:tcW w:w="1653" w:type="dxa"/>
                  <w:tcBorders>
                    <w:right w:val="single" w:color="auto" w:sz="4" w:space="0"/>
                  </w:tcBorders>
                  <w:vAlign w:val="center"/>
                </w:tcPr>
                <w:p>
                  <w:pPr>
                    <w:adjustRightInd w:val="0"/>
                    <w:snapToGrid w:val="0"/>
                    <w:jc w:val="center"/>
                    <w:rPr>
                      <w:bCs/>
                      <w:szCs w:val="21"/>
                    </w:rPr>
                  </w:pPr>
                  <w:r>
                    <w:rPr>
                      <w:rFonts w:hint="eastAsia"/>
                      <w:szCs w:val="21"/>
                      <w:lang w:val="en-US" w:eastAsia="zh-CN"/>
                    </w:rPr>
                    <w:t>2</w:t>
                  </w:r>
                  <w:r>
                    <w:rPr>
                      <w:szCs w:val="21"/>
                    </w:rPr>
                    <w:t>.0 mg/m</w:t>
                  </w:r>
                  <w:r>
                    <w:rPr>
                      <w:szCs w:val="21"/>
                      <w:vertAlign w:val="superscript"/>
                    </w:rPr>
                    <w:t>3</w:t>
                  </w:r>
                </w:p>
              </w:tc>
              <w:tc>
                <w:tcPr>
                  <w:tcW w:w="3727" w:type="dxa"/>
                  <w:tcBorders>
                    <w:left w:val="single" w:color="auto" w:sz="4" w:space="0"/>
                    <w:right w:val="single" w:color="auto" w:sz="4" w:space="0"/>
                  </w:tcBorders>
                  <w:vAlign w:val="center"/>
                </w:tcPr>
                <w:p>
                  <w:pPr>
                    <w:adjustRightInd w:val="0"/>
                    <w:snapToGrid w:val="0"/>
                    <w:jc w:val="center"/>
                    <w:rPr>
                      <w:bCs/>
                      <w:szCs w:val="21"/>
                    </w:rPr>
                  </w:pPr>
                  <w:r>
                    <w:rPr>
                      <w:rFonts w:hint="eastAsia" w:ascii="Times New Roman" w:hAnsi="Times New Roman" w:eastAsia="宋体" w:cs="Times New Roman"/>
                      <w:color w:val="auto"/>
                      <w:lang w:val="zh-CN"/>
                    </w:rPr>
                    <w:t>《工业企业挥发性有机物排放控制标准》（DB13/2322-2016）表2企业边界大气污染物浓度限值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blHeader/>
                <w:jc w:val="center"/>
              </w:trPr>
              <w:tc>
                <w:tcPr>
                  <w:tcW w:w="1268" w:type="dxa"/>
                  <w:vMerge w:val="restart"/>
                  <w:tcMar>
                    <w:left w:w="28" w:type="dxa"/>
                    <w:right w:w="28" w:type="dxa"/>
                  </w:tcMar>
                  <w:vAlign w:val="center"/>
                </w:tcPr>
                <w:p>
                  <w:pPr>
                    <w:adjustRightInd w:val="0"/>
                    <w:snapToGrid w:val="0"/>
                    <w:jc w:val="center"/>
                    <w:rPr>
                      <w:szCs w:val="21"/>
                    </w:rPr>
                  </w:pPr>
                  <w:r>
                    <w:rPr>
                      <w:szCs w:val="21"/>
                    </w:rPr>
                    <w:t>厂房外</w:t>
                  </w:r>
                </w:p>
              </w:tc>
              <w:tc>
                <w:tcPr>
                  <w:tcW w:w="1160" w:type="dxa"/>
                  <w:vMerge w:val="restart"/>
                  <w:tcBorders>
                    <w:right w:val="single" w:color="auto" w:sz="4" w:space="0"/>
                  </w:tcBorders>
                  <w:tcMar>
                    <w:left w:w="28" w:type="dxa"/>
                    <w:right w:w="28" w:type="dxa"/>
                  </w:tcMar>
                  <w:vAlign w:val="center"/>
                </w:tcPr>
                <w:p>
                  <w:pPr>
                    <w:adjustRightInd w:val="0"/>
                    <w:snapToGrid w:val="0"/>
                    <w:jc w:val="center"/>
                    <w:rPr>
                      <w:szCs w:val="21"/>
                    </w:rPr>
                  </w:pPr>
                  <w:r>
                    <w:rPr>
                      <w:szCs w:val="21"/>
                    </w:rPr>
                    <w:t>非甲烷总烃</w:t>
                  </w:r>
                </w:p>
              </w:tc>
              <w:tc>
                <w:tcPr>
                  <w:tcW w:w="1653" w:type="dxa"/>
                  <w:tcBorders>
                    <w:bottom w:val="single" w:color="auto" w:sz="4" w:space="0"/>
                    <w:right w:val="single" w:color="auto" w:sz="4" w:space="0"/>
                  </w:tcBorders>
                  <w:vAlign w:val="center"/>
                </w:tcPr>
                <w:p>
                  <w:pPr>
                    <w:adjustRightInd w:val="0"/>
                    <w:snapToGrid w:val="0"/>
                    <w:jc w:val="center"/>
                    <w:rPr>
                      <w:szCs w:val="21"/>
                    </w:rPr>
                  </w:pPr>
                  <w:r>
                    <w:rPr>
                      <w:rFonts w:hint="eastAsia"/>
                      <w:szCs w:val="21"/>
                    </w:rPr>
                    <w:t>监控点处1</w:t>
                  </w:r>
                  <w:r>
                    <w:rPr>
                      <w:szCs w:val="21"/>
                    </w:rPr>
                    <w:t>h</w:t>
                  </w:r>
                  <w:r>
                    <w:rPr>
                      <w:rFonts w:hint="eastAsia"/>
                      <w:szCs w:val="21"/>
                    </w:rPr>
                    <w:t>平均浓度</w:t>
                  </w:r>
                  <w:r>
                    <w:rPr>
                      <w:rFonts w:hint="eastAsia"/>
                      <w:szCs w:val="21"/>
                      <w:lang w:val="en-US" w:eastAsia="zh-CN"/>
                    </w:rPr>
                    <w:t>6</w:t>
                  </w:r>
                  <w:r>
                    <w:rPr>
                      <w:szCs w:val="21"/>
                    </w:rPr>
                    <w:t>mg/m</w:t>
                  </w:r>
                  <w:r>
                    <w:rPr>
                      <w:szCs w:val="21"/>
                      <w:vertAlign w:val="superscript"/>
                    </w:rPr>
                    <w:t>3</w:t>
                  </w:r>
                </w:p>
              </w:tc>
              <w:tc>
                <w:tcPr>
                  <w:tcW w:w="3727" w:type="dxa"/>
                  <w:vMerge w:val="restart"/>
                  <w:tcBorders>
                    <w:left w:val="single" w:color="auto" w:sz="4" w:space="0"/>
                    <w:right w:val="single" w:color="auto" w:sz="4" w:space="0"/>
                  </w:tcBorders>
                  <w:vAlign w:val="center"/>
                </w:tcPr>
                <w:p>
                  <w:pPr>
                    <w:adjustRightInd w:val="0"/>
                    <w:snapToGrid w:val="0"/>
                    <w:jc w:val="center"/>
                    <w:rPr>
                      <w:bCs/>
                      <w:szCs w:val="21"/>
                    </w:rPr>
                  </w:pPr>
                  <w:r>
                    <w:rPr>
                      <w:rFonts w:hint="eastAsia" w:ascii="Times New Roman" w:hAnsi="Times New Roman" w:cs="Times New Roman"/>
                      <w:color w:val="auto"/>
                    </w:rPr>
                    <w:t>《挥发性有机物无组织排放控制标准》（GB37822-2019）表A.1厂区内VOCs无组织特别排放限值要求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blHeader/>
                <w:jc w:val="center"/>
              </w:trPr>
              <w:tc>
                <w:tcPr>
                  <w:tcW w:w="1268" w:type="dxa"/>
                  <w:vMerge w:val="continue"/>
                  <w:tcMar>
                    <w:left w:w="28" w:type="dxa"/>
                    <w:right w:w="28" w:type="dxa"/>
                  </w:tcMar>
                  <w:vAlign w:val="center"/>
                </w:tcPr>
                <w:p>
                  <w:pPr>
                    <w:adjustRightInd w:val="0"/>
                    <w:snapToGrid w:val="0"/>
                    <w:jc w:val="center"/>
                    <w:rPr>
                      <w:szCs w:val="21"/>
                    </w:rPr>
                  </w:pPr>
                </w:p>
              </w:tc>
              <w:tc>
                <w:tcPr>
                  <w:tcW w:w="1160" w:type="dxa"/>
                  <w:vMerge w:val="continue"/>
                  <w:tcBorders>
                    <w:right w:val="single" w:color="auto" w:sz="4" w:space="0"/>
                  </w:tcBorders>
                  <w:tcMar>
                    <w:left w:w="28" w:type="dxa"/>
                    <w:right w:w="28" w:type="dxa"/>
                  </w:tcMar>
                  <w:vAlign w:val="center"/>
                </w:tcPr>
                <w:p>
                  <w:pPr>
                    <w:adjustRightInd w:val="0"/>
                    <w:snapToGrid w:val="0"/>
                    <w:jc w:val="center"/>
                    <w:rPr>
                      <w:szCs w:val="21"/>
                    </w:rPr>
                  </w:pPr>
                </w:p>
              </w:tc>
              <w:tc>
                <w:tcPr>
                  <w:tcW w:w="1653" w:type="dxa"/>
                  <w:tcBorders>
                    <w:top w:val="single" w:color="auto" w:sz="4" w:space="0"/>
                    <w:right w:val="single" w:color="auto" w:sz="4" w:space="0"/>
                  </w:tcBorders>
                  <w:vAlign w:val="center"/>
                </w:tcPr>
                <w:p>
                  <w:pPr>
                    <w:adjustRightInd w:val="0"/>
                    <w:snapToGrid w:val="0"/>
                    <w:jc w:val="center"/>
                    <w:rPr>
                      <w:szCs w:val="21"/>
                    </w:rPr>
                  </w:pPr>
                  <w:r>
                    <w:rPr>
                      <w:rFonts w:hint="eastAsia"/>
                      <w:szCs w:val="21"/>
                    </w:rPr>
                    <w:t>监控点处任意</w:t>
                  </w:r>
                  <w:r>
                    <w:rPr>
                      <w:rFonts w:hint="eastAsia"/>
                      <w:szCs w:val="21"/>
                      <w:lang w:val="en-US" w:eastAsia="zh-CN"/>
                    </w:rPr>
                    <w:t>一</w:t>
                  </w:r>
                  <w:r>
                    <w:rPr>
                      <w:rFonts w:hint="eastAsia"/>
                      <w:szCs w:val="21"/>
                    </w:rPr>
                    <w:t>次浓度</w:t>
                  </w:r>
                  <w:r>
                    <w:rPr>
                      <w:rFonts w:hint="eastAsia"/>
                      <w:szCs w:val="21"/>
                      <w:lang w:val="en-US" w:eastAsia="zh-CN"/>
                    </w:rPr>
                    <w:t>2</w:t>
                  </w:r>
                  <w:r>
                    <w:rPr>
                      <w:szCs w:val="21"/>
                    </w:rPr>
                    <w:t>0mg/m</w:t>
                  </w:r>
                  <w:r>
                    <w:rPr>
                      <w:szCs w:val="21"/>
                      <w:vertAlign w:val="superscript"/>
                    </w:rPr>
                    <w:t>3</w:t>
                  </w:r>
                </w:p>
              </w:tc>
              <w:tc>
                <w:tcPr>
                  <w:tcW w:w="3727" w:type="dxa"/>
                  <w:vMerge w:val="continue"/>
                  <w:tcBorders>
                    <w:left w:val="single" w:color="auto" w:sz="4" w:space="0"/>
                    <w:right w:val="single" w:color="auto" w:sz="4" w:space="0"/>
                  </w:tcBorders>
                  <w:vAlign w:val="center"/>
                </w:tcPr>
                <w:p>
                  <w:pPr>
                    <w:adjustRightInd w:val="0"/>
                    <w:snapToGrid w:val="0"/>
                    <w:jc w:val="center"/>
                    <w:rPr>
                      <w:bCs/>
                      <w:szCs w:val="21"/>
                    </w:rPr>
                  </w:pPr>
                </w:p>
              </w:tc>
            </w:tr>
          </w:tbl>
          <w:p>
            <w:pPr>
              <w:adjustRightInd w:val="0"/>
              <w:snapToGrid w:val="0"/>
              <w:spacing w:line="400" w:lineRule="exact"/>
              <w:ind w:firstLine="422" w:firstLineChars="200"/>
              <w:rPr>
                <w:rFonts w:hint="default" w:eastAsia="宋体"/>
                <w:b/>
                <w:szCs w:val="21"/>
                <w:lang w:val="en-US" w:eastAsia="zh-CN"/>
              </w:rPr>
            </w:pPr>
            <w:r>
              <w:rPr>
                <w:b/>
                <w:szCs w:val="21"/>
              </w:rPr>
              <w:t>2、</w:t>
            </w:r>
            <w:r>
              <w:rPr>
                <w:rFonts w:hint="eastAsia"/>
                <w:b/>
                <w:szCs w:val="21"/>
                <w:lang w:val="en-US" w:eastAsia="zh-CN"/>
              </w:rPr>
              <w:t>废水</w:t>
            </w:r>
            <w:r>
              <w:rPr>
                <w:b/>
                <w:szCs w:val="21"/>
              </w:rPr>
              <w:t>：</w:t>
            </w:r>
            <w:r>
              <w:rPr>
                <w:rFonts w:hint="eastAsia" w:ascii="Times New Roman" w:hAnsi="Times New Roman" w:eastAsia="宋体" w:cs="Times New Roman"/>
                <w:bCs/>
                <w:szCs w:val="21"/>
                <w:lang w:val="en-US" w:eastAsia="zh-CN"/>
              </w:rPr>
              <w:t>本项目</w:t>
            </w:r>
            <w:r>
              <w:rPr>
                <w:rFonts w:hint="eastAsia" w:ascii="Times New Roman" w:hAnsi="Times New Roman" w:eastAsia="宋体" w:cs="Times New Roman"/>
                <w:bCs/>
                <w:szCs w:val="21"/>
              </w:rPr>
              <w:t>冷</w:t>
            </w:r>
            <w:r>
              <w:rPr>
                <w:rFonts w:hint="eastAsia"/>
                <w:bCs/>
                <w:szCs w:val="21"/>
              </w:rPr>
              <w:t>却水循环使用，不外排</w:t>
            </w:r>
            <w:r>
              <w:rPr>
                <w:rFonts w:hint="eastAsia"/>
                <w:bCs/>
                <w:szCs w:val="21"/>
                <w:lang w:eastAsia="zh-CN"/>
              </w:rPr>
              <w:t>；</w:t>
            </w:r>
            <w:r>
              <w:rPr>
                <w:rFonts w:hint="eastAsia"/>
                <w:bCs/>
                <w:szCs w:val="21"/>
                <w:lang w:val="en-US" w:eastAsia="zh-CN"/>
              </w:rPr>
              <w:t>职工生活污水用于</w:t>
            </w:r>
            <w:r>
              <w:rPr>
                <w:rFonts w:hint="eastAsia"/>
                <w:bCs/>
                <w:kern w:val="0"/>
                <w:szCs w:val="21"/>
                <w:lang w:val="en-US" w:eastAsia="zh-CN"/>
              </w:rPr>
              <w:t>厂区内泼洒抑尘，旱厕定期清掏。</w:t>
            </w:r>
          </w:p>
          <w:p>
            <w:pPr>
              <w:adjustRightInd w:val="0"/>
              <w:snapToGrid w:val="0"/>
              <w:spacing w:line="400" w:lineRule="exact"/>
              <w:ind w:firstLine="422" w:firstLineChars="200"/>
              <w:rPr>
                <w:bCs/>
                <w:szCs w:val="21"/>
              </w:rPr>
            </w:pPr>
            <w:r>
              <w:rPr>
                <w:rFonts w:hint="eastAsia"/>
                <w:b/>
                <w:szCs w:val="21"/>
                <w:lang w:val="en-US" w:eastAsia="zh-CN"/>
              </w:rPr>
              <w:t>3</w:t>
            </w:r>
            <w:r>
              <w:rPr>
                <w:b/>
                <w:szCs w:val="21"/>
              </w:rPr>
              <w:t>、噪声：</w:t>
            </w:r>
            <w:r>
              <w:rPr>
                <w:bCs/>
                <w:szCs w:val="21"/>
              </w:rPr>
              <w:t>厂界噪声执行《工业企业厂界环境噪声排放标准》(GB12348-2008)</w:t>
            </w:r>
            <w:r>
              <w:rPr>
                <w:rFonts w:hint="eastAsia"/>
                <w:bCs/>
                <w:szCs w:val="21"/>
                <w:lang w:val="en-US" w:eastAsia="zh-CN"/>
              </w:rPr>
              <w:t>2</w:t>
            </w:r>
            <w:r>
              <w:rPr>
                <w:rFonts w:hint="eastAsia"/>
                <w:bCs/>
                <w:szCs w:val="21"/>
              </w:rPr>
              <w:t>类</w:t>
            </w:r>
            <w:r>
              <w:rPr>
                <w:bCs/>
                <w:szCs w:val="21"/>
              </w:rPr>
              <w:t>区标准，即昼间≤ 6</w:t>
            </w:r>
            <w:r>
              <w:rPr>
                <w:rFonts w:hint="eastAsia"/>
                <w:bCs/>
                <w:szCs w:val="21"/>
                <w:lang w:val="en-US" w:eastAsia="zh-CN"/>
              </w:rPr>
              <w:t>0</w:t>
            </w:r>
            <w:r>
              <w:rPr>
                <w:bCs/>
                <w:szCs w:val="21"/>
              </w:rPr>
              <w:t xml:space="preserve"> dB(A)，夜间≤ 5</w:t>
            </w:r>
            <w:r>
              <w:rPr>
                <w:rFonts w:hint="eastAsia"/>
                <w:bCs/>
                <w:szCs w:val="21"/>
                <w:lang w:val="en-US" w:eastAsia="zh-CN"/>
              </w:rPr>
              <w:t>0</w:t>
            </w:r>
            <w:r>
              <w:rPr>
                <w:bCs/>
                <w:szCs w:val="21"/>
              </w:rPr>
              <w:t xml:space="preserve"> dB(A)</w:t>
            </w:r>
            <w:r>
              <w:rPr>
                <w:rFonts w:hint="eastAsia"/>
                <w:bCs/>
                <w:szCs w:val="21"/>
              </w:rPr>
              <w:t>。</w:t>
            </w:r>
          </w:p>
          <w:p>
            <w:pPr>
              <w:adjustRightInd w:val="0"/>
              <w:snapToGrid w:val="0"/>
              <w:spacing w:line="400" w:lineRule="exact"/>
              <w:ind w:firstLine="422" w:firstLineChars="200"/>
              <w:rPr>
                <w:rFonts w:hint="eastAsia"/>
                <w:bCs/>
                <w:szCs w:val="21"/>
              </w:rPr>
            </w:pPr>
            <w:r>
              <w:rPr>
                <w:rFonts w:hint="eastAsia"/>
                <w:b/>
                <w:szCs w:val="21"/>
                <w:lang w:val="en-US" w:eastAsia="zh-CN"/>
              </w:rPr>
              <w:t>4</w:t>
            </w:r>
            <w:r>
              <w:rPr>
                <w:rFonts w:hint="eastAsia"/>
                <w:b/>
                <w:szCs w:val="21"/>
              </w:rPr>
              <w:t>、</w:t>
            </w:r>
            <w:r>
              <w:rPr>
                <w:b/>
                <w:szCs w:val="21"/>
              </w:rPr>
              <w:t>固废：</w:t>
            </w:r>
            <w:r>
              <w:rPr>
                <w:bCs/>
                <w:szCs w:val="21"/>
              </w:rPr>
              <w:t>一般工业固废</w:t>
            </w:r>
            <w:r>
              <w:rPr>
                <w:rFonts w:hint="eastAsia"/>
                <w:bCs/>
                <w:szCs w:val="21"/>
              </w:rPr>
              <w:t>贮存设施需满足防渗漏、防雨淋、防扬尘，以及防遗失、防遗撒等要求；</w:t>
            </w:r>
            <w:r>
              <w:rPr>
                <w:bCs/>
                <w:szCs w:val="21"/>
              </w:rPr>
              <w:t>危险废物执行《危险废物贮存污染控制标准》(GB18597-2023)相关要求执行</w:t>
            </w:r>
            <w:r>
              <w:rPr>
                <w:rFonts w:hint="eastAsia"/>
                <w:bCs/>
                <w:szCs w:val="21"/>
              </w:rPr>
              <w:t>。</w:t>
            </w:r>
            <w:bookmarkEnd w:id="24"/>
          </w:p>
          <w:p>
            <w:pPr>
              <w:adjustRightInd w:val="0"/>
              <w:snapToGrid w:val="0"/>
              <w:spacing w:line="400" w:lineRule="exact"/>
              <w:ind w:firstLine="420" w:firstLineChars="200"/>
              <w:rPr>
                <w:rFonts w:hint="eastAsia"/>
                <w:bCs/>
                <w:szCs w:val="21"/>
              </w:rPr>
            </w:pPr>
          </w:p>
          <w:p>
            <w:pPr>
              <w:adjustRightInd w:val="0"/>
              <w:snapToGrid w:val="0"/>
              <w:spacing w:line="400" w:lineRule="exact"/>
              <w:ind w:firstLine="420" w:firstLineChars="200"/>
              <w:rPr>
                <w:rFonts w:hint="eastAsia"/>
                <w:bCs/>
                <w:szCs w:val="21"/>
              </w:rPr>
            </w:pPr>
          </w:p>
          <w:p>
            <w:pPr>
              <w:adjustRightInd w:val="0"/>
              <w:snapToGrid w:val="0"/>
              <w:spacing w:line="400" w:lineRule="exact"/>
              <w:ind w:firstLine="420" w:firstLineChars="200"/>
              <w:rPr>
                <w:rFonts w:hint="eastAsia"/>
                <w:bCs/>
                <w:szCs w:val="21"/>
              </w:rPr>
            </w:pPr>
          </w:p>
          <w:p>
            <w:pPr>
              <w:adjustRightInd w:val="0"/>
              <w:snapToGrid w:val="0"/>
              <w:spacing w:line="400" w:lineRule="exact"/>
              <w:ind w:firstLine="420" w:firstLineChars="200"/>
              <w:rPr>
                <w:rFonts w:hint="eastAsia"/>
                <w:bCs/>
                <w:szCs w:val="21"/>
              </w:rPr>
            </w:pPr>
          </w:p>
          <w:p>
            <w:pPr>
              <w:adjustRightInd w:val="0"/>
              <w:snapToGrid w:val="0"/>
              <w:spacing w:line="400" w:lineRule="exact"/>
              <w:ind w:firstLine="420" w:firstLineChars="200"/>
              <w:rPr>
                <w:rFonts w:hint="eastAsia"/>
                <w:bCs/>
                <w:szCs w:val="21"/>
              </w:rPr>
            </w:pPr>
          </w:p>
          <w:p>
            <w:pPr>
              <w:adjustRightInd w:val="0"/>
              <w:snapToGrid w:val="0"/>
              <w:spacing w:line="400" w:lineRule="exact"/>
              <w:ind w:firstLine="420" w:firstLineChars="200"/>
              <w:rPr>
                <w:rFonts w:hint="eastAsia"/>
                <w:bCs/>
                <w:szCs w:val="21"/>
              </w:rPr>
            </w:pPr>
          </w:p>
          <w:p>
            <w:pPr>
              <w:adjustRightInd w:val="0"/>
              <w:snapToGrid w:val="0"/>
              <w:spacing w:line="400" w:lineRule="exact"/>
              <w:ind w:firstLine="420" w:firstLineChars="200"/>
              <w:rPr>
                <w:rFonts w:hint="eastAsia"/>
                <w:bCs/>
                <w:szCs w:val="21"/>
              </w:rPr>
            </w:pPr>
          </w:p>
          <w:p>
            <w:pPr>
              <w:adjustRightInd w:val="0"/>
              <w:snapToGrid w:val="0"/>
              <w:spacing w:line="400" w:lineRule="exact"/>
              <w:ind w:firstLine="420" w:firstLineChars="200"/>
              <w:rPr>
                <w:rFonts w:hint="eastAsia"/>
                <w:bCs/>
                <w:szCs w:val="21"/>
              </w:rPr>
            </w:pPr>
          </w:p>
          <w:p>
            <w:pPr>
              <w:adjustRightInd w:val="0"/>
              <w:snapToGrid w:val="0"/>
              <w:spacing w:line="400" w:lineRule="exact"/>
              <w:ind w:firstLine="420" w:firstLineChars="200"/>
              <w:rPr>
                <w:rFonts w:hint="eastAsia"/>
                <w:bCs/>
                <w:szCs w:val="21"/>
              </w:rPr>
            </w:pPr>
          </w:p>
          <w:p>
            <w:pPr>
              <w:adjustRightInd w:val="0"/>
              <w:snapToGrid w:val="0"/>
              <w:spacing w:line="400" w:lineRule="exact"/>
              <w:ind w:firstLine="420" w:firstLineChars="200"/>
              <w:rPr>
                <w:rFonts w:hint="eastAsia"/>
                <w:bCs/>
                <w:szCs w:val="21"/>
              </w:rPr>
            </w:pPr>
          </w:p>
          <w:p>
            <w:pPr>
              <w:adjustRightInd w:val="0"/>
              <w:snapToGrid w:val="0"/>
              <w:spacing w:line="400" w:lineRule="exact"/>
              <w:ind w:firstLine="420" w:firstLineChars="200"/>
              <w:rPr>
                <w:rFonts w:hint="eastAsia"/>
                <w:bCs/>
                <w:szCs w:val="21"/>
              </w:rPr>
            </w:pPr>
          </w:p>
          <w:p>
            <w:pPr>
              <w:adjustRightInd w:val="0"/>
              <w:snapToGrid w:val="0"/>
              <w:spacing w:line="400" w:lineRule="exact"/>
              <w:ind w:firstLine="420" w:firstLineChars="200"/>
              <w:rPr>
                <w:rFonts w:hint="eastAsia"/>
                <w:bCs/>
                <w:szCs w:val="21"/>
              </w:rPr>
            </w:pPr>
          </w:p>
          <w:p>
            <w:pPr>
              <w:adjustRightInd w:val="0"/>
              <w:snapToGrid w:val="0"/>
              <w:spacing w:line="400" w:lineRule="exact"/>
              <w:ind w:firstLine="420" w:firstLineChars="200"/>
              <w:rPr>
                <w:rFonts w:hint="eastAsia"/>
                <w:bCs/>
                <w:szCs w:val="21"/>
              </w:rPr>
            </w:pPr>
          </w:p>
          <w:p>
            <w:pPr>
              <w:adjustRightInd w:val="0"/>
              <w:snapToGrid w:val="0"/>
              <w:spacing w:line="400" w:lineRule="exact"/>
              <w:ind w:firstLine="420" w:firstLineChars="200"/>
              <w:rPr>
                <w:rFonts w:hint="eastAsia"/>
                <w:bCs/>
                <w:szCs w:val="21"/>
              </w:rPr>
            </w:pPr>
          </w:p>
          <w:p>
            <w:pPr>
              <w:adjustRightInd w:val="0"/>
              <w:snapToGrid w:val="0"/>
              <w:spacing w:line="400" w:lineRule="exact"/>
              <w:ind w:firstLine="420" w:firstLineChars="200"/>
              <w:rPr>
                <w:rFonts w:hint="eastAsia"/>
                <w:bCs/>
                <w:szCs w:val="21"/>
              </w:rPr>
            </w:pPr>
          </w:p>
          <w:p>
            <w:pPr>
              <w:adjustRightInd w:val="0"/>
              <w:snapToGrid w:val="0"/>
              <w:spacing w:line="400" w:lineRule="exact"/>
              <w:ind w:firstLine="420" w:firstLineChars="200"/>
              <w:rPr>
                <w:rFonts w:hint="eastAsia"/>
                <w:bCs/>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23" w:hRule="atLeast"/>
          <w:jc w:val="center"/>
        </w:trPr>
        <w:tc>
          <w:tcPr>
            <w:tcW w:w="800" w:type="dxa"/>
            <w:vAlign w:val="center"/>
          </w:tcPr>
          <w:p>
            <w:pPr>
              <w:adjustRightInd w:val="0"/>
              <w:snapToGrid w:val="0"/>
              <w:jc w:val="center"/>
              <w:rPr>
                <w:rFonts w:ascii="宋体" w:hAnsi="宋体" w:cs="宋体"/>
                <w:kern w:val="0"/>
                <w:szCs w:val="21"/>
              </w:rPr>
            </w:pPr>
            <w:r>
              <w:rPr>
                <w:rFonts w:hint="eastAsia" w:ascii="宋体" w:hAnsi="宋体" w:cs="宋体"/>
                <w:kern w:val="0"/>
                <w:szCs w:val="21"/>
              </w:rPr>
              <w:t>总量</w:t>
            </w:r>
          </w:p>
          <w:p>
            <w:pPr>
              <w:adjustRightInd w:val="0"/>
              <w:snapToGrid w:val="0"/>
              <w:jc w:val="center"/>
              <w:rPr>
                <w:rFonts w:ascii="宋体" w:hAnsi="宋体" w:cs="宋体"/>
                <w:kern w:val="0"/>
                <w:szCs w:val="21"/>
              </w:rPr>
            </w:pPr>
            <w:r>
              <w:rPr>
                <w:rFonts w:hint="eastAsia" w:ascii="宋体" w:hAnsi="宋体" w:cs="宋体"/>
                <w:kern w:val="0"/>
                <w:szCs w:val="21"/>
              </w:rPr>
              <w:t>控制</w:t>
            </w:r>
          </w:p>
          <w:p>
            <w:pPr>
              <w:adjustRightInd w:val="0"/>
              <w:snapToGrid w:val="0"/>
              <w:jc w:val="center"/>
              <w:rPr>
                <w:rFonts w:ascii="宋体" w:hAnsi="宋体" w:cs="宋体"/>
                <w:kern w:val="0"/>
                <w:szCs w:val="21"/>
              </w:rPr>
            </w:pPr>
            <w:r>
              <w:rPr>
                <w:rFonts w:hint="eastAsia" w:ascii="宋体" w:hAnsi="宋体" w:cs="宋体"/>
                <w:kern w:val="0"/>
                <w:szCs w:val="21"/>
              </w:rPr>
              <w:t>指标</w:t>
            </w:r>
          </w:p>
        </w:tc>
        <w:tc>
          <w:tcPr>
            <w:tcW w:w="8190" w:type="dxa"/>
            <w:vAlign w:val="center"/>
          </w:tcPr>
          <w:p>
            <w:pPr>
              <w:adjustRightInd w:val="0"/>
              <w:snapToGrid w:val="0"/>
              <w:spacing w:line="400" w:lineRule="exact"/>
              <w:ind w:firstLine="420" w:firstLineChars="200"/>
              <w:rPr>
                <w:rFonts w:hint="eastAsia"/>
                <w:bCs/>
                <w:szCs w:val="21"/>
              </w:rPr>
            </w:pPr>
            <w:r>
              <w:rPr>
                <w:rFonts w:hint="eastAsia"/>
                <w:bCs/>
                <w:szCs w:val="21"/>
              </w:rPr>
              <w:t>根据《“十四五”污染减排综合工作方案编制技术指南》(环办综合函〔2020〕603 号)及《关于进一步做好建设项目大气主要污染物排放总量指标审核管理工作的通知》（冀环办字函〔2020〕247 号）要求及秦皇岛市生态环境局《关于做好建设项目VOCs 排放总量指标确认及管理的通知》</w:t>
            </w:r>
            <w:r>
              <w:rPr>
                <w:rFonts w:hint="eastAsia"/>
                <w:bCs/>
                <w:szCs w:val="21"/>
                <w:lang w:eastAsia="zh-CN"/>
              </w:rPr>
              <w:t>，</w:t>
            </w:r>
            <w:r>
              <w:rPr>
                <w:rFonts w:hint="eastAsia"/>
                <w:bCs/>
                <w:szCs w:val="21"/>
                <w:lang w:val="en-US" w:eastAsia="zh-CN"/>
              </w:rPr>
              <w:t>污染物总量控制指标为</w:t>
            </w:r>
            <w:r>
              <w:rPr>
                <w:rFonts w:hint="eastAsia"/>
                <w:bCs/>
                <w:szCs w:val="21"/>
              </w:rPr>
              <w:t>化学需氧量（COD）、氨氮（NH</w:t>
            </w:r>
            <w:r>
              <w:rPr>
                <w:rFonts w:hint="eastAsia"/>
                <w:bCs/>
                <w:szCs w:val="21"/>
                <w:vertAlign w:val="subscript"/>
              </w:rPr>
              <w:t>3</w:t>
            </w:r>
            <w:r>
              <w:rPr>
                <w:rFonts w:hint="eastAsia"/>
                <w:bCs/>
                <w:szCs w:val="21"/>
              </w:rPr>
              <w:t>-N）、</w:t>
            </w:r>
            <w:r>
              <w:rPr>
                <w:rFonts w:hint="eastAsia"/>
                <w:bCs/>
                <w:szCs w:val="21"/>
                <w:lang w:val="en-US" w:eastAsia="zh-CN"/>
              </w:rPr>
              <w:t>二氧化硫（SO</w:t>
            </w:r>
            <w:r>
              <w:rPr>
                <w:rFonts w:hint="eastAsia"/>
                <w:bCs/>
                <w:szCs w:val="21"/>
                <w:vertAlign w:val="subscript"/>
                <w:lang w:val="en-US" w:eastAsia="zh-CN"/>
              </w:rPr>
              <w:t>2</w:t>
            </w:r>
            <w:r>
              <w:rPr>
                <w:rFonts w:hint="eastAsia"/>
                <w:bCs/>
                <w:szCs w:val="21"/>
                <w:lang w:val="en-US" w:eastAsia="zh-CN"/>
              </w:rPr>
              <w:t>）、</w:t>
            </w:r>
            <w:r>
              <w:rPr>
                <w:rFonts w:hint="eastAsia"/>
                <w:bCs/>
                <w:szCs w:val="21"/>
              </w:rPr>
              <w:t>氮氧化物（NOx）、VOCs。</w:t>
            </w:r>
          </w:p>
          <w:p>
            <w:pPr>
              <w:adjustRightInd w:val="0"/>
              <w:snapToGrid w:val="0"/>
              <w:spacing w:line="400" w:lineRule="exact"/>
              <w:ind w:firstLine="420" w:firstLineChars="200"/>
              <w:rPr>
                <w:rFonts w:hint="eastAsia"/>
                <w:bCs/>
                <w:szCs w:val="21"/>
              </w:rPr>
            </w:pPr>
            <w:r>
              <w:rPr>
                <w:rFonts w:hint="eastAsia"/>
                <w:bCs/>
                <w:szCs w:val="21"/>
              </w:rPr>
              <w:t>根据本项目</w:t>
            </w:r>
            <w:r>
              <w:rPr>
                <w:rFonts w:hint="eastAsia"/>
                <w:bCs/>
                <w:szCs w:val="21"/>
                <w:lang w:val="en-US" w:eastAsia="zh-CN"/>
              </w:rPr>
              <w:t>污染物产生和排放</w:t>
            </w:r>
            <w:r>
              <w:rPr>
                <w:rFonts w:hint="eastAsia"/>
                <w:bCs/>
                <w:szCs w:val="21"/>
              </w:rPr>
              <w:t>特点，确定项目总量控制因子为VOCs。</w:t>
            </w:r>
          </w:p>
          <w:p>
            <w:pPr>
              <w:adjustRightInd w:val="0"/>
              <w:snapToGrid w:val="0"/>
              <w:spacing w:line="400" w:lineRule="exact"/>
              <w:ind w:firstLine="420" w:firstLineChars="200"/>
              <w:rPr>
                <w:rFonts w:hint="eastAsia"/>
                <w:bCs/>
                <w:szCs w:val="21"/>
              </w:rPr>
            </w:pPr>
            <w:r>
              <w:rPr>
                <w:rFonts w:hint="eastAsia"/>
                <w:bCs/>
                <w:szCs w:val="21"/>
                <w:lang w:val="en-US" w:eastAsia="zh-CN"/>
              </w:rPr>
              <w:t>1、</w:t>
            </w:r>
            <w:r>
              <w:rPr>
                <w:rFonts w:hint="eastAsia"/>
                <w:bCs/>
                <w:szCs w:val="21"/>
              </w:rPr>
              <w:t>现有项目</w:t>
            </w:r>
          </w:p>
          <w:p>
            <w:pPr>
              <w:adjustRightInd w:val="0"/>
              <w:snapToGrid w:val="0"/>
              <w:spacing w:line="400" w:lineRule="exact"/>
              <w:ind w:firstLine="420" w:firstLineChars="200"/>
              <w:rPr>
                <w:rFonts w:hint="eastAsia"/>
                <w:bCs/>
                <w:szCs w:val="21"/>
              </w:rPr>
            </w:pPr>
            <w:r>
              <w:rPr>
                <w:rFonts w:hint="eastAsia"/>
                <w:bCs/>
                <w:szCs w:val="21"/>
              </w:rPr>
              <w:t>根据现有工程环评批复及验收意见可知：项目废水不外排，废气无SO</w:t>
            </w:r>
            <w:r>
              <w:rPr>
                <w:rFonts w:hint="eastAsia"/>
                <w:bCs/>
                <w:szCs w:val="21"/>
                <w:vertAlign w:val="subscript"/>
              </w:rPr>
              <w:t>2</w:t>
            </w:r>
            <w:r>
              <w:rPr>
                <w:rFonts w:hint="eastAsia"/>
                <w:bCs/>
                <w:szCs w:val="21"/>
              </w:rPr>
              <w:t>、NOx产生，CODcr、氨氮、SO</w:t>
            </w:r>
            <w:r>
              <w:rPr>
                <w:rFonts w:hint="eastAsia"/>
                <w:bCs/>
                <w:szCs w:val="21"/>
                <w:vertAlign w:val="subscript"/>
              </w:rPr>
              <w:t>2</w:t>
            </w:r>
            <w:r>
              <w:rPr>
                <w:rFonts w:hint="eastAsia"/>
                <w:bCs/>
                <w:szCs w:val="21"/>
              </w:rPr>
              <w:t>、NOx排放量均为0ta。</w:t>
            </w:r>
            <w:r>
              <w:rPr>
                <w:rFonts w:hint="eastAsia"/>
                <w:bCs/>
                <w:szCs w:val="21"/>
                <w:lang w:val="en-US" w:eastAsia="zh-CN"/>
              </w:rPr>
              <w:t>非甲烷总烃</w:t>
            </w:r>
            <w:r>
              <w:rPr>
                <w:rFonts w:hint="eastAsia"/>
                <w:bCs/>
                <w:szCs w:val="21"/>
              </w:rPr>
              <w:t>排放总量（有组织）为0.</w:t>
            </w:r>
            <w:r>
              <w:rPr>
                <w:rFonts w:hint="eastAsia"/>
                <w:bCs/>
                <w:szCs w:val="21"/>
                <w:lang w:val="en-US" w:eastAsia="zh-CN"/>
              </w:rPr>
              <w:t>26</w:t>
            </w:r>
            <w:r>
              <w:rPr>
                <w:rFonts w:hint="eastAsia"/>
                <w:bCs/>
                <w:szCs w:val="21"/>
              </w:rPr>
              <w:t>t/a。</w:t>
            </w:r>
          </w:p>
          <w:p>
            <w:pPr>
              <w:adjustRightInd w:val="0"/>
              <w:snapToGrid w:val="0"/>
              <w:spacing w:line="400" w:lineRule="exact"/>
              <w:ind w:firstLine="420" w:firstLineChars="200"/>
              <w:rPr>
                <w:rFonts w:hint="default" w:eastAsia="宋体"/>
                <w:bCs/>
                <w:szCs w:val="21"/>
                <w:lang w:val="en-US" w:eastAsia="zh-CN"/>
              </w:rPr>
            </w:pPr>
            <w:r>
              <w:rPr>
                <w:rFonts w:hint="eastAsia"/>
                <w:bCs/>
                <w:szCs w:val="21"/>
                <w:lang w:val="en-US" w:eastAsia="zh-CN"/>
              </w:rPr>
              <w:t>2、本项目</w:t>
            </w:r>
          </w:p>
          <w:p>
            <w:pPr>
              <w:adjustRightInd w:val="0"/>
              <w:snapToGrid w:val="0"/>
              <w:spacing w:line="400" w:lineRule="exact"/>
              <w:ind w:firstLine="420" w:firstLineChars="200"/>
              <w:rPr>
                <w:rFonts w:hint="eastAsia"/>
                <w:bCs/>
                <w:szCs w:val="21"/>
                <w:highlight w:val="none"/>
              </w:rPr>
            </w:pPr>
            <w:r>
              <w:rPr>
                <w:rFonts w:hint="eastAsia"/>
                <w:bCs/>
                <w:szCs w:val="21"/>
              </w:rPr>
              <w:t>本项目无废水排放，</w:t>
            </w:r>
            <w:r>
              <w:rPr>
                <w:rFonts w:hint="eastAsia"/>
                <w:bCs/>
                <w:szCs w:val="21"/>
                <w:lang w:val="en-US" w:eastAsia="zh-CN"/>
              </w:rPr>
              <w:t>则</w:t>
            </w:r>
            <w:r>
              <w:rPr>
                <w:rFonts w:hint="eastAsia"/>
                <w:bCs/>
                <w:szCs w:val="21"/>
                <w:highlight w:val="none"/>
              </w:rPr>
              <w:t>C</w:t>
            </w:r>
            <w:r>
              <w:rPr>
                <w:bCs/>
                <w:szCs w:val="21"/>
                <w:highlight w:val="none"/>
              </w:rPr>
              <w:t>OD</w:t>
            </w:r>
            <w:r>
              <w:rPr>
                <w:rFonts w:hint="eastAsia"/>
                <w:bCs/>
                <w:szCs w:val="21"/>
                <w:highlight w:val="none"/>
              </w:rPr>
              <w:t>：0</w:t>
            </w:r>
            <w:r>
              <w:rPr>
                <w:bCs/>
                <w:szCs w:val="21"/>
                <w:highlight w:val="none"/>
              </w:rPr>
              <w:t xml:space="preserve"> t/a</w:t>
            </w:r>
            <w:r>
              <w:rPr>
                <w:rFonts w:hint="eastAsia"/>
                <w:bCs/>
                <w:szCs w:val="21"/>
                <w:highlight w:val="none"/>
              </w:rPr>
              <w:t>、氨氮：0</w:t>
            </w:r>
            <w:r>
              <w:rPr>
                <w:bCs/>
                <w:szCs w:val="21"/>
                <w:highlight w:val="none"/>
              </w:rPr>
              <w:t xml:space="preserve"> t/a</w:t>
            </w:r>
            <w:r>
              <w:rPr>
                <w:rFonts w:hint="eastAsia"/>
                <w:bCs/>
                <w:szCs w:val="21"/>
                <w:highlight w:val="none"/>
              </w:rPr>
              <w:t>；</w:t>
            </w:r>
          </w:p>
          <w:p>
            <w:pPr>
              <w:adjustRightInd w:val="0"/>
              <w:snapToGrid w:val="0"/>
              <w:spacing w:line="400" w:lineRule="exact"/>
              <w:ind w:firstLine="420" w:firstLineChars="200"/>
              <w:rPr>
                <w:kern w:val="0"/>
                <w:szCs w:val="21"/>
              </w:rPr>
            </w:pPr>
            <w:r>
              <w:rPr>
                <w:rFonts w:hint="eastAsia"/>
                <w:bCs/>
                <w:szCs w:val="21"/>
              </w:rPr>
              <w:t>废气</w:t>
            </w:r>
            <w:r>
              <w:rPr>
                <w:rFonts w:hint="eastAsia"/>
                <w:kern w:val="0"/>
                <w:szCs w:val="21"/>
              </w:rPr>
              <w:t>污染物排放情况如下表：</w:t>
            </w:r>
          </w:p>
          <w:p>
            <w:pPr>
              <w:adjustRightInd w:val="0"/>
              <w:snapToGrid w:val="0"/>
              <w:spacing w:line="400" w:lineRule="exact"/>
              <w:ind w:firstLine="420" w:firstLineChars="200"/>
              <w:rPr>
                <w:b w:val="0"/>
                <w:bCs/>
                <w:szCs w:val="21"/>
                <w:highlight w:val="none"/>
              </w:rPr>
            </w:pPr>
            <w:r>
              <w:rPr>
                <w:rFonts w:hint="eastAsia"/>
                <w:b w:val="0"/>
                <w:bCs/>
                <w:szCs w:val="21"/>
                <w:highlight w:val="none"/>
                <w:lang w:eastAsia="zh-CN"/>
              </w:rPr>
              <w:t>（</w:t>
            </w:r>
            <w:r>
              <w:rPr>
                <w:rFonts w:hint="eastAsia"/>
                <w:b w:val="0"/>
                <w:bCs/>
                <w:szCs w:val="21"/>
                <w:highlight w:val="none"/>
                <w:lang w:val="en-US" w:eastAsia="zh-CN"/>
              </w:rPr>
              <w:t>1</w:t>
            </w:r>
            <w:r>
              <w:rPr>
                <w:rFonts w:hint="eastAsia"/>
                <w:b w:val="0"/>
                <w:bCs/>
                <w:szCs w:val="21"/>
                <w:highlight w:val="none"/>
                <w:lang w:eastAsia="zh-CN"/>
              </w:rPr>
              <w:t>）</w:t>
            </w:r>
            <w:r>
              <w:rPr>
                <w:rFonts w:hint="eastAsia"/>
                <w:b w:val="0"/>
                <w:bCs/>
                <w:szCs w:val="21"/>
                <w:highlight w:val="none"/>
              </w:rPr>
              <w:t>根据污染物排放标准核算</w:t>
            </w:r>
          </w:p>
          <w:p>
            <w:pPr>
              <w:adjustRightInd w:val="0"/>
              <w:snapToGrid w:val="0"/>
              <w:spacing w:line="400" w:lineRule="exact"/>
              <w:ind w:firstLine="420" w:firstLineChars="200"/>
              <w:rPr>
                <w:szCs w:val="21"/>
                <w:highlight w:val="none"/>
              </w:rPr>
            </w:pPr>
            <w:r>
              <w:rPr>
                <w:rFonts w:hint="eastAsia"/>
                <w:szCs w:val="21"/>
                <w:highlight w:val="none"/>
              </w:rPr>
              <w:t>非甲烷总烃有组织排放执行《合成树脂工业污染物排放标准》（GB31572-2015 含2024年修改单）表5大气污染物特别排放限值，具体如下：</w:t>
            </w:r>
          </w:p>
          <w:p>
            <w:pPr>
              <w:spacing w:line="400" w:lineRule="exact"/>
              <w:jc w:val="center"/>
              <w:rPr>
                <w:b/>
                <w:szCs w:val="21"/>
                <w:highlight w:val="none"/>
              </w:rPr>
            </w:pPr>
            <w:r>
              <w:rPr>
                <w:b/>
                <w:szCs w:val="21"/>
                <w:highlight w:val="none"/>
              </w:rPr>
              <w:t>表3-</w:t>
            </w:r>
            <w:r>
              <w:rPr>
                <w:rFonts w:hint="eastAsia"/>
                <w:b/>
                <w:szCs w:val="21"/>
                <w:highlight w:val="none"/>
                <w:lang w:val="en-US" w:eastAsia="zh-CN"/>
              </w:rPr>
              <w:t>5</w:t>
            </w:r>
            <w:r>
              <w:rPr>
                <w:b/>
                <w:szCs w:val="21"/>
                <w:highlight w:val="none"/>
              </w:rPr>
              <w:t xml:space="preserve">  </w:t>
            </w:r>
            <w:r>
              <w:rPr>
                <w:rFonts w:hint="eastAsia"/>
                <w:b/>
                <w:szCs w:val="21"/>
                <w:highlight w:val="none"/>
              </w:rPr>
              <w:t>根据排放标准核算总量</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6"/>
              <w:gridCol w:w="1395"/>
              <w:gridCol w:w="1641"/>
              <w:gridCol w:w="1164"/>
              <w:gridCol w:w="16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341" w:type="pct"/>
                  <w:vAlign w:val="center"/>
                </w:tcPr>
                <w:p>
                  <w:pPr>
                    <w:adjustRightInd w:val="0"/>
                    <w:snapToGrid w:val="0"/>
                    <w:jc w:val="center"/>
                    <w:rPr>
                      <w:bCs/>
                      <w:szCs w:val="21"/>
                      <w:highlight w:val="none"/>
                    </w:rPr>
                  </w:pPr>
                  <w:r>
                    <w:rPr>
                      <w:rFonts w:hint="eastAsia"/>
                      <w:bCs/>
                      <w:szCs w:val="21"/>
                      <w:highlight w:val="none"/>
                    </w:rPr>
                    <w:t>污染源</w:t>
                  </w:r>
                </w:p>
              </w:tc>
              <w:tc>
                <w:tcPr>
                  <w:tcW w:w="876" w:type="pct"/>
                  <w:vAlign w:val="center"/>
                </w:tcPr>
                <w:p>
                  <w:pPr>
                    <w:adjustRightInd w:val="0"/>
                    <w:snapToGrid w:val="0"/>
                    <w:jc w:val="center"/>
                    <w:rPr>
                      <w:bCs/>
                      <w:szCs w:val="21"/>
                      <w:highlight w:val="none"/>
                    </w:rPr>
                  </w:pPr>
                  <w:r>
                    <w:rPr>
                      <w:bCs/>
                      <w:szCs w:val="21"/>
                      <w:highlight w:val="none"/>
                    </w:rPr>
                    <w:t>污染物</w:t>
                  </w:r>
                </w:p>
              </w:tc>
              <w:tc>
                <w:tcPr>
                  <w:tcW w:w="1030" w:type="pct"/>
                  <w:vAlign w:val="center"/>
                </w:tcPr>
                <w:p>
                  <w:pPr>
                    <w:adjustRightInd w:val="0"/>
                    <w:snapToGrid w:val="0"/>
                    <w:jc w:val="center"/>
                    <w:rPr>
                      <w:rFonts w:hint="eastAsia" w:eastAsia="宋体"/>
                      <w:bCs/>
                      <w:szCs w:val="21"/>
                      <w:highlight w:val="none"/>
                      <w:lang w:eastAsia="zh-CN"/>
                    </w:rPr>
                  </w:pPr>
                  <w:r>
                    <w:rPr>
                      <w:rFonts w:hint="eastAsia"/>
                      <w:bCs/>
                      <w:szCs w:val="21"/>
                      <w:highlight w:val="none"/>
                      <w:lang w:val="en-US" w:eastAsia="zh-CN"/>
                    </w:rPr>
                    <w:t>风量</w:t>
                  </w:r>
                </w:p>
              </w:tc>
              <w:tc>
                <w:tcPr>
                  <w:tcW w:w="731" w:type="pct"/>
                  <w:vAlign w:val="center"/>
                </w:tcPr>
                <w:p>
                  <w:pPr>
                    <w:adjustRightInd w:val="0"/>
                    <w:snapToGrid w:val="0"/>
                    <w:jc w:val="center"/>
                    <w:rPr>
                      <w:bCs/>
                      <w:szCs w:val="21"/>
                      <w:highlight w:val="none"/>
                    </w:rPr>
                  </w:pPr>
                  <w:r>
                    <w:rPr>
                      <w:bCs/>
                      <w:szCs w:val="21"/>
                      <w:highlight w:val="none"/>
                    </w:rPr>
                    <w:t>标准限值</w:t>
                  </w:r>
                </w:p>
              </w:tc>
              <w:tc>
                <w:tcPr>
                  <w:tcW w:w="1022" w:type="pct"/>
                  <w:vAlign w:val="center"/>
                </w:tcPr>
                <w:p>
                  <w:pPr>
                    <w:adjustRightInd w:val="0"/>
                    <w:snapToGrid w:val="0"/>
                    <w:jc w:val="center"/>
                    <w:rPr>
                      <w:bCs/>
                      <w:szCs w:val="21"/>
                      <w:highlight w:val="none"/>
                    </w:rPr>
                  </w:pPr>
                  <w:r>
                    <w:rPr>
                      <w:bCs/>
                      <w:szCs w:val="21"/>
                      <w:highlight w:val="none"/>
                    </w:rPr>
                    <w:t>排放量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341" w:type="pct"/>
                  <w:vAlign w:val="center"/>
                </w:tcPr>
                <w:p>
                  <w:pPr>
                    <w:adjustRightInd w:val="0"/>
                    <w:snapToGrid w:val="0"/>
                    <w:jc w:val="center"/>
                    <w:rPr>
                      <w:bCs/>
                      <w:szCs w:val="21"/>
                      <w:highlight w:val="none"/>
                    </w:rPr>
                  </w:pPr>
                  <w:r>
                    <w:rPr>
                      <w:rFonts w:hint="eastAsia"/>
                      <w:szCs w:val="21"/>
                      <w:highlight w:val="none"/>
                    </w:rPr>
                    <w:t>废气排气筒D</w:t>
                  </w:r>
                  <w:r>
                    <w:rPr>
                      <w:szCs w:val="21"/>
                      <w:highlight w:val="none"/>
                    </w:rPr>
                    <w:t>A001</w:t>
                  </w:r>
                </w:p>
              </w:tc>
              <w:tc>
                <w:tcPr>
                  <w:tcW w:w="876" w:type="pct"/>
                  <w:vAlign w:val="center"/>
                </w:tcPr>
                <w:p>
                  <w:pPr>
                    <w:adjustRightInd w:val="0"/>
                    <w:snapToGrid w:val="0"/>
                    <w:jc w:val="center"/>
                    <w:rPr>
                      <w:bCs/>
                      <w:szCs w:val="21"/>
                      <w:highlight w:val="none"/>
                    </w:rPr>
                  </w:pPr>
                  <w:r>
                    <w:rPr>
                      <w:rFonts w:hint="eastAsia"/>
                      <w:bCs/>
                      <w:szCs w:val="21"/>
                      <w:highlight w:val="none"/>
                    </w:rPr>
                    <w:t>非甲烷总烃</w:t>
                  </w:r>
                </w:p>
              </w:tc>
              <w:tc>
                <w:tcPr>
                  <w:tcW w:w="1030" w:type="pct"/>
                  <w:vAlign w:val="center"/>
                </w:tcPr>
                <w:p>
                  <w:pPr>
                    <w:adjustRightInd w:val="0"/>
                    <w:snapToGrid w:val="0"/>
                    <w:jc w:val="center"/>
                    <w:rPr>
                      <w:rFonts w:hint="eastAsia" w:eastAsia="宋体"/>
                      <w:bCs/>
                      <w:szCs w:val="21"/>
                      <w:highlight w:val="none"/>
                      <w:lang w:eastAsia="zh-CN"/>
                    </w:rPr>
                  </w:pPr>
                  <w:r>
                    <w:rPr>
                      <w:rFonts w:hint="eastAsia"/>
                      <w:bCs/>
                      <w:szCs w:val="21"/>
                      <w:highlight w:val="none"/>
                      <w:lang w:val="en-US" w:eastAsia="zh-CN"/>
                    </w:rPr>
                    <w:t>10000</w:t>
                  </w:r>
                  <w:r>
                    <w:rPr>
                      <w:bCs/>
                      <w:szCs w:val="21"/>
                      <w:highlight w:val="none"/>
                    </w:rPr>
                    <w:t>Nm</w:t>
                  </w:r>
                  <w:r>
                    <w:rPr>
                      <w:bCs/>
                      <w:szCs w:val="21"/>
                      <w:highlight w:val="none"/>
                      <w:vertAlign w:val="superscript"/>
                    </w:rPr>
                    <w:t>3</w:t>
                  </w:r>
                  <w:r>
                    <w:rPr>
                      <w:bCs/>
                      <w:szCs w:val="21"/>
                      <w:highlight w:val="none"/>
                    </w:rPr>
                    <w:t>/</w:t>
                  </w:r>
                  <w:r>
                    <w:rPr>
                      <w:rFonts w:hint="eastAsia"/>
                      <w:bCs/>
                      <w:szCs w:val="21"/>
                      <w:highlight w:val="none"/>
                      <w:lang w:val="en-US" w:eastAsia="zh-CN"/>
                    </w:rPr>
                    <w:t>h</w:t>
                  </w:r>
                </w:p>
              </w:tc>
              <w:tc>
                <w:tcPr>
                  <w:tcW w:w="731" w:type="pct"/>
                  <w:vAlign w:val="center"/>
                </w:tcPr>
                <w:p>
                  <w:pPr>
                    <w:adjustRightInd w:val="0"/>
                    <w:snapToGrid w:val="0"/>
                    <w:jc w:val="center"/>
                    <w:rPr>
                      <w:bCs/>
                      <w:szCs w:val="21"/>
                      <w:highlight w:val="none"/>
                    </w:rPr>
                  </w:pPr>
                  <w:r>
                    <w:rPr>
                      <w:rFonts w:hint="eastAsia"/>
                      <w:bCs/>
                      <w:szCs w:val="21"/>
                      <w:highlight w:val="none"/>
                      <w:lang w:val="en-US" w:eastAsia="zh-CN"/>
                    </w:rPr>
                    <w:t>6</w:t>
                  </w:r>
                  <w:r>
                    <w:rPr>
                      <w:bCs/>
                      <w:szCs w:val="21"/>
                      <w:highlight w:val="none"/>
                    </w:rPr>
                    <w:t>0 mg/m</w:t>
                  </w:r>
                  <w:r>
                    <w:rPr>
                      <w:bCs/>
                      <w:szCs w:val="21"/>
                      <w:highlight w:val="none"/>
                      <w:vertAlign w:val="superscript"/>
                    </w:rPr>
                    <w:t>3</w:t>
                  </w:r>
                </w:p>
              </w:tc>
              <w:tc>
                <w:tcPr>
                  <w:tcW w:w="1022" w:type="pct"/>
                  <w:vAlign w:val="center"/>
                </w:tcPr>
                <w:p>
                  <w:pPr>
                    <w:adjustRightInd w:val="0"/>
                    <w:snapToGrid w:val="0"/>
                    <w:jc w:val="center"/>
                    <w:rPr>
                      <w:bCs/>
                      <w:szCs w:val="21"/>
                      <w:highlight w:val="none"/>
                    </w:rPr>
                  </w:pPr>
                  <w:r>
                    <w:rPr>
                      <w:rFonts w:hint="eastAsia"/>
                      <w:bCs/>
                      <w:szCs w:val="21"/>
                      <w:highlight w:val="none"/>
                      <w:lang w:val="en-US" w:eastAsia="zh-CN"/>
                    </w:rPr>
                    <w:t>4.32</w:t>
                  </w:r>
                  <w:r>
                    <w:rPr>
                      <w:bCs/>
                      <w:szCs w:val="21"/>
                      <w:highlight w:val="none"/>
                    </w:rPr>
                    <w:t xml:space="preserve"> t/a</w:t>
                  </w:r>
                </w:p>
              </w:tc>
            </w:tr>
          </w:tbl>
          <w:p>
            <w:pPr>
              <w:adjustRightInd w:val="0"/>
              <w:snapToGrid w:val="0"/>
              <w:spacing w:line="400" w:lineRule="exact"/>
              <w:ind w:firstLine="420" w:firstLineChars="200"/>
              <w:rPr>
                <w:b w:val="0"/>
                <w:bCs/>
                <w:szCs w:val="21"/>
                <w:highlight w:val="none"/>
              </w:rPr>
            </w:pPr>
            <w:r>
              <w:rPr>
                <w:rFonts w:hint="eastAsia"/>
                <w:b w:val="0"/>
                <w:bCs/>
                <w:szCs w:val="21"/>
                <w:highlight w:val="none"/>
                <w:lang w:eastAsia="zh-CN"/>
              </w:rPr>
              <w:t>（</w:t>
            </w:r>
            <w:r>
              <w:rPr>
                <w:rFonts w:hint="eastAsia"/>
                <w:b w:val="0"/>
                <w:bCs/>
                <w:szCs w:val="21"/>
                <w:highlight w:val="none"/>
                <w:lang w:val="en-US" w:eastAsia="zh-CN"/>
              </w:rPr>
              <w:t>2</w:t>
            </w:r>
            <w:r>
              <w:rPr>
                <w:rFonts w:hint="eastAsia"/>
                <w:b w:val="0"/>
                <w:bCs/>
                <w:szCs w:val="21"/>
                <w:highlight w:val="none"/>
                <w:lang w:eastAsia="zh-CN"/>
              </w:rPr>
              <w:t>）</w:t>
            </w:r>
            <w:r>
              <w:rPr>
                <w:rFonts w:hint="eastAsia"/>
                <w:b w:val="0"/>
                <w:bCs/>
                <w:szCs w:val="21"/>
                <w:highlight w:val="none"/>
              </w:rPr>
              <w:t>根据工程分析核算项目污染物排放总量</w:t>
            </w:r>
          </w:p>
          <w:p>
            <w:pPr>
              <w:adjustRightInd w:val="0"/>
              <w:snapToGrid w:val="0"/>
              <w:spacing w:line="400" w:lineRule="exact"/>
              <w:ind w:firstLine="420" w:firstLineChars="200"/>
              <w:rPr>
                <w:kern w:val="0"/>
                <w:szCs w:val="21"/>
                <w:highlight w:val="none"/>
              </w:rPr>
            </w:pPr>
            <w:r>
              <w:rPr>
                <w:rFonts w:hint="eastAsia"/>
                <w:kern w:val="0"/>
                <w:szCs w:val="21"/>
                <w:highlight w:val="none"/>
              </w:rPr>
              <w:t>根据工程分析核算项目污染物排放情况如下表</w:t>
            </w:r>
          </w:p>
          <w:p>
            <w:pPr>
              <w:spacing w:line="400" w:lineRule="exact"/>
              <w:jc w:val="center"/>
              <w:rPr>
                <w:b/>
                <w:szCs w:val="21"/>
                <w:highlight w:val="none"/>
              </w:rPr>
            </w:pPr>
            <w:r>
              <w:rPr>
                <w:rFonts w:hint="eastAsia"/>
                <w:b/>
                <w:szCs w:val="21"/>
                <w:highlight w:val="none"/>
              </w:rPr>
              <w:t>表</w:t>
            </w:r>
            <w:r>
              <w:rPr>
                <w:b/>
                <w:szCs w:val="21"/>
                <w:highlight w:val="none"/>
              </w:rPr>
              <w:t>3-</w:t>
            </w:r>
            <w:r>
              <w:rPr>
                <w:rFonts w:hint="eastAsia"/>
                <w:b/>
                <w:szCs w:val="21"/>
                <w:highlight w:val="none"/>
                <w:lang w:val="en-US" w:eastAsia="zh-CN"/>
              </w:rPr>
              <w:t>6</w:t>
            </w:r>
            <w:r>
              <w:rPr>
                <w:b/>
                <w:szCs w:val="21"/>
                <w:highlight w:val="none"/>
              </w:rPr>
              <w:t xml:space="preserve">  </w:t>
            </w:r>
            <w:r>
              <w:rPr>
                <w:rFonts w:hint="eastAsia"/>
                <w:b/>
                <w:szCs w:val="21"/>
                <w:highlight w:val="none"/>
              </w:rPr>
              <w:t>根据工程分析核算总量</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93"/>
              <w:gridCol w:w="1993"/>
              <w:gridCol w:w="1592"/>
              <w:gridCol w:w="1392"/>
              <w:gridCol w:w="9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51" w:type="pct"/>
                  <w:vAlign w:val="center"/>
                </w:tcPr>
                <w:p>
                  <w:pPr>
                    <w:adjustRightInd w:val="0"/>
                    <w:snapToGrid w:val="0"/>
                    <w:jc w:val="center"/>
                    <w:rPr>
                      <w:bCs/>
                      <w:szCs w:val="21"/>
                      <w:highlight w:val="none"/>
                    </w:rPr>
                  </w:pPr>
                  <w:r>
                    <w:rPr>
                      <w:rFonts w:hint="eastAsia"/>
                      <w:bCs/>
                      <w:szCs w:val="21"/>
                      <w:highlight w:val="none"/>
                    </w:rPr>
                    <w:t>污染源</w:t>
                  </w:r>
                </w:p>
              </w:tc>
              <w:tc>
                <w:tcPr>
                  <w:tcW w:w="1251" w:type="pct"/>
                  <w:vAlign w:val="center"/>
                </w:tcPr>
                <w:p>
                  <w:pPr>
                    <w:adjustRightInd w:val="0"/>
                    <w:snapToGrid w:val="0"/>
                    <w:jc w:val="center"/>
                    <w:rPr>
                      <w:bCs/>
                      <w:szCs w:val="21"/>
                      <w:highlight w:val="none"/>
                    </w:rPr>
                  </w:pPr>
                  <w:r>
                    <w:rPr>
                      <w:bCs/>
                      <w:szCs w:val="21"/>
                      <w:highlight w:val="none"/>
                    </w:rPr>
                    <w:t>污染物</w:t>
                  </w:r>
                </w:p>
              </w:tc>
              <w:tc>
                <w:tcPr>
                  <w:tcW w:w="999" w:type="pct"/>
                  <w:vAlign w:val="center"/>
                </w:tcPr>
                <w:p>
                  <w:pPr>
                    <w:adjustRightInd w:val="0"/>
                    <w:snapToGrid w:val="0"/>
                    <w:jc w:val="center"/>
                    <w:rPr>
                      <w:bCs/>
                      <w:szCs w:val="21"/>
                      <w:highlight w:val="none"/>
                    </w:rPr>
                  </w:pPr>
                  <w:r>
                    <w:rPr>
                      <w:rFonts w:hint="eastAsia"/>
                      <w:bCs/>
                      <w:szCs w:val="21"/>
                      <w:highlight w:val="none"/>
                    </w:rPr>
                    <w:t>排放形式</w:t>
                  </w:r>
                </w:p>
              </w:tc>
              <w:tc>
                <w:tcPr>
                  <w:tcW w:w="1498" w:type="pct"/>
                  <w:gridSpan w:val="2"/>
                  <w:vAlign w:val="center"/>
                </w:tcPr>
                <w:p>
                  <w:pPr>
                    <w:adjustRightInd w:val="0"/>
                    <w:snapToGrid w:val="0"/>
                    <w:jc w:val="center"/>
                    <w:rPr>
                      <w:bCs/>
                      <w:szCs w:val="21"/>
                      <w:highlight w:val="none"/>
                    </w:rPr>
                  </w:pPr>
                  <w:r>
                    <w:rPr>
                      <w:bCs/>
                      <w:szCs w:val="21"/>
                      <w:highlight w:val="none"/>
                    </w:rPr>
                    <w:t>排放情况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1" w:type="pct"/>
                  <w:vAlign w:val="center"/>
                </w:tcPr>
                <w:p>
                  <w:pPr>
                    <w:adjustRightInd w:val="0"/>
                    <w:snapToGrid w:val="0"/>
                    <w:jc w:val="center"/>
                    <w:rPr>
                      <w:bCs/>
                      <w:szCs w:val="21"/>
                      <w:highlight w:val="none"/>
                    </w:rPr>
                  </w:pPr>
                  <w:r>
                    <w:rPr>
                      <w:rFonts w:hint="eastAsia"/>
                      <w:szCs w:val="21"/>
                      <w:highlight w:val="none"/>
                    </w:rPr>
                    <w:t>废气排气筒D</w:t>
                  </w:r>
                  <w:r>
                    <w:rPr>
                      <w:szCs w:val="21"/>
                      <w:highlight w:val="none"/>
                    </w:rPr>
                    <w:t>A001</w:t>
                  </w:r>
                </w:p>
              </w:tc>
              <w:tc>
                <w:tcPr>
                  <w:tcW w:w="1251" w:type="pct"/>
                  <w:vMerge w:val="restart"/>
                  <w:vAlign w:val="center"/>
                </w:tcPr>
                <w:p>
                  <w:pPr>
                    <w:adjustRightInd w:val="0"/>
                    <w:snapToGrid w:val="0"/>
                    <w:jc w:val="center"/>
                    <w:rPr>
                      <w:bCs/>
                      <w:szCs w:val="21"/>
                      <w:highlight w:val="none"/>
                    </w:rPr>
                  </w:pPr>
                  <w:r>
                    <w:rPr>
                      <w:rFonts w:hint="eastAsia"/>
                      <w:bCs/>
                      <w:szCs w:val="21"/>
                      <w:highlight w:val="none"/>
                    </w:rPr>
                    <w:t>非甲烷总烃</w:t>
                  </w:r>
                </w:p>
              </w:tc>
              <w:tc>
                <w:tcPr>
                  <w:tcW w:w="999" w:type="pct"/>
                  <w:vAlign w:val="center"/>
                </w:tcPr>
                <w:p>
                  <w:pPr>
                    <w:adjustRightInd w:val="0"/>
                    <w:snapToGrid w:val="0"/>
                    <w:jc w:val="center"/>
                    <w:rPr>
                      <w:highlight w:val="none"/>
                    </w:rPr>
                  </w:pPr>
                  <w:r>
                    <w:rPr>
                      <w:highlight w:val="none"/>
                    </w:rPr>
                    <w:t>有组织</w:t>
                  </w:r>
                </w:p>
              </w:tc>
              <w:tc>
                <w:tcPr>
                  <w:tcW w:w="874" w:type="pct"/>
                  <w:vAlign w:val="center"/>
                </w:tcPr>
                <w:p>
                  <w:pPr>
                    <w:adjustRightInd w:val="0"/>
                    <w:snapToGrid w:val="0"/>
                    <w:jc w:val="center"/>
                    <w:rPr>
                      <w:szCs w:val="21"/>
                      <w:highlight w:val="none"/>
                    </w:rPr>
                  </w:pPr>
                  <w:r>
                    <w:rPr>
                      <w:szCs w:val="21"/>
                      <w:highlight w:val="none"/>
                    </w:rPr>
                    <w:t>0.</w:t>
                  </w:r>
                  <w:r>
                    <w:rPr>
                      <w:rFonts w:hint="eastAsia"/>
                      <w:szCs w:val="21"/>
                      <w:highlight w:val="none"/>
                      <w:lang w:val="en-US" w:eastAsia="zh-CN"/>
                    </w:rPr>
                    <w:t>675</w:t>
                  </w:r>
                  <w:r>
                    <w:rPr>
                      <w:szCs w:val="21"/>
                      <w:highlight w:val="none"/>
                    </w:rPr>
                    <w:t>t/a</w:t>
                  </w:r>
                </w:p>
              </w:tc>
              <w:tc>
                <w:tcPr>
                  <w:tcW w:w="624" w:type="pct"/>
                  <w:vMerge w:val="restart"/>
                  <w:vAlign w:val="center"/>
                </w:tcPr>
                <w:p>
                  <w:pPr>
                    <w:adjustRightInd w:val="0"/>
                    <w:snapToGrid w:val="0"/>
                    <w:jc w:val="center"/>
                    <w:rPr>
                      <w:szCs w:val="21"/>
                      <w:highlight w:val="none"/>
                    </w:rPr>
                  </w:pPr>
                  <w:r>
                    <w:rPr>
                      <w:rFonts w:hint="eastAsia"/>
                      <w:szCs w:val="21"/>
                      <w:highlight w:val="none"/>
                      <w:lang w:val="en-US" w:eastAsia="zh-CN"/>
                    </w:rPr>
                    <w:t>1.05</w:t>
                  </w:r>
                  <w:r>
                    <w:rPr>
                      <w:szCs w:val="21"/>
                      <w:highlight w:val="none"/>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1" w:type="pct"/>
                  <w:vAlign w:val="center"/>
                </w:tcPr>
                <w:p>
                  <w:pPr>
                    <w:adjustRightInd w:val="0"/>
                    <w:snapToGrid w:val="0"/>
                    <w:jc w:val="center"/>
                    <w:rPr>
                      <w:szCs w:val="21"/>
                      <w:highlight w:val="none"/>
                    </w:rPr>
                  </w:pPr>
                  <w:r>
                    <w:rPr>
                      <w:rFonts w:hint="eastAsia"/>
                      <w:szCs w:val="21"/>
                      <w:highlight w:val="none"/>
                    </w:rPr>
                    <w:t>厂界无组织</w:t>
                  </w:r>
                </w:p>
              </w:tc>
              <w:tc>
                <w:tcPr>
                  <w:tcW w:w="1251" w:type="pct"/>
                  <w:vMerge w:val="continue"/>
                  <w:vAlign w:val="center"/>
                </w:tcPr>
                <w:p>
                  <w:pPr>
                    <w:adjustRightInd w:val="0"/>
                    <w:snapToGrid w:val="0"/>
                    <w:jc w:val="center"/>
                    <w:rPr>
                      <w:bCs/>
                      <w:szCs w:val="21"/>
                      <w:highlight w:val="none"/>
                    </w:rPr>
                  </w:pPr>
                </w:p>
              </w:tc>
              <w:tc>
                <w:tcPr>
                  <w:tcW w:w="999" w:type="pct"/>
                  <w:vAlign w:val="center"/>
                </w:tcPr>
                <w:p>
                  <w:pPr>
                    <w:adjustRightInd w:val="0"/>
                    <w:snapToGrid w:val="0"/>
                    <w:jc w:val="center"/>
                    <w:rPr>
                      <w:highlight w:val="none"/>
                    </w:rPr>
                  </w:pPr>
                  <w:r>
                    <w:rPr>
                      <w:rFonts w:hint="eastAsia"/>
                      <w:highlight w:val="none"/>
                    </w:rPr>
                    <w:t>无组织</w:t>
                  </w:r>
                </w:p>
              </w:tc>
              <w:tc>
                <w:tcPr>
                  <w:tcW w:w="874" w:type="pct"/>
                  <w:vAlign w:val="center"/>
                </w:tcPr>
                <w:p>
                  <w:pPr>
                    <w:adjustRightInd w:val="0"/>
                    <w:snapToGrid w:val="0"/>
                    <w:jc w:val="center"/>
                    <w:rPr>
                      <w:szCs w:val="21"/>
                      <w:highlight w:val="none"/>
                    </w:rPr>
                  </w:pPr>
                  <w:r>
                    <w:rPr>
                      <w:szCs w:val="21"/>
                      <w:highlight w:val="none"/>
                    </w:rPr>
                    <w:t>0</w:t>
                  </w:r>
                  <w:r>
                    <w:rPr>
                      <w:rFonts w:hint="eastAsia"/>
                      <w:szCs w:val="21"/>
                      <w:highlight w:val="none"/>
                      <w:lang w:val="en-US" w:eastAsia="zh-CN"/>
                    </w:rPr>
                    <w:t>.375</w:t>
                  </w:r>
                  <w:r>
                    <w:rPr>
                      <w:szCs w:val="21"/>
                      <w:highlight w:val="none"/>
                    </w:rPr>
                    <w:t>t/a</w:t>
                  </w:r>
                </w:p>
              </w:tc>
              <w:tc>
                <w:tcPr>
                  <w:tcW w:w="624" w:type="pct"/>
                  <w:vMerge w:val="continue"/>
                  <w:vAlign w:val="center"/>
                </w:tcPr>
                <w:p>
                  <w:pPr>
                    <w:adjustRightInd w:val="0"/>
                    <w:snapToGrid w:val="0"/>
                    <w:jc w:val="center"/>
                    <w:rPr>
                      <w:szCs w:val="21"/>
                      <w:highlight w:val="none"/>
                    </w:rPr>
                  </w:pPr>
                </w:p>
              </w:tc>
            </w:tr>
          </w:tbl>
          <w:p>
            <w:pPr>
              <w:adjustRightInd w:val="0"/>
              <w:snapToGrid w:val="0"/>
              <w:spacing w:line="400" w:lineRule="exact"/>
              <w:ind w:firstLine="420" w:firstLineChars="200"/>
              <w:rPr>
                <w:rFonts w:hint="eastAsia"/>
                <w:bCs/>
                <w:szCs w:val="21"/>
                <w:highlight w:val="none"/>
                <w:lang w:eastAsia="zh-CN"/>
              </w:rPr>
            </w:pPr>
            <w:r>
              <w:rPr>
                <w:rFonts w:hint="eastAsia"/>
                <w:bCs/>
                <w:szCs w:val="21"/>
                <w:highlight w:val="none"/>
              </w:rPr>
              <w:t>非甲烷总烃根据排放标准核算总量为</w:t>
            </w:r>
            <w:r>
              <w:rPr>
                <w:rFonts w:hint="eastAsia"/>
                <w:bCs/>
                <w:szCs w:val="21"/>
                <w:highlight w:val="none"/>
                <w:lang w:val="en-US" w:eastAsia="zh-CN"/>
              </w:rPr>
              <w:t>4.32</w:t>
            </w:r>
            <w:r>
              <w:rPr>
                <w:bCs/>
                <w:szCs w:val="21"/>
                <w:highlight w:val="none"/>
              </w:rPr>
              <w:t>t/a</w:t>
            </w:r>
            <w:r>
              <w:rPr>
                <w:rFonts w:hint="eastAsia"/>
                <w:bCs/>
                <w:szCs w:val="21"/>
                <w:highlight w:val="none"/>
              </w:rPr>
              <w:t>，根据工程分析核算</w:t>
            </w:r>
            <w:r>
              <w:rPr>
                <w:rFonts w:hint="eastAsia"/>
                <w:bCs/>
                <w:szCs w:val="21"/>
                <w:highlight w:val="none"/>
                <w:lang w:val="en-US" w:eastAsia="zh-CN"/>
              </w:rPr>
              <w:t>总量为</w:t>
            </w:r>
            <w:r>
              <w:rPr>
                <w:rFonts w:hint="eastAsia"/>
                <w:szCs w:val="21"/>
                <w:highlight w:val="none"/>
                <w:lang w:val="en-US" w:eastAsia="zh-CN"/>
              </w:rPr>
              <w:t>1.05</w:t>
            </w:r>
            <w:r>
              <w:rPr>
                <w:bCs/>
                <w:szCs w:val="21"/>
                <w:highlight w:val="none"/>
              </w:rPr>
              <w:t>t/a</w:t>
            </w:r>
            <w:r>
              <w:rPr>
                <w:rFonts w:hint="eastAsia"/>
                <w:bCs/>
                <w:szCs w:val="21"/>
                <w:highlight w:val="none"/>
                <w:lang w:eastAsia="zh-CN"/>
              </w:rPr>
              <w:t>。</w:t>
            </w:r>
          </w:p>
          <w:p>
            <w:pPr>
              <w:adjustRightInd w:val="0"/>
              <w:snapToGrid w:val="0"/>
              <w:spacing w:line="400" w:lineRule="exact"/>
              <w:ind w:firstLine="420" w:firstLineChars="200"/>
              <w:rPr>
                <w:b/>
                <w:szCs w:val="21"/>
                <w:highlight w:val="yellow"/>
              </w:rPr>
            </w:pPr>
            <w:r>
              <w:rPr>
                <w:rFonts w:hint="eastAsia"/>
                <w:bCs/>
                <w:szCs w:val="21"/>
                <w:highlight w:val="none"/>
              </w:rPr>
              <w:t>综上，</w:t>
            </w:r>
            <w:r>
              <w:rPr>
                <w:color w:val="auto"/>
              </w:rPr>
              <w:t>本项目建成后全厂污染物总量控制指标建议值为：COD：0t/a；NH</w:t>
            </w:r>
            <w:r>
              <w:rPr>
                <w:color w:val="auto"/>
                <w:vertAlign w:val="subscript"/>
              </w:rPr>
              <w:t>3</w:t>
            </w:r>
            <w:r>
              <w:rPr>
                <w:color w:val="auto"/>
              </w:rPr>
              <w:t>-N：0t/a；SO</w:t>
            </w:r>
            <w:r>
              <w:rPr>
                <w:color w:val="auto"/>
                <w:vertAlign w:val="subscript"/>
              </w:rPr>
              <w:t>2</w:t>
            </w:r>
            <w:r>
              <w:rPr>
                <w:color w:val="auto"/>
              </w:rPr>
              <w:t>：0t/a；NO</w:t>
            </w:r>
            <w:r>
              <w:rPr>
                <w:color w:val="auto"/>
                <w:vertAlign w:val="subscript"/>
              </w:rPr>
              <w:t>X</w:t>
            </w:r>
            <w:r>
              <w:rPr>
                <w:color w:val="auto"/>
              </w:rPr>
              <w:t>：0t/a</w:t>
            </w:r>
            <w:r>
              <w:rPr>
                <w:rFonts w:hint="eastAsia"/>
                <w:color w:val="auto"/>
                <w:lang w:eastAsia="zh-CN"/>
              </w:rPr>
              <w:t>；</w:t>
            </w:r>
            <w:r>
              <w:rPr>
                <w:color w:val="auto"/>
              </w:rPr>
              <w:t>特征污</w:t>
            </w:r>
            <w:r>
              <w:rPr>
                <w:color w:val="auto"/>
                <w:highlight w:val="none"/>
              </w:rPr>
              <w:t>染物</w:t>
            </w:r>
            <w:r>
              <w:rPr>
                <w:rFonts w:hint="eastAsia"/>
                <w:bCs/>
                <w:szCs w:val="21"/>
                <w:highlight w:val="none"/>
              </w:rPr>
              <w:t>非甲烷总烃根据排放标准核算总量为</w:t>
            </w:r>
            <w:r>
              <w:rPr>
                <w:rFonts w:hint="eastAsia"/>
                <w:bCs/>
                <w:szCs w:val="21"/>
                <w:highlight w:val="none"/>
                <w:lang w:val="en-US" w:eastAsia="zh-CN"/>
              </w:rPr>
              <w:t>4.32</w:t>
            </w:r>
            <w:r>
              <w:rPr>
                <w:bCs/>
                <w:szCs w:val="21"/>
                <w:highlight w:val="none"/>
              </w:rPr>
              <w:t xml:space="preserve"> t/a</w:t>
            </w:r>
            <w:r>
              <w:rPr>
                <w:rFonts w:hint="eastAsia"/>
                <w:bCs/>
                <w:szCs w:val="21"/>
                <w:highlight w:val="none"/>
              </w:rPr>
              <w:t>，根据工程分析核算</w:t>
            </w:r>
            <w:r>
              <w:rPr>
                <w:rFonts w:hint="eastAsia"/>
                <w:bCs/>
                <w:szCs w:val="21"/>
                <w:highlight w:val="none"/>
                <w:lang w:val="en-US" w:eastAsia="zh-CN"/>
              </w:rPr>
              <w:t>总量为</w:t>
            </w:r>
            <w:r>
              <w:rPr>
                <w:rFonts w:hint="eastAsia"/>
                <w:szCs w:val="21"/>
                <w:highlight w:val="none"/>
                <w:lang w:val="en-US" w:eastAsia="zh-CN"/>
              </w:rPr>
              <w:t>1.05</w:t>
            </w:r>
            <w:r>
              <w:rPr>
                <w:bCs/>
                <w:szCs w:val="21"/>
                <w:highlight w:val="none"/>
              </w:rPr>
              <w:t>t/a</w:t>
            </w:r>
            <w:r>
              <w:rPr>
                <w:rFonts w:hint="eastAsia"/>
                <w:bCs/>
                <w:szCs w:val="21"/>
                <w:highlight w:val="none"/>
                <w:lang w:eastAsia="zh-CN"/>
              </w:rPr>
              <w:t>。</w:t>
            </w:r>
          </w:p>
          <w:p>
            <w:pPr>
              <w:adjustRightInd w:val="0"/>
              <w:snapToGrid w:val="0"/>
              <w:spacing w:line="400" w:lineRule="exact"/>
              <w:ind w:firstLine="420" w:firstLineChars="200"/>
              <w:rPr>
                <w:bCs/>
                <w:szCs w:val="21"/>
              </w:rPr>
            </w:pPr>
            <w:r>
              <w:rPr>
                <w:rFonts w:hint="eastAsia"/>
                <w:bCs/>
                <w:szCs w:val="21"/>
              </w:rPr>
              <w:t>上述建议值可以作为环保管理部门制定企业污染物排放总量控制指标的参考。</w:t>
            </w:r>
          </w:p>
        </w:tc>
      </w:tr>
    </w:tbl>
    <w:p>
      <w:pPr>
        <w:pStyle w:val="83"/>
        <w:jc w:val="center"/>
        <w:outlineLvl w:val="0"/>
        <w:rPr>
          <w:rFonts w:ascii="黑体" w:hAnsi="黑体" w:eastAsia="黑体"/>
          <w:snapToGrid w:val="0"/>
          <w:sz w:val="30"/>
          <w:szCs w:val="30"/>
        </w:rPr>
      </w:pPr>
      <w:r>
        <w:rPr>
          <w:rFonts w:ascii="黑体" w:hAnsi="黑体" w:eastAsia="黑体"/>
          <w:snapToGrid w:val="0"/>
          <w:sz w:val="36"/>
          <w:szCs w:val="36"/>
        </w:rPr>
        <w:br w:type="page"/>
      </w:r>
      <w:bookmarkStart w:id="25" w:name="_Toc5051"/>
      <w:r>
        <w:rPr>
          <w:rFonts w:hint="eastAsia" w:ascii="黑体" w:hAnsi="黑体" w:eastAsia="黑体"/>
          <w:snapToGrid w:val="0"/>
          <w:sz w:val="30"/>
          <w:szCs w:val="30"/>
        </w:rPr>
        <w:t>四、主要环境影响和保护措施</w:t>
      </w:r>
      <w:bookmarkEnd w:id="25"/>
    </w:p>
    <w:tbl>
      <w:tblPr>
        <w:tblStyle w:val="9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46"/>
        <w:gridCol w:w="816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86" w:hRule="atLeast"/>
          <w:jc w:val="center"/>
        </w:trPr>
        <w:tc>
          <w:tcPr>
            <w:tcW w:w="746" w:type="dxa"/>
            <w:tcMar>
              <w:left w:w="28" w:type="dxa"/>
              <w:right w:w="28" w:type="dxa"/>
            </w:tcMar>
            <w:vAlign w:val="center"/>
          </w:tcPr>
          <w:p>
            <w:pPr>
              <w:pStyle w:val="83"/>
              <w:adjustRightInd w:val="0"/>
              <w:snapToGrid w:val="0"/>
              <w:spacing w:before="0" w:beforeAutospacing="0" w:after="0" w:afterAutospacing="0"/>
              <w:jc w:val="center"/>
              <w:rPr>
                <w:rFonts w:cs="宋体"/>
                <w:kern w:val="2"/>
                <w:sz w:val="21"/>
                <w:szCs w:val="21"/>
              </w:rPr>
            </w:pPr>
            <w:r>
              <w:rPr>
                <w:rFonts w:hint="eastAsia" w:cs="宋体"/>
                <w:kern w:val="2"/>
                <w:sz w:val="21"/>
                <w:szCs w:val="21"/>
              </w:rPr>
              <w:t>施工</w:t>
            </w:r>
          </w:p>
          <w:p>
            <w:pPr>
              <w:pStyle w:val="83"/>
              <w:adjustRightInd w:val="0"/>
              <w:snapToGrid w:val="0"/>
              <w:spacing w:before="0" w:beforeAutospacing="0" w:after="0" w:afterAutospacing="0"/>
              <w:jc w:val="center"/>
              <w:rPr>
                <w:rFonts w:cs="宋体"/>
                <w:kern w:val="2"/>
                <w:sz w:val="21"/>
                <w:szCs w:val="21"/>
              </w:rPr>
            </w:pPr>
            <w:r>
              <w:rPr>
                <w:rFonts w:hint="eastAsia" w:cs="宋体"/>
                <w:kern w:val="2"/>
                <w:sz w:val="21"/>
                <w:szCs w:val="21"/>
              </w:rPr>
              <w:t>期环</w:t>
            </w:r>
          </w:p>
          <w:p>
            <w:pPr>
              <w:pStyle w:val="83"/>
              <w:adjustRightInd w:val="0"/>
              <w:snapToGrid w:val="0"/>
              <w:spacing w:before="0" w:beforeAutospacing="0" w:after="0" w:afterAutospacing="0"/>
              <w:jc w:val="center"/>
              <w:rPr>
                <w:rFonts w:cs="宋体"/>
                <w:kern w:val="2"/>
                <w:sz w:val="21"/>
                <w:szCs w:val="21"/>
              </w:rPr>
            </w:pPr>
            <w:r>
              <w:rPr>
                <w:rFonts w:hint="eastAsia" w:cs="宋体"/>
                <w:kern w:val="2"/>
                <w:sz w:val="21"/>
                <w:szCs w:val="21"/>
              </w:rPr>
              <w:t>境保</w:t>
            </w:r>
          </w:p>
          <w:p>
            <w:pPr>
              <w:pStyle w:val="83"/>
              <w:adjustRightInd w:val="0"/>
              <w:snapToGrid w:val="0"/>
              <w:spacing w:before="0" w:beforeAutospacing="0" w:after="0" w:afterAutospacing="0"/>
              <w:jc w:val="center"/>
              <w:rPr>
                <w:rFonts w:cs="宋体"/>
                <w:kern w:val="2"/>
                <w:sz w:val="21"/>
                <w:szCs w:val="21"/>
              </w:rPr>
            </w:pPr>
            <w:r>
              <w:rPr>
                <w:rFonts w:hint="eastAsia" w:cs="宋体"/>
                <w:kern w:val="2"/>
                <w:sz w:val="21"/>
                <w:szCs w:val="21"/>
              </w:rPr>
              <w:t>护措</w:t>
            </w:r>
          </w:p>
          <w:p>
            <w:pPr>
              <w:pStyle w:val="83"/>
              <w:adjustRightInd w:val="0"/>
              <w:snapToGrid w:val="0"/>
              <w:spacing w:before="0" w:beforeAutospacing="0" w:after="0" w:afterAutospacing="0"/>
              <w:jc w:val="center"/>
              <w:rPr>
                <w:rFonts w:cs="宋体"/>
                <w:bCs/>
                <w:kern w:val="2"/>
                <w:sz w:val="21"/>
                <w:szCs w:val="21"/>
              </w:rPr>
            </w:pPr>
            <w:r>
              <w:rPr>
                <w:rFonts w:hint="eastAsia" w:cs="宋体"/>
                <w:kern w:val="2"/>
                <w:sz w:val="21"/>
                <w:szCs w:val="21"/>
              </w:rPr>
              <w:t>施</w:t>
            </w:r>
          </w:p>
        </w:tc>
        <w:tc>
          <w:tcPr>
            <w:tcW w:w="8162" w:type="dxa"/>
            <w:vAlign w:val="center"/>
          </w:tcPr>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 xml:space="preserve">本项目利用现有生产车间进行生产，不存在土建工程施工，仅为设备安装，施工期主要污染物为设备安装的扬尘废气、员工的生活盥洗废水、设备安装过程产生的噪声以及安装人员的生活垃圾。本项目不存在房屋基础建设，不涉及土建，故其环境影响主要在营运期。 </w:t>
            </w:r>
          </w:p>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（1）废气</w:t>
            </w:r>
          </w:p>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本项目施工期间废气主要为设备安装的扬尘，设备安装均在车间内进行，产尘量较少，为了避免和减轻施工期扬尘产生的污染影响，本评价要求项目建设严格按照《关于印发《2024年建筑施工扬尘污染防治工作方案》的通知》（冀建质安函[2024]115号）中关于控制施工扬尘的规定，采取相应措施后，对周边环境的影响较小，且施工期较短，随着施工期结束影响也随即消失。</w:t>
            </w:r>
          </w:p>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（2）废水</w:t>
            </w:r>
          </w:p>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本项目施工废水主要为设备安装工人的生活盥洗废水。生活污水泼洒抑尘，施工场地设防渗旱厕，定期清掏用作农肥。综上所述，施工期废水不会对地表水环境和周围环境产生明显影响。</w:t>
            </w:r>
          </w:p>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（3）噪声</w:t>
            </w:r>
          </w:p>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施工期噪声源主要来自设备安装噪声，此外，设备与垃圾的运输也可引起交通噪声略有增加。</w:t>
            </w:r>
          </w:p>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建议本项目建设在昼间施工，尽量避免夜间施工，减少夜间运行时噪声可能对周围敏感点声环境质量造成影响。本环评建议在施工前与周边居民协调好，取得居民的支持与理解；建设单位和施工单位必须加强环境管理，制定必要的防治措施，严格执行《建筑施工场界环境噪声排放标准》(GB12523-2011)的有关规定。施工期影响不是长期影响，施工期结束后，施工影响也随之消失。</w:t>
            </w:r>
          </w:p>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本环评建议合理安排施工时间；禁止运输车辆鸣笛，最大限度减少对周围环境及工作人员和附近居民的影响。采取减缓施工期噪声对周围环境影响的措施：</w:t>
            </w:r>
          </w:p>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①合理安排好施工时间。</w:t>
            </w:r>
          </w:p>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②从声源上控制。作业中搬运设备设施必须轻拿轻放，设备吊装、堆放不发出大的声响，严禁抛掷物件而造成噪声。增强施工人员的环保意识，提高防止噪声扰民的自觉性；施工现场禁止大声喧哗吵闹等。</w:t>
            </w:r>
          </w:p>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③施工场所的施工车辆出入地点应尽量远离敏感点，车辆出入现场时应低速、禁鸣。</w:t>
            </w:r>
          </w:p>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通过加强施工现场管理，落实噪声控制措施，可使施工场界噪声满足标准要求，采取上述措施后，项目施工对周围声环境影响较小。</w:t>
            </w:r>
          </w:p>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（4）固体废物</w:t>
            </w:r>
          </w:p>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施工期固体废物主要为设备安装人员的生活垃圾。现场安置垃圾箱，生活垃圾分类处理后送至附近生活垃圾转运站，由环卫部门统一处置。固废均可得到妥善处置，不会对周围环境产生明显影响。</w:t>
            </w:r>
          </w:p>
          <w:p>
            <w:pPr>
              <w:adjustRightInd w:val="0"/>
              <w:snapToGrid w:val="0"/>
              <w:spacing w:line="400" w:lineRule="exact"/>
              <w:ind w:firstLine="420" w:firstLineChars="200"/>
              <w:rPr>
                <w:rFonts w:ascii="宋体" w:hAnsi="宋体" w:cs="宋体"/>
                <w:bCs/>
                <w:spacing w:val="-10"/>
                <w:szCs w:val="21"/>
              </w:rPr>
            </w:pPr>
            <w:r>
              <w:rPr>
                <w:rFonts w:hint="eastAsia" w:ascii="Times New Roman" w:hAnsi="Times New Roman" w:eastAsia="宋体" w:cs="Times New Roman"/>
                <w:bCs/>
                <w:szCs w:val="21"/>
              </w:rPr>
              <w:t>综上所述，本项目施工期不会对周围环境造成明显影响。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746" w:type="dxa"/>
            <w:tcMar>
              <w:left w:w="28" w:type="dxa"/>
              <w:right w:w="28" w:type="dxa"/>
            </w:tcMar>
            <w:vAlign w:val="center"/>
          </w:tcPr>
          <w:p>
            <w:pPr>
              <w:adjustRightInd w:val="0"/>
              <w:snapToGrid w:val="0"/>
              <w:jc w:val="center"/>
              <w:rPr>
                <w:rFonts w:ascii="宋体" w:hAnsi="宋体" w:cs="宋体"/>
                <w:bCs/>
                <w:szCs w:val="21"/>
              </w:rPr>
            </w:pPr>
            <w:r>
              <w:rPr>
                <w:rFonts w:hint="eastAsia" w:ascii="宋体" w:hAnsi="宋体" w:cs="宋体"/>
                <w:bCs/>
                <w:szCs w:val="21"/>
              </w:rPr>
              <w:t>运营</w:t>
            </w:r>
          </w:p>
          <w:p>
            <w:pPr>
              <w:adjustRightInd w:val="0"/>
              <w:snapToGrid w:val="0"/>
              <w:jc w:val="center"/>
              <w:rPr>
                <w:rFonts w:ascii="宋体" w:hAnsi="宋体" w:cs="宋体"/>
                <w:bCs/>
                <w:szCs w:val="21"/>
              </w:rPr>
            </w:pPr>
            <w:r>
              <w:rPr>
                <w:rFonts w:hint="eastAsia" w:ascii="宋体" w:hAnsi="宋体" w:cs="宋体"/>
                <w:bCs/>
                <w:szCs w:val="21"/>
              </w:rPr>
              <w:t>期环</w:t>
            </w:r>
          </w:p>
          <w:p>
            <w:pPr>
              <w:adjustRightInd w:val="0"/>
              <w:snapToGrid w:val="0"/>
              <w:jc w:val="center"/>
              <w:rPr>
                <w:rFonts w:ascii="宋体" w:hAnsi="宋体" w:cs="宋体"/>
                <w:bCs/>
                <w:szCs w:val="21"/>
              </w:rPr>
            </w:pPr>
            <w:r>
              <w:rPr>
                <w:rFonts w:hint="eastAsia" w:ascii="宋体" w:hAnsi="宋体" w:cs="宋体"/>
                <w:bCs/>
                <w:szCs w:val="21"/>
              </w:rPr>
              <w:t>境影</w:t>
            </w:r>
          </w:p>
          <w:p>
            <w:pPr>
              <w:adjustRightInd w:val="0"/>
              <w:snapToGrid w:val="0"/>
              <w:jc w:val="center"/>
              <w:rPr>
                <w:rFonts w:ascii="宋体" w:hAnsi="宋体" w:cs="宋体"/>
                <w:bCs/>
                <w:szCs w:val="21"/>
              </w:rPr>
            </w:pPr>
            <w:r>
              <w:rPr>
                <w:rFonts w:hint="eastAsia" w:ascii="宋体" w:hAnsi="宋体" w:cs="宋体"/>
                <w:bCs/>
                <w:szCs w:val="21"/>
              </w:rPr>
              <w:t>响和</w:t>
            </w:r>
          </w:p>
          <w:p>
            <w:pPr>
              <w:adjustRightInd w:val="0"/>
              <w:snapToGrid w:val="0"/>
              <w:jc w:val="center"/>
              <w:rPr>
                <w:rFonts w:ascii="宋体" w:hAnsi="宋体" w:cs="宋体"/>
                <w:bCs/>
                <w:szCs w:val="21"/>
              </w:rPr>
            </w:pPr>
            <w:r>
              <w:rPr>
                <w:rFonts w:hint="eastAsia" w:ascii="宋体" w:hAnsi="宋体" w:cs="宋体"/>
                <w:bCs/>
                <w:szCs w:val="21"/>
              </w:rPr>
              <w:t>保护</w:t>
            </w:r>
          </w:p>
          <w:p>
            <w:pPr>
              <w:adjustRightInd w:val="0"/>
              <w:snapToGrid w:val="0"/>
              <w:jc w:val="center"/>
              <w:rPr>
                <w:rFonts w:ascii="宋体" w:hAnsi="宋体" w:cs="宋体"/>
                <w:bCs/>
                <w:szCs w:val="21"/>
              </w:rPr>
            </w:pPr>
            <w:r>
              <w:rPr>
                <w:rFonts w:hint="eastAsia" w:ascii="宋体" w:hAnsi="宋体" w:cs="宋体"/>
                <w:bCs/>
                <w:szCs w:val="21"/>
              </w:rPr>
              <w:t>措施</w:t>
            </w:r>
          </w:p>
        </w:tc>
        <w:tc>
          <w:tcPr>
            <w:tcW w:w="8162" w:type="dxa"/>
            <w:vAlign w:val="center"/>
          </w:tcPr>
          <w:p>
            <w:pPr>
              <w:adjustRightInd w:val="0"/>
              <w:snapToGrid w:val="0"/>
              <w:spacing w:line="400" w:lineRule="exact"/>
              <w:ind w:firstLine="422" w:firstLineChars="200"/>
              <w:rPr>
                <w:b/>
                <w:szCs w:val="21"/>
              </w:rPr>
            </w:pPr>
            <w:bookmarkStart w:id="26" w:name="_Hlk112147987"/>
            <w:r>
              <w:rPr>
                <w:rFonts w:hint="eastAsia"/>
                <w:b/>
                <w:szCs w:val="21"/>
              </w:rPr>
              <w:t>一、废气</w:t>
            </w:r>
          </w:p>
          <w:p>
            <w:pPr>
              <w:adjustRightInd w:val="0"/>
              <w:snapToGrid w:val="0"/>
              <w:spacing w:line="400" w:lineRule="exact"/>
              <w:ind w:firstLine="422" w:firstLineChars="200"/>
              <w:rPr>
                <w:b/>
                <w:szCs w:val="21"/>
              </w:rPr>
            </w:pPr>
            <w:r>
              <w:rPr>
                <w:rFonts w:hint="eastAsia"/>
                <w:b/>
                <w:szCs w:val="21"/>
              </w:rPr>
              <w:t>1、源强分析</w:t>
            </w:r>
          </w:p>
          <w:p>
            <w:pPr>
              <w:adjustRightInd w:val="0"/>
              <w:snapToGrid w:val="0"/>
              <w:spacing w:line="400" w:lineRule="exact"/>
              <w:ind w:firstLine="420" w:firstLineChars="200"/>
              <w:rPr>
                <w:bCs/>
                <w:szCs w:val="21"/>
              </w:rPr>
            </w:pPr>
            <w:r>
              <w:rPr>
                <w:rFonts w:hint="eastAsia"/>
                <w:bCs/>
                <w:szCs w:val="21"/>
              </w:rPr>
              <w:t>本项目</w:t>
            </w:r>
            <w:r>
              <w:rPr>
                <w:rFonts w:hint="eastAsia"/>
                <w:bCs/>
                <w:szCs w:val="21"/>
                <w:lang w:val="en-US" w:eastAsia="zh-CN"/>
              </w:rPr>
              <w:t>废气主要为电打晕、表面涂甲醇、烘干、挤出、涂膜工序产生的非甲烷总烃，分别由集气罩收集后，经过滤棉+二级活性炭吸附装置处理后，通过15m排气筒排放（DA001）</w:t>
            </w:r>
            <w:r>
              <w:rPr>
                <w:rFonts w:hint="eastAsia"/>
                <w:bCs/>
                <w:szCs w:val="21"/>
              </w:rPr>
              <w:t>。</w:t>
            </w:r>
          </w:p>
          <w:p>
            <w:pPr>
              <w:adjustRightInd w:val="0"/>
              <w:snapToGrid w:val="0"/>
              <w:spacing w:line="400" w:lineRule="exact"/>
              <w:ind w:firstLine="420" w:firstLineChars="200"/>
              <w:rPr>
                <w:b/>
                <w:szCs w:val="21"/>
              </w:rPr>
            </w:pPr>
            <w:bookmarkStart w:id="27" w:name="_Hlk112163353"/>
            <w:r>
              <w:rPr>
                <w:rFonts w:hint="eastAsia"/>
                <w:shd w:val="clear" w:color="auto" w:fill="FFFFFF"/>
                <w:lang w:val="en-US" w:eastAsia="zh-CN"/>
              </w:rPr>
              <w:t>本项目预涂膜生产线位于密闭生产车间内，参照</w:t>
            </w:r>
            <w:r>
              <w:rPr>
                <w:rFonts w:hint="eastAsia"/>
                <w:shd w:val="clear" w:color="auto" w:fill="FFFFFF"/>
              </w:rPr>
              <w:t>《排放源统计调查产排污核算方法和系数手册》（生态环境部2021.6.11）中“292 塑料制品行业系数手册-2921 塑料薄膜制造行业系数表中挥发性有机物2.50kg/t-产品”的产污系数，项目年生产预涂膜1500吨，</w:t>
            </w:r>
            <w:r>
              <w:rPr>
                <w:rFonts w:hint="eastAsia"/>
                <w:shd w:val="clear" w:color="auto" w:fill="FFFFFF"/>
                <w:lang w:val="en-US" w:eastAsia="zh-CN"/>
              </w:rPr>
              <w:t>挥发性有机物以非甲烷总烃计，</w:t>
            </w:r>
            <w:r>
              <w:rPr>
                <w:rFonts w:hint="eastAsia"/>
                <w:shd w:val="clear" w:color="auto" w:fill="FFFFFF"/>
              </w:rPr>
              <w:t>则非甲烷总烃产生量为</w:t>
            </w:r>
            <w:r>
              <w:rPr>
                <w:rFonts w:hint="eastAsia"/>
                <w:shd w:val="clear" w:color="auto" w:fill="FFFFFF"/>
                <w:lang w:val="en-US" w:eastAsia="zh-CN"/>
              </w:rPr>
              <w:t>3.75</w:t>
            </w:r>
            <w:r>
              <w:rPr>
                <w:rFonts w:hint="eastAsia"/>
                <w:shd w:val="clear" w:color="auto" w:fill="FFFFFF"/>
              </w:rPr>
              <w:t>t/a（</w:t>
            </w:r>
            <w:r>
              <w:rPr>
                <w:rFonts w:hint="eastAsia"/>
                <w:shd w:val="clear" w:color="auto" w:fill="FFFFFF"/>
                <w:lang w:val="en-US" w:eastAsia="zh-CN"/>
              </w:rPr>
              <w:t>0.521</w:t>
            </w:r>
            <w:r>
              <w:rPr>
                <w:rFonts w:hint="eastAsia"/>
                <w:shd w:val="clear" w:color="auto" w:fill="FFFFFF"/>
              </w:rPr>
              <w:t>kg/h）</w:t>
            </w:r>
            <w:r>
              <w:rPr>
                <w:shd w:val="clear" w:color="auto" w:fill="FFFFFF"/>
              </w:rPr>
              <w:t>。</w:t>
            </w:r>
          </w:p>
          <w:p>
            <w:pPr>
              <w:adjustRightInd w:val="0"/>
              <w:snapToGrid w:val="0"/>
              <w:spacing w:line="400" w:lineRule="exact"/>
              <w:ind w:firstLine="420" w:firstLineChars="200"/>
              <w:rPr>
                <w:rFonts w:hint="eastAsia"/>
                <w:bCs/>
                <w:lang w:val="en-US" w:eastAsia="zh-CN"/>
              </w:rPr>
            </w:pPr>
            <w:r>
              <w:rPr>
                <w:rFonts w:hint="eastAsia"/>
                <w:bCs/>
                <w:szCs w:val="21"/>
              </w:rPr>
              <w:t>项目</w:t>
            </w:r>
            <w:r>
              <w:rPr>
                <w:rFonts w:hint="eastAsia"/>
                <w:bCs/>
                <w:szCs w:val="21"/>
                <w:lang w:val="en-US" w:eastAsia="zh-CN"/>
              </w:rPr>
              <w:t>电打晕、表面涂甲醇、烘干、挤出、涂膜工序</w:t>
            </w:r>
            <w:r>
              <w:rPr>
                <w:rFonts w:hint="eastAsia"/>
                <w:bCs/>
                <w:szCs w:val="21"/>
              </w:rPr>
              <w:t>在封闭车间内进行。</w:t>
            </w:r>
            <w:bookmarkEnd w:id="27"/>
            <w:r>
              <w:rPr>
                <w:rFonts w:hint="eastAsia"/>
                <w:bCs/>
                <w:szCs w:val="21"/>
              </w:rPr>
              <w:t>在设备上方设置集气罩，收集效率不低于</w:t>
            </w:r>
            <w:r>
              <w:rPr>
                <w:bCs/>
                <w:szCs w:val="21"/>
              </w:rPr>
              <w:t>90</w:t>
            </w:r>
            <w:r>
              <w:rPr>
                <w:rFonts w:hint="eastAsia"/>
                <w:bCs/>
                <w:szCs w:val="21"/>
              </w:rPr>
              <w:t>%，经“</w:t>
            </w:r>
            <w:r>
              <w:rPr>
                <w:rFonts w:hint="eastAsia"/>
              </w:rPr>
              <w:t>过滤</w:t>
            </w:r>
            <w:r>
              <w:rPr>
                <w:rFonts w:hint="eastAsia"/>
                <w:lang w:val="en-US" w:eastAsia="zh-CN"/>
              </w:rPr>
              <w:t>棉</w:t>
            </w:r>
            <w:r>
              <w:rPr>
                <w:rFonts w:hint="eastAsia"/>
              </w:rPr>
              <w:t>+</w:t>
            </w:r>
            <w:r>
              <w:rPr>
                <w:rFonts w:hint="eastAsia"/>
                <w:lang w:val="en-US" w:eastAsia="zh-CN"/>
              </w:rPr>
              <w:t>二级</w:t>
            </w:r>
            <w:r>
              <w:rPr>
                <w:rFonts w:hint="eastAsia"/>
              </w:rPr>
              <w:t>活性炭吸附</w:t>
            </w:r>
            <w:r>
              <w:rPr>
                <w:rFonts w:hint="eastAsia"/>
                <w:lang w:val="en-US" w:eastAsia="zh-CN"/>
              </w:rPr>
              <w:t>装置</w:t>
            </w:r>
            <w:r>
              <w:rPr>
                <w:rFonts w:hint="eastAsia"/>
                <w:bCs/>
                <w:szCs w:val="21"/>
              </w:rPr>
              <w:t>”处理，去除率按8</w:t>
            </w:r>
            <w:r>
              <w:rPr>
                <w:rFonts w:hint="eastAsia"/>
                <w:bCs/>
                <w:szCs w:val="21"/>
                <w:lang w:val="en-US" w:eastAsia="zh-CN"/>
              </w:rPr>
              <w:t>0</w:t>
            </w:r>
            <w:r>
              <w:rPr>
                <w:bCs/>
                <w:szCs w:val="21"/>
              </w:rPr>
              <w:t>%</w:t>
            </w:r>
            <w:r>
              <w:rPr>
                <w:rFonts w:hint="eastAsia"/>
                <w:bCs/>
                <w:szCs w:val="21"/>
              </w:rPr>
              <w:t>计，经1</w:t>
            </w:r>
            <w:r>
              <w:rPr>
                <w:bCs/>
                <w:szCs w:val="21"/>
              </w:rPr>
              <w:t>5m</w:t>
            </w:r>
            <w:r>
              <w:rPr>
                <w:rFonts w:hint="eastAsia"/>
                <w:bCs/>
                <w:szCs w:val="21"/>
              </w:rPr>
              <w:t>高排气筒排放</w:t>
            </w:r>
            <w:r>
              <w:rPr>
                <w:rFonts w:hint="eastAsia"/>
                <w:bCs/>
                <w:szCs w:val="21"/>
                <w:lang w:eastAsia="zh-CN"/>
              </w:rPr>
              <w:t>（</w:t>
            </w:r>
            <w:r>
              <w:rPr>
                <w:rFonts w:hint="eastAsia"/>
                <w:bCs/>
                <w:szCs w:val="21"/>
                <w:lang w:val="en-US" w:eastAsia="zh-CN"/>
              </w:rPr>
              <w:t>DA001</w:t>
            </w:r>
            <w:r>
              <w:rPr>
                <w:rFonts w:hint="eastAsia"/>
                <w:bCs/>
                <w:szCs w:val="21"/>
                <w:lang w:eastAsia="zh-CN"/>
              </w:rPr>
              <w:t>）</w:t>
            </w:r>
            <w:r>
              <w:rPr>
                <w:rFonts w:hint="eastAsia"/>
                <w:bCs/>
                <w:szCs w:val="21"/>
              </w:rPr>
              <w:t>，</w:t>
            </w:r>
            <w:r>
              <w:rPr>
                <w:rFonts w:hint="eastAsia"/>
                <w:bCs/>
              </w:rPr>
              <w:t>风机风量</w:t>
            </w:r>
            <w:r>
              <w:rPr>
                <w:rFonts w:hint="eastAsia"/>
                <w:bCs/>
                <w:lang w:val="en-US" w:eastAsia="zh-CN"/>
              </w:rPr>
              <w:t>10</w:t>
            </w:r>
            <w:r>
              <w:rPr>
                <w:bCs/>
              </w:rPr>
              <w:t>000 m</w:t>
            </w:r>
            <w:r>
              <w:rPr>
                <w:bCs/>
                <w:vertAlign w:val="superscript"/>
              </w:rPr>
              <w:t>3</w:t>
            </w:r>
            <w:r>
              <w:rPr>
                <w:bCs/>
              </w:rPr>
              <w:t>/h</w:t>
            </w:r>
            <w:r>
              <w:rPr>
                <w:rFonts w:hint="eastAsia"/>
                <w:bCs/>
                <w:lang w:eastAsia="zh-CN"/>
              </w:rPr>
              <w:t>，</w:t>
            </w:r>
            <w:r>
              <w:rPr>
                <w:rFonts w:hint="eastAsia"/>
                <w:bCs/>
                <w:lang w:val="en-US" w:eastAsia="zh-CN"/>
              </w:rPr>
              <w:t>年运行7200h，则经处理后的非甲烷总烃排放量为0.675t/a（0.094kg/h），排放浓度为9.38mg/m</w:t>
            </w:r>
            <w:r>
              <w:rPr>
                <w:rFonts w:hint="eastAsia"/>
                <w:bCs/>
                <w:vertAlign w:val="superscript"/>
                <w:lang w:val="en-US" w:eastAsia="zh-CN"/>
              </w:rPr>
              <w:t>3</w:t>
            </w:r>
            <w:r>
              <w:rPr>
                <w:rFonts w:hint="eastAsia"/>
                <w:bCs/>
                <w:lang w:val="en-US" w:eastAsia="zh-CN"/>
              </w:rPr>
              <w:t>。</w:t>
            </w:r>
          </w:p>
          <w:p>
            <w:pPr>
              <w:adjustRightInd w:val="0"/>
              <w:snapToGrid w:val="0"/>
              <w:spacing w:line="400" w:lineRule="exact"/>
              <w:ind w:firstLine="420" w:firstLineChars="200"/>
              <w:rPr>
                <w:rFonts w:hint="eastAsia"/>
                <w:bCs/>
                <w:szCs w:val="21"/>
                <w:lang w:eastAsia="zh-CN"/>
              </w:rPr>
            </w:pPr>
            <w:r>
              <w:rPr>
                <w:rFonts w:hint="eastAsia"/>
                <w:bCs/>
                <w:szCs w:val="21"/>
              </w:rPr>
              <w:t>未收集部分（1</w:t>
            </w:r>
            <w:r>
              <w:rPr>
                <w:bCs/>
                <w:szCs w:val="21"/>
              </w:rPr>
              <w:t>0</w:t>
            </w:r>
            <w:r>
              <w:rPr>
                <w:rFonts w:hint="eastAsia"/>
                <w:bCs/>
                <w:szCs w:val="21"/>
              </w:rPr>
              <w:t>%）无组织排放未被收集的非甲烷总烃排放量为0.</w:t>
            </w:r>
            <w:r>
              <w:rPr>
                <w:rFonts w:hint="eastAsia"/>
                <w:bCs/>
                <w:szCs w:val="21"/>
                <w:lang w:val="en-US" w:eastAsia="zh-CN"/>
              </w:rPr>
              <w:t>375</w:t>
            </w:r>
            <w:r>
              <w:rPr>
                <w:rFonts w:hint="eastAsia"/>
                <w:bCs/>
                <w:szCs w:val="21"/>
              </w:rPr>
              <w:t>t/a（0.0</w:t>
            </w:r>
            <w:r>
              <w:rPr>
                <w:rFonts w:hint="eastAsia"/>
                <w:bCs/>
                <w:szCs w:val="21"/>
                <w:lang w:val="en-US" w:eastAsia="zh-CN"/>
              </w:rPr>
              <w:t>52</w:t>
            </w:r>
            <w:r>
              <w:rPr>
                <w:rFonts w:hint="eastAsia"/>
                <w:bCs/>
                <w:szCs w:val="21"/>
              </w:rPr>
              <w:t>kg/h）</w:t>
            </w:r>
            <w:r>
              <w:rPr>
                <w:rFonts w:hint="eastAsia"/>
                <w:bCs/>
                <w:szCs w:val="21"/>
                <w:lang w:eastAsia="zh-CN"/>
              </w:rPr>
              <w:t>。</w:t>
            </w:r>
          </w:p>
          <w:p>
            <w:pPr>
              <w:adjustRightInd w:val="0"/>
              <w:snapToGrid w:val="0"/>
              <w:spacing w:line="400" w:lineRule="exact"/>
              <w:ind w:firstLine="420" w:firstLineChars="200"/>
              <w:rPr>
                <w:bCs/>
                <w:szCs w:val="21"/>
              </w:rPr>
            </w:pPr>
            <w:r>
              <w:rPr>
                <w:rFonts w:hint="eastAsia" w:ascii="Times New Roman" w:hAnsi="Times New Roman" w:cs="Times New Roman"/>
                <w:bCs/>
                <w:color w:val="auto"/>
                <w:szCs w:val="25"/>
                <w:lang w:val="en-US" w:eastAsia="zh-CN"/>
              </w:rPr>
              <w:t>废气污染物产生及排放情况</w:t>
            </w:r>
            <w:r>
              <w:rPr>
                <w:rFonts w:hint="eastAsia"/>
                <w:bCs/>
                <w:szCs w:val="21"/>
              </w:rPr>
              <w:t>具体如下：</w:t>
            </w:r>
          </w:p>
          <w:p>
            <w:pPr>
              <w:widowControl w:val="0"/>
              <w:tabs>
                <w:tab w:val="left" w:pos="327"/>
                <w:tab w:val="left" w:pos="507"/>
                <w:tab w:val="right" w:pos="8913"/>
              </w:tabs>
              <w:spacing w:line="480" w:lineRule="exact"/>
              <w:ind w:left="420" w:leftChars="200" w:firstLine="0" w:firstLineChars="0"/>
              <w:jc w:val="center"/>
              <w:rPr>
                <w:rFonts w:hint="eastAsia" w:ascii="Times New Roman" w:hAnsi="Times New Roman" w:eastAsia="宋体" w:cs="Times New Roman"/>
                <w:bCs/>
                <w:color w:val="auto"/>
                <w:kern w:val="0"/>
                <w:sz w:val="21"/>
                <w:szCs w:val="21"/>
                <w:lang w:val="en-US" w:eastAsia="zh-CN" w:bidi="ar-SA"/>
              </w:rPr>
            </w:pPr>
            <w:bookmarkStart w:id="28" w:name="_Hlk112166061"/>
            <w:r>
              <w:rPr>
                <w:rFonts w:hint="eastAsia" w:ascii="Times New Roman" w:hAnsi="Times New Roman" w:eastAsia="宋体" w:cs="Times New Roman"/>
                <w:b/>
                <w:bCs/>
                <w:color w:val="auto"/>
                <w:kern w:val="0"/>
                <w:sz w:val="21"/>
                <w:szCs w:val="21"/>
                <w:lang w:val="en-US" w:eastAsia="zh-CN" w:bidi="ar-SA"/>
              </w:rPr>
              <w:t>表4-1   废气污染源情况一览表</w:t>
            </w:r>
          </w:p>
          <w:tbl>
            <w:tblPr>
              <w:tblStyle w:val="90"/>
              <w:tblW w:w="5000" w:type="pct"/>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
            <w:tblGrid>
              <w:gridCol w:w="379"/>
              <w:gridCol w:w="584"/>
              <w:gridCol w:w="330"/>
              <w:gridCol w:w="471"/>
              <w:gridCol w:w="546"/>
              <w:gridCol w:w="192"/>
              <w:gridCol w:w="452"/>
              <w:gridCol w:w="559"/>
              <w:gridCol w:w="389"/>
              <w:gridCol w:w="405"/>
              <w:gridCol w:w="630"/>
              <w:gridCol w:w="600"/>
              <w:gridCol w:w="615"/>
              <w:gridCol w:w="525"/>
              <w:gridCol w:w="570"/>
              <w:gridCol w:w="483"/>
              <w:gridCol w:w="195"/>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c>
                <w:tcPr>
                  <w:tcW w:w="607" w:type="pct"/>
                  <w:gridSpan w:val="2"/>
                  <w:vMerge w:val="restart"/>
                  <w:noWrap w:val="0"/>
                  <w:vAlign w:val="center"/>
                </w:tcPr>
                <w:p>
                  <w:pPr>
                    <w:widowControl/>
                    <w:spacing w:line="0" w:lineRule="atLeast"/>
                    <w:jc w:val="center"/>
                    <w:rPr>
                      <w:rFonts w:hint="eastAsia" w:ascii="Times New Roman" w:hAnsi="Times New Roman" w:cs="Times New Roman"/>
                      <w:b/>
                      <w:bCs/>
                      <w:color w:val="auto"/>
                      <w:sz w:val="21"/>
                      <w:szCs w:val="21"/>
                    </w:rPr>
                  </w:pPr>
                  <w:r>
                    <w:rPr>
                      <w:rFonts w:hint="eastAsia" w:ascii="Times New Roman" w:hAnsi="Times New Roman" w:cs="Times New Roman"/>
                      <w:b/>
                      <w:bCs/>
                      <w:color w:val="auto"/>
                      <w:sz w:val="21"/>
                      <w:szCs w:val="21"/>
                    </w:rPr>
                    <w:t>产排污环节</w:t>
                  </w:r>
                </w:p>
              </w:tc>
              <w:tc>
                <w:tcPr>
                  <w:tcW w:w="208" w:type="pct"/>
                  <w:vMerge w:val="restart"/>
                  <w:noWrap w:val="0"/>
                  <w:vAlign w:val="center"/>
                </w:tcPr>
                <w:p>
                  <w:pPr>
                    <w:widowControl/>
                    <w:spacing w:line="0" w:lineRule="atLeast"/>
                    <w:jc w:val="center"/>
                    <w:rPr>
                      <w:rFonts w:hint="eastAsia" w:ascii="Times New Roman" w:hAnsi="Times New Roman" w:cs="Times New Roman"/>
                      <w:b/>
                      <w:bCs/>
                      <w:color w:val="auto"/>
                      <w:sz w:val="21"/>
                      <w:szCs w:val="21"/>
                    </w:rPr>
                  </w:pPr>
                  <w:r>
                    <w:rPr>
                      <w:rFonts w:hint="eastAsia" w:ascii="Times New Roman" w:hAnsi="Times New Roman" w:cs="Times New Roman"/>
                      <w:b/>
                      <w:bCs/>
                      <w:color w:val="auto"/>
                      <w:sz w:val="21"/>
                      <w:szCs w:val="21"/>
                    </w:rPr>
                    <w:t>污染物种类</w:t>
                  </w:r>
                </w:p>
              </w:tc>
              <w:tc>
                <w:tcPr>
                  <w:tcW w:w="297" w:type="pct"/>
                  <w:vMerge w:val="restart"/>
                  <w:noWrap w:val="0"/>
                  <w:vAlign w:val="center"/>
                </w:tcPr>
                <w:p>
                  <w:pPr>
                    <w:widowControl/>
                    <w:spacing w:line="0" w:lineRule="atLeast"/>
                    <w:jc w:val="center"/>
                    <w:rPr>
                      <w:rFonts w:hint="eastAsia" w:ascii="Times New Roman" w:hAnsi="Times New Roman" w:cs="Times New Roman"/>
                      <w:b/>
                      <w:bCs/>
                      <w:color w:val="auto"/>
                      <w:sz w:val="21"/>
                      <w:szCs w:val="21"/>
                    </w:rPr>
                  </w:pPr>
                  <w:r>
                    <w:rPr>
                      <w:rFonts w:hint="eastAsia" w:ascii="Times New Roman" w:hAnsi="Times New Roman" w:cs="Times New Roman"/>
                      <w:b/>
                      <w:bCs/>
                      <w:color w:val="auto"/>
                      <w:sz w:val="21"/>
                      <w:szCs w:val="21"/>
                    </w:rPr>
                    <w:t>污染物产生量t/a</w:t>
                  </w:r>
                </w:p>
              </w:tc>
              <w:tc>
                <w:tcPr>
                  <w:tcW w:w="344" w:type="pct"/>
                  <w:vMerge w:val="restart"/>
                  <w:noWrap w:val="0"/>
                  <w:vAlign w:val="center"/>
                </w:tcPr>
                <w:p>
                  <w:pPr>
                    <w:widowControl/>
                    <w:spacing w:line="0" w:lineRule="atLeast"/>
                    <w:jc w:val="center"/>
                    <w:rPr>
                      <w:rFonts w:hint="eastAsia" w:ascii="Times New Roman" w:hAnsi="Times New Roman" w:cs="Times New Roman"/>
                      <w:b/>
                      <w:bCs/>
                      <w:color w:val="auto"/>
                      <w:sz w:val="21"/>
                      <w:szCs w:val="21"/>
                    </w:rPr>
                  </w:pPr>
                  <w:r>
                    <w:rPr>
                      <w:rFonts w:hint="eastAsia" w:ascii="Times New Roman" w:hAnsi="Times New Roman" w:cs="Times New Roman"/>
                      <w:b/>
                      <w:bCs/>
                      <w:color w:val="auto"/>
                      <w:sz w:val="21"/>
                      <w:szCs w:val="21"/>
                    </w:rPr>
                    <w:t>污染物产生浓度mg/m</w:t>
                  </w:r>
                  <w:r>
                    <w:rPr>
                      <w:rFonts w:hint="eastAsia" w:ascii="Times New Roman" w:hAnsi="Times New Roman" w:cs="Times New Roman"/>
                      <w:b/>
                      <w:bCs/>
                      <w:color w:val="auto"/>
                      <w:sz w:val="21"/>
                      <w:szCs w:val="21"/>
                      <w:vertAlign w:val="superscript"/>
                    </w:rPr>
                    <w:t>3</w:t>
                  </w:r>
                </w:p>
              </w:tc>
              <w:tc>
                <w:tcPr>
                  <w:tcW w:w="121" w:type="pct"/>
                  <w:vMerge w:val="restart"/>
                  <w:noWrap w:val="0"/>
                  <w:vAlign w:val="center"/>
                </w:tcPr>
                <w:p>
                  <w:pPr>
                    <w:widowControl/>
                    <w:spacing w:line="0" w:lineRule="atLeast"/>
                    <w:jc w:val="center"/>
                    <w:rPr>
                      <w:rFonts w:hint="eastAsia" w:ascii="Times New Roman" w:hAnsi="Times New Roman" w:cs="Times New Roman"/>
                      <w:b/>
                      <w:bCs/>
                      <w:color w:val="auto"/>
                      <w:sz w:val="21"/>
                      <w:szCs w:val="21"/>
                    </w:rPr>
                  </w:pPr>
                  <w:r>
                    <w:rPr>
                      <w:rFonts w:hint="eastAsia" w:ascii="Times New Roman" w:hAnsi="Times New Roman" w:cs="Times New Roman"/>
                      <w:b/>
                      <w:bCs/>
                      <w:color w:val="auto"/>
                      <w:sz w:val="21"/>
                      <w:szCs w:val="21"/>
                    </w:rPr>
                    <w:t>排放形式</w:t>
                  </w:r>
                </w:p>
              </w:tc>
              <w:tc>
                <w:tcPr>
                  <w:tcW w:w="1536" w:type="pct"/>
                  <w:gridSpan w:val="5"/>
                  <w:noWrap w:val="0"/>
                  <w:vAlign w:val="center"/>
                </w:tcPr>
                <w:p>
                  <w:pPr>
                    <w:widowControl/>
                    <w:spacing w:line="0" w:lineRule="atLeast"/>
                    <w:jc w:val="center"/>
                    <w:rPr>
                      <w:rFonts w:hint="eastAsia" w:ascii="Times New Roman" w:hAnsi="Times New Roman" w:cs="Times New Roman"/>
                      <w:b/>
                      <w:bCs/>
                      <w:color w:val="auto"/>
                      <w:sz w:val="21"/>
                      <w:szCs w:val="21"/>
                    </w:rPr>
                  </w:pPr>
                  <w:r>
                    <w:rPr>
                      <w:rFonts w:hint="eastAsia" w:ascii="Times New Roman" w:hAnsi="Times New Roman" w:cs="Times New Roman"/>
                      <w:b/>
                      <w:bCs/>
                      <w:color w:val="auto"/>
                      <w:sz w:val="21"/>
                      <w:szCs w:val="21"/>
                    </w:rPr>
                    <w:t>治理设施</w:t>
                  </w:r>
                </w:p>
              </w:tc>
              <w:tc>
                <w:tcPr>
                  <w:tcW w:w="378" w:type="pct"/>
                  <w:vMerge w:val="restart"/>
                  <w:noWrap w:val="0"/>
                  <w:vAlign w:val="center"/>
                </w:tcPr>
                <w:p>
                  <w:pPr>
                    <w:widowControl/>
                    <w:spacing w:line="0" w:lineRule="atLeast"/>
                    <w:jc w:val="center"/>
                    <w:rPr>
                      <w:rFonts w:hint="eastAsia" w:ascii="Times New Roman" w:hAnsi="Times New Roman" w:cs="Times New Roman"/>
                      <w:b/>
                      <w:bCs/>
                      <w:color w:val="auto"/>
                      <w:sz w:val="21"/>
                      <w:szCs w:val="21"/>
                    </w:rPr>
                  </w:pPr>
                  <w:r>
                    <w:rPr>
                      <w:rFonts w:hint="eastAsia" w:ascii="Times New Roman" w:hAnsi="Times New Roman" w:cs="Times New Roman"/>
                      <w:b/>
                      <w:bCs/>
                      <w:color w:val="auto"/>
                      <w:sz w:val="21"/>
                      <w:szCs w:val="21"/>
                    </w:rPr>
                    <w:t>污染物排放速率kg/h</w:t>
                  </w:r>
                </w:p>
              </w:tc>
              <w:tc>
                <w:tcPr>
                  <w:tcW w:w="387" w:type="pct"/>
                  <w:vMerge w:val="restart"/>
                  <w:noWrap w:val="0"/>
                  <w:vAlign w:val="center"/>
                </w:tcPr>
                <w:p>
                  <w:pPr>
                    <w:widowControl/>
                    <w:spacing w:line="0" w:lineRule="atLeast"/>
                    <w:jc w:val="center"/>
                    <w:rPr>
                      <w:rFonts w:hint="eastAsia" w:ascii="Times New Roman" w:hAnsi="Times New Roman" w:cs="Times New Roman"/>
                      <w:b/>
                      <w:bCs/>
                      <w:color w:val="auto"/>
                      <w:sz w:val="21"/>
                      <w:szCs w:val="21"/>
                    </w:rPr>
                  </w:pPr>
                  <w:r>
                    <w:rPr>
                      <w:rFonts w:hint="eastAsia" w:ascii="Times New Roman" w:hAnsi="Times New Roman" w:cs="Times New Roman"/>
                      <w:b/>
                      <w:bCs/>
                      <w:color w:val="auto"/>
                      <w:sz w:val="21"/>
                      <w:szCs w:val="21"/>
                    </w:rPr>
                    <w:t>污染物排放浓度mg/m</w:t>
                  </w:r>
                  <w:r>
                    <w:rPr>
                      <w:rFonts w:hint="eastAsia" w:ascii="Times New Roman" w:hAnsi="Times New Roman" w:cs="Times New Roman"/>
                      <w:b/>
                      <w:bCs/>
                      <w:color w:val="auto"/>
                      <w:sz w:val="21"/>
                      <w:szCs w:val="21"/>
                      <w:vertAlign w:val="superscript"/>
                    </w:rPr>
                    <w:t>3</w:t>
                  </w:r>
                </w:p>
              </w:tc>
              <w:tc>
                <w:tcPr>
                  <w:tcW w:w="331" w:type="pct"/>
                  <w:vMerge w:val="restart"/>
                  <w:noWrap w:val="0"/>
                  <w:vAlign w:val="center"/>
                </w:tcPr>
                <w:p>
                  <w:pPr>
                    <w:widowControl/>
                    <w:spacing w:line="0" w:lineRule="atLeast"/>
                    <w:jc w:val="center"/>
                    <w:rPr>
                      <w:rFonts w:hint="eastAsia" w:ascii="Times New Roman" w:hAnsi="Times New Roman" w:cs="Times New Roman"/>
                      <w:b/>
                      <w:bCs/>
                      <w:color w:val="auto"/>
                      <w:sz w:val="21"/>
                      <w:szCs w:val="21"/>
                    </w:rPr>
                  </w:pPr>
                  <w:r>
                    <w:rPr>
                      <w:rFonts w:hint="eastAsia" w:ascii="Times New Roman" w:hAnsi="Times New Roman" w:cs="Times New Roman"/>
                      <w:b/>
                      <w:bCs/>
                      <w:color w:val="auto"/>
                      <w:sz w:val="21"/>
                      <w:szCs w:val="21"/>
                    </w:rPr>
                    <w:t>年工作时间h</w:t>
                  </w:r>
                </w:p>
              </w:tc>
              <w:tc>
                <w:tcPr>
                  <w:tcW w:w="359" w:type="pct"/>
                  <w:vMerge w:val="restart"/>
                  <w:noWrap w:val="0"/>
                  <w:vAlign w:val="center"/>
                </w:tcPr>
                <w:p>
                  <w:pPr>
                    <w:widowControl/>
                    <w:spacing w:line="0" w:lineRule="atLeast"/>
                    <w:jc w:val="center"/>
                    <w:rPr>
                      <w:rFonts w:hint="eastAsia" w:ascii="Times New Roman" w:hAnsi="Times New Roman" w:cs="Times New Roman"/>
                      <w:b/>
                      <w:bCs/>
                      <w:color w:val="auto"/>
                      <w:sz w:val="21"/>
                      <w:szCs w:val="21"/>
                    </w:rPr>
                  </w:pPr>
                  <w:r>
                    <w:rPr>
                      <w:rFonts w:hint="eastAsia" w:ascii="Times New Roman" w:hAnsi="Times New Roman" w:cs="Times New Roman"/>
                      <w:b/>
                      <w:bCs/>
                      <w:color w:val="auto"/>
                      <w:sz w:val="21"/>
                      <w:szCs w:val="21"/>
                    </w:rPr>
                    <w:t>污染物排放量t/a</w:t>
                  </w:r>
                </w:p>
              </w:tc>
              <w:tc>
                <w:tcPr>
                  <w:tcW w:w="304" w:type="pct"/>
                  <w:vMerge w:val="restart"/>
                  <w:noWrap w:val="0"/>
                  <w:vAlign w:val="center"/>
                </w:tcPr>
                <w:p>
                  <w:pPr>
                    <w:widowControl/>
                    <w:spacing w:line="0" w:lineRule="atLeast"/>
                    <w:jc w:val="center"/>
                    <w:rPr>
                      <w:rFonts w:hint="eastAsia" w:ascii="Times New Roman" w:hAnsi="Times New Roman" w:eastAsia="宋体" w:cs="Times New Roman"/>
                      <w:b/>
                      <w:bCs/>
                      <w:color w:val="auto"/>
                      <w:sz w:val="21"/>
                      <w:szCs w:val="21"/>
                      <w:lang w:val="en-US" w:eastAsia="zh-CN"/>
                    </w:rPr>
                  </w:pPr>
                  <w:r>
                    <w:rPr>
                      <w:rFonts w:hint="eastAsia" w:ascii="Times New Roman" w:hAnsi="Times New Roman" w:cs="Times New Roman"/>
                      <w:b/>
                      <w:bCs/>
                      <w:color w:val="auto"/>
                      <w:sz w:val="21"/>
                      <w:szCs w:val="21"/>
                    </w:rPr>
                    <w:t>排放标准</w:t>
                  </w:r>
                  <w:r>
                    <w:rPr>
                      <w:rFonts w:hint="eastAsia" w:cs="Times New Roman"/>
                      <w:b/>
                      <w:bCs/>
                      <w:color w:val="auto"/>
                      <w:sz w:val="21"/>
                      <w:szCs w:val="21"/>
                      <w:lang w:val="en-US" w:eastAsia="zh-CN"/>
                    </w:rPr>
                    <w:t>限值</w:t>
                  </w:r>
                </w:p>
              </w:tc>
              <w:tc>
                <w:tcPr>
                  <w:tcW w:w="123" w:type="pct"/>
                  <w:vMerge w:val="restart"/>
                  <w:noWrap w:val="0"/>
                  <w:vAlign w:val="center"/>
                </w:tcPr>
                <w:p>
                  <w:pPr>
                    <w:widowControl/>
                    <w:spacing w:line="0" w:lineRule="atLeast"/>
                    <w:jc w:val="center"/>
                    <w:rPr>
                      <w:rFonts w:hint="eastAsia" w:ascii="Times New Roman" w:hAnsi="Times New Roman" w:cs="Times New Roman"/>
                      <w:b/>
                      <w:bCs/>
                      <w:color w:val="auto"/>
                      <w:sz w:val="21"/>
                      <w:szCs w:val="21"/>
                    </w:rPr>
                  </w:pPr>
                  <w:r>
                    <w:rPr>
                      <w:rFonts w:hint="eastAsia" w:ascii="Times New Roman" w:hAnsi="Times New Roman" w:cs="Times New Roman"/>
                      <w:b/>
                      <w:bCs/>
                      <w:color w:val="auto"/>
                      <w:sz w:val="21"/>
                      <w:szCs w:val="21"/>
                    </w:rPr>
                    <w:t>达标情况</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1116" w:hRule="atLeast"/>
              </w:trPr>
              <w:tc>
                <w:tcPr>
                  <w:tcW w:w="607" w:type="pct"/>
                  <w:gridSpan w:val="2"/>
                  <w:vMerge w:val="continue"/>
                  <w:noWrap w:val="0"/>
                  <w:vAlign w:val="center"/>
                </w:tcPr>
                <w:p>
                  <w:pPr>
                    <w:widowControl/>
                    <w:spacing w:line="0" w:lineRule="atLeast"/>
                    <w:jc w:val="center"/>
                    <w:rPr>
                      <w:rFonts w:hint="eastAsia" w:ascii="Times New Roman" w:hAnsi="Times New Roman" w:cs="Times New Roman"/>
                      <w:b/>
                      <w:bCs/>
                      <w:color w:val="auto"/>
                      <w:sz w:val="21"/>
                      <w:szCs w:val="21"/>
                    </w:rPr>
                  </w:pPr>
                </w:p>
              </w:tc>
              <w:tc>
                <w:tcPr>
                  <w:tcW w:w="208" w:type="pct"/>
                  <w:vMerge w:val="continue"/>
                  <w:noWrap w:val="0"/>
                  <w:vAlign w:val="center"/>
                </w:tcPr>
                <w:p>
                  <w:pPr>
                    <w:widowControl/>
                    <w:spacing w:line="0" w:lineRule="atLeast"/>
                    <w:jc w:val="center"/>
                    <w:rPr>
                      <w:rFonts w:hint="eastAsia" w:ascii="Times New Roman" w:hAnsi="Times New Roman" w:cs="Times New Roman"/>
                      <w:b/>
                      <w:bCs/>
                      <w:color w:val="auto"/>
                      <w:sz w:val="21"/>
                      <w:szCs w:val="21"/>
                    </w:rPr>
                  </w:pPr>
                </w:p>
              </w:tc>
              <w:tc>
                <w:tcPr>
                  <w:tcW w:w="297" w:type="pct"/>
                  <w:vMerge w:val="continue"/>
                  <w:noWrap w:val="0"/>
                  <w:vAlign w:val="center"/>
                </w:tcPr>
                <w:p>
                  <w:pPr>
                    <w:widowControl/>
                    <w:spacing w:line="0" w:lineRule="atLeast"/>
                    <w:jc w:val="center"/>
                    <w:rPr>
                      <w:rFonts w:hint="eastAsia" w:ascii="Times New Roman" w:hAnsi="Times New Roman" w:cs="Times New Roman"/>
                      <w:b/>
                      <w:bCs/>
                      <w:color w:val="auto"/>
                      <w:sz w:val="21"/>
                      <w:szCs w:val="21"/>
                    </w:rPr>
                  </w:pPr>
                </w:p>
              </w:tc>
              <w:tc>
                <w:tcPr>
                  <w:tcW w:w="344" w:type="pct"/>
                  <w:vMerge w:val="continue"/>
                  <w:noWrap w:val="0"/>
                  <w:vAlign w:val="center"/>
                </w:tcPr>
                <w:p>
                  <w:pPr>
                    <w:widowControl/>
                    <w:spacing w:line="0" w:lineRule="atLeast"/>
                    <w:jc w:val="center"/>
                    <w:rPr>
                      <w:rFonts w:hint="eastAsia" w:ascii="Times New Roman" w:hAnsi="Times New Roman" w:cs="Times New Roman"/>
                      <w:b/>
                      <w:bCs/>
                      <w:color w:val="auto"/>
                      <w:sz w:val="21"/>
                      <w:szCs w:val="21"/>
                    </w:rPr>
                  </w:pPr>
                </w:p>
              </w:tc>
              <w:tc>
                <w:tcPr>
                  <w:tcW w:w="121" w:type="pct"/>
                  <w:vMerge w:val="continue"/>
                  <w:noWrap w:val="0"/>
                  <w:vAlign w:val="center"/>
                </w:tcPr>
                <w:p>
                  <w:pPr>
                    <w:widowControl/>
                    <w:spacing w:line="0" w:lineRule="atLeast"/>
                    <w:jc w:val="center"/>
                    <w:rPr>
                      <w:rFonts w:hint="eastAsia" w:ascii="Times New Roman" w:hAnsi="Times New Roman" w:cs="Times New Roman"/>
                      <w:b/>
                      <w:bCs/>
                      <w:color w:val="auto"/>
                      <w:sz w:val="21"/>
                      <w:szCs w:val="21"/>
                    </w:rPr>
                  </w:pPr>
                </w:p>
              </w:tc>
              <w:tc>
                <w:tcPr>
                  <w:tcW w:w="285" w:type="pct"/>
                  <w:noWrap w:val="0"/>
                  <w:vAlign w:val="center"/>
                </w:tcPr>
                <w:p>
                  <w:pPr>
                    <w:widowControl/>
                    <w:spacing w:line="0" w:lineRule="atLeast"/>
                    <w:jc w:val="center"/>
                    <w:rPr>
                      <w:rFonts w:hint="eastAsia" w:ascii="Times New Roman" w:hAnsi="Times New Roman" w:cs="Times New Roman"/>
                      <w:b/>
                      <w:bCs/>
                      <w:color w:val="auto"/>
                      <w:sz w:val="21"/>
                      <w:szCs w:val="21"/>
                    </w:rPr>
                  </w:pPr>
                  <w:r>
                    <w:rPr>
                      <w:rFonts w:hint="eastAsia" w:ascii="Times New Roman" w:hAnsi="Times New Roman" w:cs="Times New Roman"/>
                      <w:b/>
                      <w:bCs/>
                      <w:color w:val="auto"/>
                      <w:sz w:val="21"/>
                      <w:szCs w:val="21"/>
                    </w:rPr>
                    <w:t>处理能力m</w:t>
                  </w:r>
                  <w:r>
                    <w:rPr>
                      <w:rFonts w:hint="eastAsia" w:ascii="Times New Roman" w:hAnsi="Times New Roman" w:cs="Times New Roman"/>
                      <w:b/>
                      <w:bCs/>
                      <w:color w:val="auto"/>
                      <w:sz w:val="21"/>
                      <w:szCs w:val="21"/>
                      <w:vertAlign w:val="superscript"/>
                    </w:rPr>
                    <w:t>3</w:t>
                  </w:r>
                  <w:r>
                    <w:rPr>
                      <w:rFonts w:hint="eastAsia" w:ascii="Times New Roman" w:hAnsi="Times New Roman" w:cs="Times New Roman"/>
                      <w:b/>
                      <w:bCs/>
                      <w:color w:val="auto"/>
                      <w:sz w:val="21"/>
                      <w:szCs w:val="21"/>
                    </w:rPr>
                    <w:t>/h</w:t>
                  </w:r>
                </w:p>
              </w:tc>
              <w:tc>
                <w:tcPr>
                  <w:tcW w:w="352" w:type="pct"/>
                  <w:noWrap w:val="0"/>
                  <w:vAlign w:val="center"/>
                </w:tcPr>
                <w:p>
                  <w:pPr>
                    <w:widowControl/>
                    <w:spacing w:line="0" w:lineRule="atLeast"/>
                    <w:jc w:val="center"/>
                    <w:rPr>
                      <w:rFonts w:hint="eastAsia" w:ascii="Times New Roman" w:hAnsi="Times New Roman" w:cs="Times New Roman"/>
                      <w:b/>
                      <w:bCs/>
                      <w:color w:val="auto"/>
                      <w:sz w:val="21"/>
                      <w:szCs w:val="21"/>
                    </w:rPr>
                  </w:pPr>
                  <w:r>
                    <w:rPr>
                      <w:rFonts w:hint="eastAsia" w:ascii="Times New Roman" w:hAnsi="Times New Roman" w:cs="Times New Roman"/>
                      <w:b/>
                      <w:bCs/>
                      <w:color w:val="auto"/>
                      <w:sz w:val="21"/>
                      <w:szCs w:val="21"/>
                    </w:rPr>
                    <w:t>治理工艺</w:t>
                  </w:r>
                </w:p>
              </w:tc>
              <w:tc>
                <w:tcPr>
                  <w:tcW w:w="246" w:type="pct"/>
                  <w:noWrap w:val="0"/>
                  <w:vAlign w:val="center"/>
                </w:tcPr>
                <w:p>
                  <w:pPr>
                    <w:widowControl/>
                    <w:spacing w:line="0" w:lineRule="atLeast"/>
                    <w:jc w:val="center"/>
                    <w:rPr>
                      <w:rFonts w:hint="eastAsia" w:ascii="Times New Roman" w:hAnsi="Times New Roman" w:cs="Times New Roman"/>
                      <w:b/>
                      <w:bCs/>
                      <w:color w:val="auto"/>
                      <w:sz w:val="21"/>
                      <w:szCs w:val="21"/>
                    </w:rPr>
                  </w:pPr>
                  <w:r>
                    <w:rPr>
                      <w:rFonts w:hint="eastAsia" w:ascii="Times New Roman" w:hAnsi="Times New Roman" w:cs="Times New Roman"/>
                      <w:b/>
                      <w:bCs/>
                      <w:color w:val="auto"/>
                      <w:sz w:val="21"/>
                      <w:szCs w:val="21"/>
                    </w:rPr>
                    <w:t>收集效率</w:t>
                  </w:r>
                </w:p>
              </w:tc>
              <w:tc>
                <w:tcPr>
                  <w:tcW w:w="255" w:type="pct"/>
                  <w:noWrap w:val="0"/>
                  <w:vAlign w:val="center"/>
                </w:tcPr>
                <w:p>
                  <w:pPr>
                    <w:widowControl/>
                    <w:spacing w:line="0" w:lineRule="atLeast"/>
                    <w:jc w:val="center"/>
                    <w:rPr>
                      <w:rFonts w:hint="eastAsia" w:ascii="Times New Roman" w:hAnsi="Times New Roman" w:cs="Times New Roman"/>
                      <w:b/>
                      <w:bCs/>
                      <w:color w:val="auto"/>
                      <w:sz w:val="21"/>
                      <w:szCs w:val="21"/>
                    </w:rPr>
                  </w:pPr>
                  <w:r>
                    <w:rPr>
                      <w:rFonts w:hint="eastAsia" w:ascii="Times New Roman" w:hAnsi="Times New Roman" w:cs="Times New Roman"/>
                      <w:b/>
                      <w:bCs/>
                      <w:color w:val="auto"/>
                      <w:sz w:val="21"/>
                      <w:szCs w:val="21"/>
                    </w:rPr>
                    <w:t>去除效率</w:t>
                  </w:r>
                </w:p>
              </w:tc>
              <w:tc>
                <w:tcPr>
                  <w:tcW w:w="397" w:type="pct"/>
                  <w:noWrap w:val="0"/>
                  <w:vAlign w:val="center"/>
                </w:tcPr>
                <w:p>
                  <w:pPr>
                    <w:widowControl/>
                    <w:spacing w:line="0" w:lineRule="atLeast"/>
                    <w:jc w:val="center"/>
                    <w:rPr>
                      <w:rFonts w:hint="eastAsia" w:ascii="Times New Roman" w:hAnsi="Times New Roman" w:cs="Times New Roman"/>
                      <w:b/>
                      <w:bCs/>
                      <w:color w:val="auto"/>
                      <w:sz w:val="21"/>
                      <w:szCs w:val="21"/>
                    </w:rPr>
                  </w:pPr>
                  <w:r>
                    <w:rPr>
                      <w:rFonts w:hint="eastAsia" w:ascii="Times New Roman" w:hAnsi="Times New Roman" w:cs="Times New Roman"/>
                      <w:b/>
                      <w:bCs/>
                      <w:color w:val="auto"/>
                      <w:sz w:val="21"/>
                      <w:szCs w:val="21"/>
                    </w:rPr>
                    <w:t>是否为可行性技术</w:t>
                  </w:r>
                </w:p>
              </w:tc>
              <w:tc>
                <w:tcPr>
                  <w:tcW w:w="378" w:type="pct"/>
                  <w:vMerge w:val="continue"/>
                  <w:noWrap w:val="0"/>
                  <w:vAlign w:val="center"/>
                </w:tcPr>
                <w:p>
                  <w:pPr>
                    <w:widowControl/>
                    <w:spacing w:line="0" w:lineRule="atLeast"/>
                    <w:jc w:val="center"/>
                    <w:rPr>
                      <w:rFonts w:hint="eastAsia" w:ascii="Times New Roman" w:hAnsi="Times New Roman" w:cs="Times New Roman"/>
                      <w:color w:val="auto"/>
                      <w:sz w:val="21"/>
                      <w:szCs w:val="21"/>
                    </w:rPr>
                  </w:pPr>
                </w:p>
              </w:tc>
              <w:tc>
                <w:tcPr>
                  <w:tcW w:w="387" w:type="pct"/>
                  <w:vMerge w:val="continue"/>
                  <w:noWrap w:val="0"/>
                  <w:vAlign w:val="center"/>
                </w:tcPr>
                <w:p>
                  <w:pPr>
                    <w:widowControl/>
                    <w:spacing w:line="0" w:lineRule="atLeast"/>
                    <w:jc w:val="center"/>
                    <w:rPr>
                      <w:rFonts w:hint="eastAsia" w:ascii="Times New Roman" w:hAnsi="Times New Roman" w:cs="Times New Roman"/>
                      <w:color w:val="auto"/>
                      <w:sz w:val="21"/>
                      <w:szCs w:val="21"/>
                    </w:rPr>
                  </w:pPr>
                </w:p>
              </w:tc>
              <w:tc>
                <w:tcPr>
                  <w:tcW w:w="331" w:type="pct"/>
                  <w:vMerge w:val="continue"/>
                  <w:noWrap w:val="0"/>
                  <w:vAlign w:val="center"/>
                </w:tcPr>
                <w:p>
                  <w:pPr>
                    <w:widowControl/>
                    <w:spacing w:line="0" w:lineRule="atLeast"/>
                    <w:jc w:val="center"/>
                    <w:rPr>
                      <w:rFonts w:hint="eastAsia" w:ascii="Times New Roman" w:hAnsi="Times New Roman" w:cs="Times New Roman"/>
                      <w:color w:val="auto"/>
                      <w:sz w:val="21"/>
                      <w:szCs w:val="21"/>
                    </w:rPr>
                  </w:pPr>
                </w:p>
              </w:tc>
              <w:tc>
                <w:tcPr>
                  <w:tcW w:w="359" w:type="pct"/>
                  <w:vMerge w:val="continue"/>
                  <w:noWrap w:val="0"/>
                  <w:vAlign w:val="center"/>
                </w:tcPr>
                <w:p>
                  <w:pPr>
                    <w:widowControl/>
                    <w:spacing w:line="0" w:lineRule="atLeast"/>
                    <w:jc w:val="center"/>
                    <w:rPr>
                      <w:rFonts w:hint="eastAsia" w:ascii="Times New Roman" w:hAnsi="Times New Roman" w:cs="Times New Roman"/>
                      <w:color w:val="auto"/>
                      <w:sz w:val="21"/>
                      <w:szCs w:val="21"/>
                    </w:rPr>
                  </w:pPr>
                </w:p>
              </w:tc>
              <w:tc>
                <w:tcPr>
                  <w:tcW w:w="304" w:type="pct"/>
                  <w:vMerge w:val="continue"/>
                  <w:noWrap w:val="0"/>
                  <w:vAlign w:val="center"/>
                </w:tcPr>
                <w:p>
                  <w:pPr>
                    <w:widowControl/>
                    <w:spacing w:line="0" w:lineRule="atLeast"/>
                    <w:jc w:val="center"/>
                    <w:rPr>
                      <w:rFonts w:hint="eastAsia" w:ascii="Times New Roman" w:hAnsi="Times New Roman" w:cs="Times New Roman"/>
                      <w:color w:val="auto"/>
                      <w:sz w:val="21"/>
                      <w:szCs w:val="21"/>
                    </w:rPr>
                  </w:pPr>
                </w:p>
              </w:tc>
              <w:tc>
                <w:tcPr>
                  <w:tcW w:w="123" w:type="pct"/>
                  <w:vMerge w:val="continue"/>
                  <w:noWrap w:val="0"/>
                  <w:vAlign w:val="center"/>
                </w:tcPr>
                <w:p>
                  <w:pPr>
                    <w:widowControl/>
                    <w:spacing w:line="0" w:lineRule="atLeast"/>
                    <w:jc w:val="center"/>
                    <w:rPr>
                      <w:rFonts w:hint="eastAsia" w:ascii="Times New Roman" w:hAnsi="Times New Roman" w:cs="Times New Roman"/>
                      <w:color w:val="auto"/>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234" w:hRule="atLeast"/>
              </w:trPr>
              <w:tc>
                <w:tcPr>
                  <w:tcW w:w="239" w:type="pct"/>
                  <w:tcBorders>
                    <w:top w:val="single" w:color="auto" w:sz="4" w:space="0"/>
                  </w:tcBorders>
                  <w:noWrap w:val="0"/>
                  <w:vAlign w:val="center"/>
                </w:tcPr>
                <w:p>
                  <w:pPr>
                    <w:widowControl/>
                    <w:spacing w:line="0" w:lineRule="atLeast"/>
                    <w:jc w:val="center"/>
                    <w:rPr>
                      <w:rFonts w:ascii="Times New Roman" w:hAnsi="Times New Roman" w:cs="Times New Roman"/>
                      <w:color w:val="auto"/>
                      <w:sz w:val="21"/>
                      <w:szCs w:val="21"/>
                    </w:rPr>
                  </w:pPr>
                  <w:r>
                    <w:rPr>
                      <w:rFonts w:hint="eastAsia" w:ascii="Times New Roman" w:hAnsi="Times New Roman" w:cs="Times New Roman"/>
                      <w:color w:val="auto"/>
                      <w:sz w:val="21"/>
                      <w:szCs w:val="21"/>
                    </w:rPr>
                    <w:t>DA001</w:t>
                  </w:r>
                </w:p>
              </w:tc>
              <w:tc>
                <w:tcPr>
                  <w:tcW w:w="368" w:type="pct"/>
                  <w:tcBorders>
                    <w:top w:val="single" w:color="auto" w:sz="4" w:space="0"/>
                    <w:bottom w:val="single" w:color="auto" w:sz="4" w:space="0"/>
                  </w:tcBorders>
                  <w:noWrap w:val="0"/>
                  <w:vAlign w:val="center"/>
                </w:tcPr>
                <w:p>
                  <w:pPr>
                    <w:widowControl/>
                    <w:spacing w:line="0" w:lineRule="atLeast"/>
                    <w:jc w:val="center"/>
                    <w:rPr>
                      <w:rFonts w:hint="eastAsia" w:ascii="Times New Roman" w:hAnsi="Times New Roman" w:cs="Times New Roman"/>
                      <w:color w:val="auto"/>
                      <w:sz w:val="21"/>
                      <w:szCs w:val="21"/>
                    </w:rPr>
                  </w:pPr>
                  <w:r>
                    <w:rPr>
                      <w:rFonts w:hint="default" w:ascii="Times New Roman" w:hAnsi="Times New Roman" w:eastAsia="宋体" w:cs="Times New Roman"/>
                      <w:bCs/>
                      <w:color w:val="auto"/>
                      <w:sz w:val="21"/>
                      <w:szCs w:val="21"/>
                      <w:highlight w:val="none"/>
                      <w:lang w:val="en-US" w:eastAsia="zh-CN"/>
                    </w:rPr>
                    <w:t>电打晕、表面涂甲醇、烘干、挤出、涂膜工序</w:t>
                  </w:r>
                </w:p>
              </w:tc>
              <w:tc>
                <w:tcPr>
                  <w:tcW w:w="208" w:type="pct"/>
                  <w:noWrap w:val="0"/>
                  <w:vAlign w:val="center"/>
                </w:tcPr>
                <w:p>
                  <w:pPr>
                    <w:widowControl/>
                    <w:spacing w:line="0" w:lineRule="atLeast"/>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非甲烷总烃</w:t>
                  </w:r>
                </w:p>
              </w:tc>
              <w:tc>
                <w:tcPr>
                  <w:tcW w:w="297" w:type="pct"/>
                  <w:noWrap w:val="0"/>
                  <w:vAlign w:val="center"/>
                </w:tcPr>
                <w:p>
                  <w:pPr>
                    <w:widowControl/>
                    <w:spacing w:line="0" w:lineRule="atLeast"/>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3.75</w:t>
                  </w:r>
                </w:p>
              </w:tc>
              <w:tc>
                <w:tcPr>
                  <w:tcW w:w="344" w:type="pct"/>
                  <w:noWrap w:val="0"/>
                  <w:vAlign w:val="center"/>
                </w:tcPr>
                <w:p>
                  <w:pPr>
                    <w:widowControl/>
                    <w:spacing w:line="0" w:lineRule="atLeast"/>
                    <w:jc w:val="center"/>
                    <w:rPr>
                      <w:rFonts w:hint="default" w:ascii="Times New Roman" w:hAnsi="Times New Roman" w:cs="Times New Roman"/>
                      <w:color w:val="auto"/>
                      <w:sz w:val="21"/>
                      <w:szCs w:val="21"/>
                      <w:lang w:val="en-US"/>
                    </w:rPr>
                  </w:pPr>
                  <w:r>
                    <w:rPr>
                      <w:rFonts w:hint="eastAsia"/>
                      <w:bCs/>
                      <w:color w:val="auto"/>
                      <w:sz w:val="21"/>
                      <w:szCs w:val="21"/>
                      <w:lang w:val="en-US" w:eastAsia="zh-CN"/>
                    </w:rPr>
                    <w:t>52.08</w:t>
                  </w:r>
                </w:p>
              </w:tc>
              <w:tc>
                <w:tcPr>
                  <w:tcW w:w="121" w:type="pct"/>
                  <w:tcBorders>
                    <w:top w:val="single" w:color="auto" w:sz="4" w:space="0"/>
                  </w:tcBorders>
                  <w:noWrap w:val="0"/>
                  <w:vAlign w:val="center"/>
                </w:tcPr>
                <w:p>
                  <w:pPr>
                    <w:widowControl/>
                    <w:spacing w:line="0" w:lineRule="atLeast"/>
                    <w:jc w:val="center"/>
                    <w:rPr>
                      <w:rFonts w:hint="eastAsia" w:ascii="Times New Roman" w:hAnsi="Times New Roman" w:cs="Times New Roman"/>
                      <w:color w:val="auto"/>
                      <w:sz w:val="21"/>
                      <w:szCs w:val="21"/>
                    </w:rPr>
                  </w:pPr>
                  <w:r>
                    <w:rPr>
                      <w:rFonts w:hint="eastAsia" w:ascii="Times New Roman" w:hAnsi="Times New Roman" w:cs="Times New Roman"/>
                      <w:color w:val="auto"/>
                      <w:sz w:val="21"/>
                      <w:szCs w:val="21"/>
                    </w:rPr>
                    <w:t>有组织</w:t>
                  </w:r>
                </w:p>
              </w:tc>
              <w:tc>
                <w:tcPr>
                  <w:tcW w:w="285" w:type="pct"/>
                  <w:tcBorders>
                    <w:top w:val="single" w:color="auto" w:sz="4" w:space="0"/>
                  </w:tcBorders>
                  <w:noWrap w:val="0"/>
                  <w:vAlign w:val="center"/>
                </w:tcPr>
                <w:p>
                  <w:pPr>
                    <w:widowControl/>
                    <w:spacing w:line="0" w:lineRule="atLeast"/>
                    <w:jc w:val="center"/>
                    <w:rPr>
                      <w:rFonts w:hint="default"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lang w:val="en-US" w:eastAsia="zh-CN"/>
                    </w:rPr>
                    <w:t>1</w:t>
                  </w:r>
                  <w:r>
                    <w:rPr>
                      <w:rFonts w:hint="eastAsia" w:cs="Times New Roman"/>
                      <w:color w:val="auto"/>
                      <w:sz w:val="21"/>
                      <w:szCs w:val="21"/>
                      <w:lang w:val="en-US" w:eastAsia="zh-CN"/>
                    </w:rPr>
                    <w:t>0</w:t>
                  </w:r>
                  <w:r>
                    <w:rPr>
                      <w:rFonts w:hint="eastAsia" w:ascii="Times New Roman" w:hAnsi="Times New Roman" w:cs="Times New Roman"/>
                      <w:color w:val="auto"/>
                      <w:sz w:val="21"/>
                      <w:szCs w:val="21"/>
                      <w:lang w:val="en-US" w:eastAsia="zh-CN"/>
                    </w:rPr>
                    <w:t>000</w:t>
                  </w:r>
                </w:p>
              </w:tc>
              <w:tc>
                <w:tcPr>
                  <w:tcW w:w="352" w:type="pct"/>
                  <w:tcBorders>
                    <w:top w:val="single" w:color="auto" w:sz="4" w:space="0"/>
                  </w:tcBorders>
                  <w:noWrap w:val="0"/>
                  <w:vAlign w:val="center"/>
                </w:tcPr>
                <w:p>
                  <w:pPr>
                    <w:widowControl/>
                    <w:spacing w:line="0" w:lineRule="atLeast"/>
                    <w:jc w:val="center"/>
                    <w:rPr>
                      <w:rFonts w:hint="eastAsia" w:ascii="Times New Roman" w:hAnsi="Times New Roman" w:cs="Times New Roman"/>
                      <w:color w:val="auto"/>
                      <w:sz w:val="21"/>
                      <w:szCs w:val="21"/>
                    </w:rPr>
                  </w:pPr>
                  <w:r>
                    <w:rPr>
                      <w:rFonts w:hint="eastAsia"/>
                    </w:rPr>
                    <w:t>过滤</w:t>
                  </w:r>
                  <w:r>
                    <w:rPr>
                      <w:rFonts w:hint="eastAsia"/>
                      <w:lang w:val="en-US" w:eastAsia="zh-CN"/>
                    </w:rPr>
                    <w:t>棉+</w:t>
                  </w:r>
                  <w:r>
                    <w:rPr>
                      <w:rFonts w:hint="eastAsia" w:ascii="Times New Roman" w:hAnsi="Times New Roman"/>
                      <w:bCs/>
                      <w:color w:val="auto"/>
                      <w:sz w:val="21"/>
                      <w:szCs w:val="21"/>
                      <w:lang w:val="en-US" w:eastAsia="zh-CN"/>
                    </w:rPr>
                    <w:t>二级活性炭吸附装置</w:t>
                  </w:r>
                </w:p>
              </w:tc>
              <w:tc>
                <w:tcPr>
                  <w:tcW w:w="246" w:type="pct"/>
                  <w:tcBorders>
                    <w:top w:val="single" w:color="auto" w:sz="4" w:space="0"/>
                  </w:tcBorders>
                  <w:noWrap w:val="0"/>
                  <w:vAlign w:val="center"/>
                </w:tcPr>
                <w:p>
                  <w:pPr>
                    <w:widowControl/>
                    <w:spacing w:line="0" w:lineRule="atLeast"/>
                    <w:jc w:val="center"/>
                    <w:rPr>
                      <w:rFonts w:hint="eastAsia" w:ascii="Times New Roman" w:hAnsi="Times New Roman" w:cs="Times New Roman"/>
                      <w:color w:val="auto"/>
                      <w:sz w:val="21"/>
                      <w:szCs w:val="21"/>
                    </w:rPr>
                  </w:pPr>
                  <w:r>
                    <w:rPr>
                      <w:rFonts w:hint="eastAsia" w:ascii="Times New Roman" w:hAnsi="Times New Roman" w:cs="Times New Roman"/>
                      <w:color w:val="auto"/>
                      <w:sz w:val="21"/>
                      <w:szCs w:val="21"/>
                    </w:rPr>
                    <w:t>90%</w:t>
                  </w:r>
                </w:p>
              </w:tc>
              <w:tc>
                <w:tcPr>
                  <w:tcW w:w="255" w:type="pct"/>
                  <w:noWrap w:val="0"/>
                  <w:vAlign w:val="center"/>
                </w:tcPr>
                <w:p>
                  <w:pPr>
                    <w:widowControl/>
                    <w:spacing w:line="0" w:lineRule="atLeast"/>
                    <w:jc w:val="center"/>
                    <w:rPr>
                      <w:rFonts w:ascii="Times New Roman" w:hAnsi="Times New Roman" w:cs="Times New Roman"/>
                      <w:color w:val="auto"/>
                      <w:sz w:val="21"/>
                      <w:szCs w:val="21"/>
                    </w:rPr>
                  </w:pPr>
                  <w:r>
                    <w:rPr>
                      <w:rFonts w:hint="eastAsia" w:cs="Times New Roman"/>
                      <w:color w:val="auto"/>
                      <w:sz w:val="21"/>
                      <w:szCs w:val="21"/>
                      <w:lang w:val="en-US" w:eastAsia="zh-CN"/>
                    </w:rPr>
                    <w:t>8</w:t>
                  </w:r>
                  <w:r>
                    <w:rPr>
                      <w:rFonts w:hint="eastAsia" w:ascii="Times New Roman" w:hAnsi="Times New Roman" w:cs="Times New Roman"/>
                      <w:color w:val="auto"/>
                      <w:sz w:val="21"/>
                      <w:szCs w:val="21"/>
                    </w:rPr>
                    <w:t>0%</w:t>
                  </w:r>
                </w:p>
              </w:tc>
              <w:tc>
                <w:tcPr>
                  <w:tcW w:w="397" w:type="pct"/>
                  <w:noWrap w:val="0"/>
                  <w:vAlign w:val="center"/>
                </w:tcPr>
                <w:p>
                  <w:pPr>
                    <w:widowControl/>
                    <w:spacing w:line="0" w:lineRule="atLeast"/>
                    <w:jc w:val="center"/>
                    <w:rPr>
                      <w:rFonts w:hint="eastAsia" w:ascii="Times New Roman" w:hAnsi="Times New Roman" w:cs="Times New Roman"/>
                      <w:color w:val="auto"/>
                      <w:sz w:val="21"/>
                      <w:szCs w:val="21"/>
                    </w:rPr>
                  </w:pPr>
                  <w:r>
                    <w:rPr>
                      <w:rFonts w:hint="eastAsia" w:ascii="Times New Roman" w:hAnsi="Times New Roman" w:cs="Times New Roman"/>
                      <w:color w:val="auto"/>
                      <w:sz w:val="21"/>
                      <w:szCs w:val="21"/>
                    </w:rPr>
                    <w:t>是</w:t>
                  </w:r>
                </w:p>
              </w:tc>
              <w:tc>
                <w:tcPr>
                  <w:tcW w:w="378" w:type="pct"/>
                  <w:noWrap w:val="0"/>
                  <w:vAlign w:val="center"/>
                </w:tcPr>
                <w:p>
                  <w:pPr>
                    <w:widowControl/>
                    <w:spacing w:line="0" w:lineRule="atLeast"/>
                    <w:jc w:val="center"/>
                    <w:rPr>
                      <w:rFonts w:hint="default" w:ascii="Times New Roman" w:hAnsi="Times New Roman" w:eastAsia="宋体" w:cs="Times New Roman"/>
                      <w:color w:val="auto"/>
                      <w:sz w:val="21"/>
                      <w:szCs w:val="21"/>
                      <w:lang w:val="en-US" w:eastAsia="zh-CN"/>
                    </w:rPr>
                  </w:pPr>
                  <w:r>
                    <w:rPr>
                      <w:rFonts w:hint="eastAsia" w:cs="Times New Roman"/>
                      <w:bCs/>
                      <w:color w:val="auto"/>
                      <w:sz w:val="21"/>
                      <w:szCs w:val="21"/>
                      <w:lang w:val="en-US" w:eastAsia="zh-CN"/>
                    </w:rPr>
                    <w:t>0.094</w:t>
                  </w:r>
                </w:p>
              </w:tc>
              <w:tc>
                <w:tcPr>
                  <w:tcW w:w="387" w:type="pct"/>
                  <w:tcBorders>
                    <w:top w:val="single" w:color="auto" w:sz="4" w:space="0"/>
                  </w:tcBorders>
                  <w:noWrap w:val="0"/>
                  <w:vAlign w:val="center"/>
                </w:tcPr>
                <w:p>
                  <w:pPr>
                    <w:widowControl/>
                    <w:spacing w:line="0" w:lineRule="atLeast"/>
                    <w:jc w:val="center"/>
                    <w:rPr>
                      <w:rFonts w:hint="default" w:ascii="Times New Roman" w:hAnsi="Times New Roman" w:eastAsia="宋体" w:cs="Times New Roman"/>
                      <w:color w:val="auto"/>
                      <w:sz w:val="21"/>
                      <w:szCs w:val="21"/>
                      <w:lang w:val="en-US" w:eastAsia="zh-CN"/>
                    </w:rPr>
                  </w:pPr>
                  <w:r>
                    <w:rPr>
                      <w:rFonts w:hint="eastAsia" w:cs="Times New Roman"/>
                      <w:bCs/>
                      <w:color w:val="auto"/>
                      <w:sz w:val="21"/>
                      <w:szCs w:val="21"/>
                      <w:lang w:val="en-US" w:eastAsia="zh-CN"/>
                    </w:rPr>
                    <w:t>9.38</w:t>
                  </w:r>
                </w:p>
              </w:tc>
              <w:tc>
                <w:tcPr>
                  <w:tcW w:w="331" w:type="pct"/>
                  <w:vMerge w:val="restart"/>
                  <w:tcBorders>
                    <w:top w:val="single" w:color="auto" w:sz="4" w:space="0"/>
                  </w:tcBorders>
                  <w:noWrap w:val="0"/>
                  <w:vAlign w:val="center"/>
                </w:tcPr>
                <w:p>
                  <w:pPr>
                    <w:widowControl/>
                    <w:spacing w:line="0" w:lineRule="atLeast"/>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72</w:t>
                  </w:r>
                  <w:r>
                    <w:rPr>
                      <w:rFonts w:hint="eastAsia" w:ascii="Times New Roman" w:hAnsi="Times New Roman" w:cs="Times New Roman"/>
                      <w:color w:val="auto"/>
                      <w:sz w:val="21"/>
                      <w:szCs w:val="21"/>
                      <w:lang w:val="en-US" w:eastAsia="zh-CN"/>
                    </w:rPr>
                    <w:t>00</w:t>
                  </w:r>
                </w:p>
              </w:tc>
              <w:tc>
                <w:tcPr>
                  <w:tcW w:w="359" w:type="pct"/>
                  <w:noWrap w:val="0"/>
                  <w:vAlign w:val="center"/>
                </w:tcPr>
                <w:p>
                  <w:pPr>
                    <w:widowControl/>
                    <w:spacing w:line="0" w:lineRule="atLeast"/>
                    <w:jc w:val="center"/>
                    <w:rPr>
                      <w:rFonts w:hint="default" w:ascii="Times New Roman" w:hAnsi="Times New Roman" w:eastAsia="宋体" w:cs="Times New Roman"/>
                      <w:bCs/>
                      <w:color w:val="auto"/>
                      <w:sz w:val="21"/>
                      <w:szCs w:val="21"/>
                      <w:lang w:val="en-US" w:eastAsia="zh-CN"/>
                    </w:rPr>
                  </w:pPr>
                  <w:r>
                    <w:rPr>
                      <w:rFonts w:hint="eastAsia" w:ascii="Times New Roman" w:hAnsi="Times New Roman" w:eastAsia="宋体" w:cs="Times New Roman"/>
                      <w:bCs/>
                      <w:color w:val="auto"/>
                      <w:sz w:val="21"/>
                      <w:szCs w:val="21"/>
                      <w:lang w:val="en-US" w:eastAsia="zh-CN"/>
                    </w:rPr>
                    <w:t>0.</w:t>
                  </w:r>
                  <w:r>
                    <w:rPr>
                      <w:rFonts w:hint="eastAsia" w:cs="Times New Roman"/>
                      <w:bCs/>
                      <w:color w:val="auto"/>
                      <w:sz w:val="21"/>
                      <w:szCs w:val="21"/>
                      <w:lang w:val="en-US" w:eastAsia="zh-CN"/>
                    </w:rPr>
                    <w:t>675</w:t>
                  </w:r>
                </w:p>
              </w:tc>
              <w:tc>
                <w:tcPr>
                  <w:tcW w:w="304" w:type="pct"/>
                  <w:noWrap w:val="0"/>
                  <w:vAlign w:val="center"/>
                </w:tcPr>
                <w:p>
                  <w:pPr>
                    <w:widowControl/>
                    <w:spacing w:line="0" w:lineRule="atLeast"/>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60</w:t>
                  </w:r>
                  <w:r>
                    <w:rPr>
                      <w:szCs w:val="21"/>
                    </w:rPr>
                    <w:t>mg/m</w:t>
                  </w:r>
                  <w:r>
                    <w:rPr>
                      <w:szCs w:val="21"/>
                      <w:vertAlign w:val="superscript"/>
                    </w:rPr>
                    <w:t>3</w:t>
                  </w:r>
                </w:p>
              </w:tc>
              <w:tc>
                <w:tcPr>
                  <w:tcW w:w="123" w:type="pct"/>
                  <w:noWrap w:val="0"/>
                  <w:vAlign w:val="center"/>
                </w:tcPr>
                <w:p>
                  <w:pPr>
                    <w:widowControl/>
                    <w:spacing w:line="0" w:lineRule="atLeast"/>
                    <w:jc w:val="center"/>
                    <w:rPr>
                      <w:rFonts w:hint="eastAsia"/>
                      <w:color w:val="auto"/>
                      <w:sz w:val="21"/>
                      <w:szCs w:val="21"/>
                    </w:rPr>
                  </w:pPr>
                  <w:r>
                    <w:rPr>
                      <w:rFonts w:hint="eastAsia" w:ascii="Times New Roman" w:hAnsi="Times New Roman" w:cs="Times New Roman"/>
                      <w:color w:val="auto"/>
                      <w:sz w:val="21"/>
                      <w:szCs w:val="21"/>
                    </w:rPr>
                    <w:t>达标</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c>
                <w:tcPr>
                  <w:tcW w:w="239" w:type="pct"/>
                  <w:tcBorders>
                    <w:top w:val="single" w:color="auto" w:sz="4" w:space="0"/>
                    <w:bottom w:val="single" w:color="auto" w:sz="4" w:space="0"/>
                  </w:tcBorders>
                  <w:noWrap w:val="0"/>
                  <w:vAlign w:val="center"/>
                </w:tcPr>
                <w:p>
                  <w:pPr>
                    <w:widowControl/>
                    <w:spacing w:line="0" w:lineRule="atLeast"/>
                    <w:jc w:val="center"/>
                    <w:rPr>
                      <w:rFonts w:ascii="Times New Roman" w:hAnsi="Times New Roman" w:cs="Times New Roman"/>
                      <w:color w:val="auto"/>
                      <w:sz w:val="21"/>
                      <w:szCs w:val="21"/>
                    </w:rPr>
                  </w:pPr>
                  <w:r>
                    <w:rPr>
                      <w:rFonts w:hint="eastAsia" w:ascii="Times New Roman" w:hAnsi="Times New Roman" w:cs="Times New Roman"/>
                      <w:color w:val="auto"/>
                      <w:sz w:val="21"/>
                      <w:szCs w:val="21"/>
                    </w:rPr>
                    <w:t>生产车间</w:t>
                  </w:r>
                </w:p>
              </w:tc>
              <w:tc>
                <w:tcPr>
                  <w:tcW w:w="368" w:type="pct"/>
                  <w:tcBorders>
                    <w:top w:val="single" w:color="auto" w:sz="4" w:space="0"/>
                    <w:bottom w:val="single" w:color="auto" w:sz="4" w:space="0"/>
                  </w:tcBorders>
                  <w:noWrap w:val="0"/>
                  <w:vAlign w:val="center"/>
                </w:tcPr>
                <w:p>
                  <w:pPr>
                    <w:widowControl/>
                    <w:spacing w:line="0" w:lineRule="atLeast"/>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未被收集</w:t>
                  </w:r>
                </w:p>
              </w:tc>
              <w:tc>
                <w:tcPr>
                  <w:tcW w:w="208" w:type="pct"/>
                  <w:noWrap w:val="0"/>
                  <w:vAlign w:val="center"/>
                </w:tcPr>
                <w:p>
                  <w:pPr>
                    <w:widowControl/>
                    <w:spacing w:line="0" w:lineRule="atLeast"/>
                    <w:jc w:val="center"/>
                    <w:rPr>
                      <w:rFonts w:hint="eastAsia" w:ascii="Times New Roman" w:hAnsi="Times New Roman" w:cs="Times New Roman"/>
                      <w:color w:val="auto"/>
                      <w:sz w:val="21"/>
                      <w:szCs w:val="21"/>
                    </w:rPr>
                  </w:pPr>
                  <w:r>
                    <w:rPr>
                      <w:rFonts w:hint="eastAsia" w:ascii="Times New Roman" w:hAnsi="Times New Roman" w:eastAsia="宋体" w:cs="Times New Roman"/>
                      <w:color w:val="auto"/>
                      <w:sz w:val="21"/>
                      <w:szCs w:val="21"/>
                      <w:lang w:val="en-US" w:eastAsia="zh-CN"/>
                    </w:rPr>
                    <w:t>非甲烷总烃</w:t>
                  </w:r>
                </w:p>
              </w:tc>
              <w:tc>
                <w:tcPr>
                  <w:tcW w:w="297" w:type="pct"/>
                  <w:noWrap w:val="0"/>
                  <w:vAlign w:val="center"/>
                </w:tcPr>
                <w:p>
                  <w:pPr>
                    <w:widowControl/>
                    <w:spacing w:line="0" w:lineRule="atLeast"/>
                    <w:jc w:val="center"/>
                    <w:rPr>
                      <w:rFonts w:hint="default" w:ascii="Times New Roman" w:hAnsi="Times New Roman" w:eastAsia="宋体" w:cs="Times New Roman"/>
                      <w:color w:val="auto"/>
                      <w:sz w:val="21"/>
                      <w:szCs w:val="21"/>
                      <w:lang w:val="en-US" w:eastAsia="zh-CN"/>
                    </w:rPr>
                  </w:pPr>
                  <w:r>
                    <w:rPr>
                      <w:rFonts w:hint="eastAsia" w:ascii="Times New Roman" w:hAnsi="Times New Roman" w:cs="Times New Roman"/>
                      <w:bCs/>
                      <w:color w:val="auto"/>
                      <w:sz w:val="21"/>
                      <w:szCs w:val="21"/>
                    </w:rPr>
                    <w:t>0.</w:t>
                  </w:r>
                  <w:r>
                    <w:rPr>
                      <w:rFonts w:hint="eastAsia" w:cs="Times New Roman"/>
                      <w:bCs/>
                      <w:color w:val="auto"/>
                      <w:sz w:val="21"/>
                      <w:szCs w:val="21"/>
                      <w:lang w:val="en-US" w:eastAsia="zh-CN"/>
                    </w:rPr>
                    <w:t>375</w:t>
                  </w:r>
                </w:p>
              </w:tc>
              <w:tc>
                <w:tcPr>
                  <w:tcW w:w="344" w:type="pct"/>
                  <w:noWrap w:val="0"/>
                  <w:vAlign w:val="center"/>
                </w:tcPr>
                <w:p>
                  <w:pPr>
                    <w:widowControl/>
                    <w:spacing w:line="0" w:lineRule="atLeast"/>
                    <w:jc w:val="center"/>
                    <w:rPr>
                      <w:rFonts w:ascii="Times New Roman" w:hAnsi="Times New Roman" w:cs="Times New Roman"/>
                      <w:color w:val="auto"/>
                      <w:sz w:val="21"/>
                      <w:szCs w:val="21"/>
                    </w:rPr>
                  </w:pPr>
                  <w:r>
                    <w:rPr>
                      <w:rFonts w:hint="eastAsia" w:ascii="Times New Roman" w:hAnsi="Times New Roman" w:cs="Times New Roman"/>
                      <w:color w:val="auto"/>
                      <w:sz w:val="21"/>
                      <w:szCs w:val="21"/>
                    </w:rPr>
                    <w:t>/</w:t>
                  </w:r>
                </w:p>
              </w:tc>
              <w:tc>
                <w:tcPr>
                  <w:tcW w:w="121" w:type="pct"/>
                  <w:noWrap w:val="0"/>
                  <w:vAlign w:val="center"/>
                </w:tcPr>
                <w:p>
                  <w:pPr>
                    <w:widowControl/>
                    <w:spacing w:line="0" w:lineRule="atLeast"/>
                    <w:jc w:val="center"/>
                    <w:rPr>
                      <w:rFonts w:hint="eastAsia" w:ascii="Times New Roman" w:hAnsi="Times New Roman" w:cs="Times New Roman"/>
                      <w:color w:val="auto"/>
                      <w:sz w:val="21"/>
                      <w:szCs w:val="21"/>
                    </w:rPr>
                  </w:pPr>
                  <w:r>
                    <w:rPr>
                      <w:rFonts w:hint="eastAsia" w:ascii="Times New Roman" w:hAnsi="Times New Roman" w:cs="Times New Roman"/>
                      <w:color w:val="auto"/>
                      <w:sz w:val="21"/>
                      <w:szCs w:val="21"/>
                    </w:rPr>
                    <w:t>无组织</w:t>
                  </w:r>
                </w:p>
              </w:tc>
              <w:tc>
                <w:tcPr>
                  <w:tcW w:w="285" w:type="pct"/>
                  <w:noWrap w:val="0"/>
                  <w:vAlign w:val="center"/>
                </w:tcPr>
                <w:p>
                  <w:pPr>
                    <w:widowControl/>
                    <w:spacing w:line="0" w:lineRule="atLeast"/>
                    <w:jc w:val="center"/>
                    <w:rPr>
                      <w:rFonts w:ascii="Times New Roman" w:hAnsi="Times New Roman" w:cs="Times New Roman"/>
                      <w:color w:val="auto"/>
                      <w:sz w:val="21"/>
                      <w:szCs w:val="21"/>
                    </w:rPr>
                  </w:pPr>
                  <w:r>
                    <w:rPr>
                      <w:rFonts w:hint="eastAsia" w:ascii="Times New Roman" w:hAnsi="Times New Roman" w:cs="Times New Roman"/>
                      <w:color w:val="auto"/>
                      <w:sz w:val="21"/>
                      <w:szCs w:val="21"/>
                    </w:rPr>
                    <w:t>/</w:t>
                  </w:r>
                </w:p>
              </w:tc>
              <w:tc>
                <w:tcPr>
                  <w:tcW w:w="352" w:type="pct"/>
                  <w:noWrap w:val="0"/>
                  <w:vAlign w:val="center"/>
                </w:tcPr>
                <w:p>
                  <w:pPr>
                    <w:widowControl/>
                    <w:spacing w:line="0" w:lineRule="atLeast"/>
                    <w:jc w:val="center"/>
                    <w:rPr>
                      <w:rFonts w:hint="eastAsia" w:ascii="Times New Roman" w:hAnsi="Times New Roman" w:cs="Times New Roman"/>
                      <w:color w:val="auto"/>
                      <w:sz w:val="21"/>
                      <w:szCs w:val="21"/>
                    </w:rPr>
                  </w:pPr>
                  <w:r>
                    <w:rPr>
                      <w:rFonts w:hint="eastAsia" w:ascii="Times New Roman" w:hAnsi="Times New Roman" w:cs="Times New Roman"/>
                      <w:color w:val="auto"/>
                      <w:sz w:val="21"/>
                      <w:szCs w:val="21"/>
                    </w:rPr>
                    <w:t>车间密闭加强管理</w:t>
                  </w:r>
                </w:p>
              </w:tc>
              <w:tc>
                <w:tcPr>
                  <w:tcW w:w="246" w:type="pct"/>
                  <w:noWrap w:val="0"/>
                  <w:vAlign w:val="center"/>
                </w:tcPr>
                <w:p>
                  <w:pPr>
                    <w:widowControl/>
                    <w:spacing w:line="0" w:lineRule="atLeast"/>
                    <w:jc w:val="center"/>
                    <w:rPr>
                      <w:rFonts w:ascii="Times New Roman" w:hAnsi="Times New Roman" w:cs="Times New Roman"/>
                      <w:color w:val="auto"/>
                      <w:sz w:val="21"/>
                      <w:szCs w:val="21"/>
                    </w:rPr>
                  </w:pPr>
                  <w:r>
                    <w:rPr>
                      <w:rFonts w:hint="eastAsia"/>
                      <w:bCs/>
                      <w:color w:val="auto"/>
                      <w:sz w:val="21"/>
                      <w:szCs w:val="21"/>
                    </w:rPr>
                    <w:t>--</w:t>
                  </w:r>
                </w:p>
              </w:tc>
              <w:tc>
                <w:tcPr>
                  <w:tcW w:w="255" w:type="pct"/>
                  <w:noWrap w:val="0"/>
                  <w:vAlign w:val="center"/>
                </w:tcPr>
                <w:p>
                  <w:pPr>
                    <w:widowControl/>
                    <w:spacing w:line="0" w:lineRule="atLeast"/>
                    <w:jc w:val="center"/>
                    <w:rPr>
                      <w:rFonts w:ascii="Times New Roman" w:hAnsi="Times New Roman" w:cs="Times New Roman"/>
                      <w:color w:val="auto"/>
                      <w:sz w:val="21"/>
                      <w:szCs w:val="21"/>
                    </w:rPr>
                  </w:pPr>
                  <w:r>
                    <w:rPr>
                      <w:rFonts w:hint="eastAsia" w:ascii="Times New Roman" w:hAnsi="Times New Roman" w:cs="Times New Roman"/>
                      <w:color w:val="auto"/>
                      <w:sz w:val="21"/>
                      <w:szCs w:val="21"/>
                    </w:rPr>
                    <w:t>/</w:t>
                  </w:r>
                </w:p>
              </w:tc>
              <w:tc>
                <w:tcPr>
                  <w:tcW w:w="397" w:type="pct"/>
                  <w:noWrap w:val="0"/>
                  <w:vAlign w:val="center"/>
                </w:tcPr>
                <w:p>
                  <w:pPr>
                    <w:widowControl/>
                    <w:spacing w:line="0" w:lineRule="atLeast"/>
                    <w:jc w:val="center"/>
                    <w:rPr>
                      <w:rFonts w:ascii="Times New Roman" w:hAnsi="Times New Roman" w:cs="Times New Roman"/>
                      <w:color w:val="auto"/>
                      <w:sz w:val="21"/>
                      <w:szCs w:val="21"/>
                    </w:rPr>
                  </w:pPr>
                  <w:r>
                    <w:rPr>
                      <w:rFonts w:hint="eastAsia" w:ascii="Times New Roman" w:hAnsi="Times New Roman" w:cs="Times New Roman"/>
                      <w:color w:val="auto"/>
                      <w:sz w:val="21"/>
                      <w:szCs w:val="21"/>
                    </w:rPr>
                    <w:t>/</w:t>
                  </w:r>
                </w:p>
              </w:tc>
              <w:tc>
                <w:tcPr>
                  <w:tcW w:w="378" w:type="pct"/>
                  <w:noWrap w:val="0"/>
                  <w:vAlign w:val="center"/>
                </w:tcPr>
                <w:p>
                  <w:pPr>
                    <w:widowControl/>
                    <w:spacing w:line="0" w:lineRule="atLeast"/>
                    <w:jc w:val="center"/>
                    <w:rPr>
                      <w:rFonts w:hint="default" w:ascii="Times New Roman" w:hAnsi="Times New Roman" w:eastAsia="宋体" w:cs="Times New Roman"/>
                      <w:color w:val="auto"/>
                      <w:sz w:val="21"/>
                      <w:szCs w:val="21"/>
                      <w:lang w:val="en-US" w:eastAsia="zh-CN"/>
                    </w:rPr>
                  </w:pPr>
                  <w:r>
                    <w:rPr>
                      <w:rFonts w:hint="eastAsia" w:ascii="Times New Roman" w:hAnsi="Times New Roman" w:cs="Times New Roman"/>
                      <w:color w:val="auto"/>
                      <w:sz w:val="21"/>
                      <w:szCs w:val="21"/>
                    </w:rPr>
                    <w:t>0.0</w:t>
                  </w:r>
                  <w:r>
                    <w:rPr>
                      <w:rFonts w:hint="eastAsia" w:cs="Times New Roman"/>
                      <w:color w:val="auto"/>
                      <w:sz w:val="21"/>
                      <w:szCs w:val="21"/>
                      <w:lang w:val="en-US" w:eastAsia="zh-CN"/>
                    </w:rPr>
                    <w:t>52</w:t>
                  </w:r>
                </w:p>
              </w:tc>
              <w:tc>
                <w:tcPr>
                  <w:tcW w:w="387" w:type="pct"/>
                  <w:noWrap w:val="0"/>
                  <w:vAlign w:val="center"/>
                </w:tcPr>
                <w:p>
                  <w:pPr>
                    <w:widowControl/>
                    <w:spacing w:line="0" w:lineRule="atLeast"/>
                    <w:jc w:val="center"/>
                    <w:rPr>
                      <w:rFonts w:hint="eastAsia" w:ascii="Times New Roman" w:hAnsi="Times New Roman" w:cs="Times New Roman"/>
                      <w:color w:val="auto"/>
                      <w:sz w:val="21"/>
                      <w:szCs w:val="21"/>
                    </w:rPr>
                  </w:pPr>
                  <w:r>
                    <w:rPr>
                      <w:rFonts w:hint="eastAsia" w:ascii="Times New Roman" w:hAnsi="Times New Roman" w:cs="Times New Roman"/>
                      <w:color w:val="auto"/>
                      <w:sz w:val="21"/>
                      <w:szCs w:val="21"/>
                    </w:rPr>
                    <w:t>/</w:t>
                  </w:r>
                </w:p>
              </w:tc>
              <w:tc>
                <w:tcPr>
                  <w:tcW w:w="331" w:type="pct"/>
                  <w:vMerge w:val="continue"/>
                  <w:noWrap w:val="0"/>
                  <w:vAlign w:val="center"/>
                </w:tcPr>
                <w:p>
                  <w:pPr>
                    <w:widowControl/>
                    <w:spacing w:line="0" w:lineRule="atLeast"/>
                    <w:jc w:val="center"/>
                    <w:rPr>
                      <w:rFonts w:hint="eastAsia" w:ascii="Times New Roman" w:hAnsi="Times New Roman" w:cs="Times New Roman"/>
                      <w:color w:val="auto"/>
                      <w:sz w:val="21"/>
                      <w:szCs w:val="21"/>
                    </w:rPr>
                  </w:pPr>
                </w:p>
              </w:tc>
              <w:tc>
                <w:tcPr>
                  <w:tcW w:w="359" w:type="pct"/>
                  <w:noWrap w:val="0"/>
                  <w:vAlign w:val="center"/>
                </w:tcPr>
                <w:p>
                  <w:pPr>
                    <w:widowControl/>
                    <w:spacing w:line="0" w:lineRule="atLeast"/>
                    <w:jc w:val="center"/>
                    <w:rPr>
                      <w:rFonts w:hint="default" w:ascii="Times New Roman" w:hAnsi="Times New Roman" w:eastAsia="宋体" w:cs="Times New Roman"/>
                      <w:color w:val="auto"/>
                      <w:sz w:val="21"/>
                      <w:szCs w:val="21"/>
                      <w:lang w:val="en-US" w:eastAsia="zh-CN"/>
                    </w:rPr>
                  </w:pPr>
                  <w:r>
                    <w:rPr>
                      <w:rFonts w:hint="eastAsia" w:ascii="Times New Roman" w:hAnsi="Times New Roman" w:cs="Times New Roman"/>
                      <w:bCs/>
                      <w:color w:val="auto"/>
                      <w:sz w:val="21"/>
                      <w:szCs w:val="21"/>
                    </w:rPr>
                    <w:t>0.</w:t>
                  </w:r>
                  <w:r>
                    <w:rPr>
                      <w:rFonts w:hint="eastAsia" w:cs="Times New Roman"/>
                      <w:bCs/>
                      <w:color w:val="auto"/>
                      <w:sz w:val="21"/>
                      <w:szCs w:val="21"/>
                      <w:lang w:val="en-US" w:eastAsia="zh-CN"/>
                    </w:rPr>
                    <w:t>375</w:t>
                  </w:r>
                </w:p>
              </w:tc>
              <w:tc>
                <w:tcPr>
                  <w:tcW w:w="304" w:type="pct"/>
                  <w:noWrap w:val="0"/>
                  <w:vAlign w:val="center"/>
                </w:tcPr>
                <w:p>
                  <w:pPr>
                    <w:widowControl/>
                    <w:spacing w:line="0" w:lineRule="atLeast"/>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2.0</w:t>
                  </w:r>
                  <w:r>
                    <w:rPr>
                      <w:szCs w:val="21"/>
                    </w:rPr>
                    <w:t>mg/m</w:t>
                  </w:r>
                  <w:r>
                    <w:rPr>
                      <w:szCs w:val="21"/>
                      <w:vertAlign w:val="superscript"/>
                    </w:rPr>
                    <w:t>3</w:t>
                  </w:r>
                </w:p>
              </w:tc>
              <w:tc>
                <w:tcPr>
                  <w:tcW w:w="123" w:type="pct"/>
                  <w:noWrap w:val="0"/>
                  <w:vAlign w:val="center"/>
                </w:tcPr>
                <w:p>
                  <w:pPr>
                    <w:widowControl/>
                    <w:spacing w:line="0" w:lineRule="atLeast"/>
                    <w:jc w:val="center"/>
                    <w:rPr>
                      <w:rFonts w:hint="eastAsia" w:ascii="Times New Roman" w:hAnsi="Times New Roman" w:cs="Times New Roman"/>
                      <w:color w:val="auto"/>
                      <w:sz w:val="21"/>
                      <w:szCs w:val="21"/>
                    </w:rPr>
                  </w:pPr>
                  <w:r>
                    <w:rPr>
                      <w:rFonts w:hint="eastAsia" w:ascii="Times New Roman" w:hAnsi="Times New Roman" w:cs="Times New Roman"/>
                      <w:color w:val="auto"/>
                      <w:sz w:val="21"/>
                      <w:szCs w:val="21"/>
                    </w:rPr>
                    <w:t>达标</w:t>
                  </w:r>
                </w:p>
              </w:tc>
            </w:tr>
            <w:bookmarkEnd w:id="28"/>
          </w:tbl>
          <w:p>
            <w:pPr>
              <w:shd w:val="clear" w:color="auto" w:fill="auto"/>
              <w:adjustRightInd w:val="0"/>
              <w:snapToGrid w:val="0"/>
              <w:spacing w:line="480" w:lineRule="exact"/>
              <w:ind w:firstLine="422" w:firstLineChars="200"/>
              <w:rPr>
                <w:rFonts w:hint="eastAsia" w:ascii="Times New Roman" w:hAnsi="Times New Roman" w:cs="Times New Roman"/>
                <w:b/>
                <w:bCs w:val="0"/>
                <w:color w:val="auto"/>
              </w:rPr>
            </w:pPr>
            <w:r>
              <w:rPr>
                <w:rFonts w:hint="eastAsia"/>
                <w:b/>
                <w:bCs w:val="0"/>
                <w:szCs w:val="21"/>
              </w:rPr>
              <w:t>2</w:t>
            </w:r>
            <w:r>
              <w:rPr>
                <w:rFonts w:hint="eastAsia"/>
                <w:b/>
                <w:bCs w:val="0"/>
                <w:szCs w:val="21"/>
                <w:lang w:eastAsia="zh-CN"/>
              </w:rPr>
              <w:t>、</w:t>
            </w:r>
            <w:r>
              <w:rPr>
                <w:rFonts w:hint="eastAsia" w:cs="Times New Roman"/>
                <w:b/>
                <w:bCs w:val="0"/>
                <w:color w:val="auto"/>
              </w:rPr>
              <w:t>污染物排放达标</w:t>
            </w:r>
            <w:r>
              <w:rPr>
                <w:rFonts w:hint="eastAsia" w:ascii="宋体" w:hAnsi="宋体" w:eastAsia="宋体" w:cs="Times New Roman"/>
                <w:b/>
                <w:bCs w:val="0"/>
                <w:color w:val="auto"/>
              </w:rPr>
              <w:t>判定</w:t>
            </w:r>
            <w:r>
              <w:rPr>
                <w:rFonts w:hint="eastAsia" w:cs="Times New Roman"/>
                <w:b/>
                <w:bCs w:val="0"/>
                <w:color w:val="auto"/>
              </w:rPr>
              <w:t>分析</w:t>
            </w:r>
          </w:p>
          <w:p>
            <w:pPr>
              <w:pStyle w:val="183"/>
              <w:shd w:val="clear" w:color="auto" w:fill="auto"/>
              <w:adjustRightInd w:val="0"/>
              <w:snapToGrid w:val="0"/>
              <w:spacing w:before="0" w:beforeAutospacing="0" w:after="0" w:afterAutospacing="0" w:line="480" w:lineRule="exact"/>
              <w:ind w:firstLine="420" w:firstLineChars="200"/>
              <w:rPr>
                <w:rFonts w:hint="default" w:ascii="Times New Roman" w:hAnsi="Times New Roman" w:cs="Times New Roman"/>
                <w:bCs/>
                <w:color w:val="auto"/>
              </w:rPr>
            </w:pPr>
            <w:r>
              <w:rPr>
                <w:rFonts w:hint="default" w:ascii="Times New Roman" w:hAnsi="Times New Roman" w:cs="Times New Roman"/>
                <w:color w:val="auto"/>
              </w:rPr>
              <w:t>本项目</w:t>
            </w:r>
            <w:r>
              <w:rPr>
                <w:rFonts w:hint="default" w:ascii="Times New Roman" w:hAnsi="Times New Roman" w:eastAsia="宋体" w:cs="Times New Roman"/>
                <w:bCs/>
                <w:szCs w:val="21"/>
                <w:lang w:val="en-US" w:eastAsia="zh-CN"/>
              </w:rPr>
              <w:t>电打晕、表面涂甲醇、烘干、挤出、涂膜工序产生的非甲烷总烃，分别由集气罩收集后，经过滤棉+二级活性炭吸附装置处理后，通过15m排气筒排放（DA001）</w:t>
            </w:r>
            <w:r>
              <w:rPr>
                <w:rFonts w:hint="default" w:ascii="Times New Roman" w:hAnsi="Times New Roman" w:cs="Times New Roman"/>
                <w:color w:val="auto"/>
              </w:rPr>
              <w:t>，非甲烷总烃排放浓度满足《合成树脂工业污染物排放标准》（GB31572-2015 含2024年修改单）表5大气污染物特别排放限值（非甲烷总烃60mg/m</w:t>
            </w:r>
            <w:r>
              <w:rPr>
                <w:rFonts w:hint="default" w:ascii="Times New Roman" w:hAnsi="Times New Roman" w:cs="Times New Roman"/>
                <w:color w:val="auto"/>
                <w:vertAlign w:val="superscript"/>
              </w:rPr>
              <w:t>3</w:t>
            </w:r>
            <w:r>
              <w:rPr>
                <w:rFonts w:hint="default" w:ascii="Times New Roman" w:hAnsi="Times New Roman" w:cs="Times New Roman"/>
                <w:color w:val="auto"/>
              </w:rPr>
              <w:t>），达标排放</w:t>
            </w:r>
            <w:r>
              <w:rPr>
                <w:rFonts w:hint="default" w:ascii="Times New Roman" w:hAnsi="Times New Roman" w:cs="Times New Roman"/>
                <w:color w:val="auto"/>
                <w:lang w:eastAsia="zh-CN"/>
              </w:rPr>
              <w:t>；</w:t>
            </w:r>
            <w:r>
              <w:rPr>
                <w:rFonts w:hint="default" w:ascii="Times New Roman" w:hAnsi="Times New Roman" w:cs="Times New Roman"/>
                <w:color w:val="auto"/>
              </w:rPr>
              <w:t>厂界无组织非甲烷总烃排放量为0.375t/a（0.052kg/h），</w:t>
            </w:r>
            <w:r>
              <w:rPr>
                <w:rFonts w:hint="default" w:ascii="Times New Roman" w:hAnsi="Times New Roman" w:cs="Times New Roman"/>
                <w:color w:val="auto"/>
                <w:lang w:val="en-US" w:eastAsia="zh-CN"/>
              </w:rPr>
              <w:t>经预测，</w:t>
            </w:r>
            <w:r>
              <w:rPr>
                <w:rFonts w:hint="default" w:ascii="Times New Roman" w:hAnsi="Times New Roman" w:cs="Times New Roman"/>
                <w:color w:val="auto"/>
              </w:rPr>
              <w:t>厂界无组织非甲烷总烃</w:t>
            </w:r>
            <w:r>
              <w:rPr>
                <w:rFonts w:hint="default" w:ascii="Times New Roman" w:hAnsi="Times New Roman" w:cs="Times New Roman"/>
                <w:color w:val="auto"/>
                <w:lang w:val="en-US" w:eastAsia="zh-CN"/>
              </w:rPr>
              <w:t>满足</w:t>
            </w:r>
            <w:r>
              <w:rPr>
                <w:rFonts w:hint="eastAsia" w:ascii="Times New Roman" w:hAnsi="Times New Roman" w:eastAsia="宋体" w:cs="Times New Roman"/>
                <w:color w:val="auto"/>
                <w:lang w:val="zh-CN"/>
              </w:rPr>
              <w:t>《工业企业挥发性有机物排放控制标准》（DB13/2322-2016）表2企业边界大气污染物浓度限值</w:t>
            </w:r>
            <w:r>
              <w:rPr>
                <w:rFonts w:hint="default" w:ascii="Times New Roman" w:hAnsi="Times New Roman" w:cs="Times New Roman"/>
                <w:color w:val="auto"/>
              </w:rPr>
              <w:t>。</w:t>
            </w:r>
            <w:r>
              <w:rPr>
                <w:rFonts w:hint="default" w:ascii="Times New Roman" w:hAnsi="Times New Roman" w:cs="Times New Roman"/>
                <w:bCs/>
                <w:color w:val="auto"/>
              </w:rPr>
              <w:t>经过以上可行技术治理，本项目对环境空气影响较小。</w:t>
            </w:r>
          </w:p>
          <w:p>
            <w:pPr>
              <w:pStyle w:val="183"/>
              <w:shd w:val="clear" w:color="auto" w:fill="auto"/>
              <w:adjustRightInd w:val="0"/>
              <w:snapToGrid w:val="0"/>
              <w:spacing w:before="0" w:beforeAutospacing="0" w:after="0" w:afterAutospacing="0" w:line="480" w:lineRule="exact"/>
              <w:ind w:firstLine="420" w:firstLineChars="200"/>
              <w:rPr>
                <w:rFonts w:ascii="Times New Roman" w:hAnsi="Times New Roman" w:cs="Times New Roman"/>
                <w:color w:val="auto"/>
              </w:rPr>
            </w:pPr>
            <w:r>
              <w:rPr>
                <w:rFonts w:hint="eastAsia" w:cs="Times New Roman"/>
                <w:color w:val="auto"/>
                <w:lang w:val="en-US" w:eastAsia="zh-CN"/>
              </w:rPr>
              <w:t>①</w:t>
            </w:r>
            <w:r>
              <w:rPr>
                <w:rFonts w:hint="eastAsia" w:cs="Times New Roman"/>
                <w:color w:val="auto"/>
              </w:rPr>
              <w:t>本项目污染物排放达标情况分析情况见下表。</w:t>
            </w:r>
          </w:p>
          <w:p>
            <w:pPr>
              <w:pStyle w:val="183"/>
              <w:shd w:val="clear" w:color="auto" w:fill="auto"/>
              <w:adjustRightInd w:val="0"/>
              <w:snapToGrid w:val="0"/>
              <w:spacing w:before="156" w:beforeLines="50" w:beforeAutospacing="0" w:after="0" w:afterAutospacing="0" w:line="360" w:lineRule="auto"/>
              <w:ind w:firstLine="422" w:firstLineChars="200"/>
              <w:jc w:val="center"/>
              <w:rPr>
                <w:rFonts w:hint="eastAsia" w:ascii="Times New Roman" w:hAnsi="Times New Roman" w:cs="Times New Roman"/>
                <w:color w:val="auto"/>
              </w:rPr>
            </w:pPr>
            <w:r>
              <w:rPr>
                <w:rFonts w:cs="Times New Roman"/>
                <w:b/>
                <w:bCs/>
                <w:color w:val="auto"/>
              </w:rPr>
              <w:t>表</w:t>
            </w:r>
            <w:r>
              <w:rPr>
                <w:rFonts w:ascii="Times New Roman" w:hAnsi="Times New Roman" w:cs="Times New Roman"/>
                <w:b/>
                <w:bCs/>
                <w:color w:val="auto"/>
              </w:rPr>
              <w:t>4-</w:t>
            </w:r>
            <w:r>
              <w:rPr>
                <w:rFonts w:hint="eastAsia" w:ascii="Times New Roman" w:hAnsi="Times New Roman" w:cs="Times New Roman"/>
                <w:b/>
                <w:bCs/>
                <w:color w:val="auto"/>
                <w:lang w:val="en-US" w:eastAsia="zh-CN"/>
              </w:rPr>
              <w:t>2</w:t>
            </w:r>
            <w:r>
              <w:rPr>
                <w:rFonts w:ascii="Times New Roman" w:hAnsi="Times New Roman" w:cs="Times New Roman"/>
                <w:b/>
                <w:bCs/>
                <w:color w:val="auto"/>
              </w:rPr>
              <w:t xml:space="preserve">  </w:t>
            </w:r>
            <w:r>
              <w:rPr>
                <w:rFonts w:cs="Times New Roman"/>
                <w:b/>
                <w:bCs/>
                <w:color w:val="auto"/>
              </w:rPr>
              <w:t>本项目污染物排放</w:t>
            </w:r>
            <w:r>
              <w:rPr>
                <w:rFonts w:hint="eastAsia" w:cs="Times New Roman"/>
                <w:b/>
                <w:bCs/>
                <w:color w:val="auto"/>
              </w:rPr>
              <w:t>达标情况分析情况一览表</w:t>
            </w:r>
          </w:p>
          <w:tbl>
            <w:tblPr>
              <w:tblStyle w:val="90"/>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278"/>
              <w:gridCol w:w="702"/>
              <w:gridCol w:w="998"/>
              <w:gridCol w:w="832"/>
              <w:gridCol w:w="2455"/>
              <w:gridCol w:w="414"/>
              <w:gridCol w:w="598"/>
              <w:gridCol w:w="6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1309"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污染源名称</w:t>
                  </w:r>
                </w:p>
              </w:tc>
              <w:tc>
                <w:tcPr>
                  <w:tcW w:w="719"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污染物种类</w:t>
                  </w:r>
                </w:p>
              </w:tc>
              <w:tc>
                <w:tcPr>
                  <w:tcW w:w="1023"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排放浓度（</w:t>
                  </w:r>
                  <w:r>
                    <w:rPr>
                      <w:color w:val="auto"/>
                    </w:rPr>
                    <w:t>mg/m</w:t>
                  </w:r>
                  <w:r>
                    <w:rPr>
                      <w:color w:val="auto"/>
                      <w:vertAlign w:val="superscript"/>
                    </w:rPr>
                    <w:t>3</w:t>
                  </w:r>
                  <w:r>
                    <w:rPr>
                      <w:rFonts w:ascii="宋体" w:hAnsi="宋体"/>
                      <w:color w:val="auto"/>
                    </w:rPr>
                    <w:t>）</w:t>
                  </w:r>
                </w:p>
              </w:tc>
              <w:tc>
                <w:tcPr>
                  <w:tcW w:w="852"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排放速率（</w:t>
                  </w:r>
                  <w:r>
                    <w:rPr>
                      <w:color w:val="auto"/>
                    </w:rPr>
                    <w:t>kg/h</w:t>
                  </w:r>
                  <w:r>
                    <w:rPr>
                      <w:rFonts w:ascii="宋体" w:hAnsi="宋体"/>
                      <w:color w:val="auto"/>
                    </w:rPr>
                    <w:t>）</w:t>
                  </w:r>
                </w:p>
              </w:tc>
              <w:tc>
                <w:tcPr>
                  <w:tcW w:w="2516"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执行标准</w:t>
                  </w:r>
                </w:p>
              </w:tc>
              <w:tc>
                <w:tcPr>
                  <w:tcW w:w="1038" w:type="dxa"/>
                  <w:gridSpan w:val="2"/>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标准限值</w:t>
                  </w:r>
                </w:p>
              </w:tc>
              <w:tc>
                <w:tcPr>
                  <w:tcW w:w="666"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130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71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102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85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25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1038" w:type="dxa"/>
                  <w:gridSpan w:val="2"/>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排放浓度</w:t>
                  </w:r>
                  <w:r>
                    <w:rPr>
                      <w:color w:val="auto"/>
                    </w:rPr>
                    <w:t>mg/m</w:t>
                  </w:r>
                  <w:r>
                    <w:rPr>
                      <w:color w:val="auto"/>
                      <w:vertAlign w:val="superscript"/>
                    </w:rPr>
                    <w:t>3</w:t>
                  </w:r>
                </w:p>
              </w:tc>
              <w:tc>
                <w:tcPr>
                  <w:tcW w:w="66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00" w:hRule="atLeast"/>
              </w:trPr>
              <w:tc>
                <w:tcPr>
                  <w:tcW w:w="1309" w:type="dxa"/>
                  <w:tcBorders>
                    <w:top w:val="single" w:color="auto" w:sz="4" w:space="0"/>
                    <w:left w:val="single" w:color="auto" w:sz="4" w:space="0"/>
                    <w:bottom w:val="single" w:color="auto" w:sz="4" w:space="0"/>
                    <w:right w:val="single" w:color="auto" w:sz="4" w:space="0"/>
                  </w:tcBorders>
                  <w:noWrap w:val="0"/>
                  <w:vAlign w:val="center"/>
                </w:tcPr>
                <w:p>
                  <w:pPr>
                    <w:pStyle w:val="83"/>
                    <w:shd w:val="clear" w:color="auto" w:fill="auto"/>
                    <w:jc w:val="center"/>
                    <w:outlineLvl w:val="2"/>
                    <w:rPr>
                      <w:rFonts w:hint="eastAsia" w:ascii="Times New Roman" w:hAnsi="Times New Roman" w:eastAsia="宋体"/>
                      <w:b/>
                      <w:color w:val="auto"/>
                      <w:kern w:val="2"/>
                      <w:sz w:val="21"/>
                      <w:szCs w:val="21"/>
                      <w:lang w:eastAsia="zh-CN"/>
                    </w:rPr>
                  </w:pPr>
                  <w:r>
                    <w:rPr>
                      <w:rFonts w:ascii="Times New Roman" w:hAnsi="Times New Roman"/>
                      <w:color w:val="auto"/>
                      <w:kern w:val="2"/>
                      <w:sz w:val="21"/>
                      <w:szCs w:val="21"/>
                    </w:rPr>
                    <w:t>DA</w:t>
                  </w:r>
                  <w:r>
                    <w:rPr>
                      <w:rFonts w:hint="eastAsia" w:ascii="Times New Roman" w:hAnsi="Times New Roman"/>
                      <w:color w:val="auto"/>
                      <w:kern w:val="2"/>
                      <w:sz w:val="21"/>
                      <w:szCs w:val="21"/>
                    </w:rPr>
                    <w:t>001电打晕、表面涂甲醇、烘干、挤出、涂膜工序</w:t>
                  </w:r>
                </w:p>
              </w:tc>
              <w:tc>
                <w:tcPr>
                  <w:tcW w:w="719"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spacing w:line="320" w:lineRule="exact"/>
                    <w:jc w:val="center"/>
                    <w:rPr>
                      <w:rFonts w:hint="default" w:eastAsia="宋体"/>
                      <w:color w:val="auto"/>
                      <w:szCs w:val="21"/>
                      <w:lang w:val="en-US" w:eastAsia="zh-CN"/>
                    </w:rPr>
                  </w:pPr>
                  <w:r>
                    <w:rPr>
                      <w:rFonts w:hint="eastAsia"/>
                      <w:color w:val="auto"/>
                      <w:szCs w:val="21"/>
                      <w:lang w:val="en-US" w:eastAsia="zh-CN"/>
                    </w:rPr>
                    <w:t>非甲烷总烃</w:t>
                  </w:r>
                </w:p>
              </w:tc>
              <w:tc>
                <w:tcPr>
                  <w:tcW w:w="1023"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eastAsia="宋体"/>
                      <w:color w:val="auto"/>
                      <w:szCs w:val="21"/>
                      <w:lang w:val="en-US" w:eastAsia="zh-CN"/>
                    </w:rPr>
                  </w:pPr>
                  <w:r>
                    <w:rPr>
                      <w:rFonts w:hint="eastAsia"/>
                      <w:color w:val="auto"/>
                      <w:lang w:val="en-US" w:eastAsia="zh-CN"/>
                    </w:rPr>
                    <w:t>9.38</w:t>
                  </w:r>
                </w:p>
              </w:tc>
              <w:tc>
                <w:tcPr>
                  <w:tcW w:w="852"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eastAsia="宋体"/>
                      <w:color w:val="auto"/>
                      <w:szCs w:val="21"/>
                      <w:lang w:val="en-US" w:eastAsia="zh-CN"/>
                    </w:rPr>
                  </w:pPr>
                  <w:r>
                    <w:rPr>
                      <w:rFonts w:hint="eastAsia"/>
                      <w:color w:val="auto"/>
                      <w:lang w:val="en-US" w:eastAsia="zh-CN"/>
                    </w:rPr>
                    <w:t>0.094</w:t>
                  </w:r>
                </w:p>
              </w:tc>
              <w:tc>
                <w:tcPr>
                  <w:tcW w:w="2516" w:type="dxa"/>
                  <w:tcBorders>
                    <w:top w:val="nil"/>
                    <w:left w:val="single" w:color="auto" w:sz="4" w:space="0"/>
                    <w:bottom w:val="single" w:color="auto" w:sz="4" w:space="0"/>
                    <w:right w:val="single" w:color="auto" w:sz="4" w:space="0"/>
                  </w:tcBorders>
                  <w:noWrap w:val="0"/>
                  <w:vAlign w:val="center"/>
                </w:tcPr>
                <w:p>
                  <w:pPr>
                    <w:shd w:val="clear" w:color="auto" w:fill="auto"/>
                    <w:jc w:val="center"/>
                    <w:rPr>
                      <w:rFonts w:hint="default" w:ascii="Times New Roman" w:hAnsi="Times New Roman" w:cs="Times New Roman"/>
                      <w:color w:val="auto"/>
                      <w:szCs w:val="21"/>
                    </w:rPr>
                  </w:pPr>
                  <w:r>
                    <w:rPr>
                      <w:rFonts w:hint="default" w:ascii="Times New Roman" w:hAnsi="Times New Roman" w:cs="Times New Roman"/>
                      <w:color w:val="auto"/>
                      <w:szCs w:val="21"/>
                    </w:rPr>
                    <w:t>《合成树脂工业污染物排放标准》（GB31572-2015 含2024年修改单）表5大气污染物特别排放限值</w:t>
                  </w:r>
                </w:p>
              </w:tc>
              <w:tc>
                <w:tcPr>
                  <w:tcW w:w="1038" w:type="dxa"/>
                  <w:gridSpan w:val="2"/>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eastAsia="宋体"/>
                      <w:color w:val="auto"/>
                      <w:szCs w:val="21"/>
                      <w:lang w:val="en-US" w:eastAsia="zh-CN"/>
                    </w:rPr>
                  </w:pPr>
                  <w:r>
                    <w:rPr>
                      <w:rFonts w:hint="eastAsia"/>
                      <w:color w:val="auto"/>
                      <w:lang w:val="en-US" w:eastAsia="zh-CN"/>
                    </w:rPr>
                    <w:t>60</w:t>
                  </w:r>
                </w:p>
              </w:tc>
              <w:tc>
                <w:tcPr>
                  <w:tcW w:w="666"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1" w:hRule="atLeast"/>
              </w:trPr>
              <w:tc>
                <w:tcPr>
                  <w:tcW w:w="1309"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无组织废气</w:t>
                  </w:r>
                </w:p>
              </w:tc>
              <w:tc>
                <w:tcPr>
                  <w:tcW w:w="719"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hint="eastAsia"/>
                      <w:color w:val="auto"/>
                      <w:szCs w:val="21"/>
                      <w:lang w:val="en-US" w:eastAsia="zh-CN"/>
                    </w:rPr>
                    <w:t>非甲烷总烃</w:t>
                  </w:r>
                </w:p>
              </w:tc>
              <w:tc>
                <w:tcPr>
                  <w:tcW w:w="1023"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color w:val="auto"/>
                    </w:rPr>
                    <w:t>--</w:t>
                  </w:r>
                </w:p>
              </w:tc>
              <w:tc>
                <w:tcPr>
                  <w:tcW w:w="852"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eastAsia="宋体"/>
                      <w:color w:val="auto"/>
                      <w:szCs w:val="21"/>
                      <w:lang w:val="en-US" w:eastAsia="zh-CN"/>
                    </w:rPr>
                  </w:pPr>
                  <w:r>
                    <w:rPr>
                      <w:rFonts w:hint="eastAsia"/>
                      <w:color w:val="auto"/>
                      <w:lang w:val="en-US" w:eastAsia="zh-CN"/>
                    </w:rPr>
                    <w:t>0.052</w:t>
                  </w:r>
                </w:p>
              </w:tc>
              <w:tc>
                <w:tcPr>
                  <w:tcW w:w="2516"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wordWrap w:val="0"/>
                    <w:jc w:val="center"/>
                    <w:rPr>
                      <w:rFonts w:hint="default" w:ascii="Times New Roman" w:hAnsi="Times New Roman" w:cs="Times New Roman"/>
                      <w:color w:val="auto"/>
                      <w:szCs w:val="21"/>
                    </w:rPr>
                  </w:pPr>
                  <w:r>
                    <w:rPr>
                      <w:rFonts w:hint="eastAsia" w:ascii="Times New Roman" w:hAnsi="Times New Roman" w:eastAsia="宋体" w:cs="Times New Roman"/>
                      <w:color w:val="auto"/>
                      <w:lang w:val="zh-CN"/>
                    </w:rPr>
                    <w:t>《工业企业挥发性有机物排放控制标准》（DB13/2322-2016）表2企业边界大气污染物浓度限值</w:t>
                  </w:r>
                </w:p>
              </w:tc>
              <w:tc>
                <w:tcPr>
                  <w:tcW w:w="425"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hint="eastAsia" w:ascii="宋体" w:hAnsi="宋体"/>
                      <w:color w:val="auto"/>
                    </w:rPr>
                    <w:t>企业边界</w:t>
                  </w:r>
                </w:p>
              </w:tc>
              <w:tc>
                <w:tcPr>
                  <w:tcW w:w="613"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eastAsia="宋体"/>
                      <w:color w:val="auto"/>
                      <w:szCs w:val="21"/>
                      <w:lang w:val="en-US" w:eastAsia="zh-CN"/>
                    </w:rPr>
                  </w:pPr>
                  <w:r>
                    <w:rPr>
                      <w:rFonts w:hint="eastAsia"/>
                      <w:color w:val="auto"/>
                      <w:lang w:val="en-US" w:eastAsia="zh-CN"/>
                    </w:rPr>
                    <w:t>2.0</w:t>
                  </w:r>
                </w:p>
              </w:tc>
              <w:tc>
                <w:tcPr>
                  <w:tcW w:w="666"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hint="eastAsia"/>
                      <w:color w:val="auto"/>
                    </w:rPr>
                    <w:t>/</w:t>
                  </w:r>
                </w:p>
              </w:tc>
            </w:tr>
          </w:tbl>
          <w:p>
            <w:pPr>
              <w:shd w:val="clear" w:color="auto" w:fill="auto"/>
              <w:adjustRightInd w:val="0"/>
              <w:snapToGrid w:val="0"/>
              <w:spacing w:line="480" w:lineRule="exact"/>
              <w:ind w:firstLine="420" w:firstLineChars="200"/>
              <w:rPr>
                <w:rFonts w:hint="eastAsia" w:ascii="Times New Roman" w:hAnsi="Times New Roman" w:eastAsia="宋体" w:cs="Times New Roman"/>
                <w:bCs/>
                <w:color w:val="auto"/>
              </w:rPr>
            </w:pPr>
            <w:r>
              <w:rPr>
                <w:rFonts w:hint="eastAsia" w:ascii="Times New Roman" w:hAnsi="Times New Roman" w:eastAsia="宋体" w:cs="Times New Roman"/>
                <w:bCs/>
                <w:color w:val="auto"/>
                <w:lang w:val="en-US" w:eastAsia="zh-CN"/>
              </w:rPr>
              <w:t>②</w:t>
            </w:r>
            <w:r>
              <w:rPr>
                <w:rFonts w:hint="eastAsia" w:ascii="Times New Roman" w:hAnsi="Times New Roman" w:eastAsia="宋体" w:cs="Times New Roman"/>
                <w:bCs/>
                <w:color w:val="auto"/>
              </w:rPr>
              <w:t>污染物</w:t>
            </w:r>
            <w:r>
              <w:rPr>
                <w:rFonts w:hint="eastAsia" w:ascii="宋体" w:hAnsi="宋体" w:eastAsia="宋体" w:cs="Times New Roman"/>
                <w:bCs/>
                <w:color w:val="auto"/>
              </w:rPr>
              <w:t>排放量</w:t>
            </w:r>
            <w:r>
              <w:rPr>
                <w:rFonts w:hint="eastAsia" w:ascii="Times New Roman" w:hAnsi="Times New Roman" w:eastAsia="宋体" w:cs="Times New Roman"/>
                <w:bCs/>
                <w:color w:val="auto"/>
              </w:rPr>
              <w:t>核算</w:t>
            </w:r>
          </w:p>
          <w:p>
            <w:pPr>
              <w:pStyle w:val="183"/>
              <w:shd w:val="clear" w:color="auto" w:fill="auto"/>
              <w:adjustRightInd w:val="0"/>
              <w:snapToGrid w:val="0"/>
              <w:spacing w:before="0" w:beforeAutospacing="0" w:after="0" w:afterAutospacing="0" w:line="360" w:lineRule="auto"/>
              <w:ind w:firstLine="422" w:firstLineChars="200"/>
              <w:jc w:val="center"/>
              <w:rPr>
                <w:rFonts w:hint="eastAsia" w:cs="Times New Roman"/>
                <w:b/>
                <w:bCs/>
                <w:color w:val="auto"/>
              </w:rPr>
            </w:pPr>
            <w:r>
              <w:rPr>
                <w:rFonts w:cs="Times New Roman"/>
                <w:b/>
                <w:bCs/>
                <w:color w:val="auto"/>
              </w:rPr>
              <w:t>表</w:t>
            </w:r>
            <w:r>
              <w:rPr>
                <w:rFonts w:ascii="Times New Roman" w:hAnsi="Times New Roman" w:cs="Times New Roman"/>
                <w:b/>
                <w:bCs/>
                <w:color w:val="auto"/>
              </w:rPr>
              <w:t>4-</w:t>
            </w:r>
            <w:r>
              <w:rPr>
                <w:rFonts w:hint="eastAsia" w:ascii="Times New Roman" w:hAnsi="Times New Roman" w:cs="Times New Roman"/>
                <w:b/>
                <w:bCs/>
                <w:color w:val="auto"/>
                <w:lang w:val="en-US" w:eastAsia="zh-CN"/>
              </w:rPr>
              <w:t>3</w:t>
            </w:r>
            <w:r>
              <w:rPr>
                <w:rFonts w:ascii="Times New Roman" w:hAnsi="Times New Roman" w:cs="Times New Roman"/>
                <w:b/>
                <w:bCs/>
                <w:color w:val="auto"/>
              </w:rPr>
              <w:t xml:space="preserve">  </w:t>
            </w:r>
            <w:r>
              <w:rPr>
                <w:rFonts w:cs="Times New Roman"/>
                <w:b/>
                <w:bCs/>
                <w:color w:val="auto"/>
              </w:rPr>
              <w:t>本</w:t>
            </w:r>
            <w:r>
              <w:rPr>
                <w:rFonts w:hint="eastAsia" w:cs="Times New Roman"/>
                <w:b/>
                <w:bCs/>
                <w:color w:val="auto"/>
              </w:rPr>
              <w:t>项目大气污染物有组织排放量核算表</w:t>
            </w:r>
          </w:p>
          <w:tbl>
            <w:tblPr>
              <w:tblStyle w:val="9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527"/>
              <w:gridCol w:w="2357"/>
              <w:gridCol w:w="1382"/>
              <w:gridCol w:w="1402"/>
              <w:gridCol w:w="1230"/>
              <w:gridCol w:w="10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60" w:hRule="atLeast"/>
              </w:trPr>
              <w:tc>
                <w:tcPr>
                  <w:tcW w:w="541"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spacing w:line="360" w:lineRule="exact"/>
                    <w:jc w:val="center"/>
                    <w:textAlignment w:val="center"/>
                    <w:rPr>
                      <w:color w:val="auto"/>
                      <w:szCs w:val="21"/>
                    </w:rPr>
                  </w:pPr>
                  <w:r>
                    <w:rPr>
                      <w:rFonts w:ascii="宋体" w:hAnsi="宋体"/>
                      <w:color w:val="auto"/>
                      <w:kern w:val="0"/>
                    </w:rPr>
                    <w:t>序号</w:t>
                  </w:r>
                </w:p>
              </w:tc>
              <w:tc>
                <w:tcPr>
                  <w:tcW w:w="2418"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spacing w:line="360" w:lineRule="exact"/>
                    <w:jc w:val="center"/>
                    <w:textAlignment w:val="center"/>
                    <w:rPr>
                      <w:color w:val="auto"/>
                      <w:szCs w:val="21"/>
                    </w:rPr>
                  </w:pPr>
                  <w:r>
                    <w:rPr>
                      <w:rFonts w:ascii="宋体" w:hAnsi="宋体"/>
                      <w:color w:val="auto"/>
                      <w:kern w:val="0"/>
                    </w:rPr>
                    <w:t>排放口编号</w:t>
                  </w:r>
                </w:p>
              </w:tc>
              <w:tc>
                <w:tcPr>
                  <w:tcW w:w="1418"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spacing w:line="360" w:lineRule="exact"/>
                    <w:jc w:val="center"/>
                    <w:textAlignment w:val="center"/>
                    <w:rPr>
                      <w:color w:val="auto"/>
                      <w:szCs w:val="21"/>
                    </w:rPr>
                  </w:pPr>
                  <w:r>
                    <w:rPr>
                      <w:rFonts w:ascii="宋体" w:hAnsi="宋体"/>
                      <w:color w:val="auto"/>
                      <w:kern w:val="0"/>
                    </w:rPr>
                    <w:t>污染物</w:t>
                  </w:r>
                </w:p>
              </w:tc>
              <w:tc>
                <w:tcPr>
                  <w:tcW w:w="1439"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spacing w:line="360" w:lineRule="exact"/>
                    <w:jc w:val="center"/>
                    <w:textAlignment w:val="center"/>
                    <w:rPr>
                      <w:color w:val="auto"/>
                      <w:szCs w:val="21"/>
                    </w:rPr>
                  </w:pPr>
                  <w:r>
                    <w:rPr>
                      <w:rFonts w:ascii="宋体" w:hAnsi="宋体"/>
                      <w:color w:val="auto"/>
                      <w:kern w:val="0"/>
                    </w:rPr>
                    <w:t>核算排放浓度</w:t>
                  </w:r>
                  <w:r>
                    <w:rPr>
                      <w:color w:val="auto"/>
                    </w:rPr>
                    <w:t xml:space="preserve">/            </w:t>
                  </w:r>
                  <w:r>
                    <w:rPr>
                      <w:rFonts w:ascii="宋体" w:hAnsi="宋体"/>
                      <w:color w:val="auto"/>
                    </w:rPr>
                    <w:t>（</w:t>
                  </w:r>
                  <w:r>
                    <w:rPr>
                      <w:color w:val="auto"/>
                    </w:rPr>
                    <w:t>mg/m</w:t>
                  </w:r>
                  <w:r>
                    <w:rPr>
                      <w:color w:val="auto"/>
                      <w:vertAlign w:val="superscript"/>
                    </w:rPr>
                    <w:t>3</w:t>
                  </w:r>
                  <w:r>
                    <w:rPr>
                      <w:rFonts w:ascii="宋体" w:hAnsi="宋体"/>
                      <w:color w:val="auto"/>
                    </w:rPr>
                    <w:t>）</w:t>
                  </w:r>
                </w:p>
              </w:tc>
              <w:tc>
                <w:tcPr>
                  <w:tcW w:w="126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spacing w:line="360" w:lineRule="exact"/>
                    <w:jc w:val="center"/>
                    <w:textAlignment w:val="center"/>
                    <w:rPr>
                      <w:color w:val="auto"/>
                      <w:szCs w:val="21"/>
                    </w:rPr>
                  </w:pPr>
                  <w:r>
                    <w:rPr>
                      <w:rFonts w:ascii="宋体" w:hAnsi="宋体"/>
                      <w:color w:val="auto"/>
                    </w:rPr>
                    <w:t>核算排放速率</w:t>
                  </w:r>
                  <w:r>
                    <w:rPr>
                      <w:color w:val="auto"/>
                    </w:rPr>
                    <w:t>/</w:t>
                  </w:r>
                  <w:r>
                    <w:rPr>
                      <w:rFonts w:ascii="宋体" w:hAnsi="宋体"/>
                      <w:color w:val="auto"/>
                    </w:rPr>
                    <w:t>（</w:t>
                  </w:r>
                  <w:r>
                    <w:rPr>
                      <w:color w:val="auto"/>
                    </w:rPr>
                    <w:t>kg/h</w:t>
                  </w:r>
                  <w:r>
                    <w:rPr>
                      <w:rFonts w:ascii="宋体" w:hAnsi="宋体"/>
                      <w:color w:val="auto"/>
                    </w:rPr>
                    <w:t>）</w:t>
                  </w:r>
                </w:p>
              </w:tc>
              <w:tc>
                <w:tcPr>
                  <w:tcW w:w="1062"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spacing w:line="360" w:lineRule="exact"/>
                    <w:jc w:val="center"/>
                    <w:textAlignment w:val="center"/>
                    <w:rPr>
                      <w:color w:val="auto"/>
                      <w:szCs w:val="21"/>
                    </w:rPr>
                  </w:pPr>
                  <w:r>
                    <w:rPr>
                      <w:rFonts w:ascii="宋体" w:hAnsi="宋体"/>
                      <w:color w:val="auto"/>
                    </w:rPr>
                    <w:t>核算年排放量</w:t>
                  </w:r>
                  <w:r>
                    <w:rPr>
                      <w:color w:val="auto"/>
                    </w:rPr>
                    <w:t>/</w:t>
                  </w:r>
                  <w:r>
                    <w:rPr>
                      <w:rFonts w:ascii="宋体" w:hAnsi="宋体"/>
                      <w:color w:val="auto"/>
                    </w:rPr>
                    <w:t>（</w:t>
                  </w:r>
                  <w:r>
                    <w:rPr>
                      <w:color w:val="auto"/>
                    </w:rPr>
                    <w:t>t/a</w:t>
                  </w:r>
                  <w:r>
                    <w:rPr>
                      <w:rFonts w:ascii="宋体" w:hAnsi="宋体"/>
                      <w:color w:val="auto"/>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60" w:hRule="atLeast"/>
              </w:trPr>
              <w:tc>
                <w:tcPr>
                  <w:tcW w:w="54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241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141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143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126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106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7" w:hRule="atLeast"/>
              </w:trPr>
              <w:tc>
                <w:tcPr>
                  <w:tcW w:w="8140" w:type="dxa"/>
                  <w:gridSpan w:val="6"/>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spacing w:line="360" w:lineRule="exact"/>
                    <w:jc w:val="center"/>
                    <w:rPr>
                      <w:color w:val="auto"/>
                      <w:szCs w:val="21"/>
                    </w:rPr>
                  </w:pPr>
                  <w:r>
                    <w:rPr>
                      <w:rFonts w:ascii="宋体" w:hAnsi="宋体"/>
                      <w:color w:val="auto"/>
                    </w:rPr>
                    <w:t>一般排放口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75" w:hRule="atLeast"/>
              </w:trPr>
              <w:tc>
                <w:tcPr>
                  <w:tcW w:w="541" w:type="dxa"/>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spacing w:line="360" w:lineRule="exact"/>
                    <w:jc w:val="center"/>
                    <w:rPr>
                      <w:color w:val="auto"/>
                      <w:szCs w:val="21"/>
                    </w:rPr>
                  </w:pPr>
                  <w:r>
                    <w:rPr>
                      <w:rFonts w:hint="eastAsia"/>
                      <w:color w:val="auto"/>
                    </w:rPr>
                    <w:t>1</w:t>
                  </w:r>
                </w:p>
              </w:tc>
              <w:tc>
                <w:tcPr>
                  <w:tcW w:w="2418" w:type="dxa"/>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spacing w:line="360" w:lineRule="exact"/>
                    <w:jc w:val="center"/>
                    <w:rPr>
                      <w:color w:val="auto"/>
                      <w:szCs w:val="21"/>
                    </w:rPr>
                  </w:pPr>
                  <w:r>
                    <w:rPr>
                      <w:rFonts w:ascii="宋体" w:hAnsi="宋体"/>
                      <w:color w:val="auto"/>
                    </w:rPr>
                    <w:t>排气筒</w:t>
                  </w:r>
                  <w:r>
                    <w:rPr>
                      <w:color w:val="auto"/>
                    </w:rPr>
                    <w:t>DA0</w:t>
                  </w:r>
                  <w:r>
                    <w:rPr>
                      <w:rFonts w:hint="eastAsia"/>
                      <w:color w:val="auto"/>
                    </w:rPr>
                    <w:t>01</w:t>
                  </w:r>
                </w:p>
              </w:tc>
              <w:tc>
                <w:tcPr>
                  <w:tcW w:w="1418"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spacing w:line="320" w:lineRule="exact"/>
                    <w:jc w:val="center"/>
                    <w:rPr>
                      <w:bCs/>
                      <w:color w:val="auto"/>
                      <w:szCs w:val="21"/>
                    </w:rPr>
                  </w:pPr>
                  <w:r>
                    <w:rPr>
                      <w:rFonts w:hint="eastAsia"/>
                      <w:color w:val="auto"/>
                      <w:szCs w:val="21"/>
                      <w:lang w:val="en-US" w:eastAsia="zh-CN"/>
                    </w:rPr>
                    <w:t>非甲烷总烃</w:t>
                  </w:r>
                </w:p>
              </w:tc>
              <w:tc>
                <w:tcPr>
                  <w:tcW w:w="1439"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eastAsia="宋体"/>
                      <w:color w:val="auto"/>
                      <w:szCs w:val="21"/>
                      <w:lang w:val="en-US" w:eastAsia="zh-CN"/>
                    </w:rPr>
                  </w:pPr>
                  <w:r>
                    <w:rPr>
                      <w:rFonts w:hint="eastAsia" w:eastAsia="宋体"/>
                      <w:color w:val="auto"/>
                      <w:szCs w:val="21"/>
                      <w:lang w:val="en-US" w:eastAsia="zh-CN"/>
                    </w:rPr>
                    <w:t>9.38</w:t>
                  </w:r>
                </w:p>
              </w:tc>
              <w:tc>
                <w:tcPr>
                  <w:tcW w:w="1262"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eastAsia="宋体"/>
                      <w:color w:val="auto"/>
                      <w:szCs w:val="21"/>
                      <w:lang w:val="en-US" w:eastAsia="zh-CN"/>
                    </w:rPr>
                  </w:pPr>
                  <w:r>
                    <w:rPr>
                      <w:rFonts w:hint="eastAsia"/>
                      <w:color w:val="auto"/>
                      <w:lang w:val="en-US" w:eastAsia="zh-CN"/>
                    </w:rPr>
                    <w:t>0.094</w:t>
                  </w:r>
                </w:p>
              </w:tc>
              <w:tc>
                <w:tcPr>
                  <w:tcW w:w="1062"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eastAsia="宋体"/>
                      <w:color w:val="auto"/>
                      <w:szCs w:val="21"/>
                      <w:lang w:val="en-US" w:eastAsia="zh-CN"/>
                    </w:rPr>
                  </w:pPr>
                  <w:r>
                    <w:rPr>
                      <w:rFonts w:hint="eastAsia"/>
                      <w:color w:val="auto"/>
                      <w:lang w:val="en-US" w:eastAsia="zh-CN"/>
                    </w:rPr>
                    <w:t>0.675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7" w:hRule="atLeast"/>
              </w:trPr>
              <w:tc>
                <w:tcPr>
                  <w:tcW w:w="8140" w:type="dxa"/>
                  <w:gridSpan w:val="6"/>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spacing w:line="360" w:lineRule="exact"/>
                    <w:jc w:val="center"/>
                    <w:textAlignment w:val="center"/>
                    <w:rPr>
                      <w:color w:val="auto"/>
                      <w:szCs w:val="21"/>
                    </w:rPr>
                  </w:pPr>
                  <w:r>
                    <w:rPr>
                      <w:rFonts w:hint="eastAsia" w:ascii="宋体" w:hAnsi="宋体"/>
                      <w:color w:val="auto"/>
                      <w:kern w:val="0"/>
                    </w:rPr>
                    <w:t>本项目</w:t>
                  </w:r>
                  <w:r>
                    <w:rPr>
                      <w:rFonts w:ascii="宋体" w:hAnsi="宋体"/>
                      <w:color w:val="auto"/>
                      <w:kern w:val="0"/>
                    </w:rPr>
                    <w:t>有组织排放总计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7" w:hRule="atLeast"/>
              </w:trPr>
              <w:tc>
                <w:tcPr>
                  <w:tcW w:w="2959" w:type="dxa"/>
                  <w:gridSpan w:val="2"/>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spacing w:line="360" w:lineRule="exact"/>
                    <w:jc w:val="center"/>
                    <w:textAlignment w:val="center"/>
                    <w:rPr>
                      <w:color w:val="auto"/>
                      <w:kern w:val="0"/>
                      <w:szCs w:val="21"/>
                    </w:rPr>
                  </w:pPr>
                  <w:r>
                    <w:rPr>
                      <w:rFonts w:ascii="宋体" w:hAnsi="宋体"/>
                      <w:color w:val="auto"/>
                      <w:kern w:val="0"/>
                    </w:rPr>
                    <w:t>有组织排放总计</w:t>
                  </w:r>
                </w:p>
              </w:tc>
              <w:tc>
                <w:tcPr>
                  <w:tcW w:w="4119" w:type="dxa"/>
                  <w:gridSpan w:val="3"/>
                  <w:tcBorders>
                    <w:top w:val="single" w:color="auto" w:sz="4" w:space="0"/>
                    <w:left w:val="single" w:color="auto" w:sz="4" w:space="0"/>
                    <w:bottom w:val="single" w:color="auto" w:sz="4" w:space="0"/>
                    <w:right w:val="single" w:color="auto" w:sz="4" w:space="0"/>
                  </w:tcBorders>
                  <w:noWrap w:val="0"/>
                  <w:vAlign w:val="center"/>
                </w:tcPr>
                <w:p>
                  <w:pPr>
                    <w:shd w:val="clear" w:color="auto" w:fill="auto"/>
                    <w:spacing w:line="360" w:lineRule="exact"/>
                    <w:ind w:left="-105" w:leftChars="-50" w:right="-105" w:rightChars="-50"/>
                    <w:jc w:val="center"/>
                    <w:rPr>
                      <w:rFonts w:ascii="宋体" w:hAnsi="宋体"/>
                      <w:bCs/>
                      <w:color w:val="auto"/>
                      <w:szCs w:val="21"/>
                    </w:rPr>
                  </w:pPr>
                  <w:r>
                    <w:rPr>
                      <w:rFonts w:hint="eastAsia"/>
                      <w:color w:val="auto"/>
                      <w:szCs w:val="21"/>
                      <w:lang w:val="en-US" w:eastAsia="zh-CN"/>
                    </w:rPr>
                    <w:t>非甲烷总烃</w:t>
                  </w:r>
                </w:p>
              </w:tc>
              <w:tc>
                <w:tcPr>
                  <w:tcW w:w="1062"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eastAsia="宋体"/>
                      <w:color w:val="auto"/>
                      <w:kern w:val="0"/>
                      <w:szCs w:val="21"/>
                      <w:lang w:val="en-US" w:eastAsia="zh-CN"/>
                    </w:rPr>
                  </w:pPr>
                  <w:r>
                    <w:rPr>
                      <w:rFonts w:hint="eastAsia"/>
                      <w:color w:val="auto"/>
                      <w:lang w:val="en-US" w:eastAsia="zh-CN"/>
                    </w:rPr>
                    <w:t>0.675</w:t>
                  </w:r>
                </w:p>
              </w:tc>
            </w:tr>
          </w:tbl>
          <w:p>
            <w:pPr>
              <w:pStyle w:val="183"/>
              <w:shd w:val="clear" w:color="auto" w:fill="auto"/>
              <w:adjustRightInd w:val="0"/>
              <w:snapToGrid w:val="0"/>
              <w:spacing w:before="0" w:beforeAutospacing="0" w:after="0" w:afterAutospacing="0" w:line="360" w:lineRule="auto"/>
              <w:ind w:firstLine="422" w:firstLineChars="200"/>
              <w:jc w:val="center"/>
              <w:rPr>
                <w:rFonts w:cs="Times New Roman"/>
                <w:b/>
                <w:bCs/>
                <w:color w:val="auto"/>
              </w:rPr>
            </w:pPr>
            <w:r>
              <w:rPr>
                <w:rFonts w:cs="Times New Roman"/>
                <w:b/>
                <w:bCs/>
                <w:color w:val="auto"/>
              </w:rPr>
              <w:t>表</w:t>
            </w:r>
            <w:r>
              <w:rPr>
                <w:rFonts w:ascii="Times New Roman" w:hAnsi="Times New Roman" w:cs="Times New Roman"/>
                <w:b/>
                <w:bCs/>
                <w:color w:val="auto"/>
              </w:rPr>
              <w:t>4</w:t>
            </w:r>
            <w:r>
              <w:rPr>
                <w:rFonts w:hint="eastAsia" w:ascii="Times New Roman" w:hAnsi="Times New Roman" w:cs="Times New Roman"/>
                <w:b/>
                <w:bCs/>
                <w:color w:val="auto"/>
                <w:lang w:val="en-US" w:eastAsia="zh-CN"/>
              </w:rPr>
              <w:t>-4</w:t>
            </w:r>
            <w:r>
              <w:rPr>
                <w:rFonts w:ascii="Times New Roman" w:hAnsi="Times New Roman" w:cs="Times New Roman"/>
                <w:b/>
                <w:bCs/>
                <w:color w:val="auto"/>
              </w:rPr>
              <w:t xml:space="preserve">  </w:t>
            </w:r>
            <w:r>
              <w:rPr>
                <w:rFonts w:cs="Times New Roman"/>
                <w:b/>
                <w:bCs/>
                <w:color w:val="auto"/>
              </w:rPr>
              <w:t>本项目</w:t>
            </w:r>
            <w:r>
              <w:rPr>
                <w:rFonts w:hint="eastAsia" w:cs="Times New Roman"/>
                <w:b/>
                <w:bCs/>
                <w:color w:val="auto"/>
              </w:rPr>
              <w:t>大气污染物无组织排放量核算表</w:t>
            </w:r>
          </w:p>
          <w:tbl>
            <w:tblPr>
              <w:tblStyle w:val="9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5"/>
              <w:gridCol w:w="846"/>
              <w:gridCol w:w="702"/>
              <w:gridCol w:w="728"/>
              <w:gridCol w:w="855"/>
              <w:gridCol w:w="2520"/>
              <w:gridCol w:w="930"/>
              <w:gridCol w:w="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415"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序号</w:t>
                  </w:r>
                </w:p>
              </w:tc>
              <w:tc>
                <w:tcPr>
                  <w:tcW w:w="846"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排放口编号</w:t>
                  </w:r>
                </w:p>
              </w:tc>
              <w:tc>
                <w:tcPr>
                  <w:tcW w:w="702"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产污环节</w:t>
                  </w:r>
                </w:p>
              </w:tc>
              <w:tc>
                <w:tcPr>
                  <w:tcW w:w="728"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污染物</w:t>
                  </w:r>
                </w:p>
              </w:tc>
              <w:tc>
                <w:tcPr>
                  <w:tcW w:w="855"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主要污染防治措施</w:t>
                  </w:r>
                </w:p>
              </w:tc>
              <w:tc>
                <w:tcPr>
                  <w:tcW w:w="3450" w:type="dxa"/>
                  <w:gridSpan w:val="2"/>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国家或地方污染物排放标准</w:t>
                  </w:r>
                </w:p>
              </w:tc>
              <w:tc>
                <w:tcPr>
                  <w:tcW w:w="936"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年排放量</w:t>
                  </w:r>
                  <w:r>
                    <w:rPr>
                      <w:color w:val="auto"/>
                    </w:rPr>
                    <w:t>/</w:t>
                  </w:r>
                  <w:r>
                    <w:rPr>
                      <w:rFonts w:ascii="宋体" w:hAnsi="宋体"/>
                      <w:color w:val="auto"/>
                    </w:rPr>
                    <w:t>（</w:t>
                  </w:r>
                  <w:r>
                    <w:rPr>
                      <w:color w:val="auto"/>
                    </w:rPr>
                    <w:t>t/a</w:t>
                  </w:r>
                  <w:r>
                    <w:rPr>
                      <w:rFonts w:ascii="宋体" w:hAnsi="宋体"/>
                      <w:color w:val="auto"/>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41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84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7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72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8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2520"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标准名称</w:t>
                  </w:r>
                </w:p>
              </w:tc>
              <w:tc>
                <w:tcPr>
                  <w:tcW w:w="930"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ind w:left="-105" w:leftChars="-50" w:right="-105" w:rightChars="-50"/>
                    <w:jc w:val="center"/>
                    <w:rPr>
                      <w:color w:val="auto"/>
                      <w:szCs w:val="21"/>
                    </w:rPr>
                  </w:pPr>
                  <w:r>
                    <w:rPr>
                      <w:rFonts w:ascii="宋体" w:hAnsi="宋体"/>
                      <w:color w:val="auto"/>
                    </w:rPr>
                    <w:t>浓度限值（</w:t>
                  </w:r>
                  <w:r>
                    <w:rPr>
                      <w:color w:val="auto"/>
                    </w:rPr>
                    <w:t>mg/m</w:t>
                  </w:r>
                  <w:r>
                    <w:rPr>
                      <w:color w:val="auto"/>
                      <w:vertAlign w:val="superscript"/>
                    </w:rPr>
                    <w:t>3</w:t>
                  </w:r>
                  <w:r>
                    <w:rPr>
                      <w:rFonts w:ascii="宋体" w:hAnsi="宋体"/>
                      <w:color w:val="auto"/>
                    </w:rPr>
                    <w:t>）</w:t>
                  </w:r>
                </w:p>
              </w:tc>
              <w:tc>
                <w:tcPr>
                  <w:tcW w:w="9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0" w:hRule="atLeast"/>
                <w:jc w:val="center"/>
              </w:trPr>
              <w:tc>
                <w:tcPr>
                  <w:tcW w:w="415"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宋体" w:hAnsi="宋体"/>
                      <w:color w:val="auto"/>
                      <w:szCs w:val="21"/>
                    </w:rPr>
                  </w:pPr>
                  <w:r>
                    <w:rPr>
                      <w:rFonts w:hint="eastAsia"/>
                      <w:color w:val="auto"/>
                    </w:rPr>
                    <w:t>1</w:t>
                  </w:r>
                </w:p>
              </w:tc>
              <w:tc>
                <w:tcPr>
                  <w:tcW w:w="846"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eastAsia="宋体"/>
                      <w:color w:val="auto"/>
                      <w:szCs w:val="21"/>
                      <w:lang w:val="en-US" w:eastAsia="zh-CN"/>
                    </w:rPr>
                  </w:pPr>
                  <w:r>
                    <w:rPr>
                      <w:rFonts w:hint="eastAsia" w:ascii="宋体" w:hAnsi="宋体"/>
                      <w:color w:val="auto"/>
                      <w:lang w:val="en-US" w:eastAsia="zh-CN"/>
                    </w:rPr>
                    <w:t>未被收集的无组织</w:t>
                  </w:r>
                </w:p>
              </w:tc>
              <w:tc>
                <w:tcPr>
                  <w:tcW w:w="702"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生产</w:t>
                  </w:r>
                </w:p>
              </w:tc>
              <w:tc>
                <w:tcPr>
                  <w:tcW w:w="728"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ascii="宋体" w:hAnsi="宋体" w:eastAsia="宋体"/>
                      <w:color w:val="auto"/>
                      <w:szCs w:val="21"/>
                      <w:lang w:val="en-US" w:eastAsia="zh-CN"/>
                    </w:rPr>
                  </w:pPr>
                  <w:r>
                    <w:rPr>
                      <w:rFonts w:hint="eastAsia" w:ascii="宋体" w:hAnsi="宋体"/>
                      <w:color w:val="auto"/>
                      <w:lang w:val="en-US" w:eastAsia="zh-CN"/>
                    </w:rPr>
                    <w:t>非甲烷总烃</w:t>
                  </w:r>
                </w:p>
              </w:tc>
              <w:tc>
                <w:tcPr>
                  <w:tcW w:w="855"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eastAsia="宋体"/>
                      <w:color w:val="auto"/>
                      <w:kern w:val="0"/>
                      <w:szCs w:val="21"/>
                      <w:lang w:val="en-US" w:eastAsia="zh-CN"/>
                    </w:rPr>
                  </w:pPr>
                  <w:r>
                    <w:rPr>
                      <w:rFonts w:ascii="宋体" w:hAnsi="宋体"/>
                      <w:color w:val="auto"/>
                      <w:kern w:val="0"/>
                    </w:rPr>
                    <w:t>经封闭车间，</w:t>
                  </w:r>
                  <w:r>
                    <w:rPr>
                      <w:rFonts w:hint="eastAsia" w:ascii="宋体" w:hAnsi="宋体"/>
                      <w:color w:val="auto"/>
                      <w:kern w:val="0"/>
                      <w:lang w:val="en-US" w:eastAsia="zh-CN"/>
                    </w:rPr>
                    <w:t>加强收集</w:t>
                  </w:r>
                </w:p>
              </w:tc>
              <w:tc>
                <w:tcPr>
                  <w:tcW w:w="2520" w:type="dxa"/>
                  <w:tcBorders>
                    <w:top w:val="single" w:color="auto" w:sz="4" w:space="0"/>
                    <w:left w:val="single" w:color="auto" w:sz="4" w:space="0"/>
                    <w:right w:val="single" w:color="auto" w:sz="4" w:space="0"/>
                  </w:tcBorders>
                  <w:noWrap w:val="0"/>
                  <w:vAlign w:val="center"/>
                </w:tcPr>
                <w:p>
                  <w:pPr>
                    <w:shd w:val="clear" w:color="auto" w:fill="auto"/>
                    <w:jc w:val="center"/>
                    <w:rPr>
                      <w:color w:val="auto"/>
                      <w:szCs w:val="21"/>
                    </w:rPr>
                  </w:pPr>
                  <w:r>
                    <w:rPr>
                      <w:rFonts w:hint="eastAsia" w:ascii="Times New Roman" w:hAnsi="Times New Roman" w:eastAsia="宋体" w:cs="Times New Roman"/>
                      <w:color w:val="auto"/>
                      <w:lang w:val="zh-CN"/>
                    </w:rPr>
                    <w:t>《工业企业挥发性有机物排放控制标准》（DB13/2322-2016）表2企业边界大气污染物浓度限值</w:t>
                  </w:r>
                </w:p>
              </w:tc>
              <w:tc>
                <w:tcPr>
                  <w:tcW w:w="930"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ascii="宋体" w:hAnsi="宋体" w:eastAsia="宋体"/>
                      <w:color w:val="auto"/>
                      <w:szCs w:val="21"/>
                      <w:lang w:val="en-US" w:eastAsia="zh-CN"/>
                    </w:rPr>
                  </w:pPr>
                  <w:r>
                    <w:rPr>
                      <w:rFonts w:hint="eastAsia"/>
                      <w:color w:val="auto"/>
                      <w:lang w:val="en-US" w:eastAsia="zh-CN"/>
                    </w:rPr>
                    <w:t>2.0</w:t>
                  </w:r>
                </w:p>
              </w:tc>
              <w:tc>
                <w:tcPr>
                  <w:tcW w:w="936"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color w:val="auto"/>
                      <w:szCs w:val="21"/>
                      <w:lang w:val="en-US"/>
                    </w:rPr>
                  </w:pPr>
                  <w:r>
                    <w:rPr>
                      <w:rFonts w:hint="eastAsia"/>
                      <w:color w:val="auto"/>
                      <w:lang w:val="en-US" w:eastAsia="zh-CN"/>
                    </w:rPr>
                    <w:t>0.375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jc w:val="center"/>
              </w:trPr>
              <w:tc>
                <w:tcPr>
                  <w:tcW w:w="7932" w:type="dxa"/>
                  <w:gridSpan w:val="8"/>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无组织排放总计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jc w:val="center"/>
              </w:trPr>
              <w:tc>
                <w:tcPr>
                  <w:tcW w:w="2691" w:type="dxa"/>
                  <w:gridSpan w:val="4"/>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无组织排放总计</w:t>
                  </w:r>
                </w:p>
              </w:tc>
              <w:tc>
                <w:tcPr>
                  <w:tcW w:w="4305" w:type="dxa"/>
                  <w:gridSpan w:val="3"/>
                  <w:tcBorders>
                    <w:top w:val="single" w:color="auto" w:sz="4" w:space="0"/>
                    <w:left w:val="single" w:color="auto" w:sz="4" w:space="0"/>
                    <w:bottom w:val="single" w:color="auto" w:sz="4" w:space="0"/>
                    <w:right w:val="single" w:color="auto" w:sz="4" w:space="0"/>
                  </w:tcBorders>
                  <w:noWrap w:val="0"/>
                  <w:vAlign w:val="center"/>
                </w:tcPr>
                <w:p>
                  <w:pPr>
                    <w:shd w:val="clear" w:color="auto" w:fill="auto"/>
                    <w:spacing w:line="280" w:lineRule="exact"/>
                    <w:ind w:left="-105" w:leftChars="-50" w:right="-105" w:rightChars="-50"/>
                    <w:jc w:val="center"/>
                    <w:rPr>
                      <w:color w:val="auto"/>
                      <w:szCs w:val="21"/>
                    </w:rPr>
                  </w:pPr>
                  <w:r>
                    <w:rPr>
                      <w:rFonts w:hint="eastAsia" w:ascii="宋体" w:hAnsi="宋体"/>
                      <w:color w:val="auto"/>
                      <w:lang w:val="en-US" w:eastAsia="zh-CN"/>
                    </w:rPr>
                    <w:t>非甲烷总烃</w:t>
                  </w:r>
                </w:p>
              </w:tc>
              <w:tc>
                <w:tcPr>
                  <w:tcW w:w="936"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autoSpaceDE w:val="0"/>
                    <w:autoSpaceDN w:val="0"/>
                    <w:adjustRightInd w:val="0"/>
                    <w:spacing w:line="312" w:lineRule="atLeast"/>
                    <w:jc w:val="center"/>
                    <w:rPr>
                      <w:rFonts w:hint="default" w:eastAsia="宋体"/>
                      <w:color w:val="auto"/>
                      <w:szCs w:val="21"/>
                      <w:lang w:val="en-US" w:eastAsia="zh-CN"/>
                    </w:rPr>
                  </w:pPr>
                  <w:r>
                    <w:rPr>
                      <w:rFonts w:hint="eastAsia"/>
                      <w:color w:val="auto"/>
                      <w:lang w:val="en-US" w:eastAsia="zh-CN"/>
                    </w:rPr>
                    <w:t>0.375</w:t>
                  </w:r>
                </w:p>
              </w:tc>
            </w:tr>
          </w:tbl>
          <w:p>
            <w:pPr>
              <w:shd w:val="clear" w:color="auto" w:fill="auto"/>
              <w:spacing w:line="480" w:lineRule="exact"/>
              <w:ind w:firstLine="480"/>
              <w:rPr>
                <w:rFonts w:hint="eastAsia"/>
                <w:b/>
                <w:bCs/>
                <w:color w:val="auto"/>
                <w:kern w:val="0"/>
                <w:szCs w:val="21"/>
              </w:rPr>
            </w:pPr>
            <w:r>
              <w:rPr>
                <w:rFonts w:hint="eastAsia" w:ascii="宋体" w:hAnsi="宋体"/>
                <w:color w:val="auto"/>
                <w:lang w:val="en-US" w:eastAsia="zh-CN"/>
              </w:rPr>
              <w:t>③</w:t>
            </w:r>
            <w:r>
              <w:rPr>
                <w:rFonts w:ascii="宋体" w:hAnsi="宋体"/>
                <w:color w:val="auto"/>
              </w:rPr>
              <w:t>本项目大气污染物年排放量核算见</w:t>
            </w:r>
            <w:r>
              <w:rPr>
                <w:rFonts w:hint="eastAsia" w:ascii="宋体" w:hAnsi="宋体"/>
                <w:color w:val="auto"/>
              </w:rPr>
              <w:t>下</w:t>
            </w:r>
            <w:r>
              <w:rPr>
                <w:rFonts w:ascii="宋体" w:hAnsi="宋体"/>
                <w:color w:val="auto"/>
              </w:rPr>
              <w:t>表。</w:t>
            </w:r>
          </w:p>
          <w:p>
            <w:pPr>
              <w:shd w:val="clear" w:color="auto" w:fill="auto"/>
              <w:spacing w:line="480" w:lineRule="exact"/>
              <w:jc w:val="center"/>
              <w:rPr>
                <w:b/>
                <w:bCs/>
                <w:color w:val="auto"/>
                <w:kern w:val="0"/>
                <w:sz w:val="24"/>
              </w:rPr>
            </w:pPr>
            <w:r>
              <w:rPr>
                <w:rFonts w:ascii="宋体" w:hAnsi="宋体"/>
                <w:b/>
                <w:bCs/>
                <w:color w:val="auto"/>
                <w:kern w:val="0"/>
              </w:rPr>
              <w:t>表</w:t>
            </w:r>
            <w:r>
              <w:rPr>
                <w:rFonts w:hint="eastAsia"/>
                <w:b/>
                <w:bCs/>
                <w:color w:val="auto"/>
                <w:kern w:val="0"/>
              </w:rPr>
              <w:t>4-</w:t>
            </w:r>
            <w:r>
              <w:rPr>
                <w:rFonts w:hint="eastAsia"/>
                <w:b/>
                <w:bCs/>
                <w:color w:val="auto"/>
                <w:kern w:val="0"/>
                <w:lang w:val="en-US" w:eastAsia="zh-CN"/>
              </w:rPr>
              <w:t>5</w:t>
            </w:r>
            <w:r>
              <w:rPr>
                <w:b/>
                <w:bCs/>
                <w:color w:val="auto"/>
                <w:kern w:val="0"/>
              </w:rPr>
              <w:t xml:space="preserve">  </w:t>
            </w:r>
            <w:r>
              <w:rPr>
                <w:rFonts w:hint="eastAsia" w:ascii="宋体" w:hAnsi="宋体"/>
                <w:b/>
                <w:bCs/>
                <w:color w:val="auto"/>
                <w:kern w:val="0"/>
              </w:rPr>
              <w:t>本项目</w:t>
            </w:r>
            <w:r>
              <w:rPr>
                <w:rFonts w:ascii="宋体" w:hAnsi="宋体"/>
                <w:b/>
                <w:bCs/>
                <w:color w:val="auto"/>
                <w:kern w:val="0"/>
              </w:rPr>
              <w:t>大气污染物年排放量核算表</w:t>
            </w:r>
          </w:p>
          <w:tbl>
            <w:tblPr>
              <w:tblStyle w:val="9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8"/>
              <w:gridCol w:w="2311"/>
              <w:gridCol w:w="1319"/>
              <w:gridCol w:w="1644"/>
              <w:gridCol w:w="15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1177"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spacing w:line="320" w:lineRule="exact"/>
                    <w:jc w:val="center"/>
                    <w:rPr>
                      <w:bCs/>
                      <w:color w:val="auto"/>
                      <w:szCs w:val="21"/>
                    </w:rPr>
                  </w:pPr>
                  <w:r>
                    <w:rPr>
                      <w:rFonts w:ascii="宋体" w:hAnsi="宋体"/>
                      <w:bCs/>
                      <w:color w:val="auto"/>
                    </w:rPr>
                    <w:t>序号</w:t>
                  </w:r>
                </w:p>
              </w:tc>
              <w:tc>
                <w:tcPr>
                  <w:tcW w:w="2368"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spacing w:line="320" w:lineRule="exact"/>
                    <w:jc w:val="center"/>
                    <w:rPr>
                      <w:bCs/>
                      <w:color w:val="auto"/>
                      <w:szCs w:val="21"/>
                    </w:rPr>
                  </w:pPr>
                  <w:r>
                    <w:rPr>
                      <w:rFonts w:ascii="宋体" w:hAnsi="宋体"/>
                      <w:bCs/>
                      <w:color w:val="auto"/>
                    </w:rPr>
                    <w:t>污染物</w:t>
                  </w:r>
                </w:p>
              </w:tc>
              <w:tc>
                <w:tcPr>
                  <w:tcW w:w="4583" w:type="dxa"/>
                  <w:gridSpan w:val="3"/>
                  <w:tcBorders>
                    <w:top w:val="single" w:color="auto" w:sz="4" w:space="0"/>
                    <w:left w:val="single" w:color="auto" w:sz="4" w:space="0"/>
                    <w:bottom w:val="single" w:color="auto" w:sz="4" w:space="0"/>
                    <w:right w:val="single" w:color="auto" w:sz="4" w:space="0"/>
                  </w:tcBorders>
                  <w:noWrap w:val="0"/>
                  <w:vAlign w:val="center"/>
                </w:tcPr>
                <w:p>
                  <w:pPr>
                    <w:shd w:val="clear" w:color="auto" w:fill="auto"/>
                    <w:spacing w:line="320" w:lineRule="exact"/>
                    <w:jc w:val="center"/>
                    <w:rPr>
                      <w:bCs/>
                      <w:color w:val="auto"/>
                      <w:szCs w:val="21"/>
                    </w:rPr>
                  </w:pPr>
                  <w:r>
                    <w:rPr>
                      <w:rFonts w:ascii="宋体" w:hAnsi="宋体"/>
                      <w:bCs/>
                      <w:color w:val="auto"/>
                    </w:rPr>
                    <w:t>年排放量</w:t>
                  </w:r>
                  <w:r>
                    <w:rPr>
                      <w:bCs/>
                      <w:color w:val="auto"/>
                    </w:rPr>
                    <w:t>/</w:t>
                  </w:r>
                  <w:r>
                    <w:rPr>
                      <w:rFonts w:ascii="宋体" w:hAnsi="宋体"/>
                      <w:bCs/>
                      <w:color w:val="auto"/>
                    </w:rPr>
                    <w:t>（</w:t>
                  </w:r>
                  <w:r>
                    <w:rPr>
                      <w:bCs/>
                      <w:color w:val="auto"/>
                    </w:rPr>
                    <w:t>t/a</w:t>
                  </w:r>
                  <w:r>
                    <w:rPr>
                      <w:rFonts w:ascii="宋体" w:hAnsi="宋体"/>
                      <w:bCs/>
                      <w:color w:val="auto"/>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117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bCs/>
                      <w:color w:val="auto"/>
                      <w:szCs w:val="21"/>
                    </w:rPr>
                  </w:pPr>
                </w:p>
              </w:tc>
              <w:tc>
                <w:tcPr>
                  <w:tcW w:w="236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bCs/>
                      <w:color w:val="auto"/>
                      <w:szCs w:val="21"/>
                    </w:rPr>
                  </w:pPr>
                </w:p>
              </w:tc>
              <w:tc>
                <w:tcPr>
                  <w:tcW w:w="1351"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spacing w:line="320" w:lineRule="exact"/>
                    <w:jc w:val="center"/>
                    <w:rPr>
                      <w:bCs/>
                      <w:color w:val="auto"/>
                      <w:szCs w:val="21"/>
                      <w:highlight w:val="none"/>
                    </w:rPr>
                  </w:pPr>
                  <w:r>
                    <w:rPr>
                      <w:rFonts w:ascii="宋体" w:hAnsi="宋体"/>
                      <w:bCs/>
                      <w:color w:val="auto"/>
                      <w:highlight w:val="none"/>
                    </w:rPr>
                    <w:t>有组织</w:t>
                  </w:r>
                </w:p>
              </w:tc>
              <w:tc>
                <w:tcPr>
                  <w:tcW w:w="1685"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spacing w:line="320" w:lineRule="exact"/>
                    <w:jc w:val="center"/>
                    <w:rPr>
                      <w:bCs/>
                      <w:color w:val="auto"/>
                      <w:szCs w:val="21"/>
                      <w:highlight w:val="none"/>
                    </w:rPr>
                  </w:pPr>
                  <w:r>
                    <w:rPr>
                      <w:rFonts w:ascii="宋体" w:hAnsi="宋体"/>
                      <w:bCs/>
                      <w:color w:val="auto"/>
                      <w:highlight w:val="none"/>
                    </w:rPr>
                    <w:t>无组织</w:t>
                  </w:r>
                </w:p>
              </w:tc>
              <w:tc>
                <w:tcPr>
                  <w:tcW w:w="1547"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 w:val="22"/>
                      <w:szCs w:val="22"/>
                      <w:highlight w:val="none"/>
                    </w:rPr>
                  </w:pPr>
                  <w:r>
                    <w:rPr>
                      <w:rFonts w:ascii="宋体" w:hAnsi="宋体"/>
                      <w:bCs/>
                      <w:color w:val="auto"/>
                      <w:highlight w:val="none"/>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1177"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spacing w:line="320" w:lineRule="exact"/>
                    <w:jc w:val="center"/>
                    <w:rPr>
                      <w:bCs/>
                      <w:color w:val="auto"/>
                      <w:szCs w:val="21"/>
                    </w:rPr>
                  </w:pPr>
                  <w:r>
                    <w:rPr>
                      <w:rFonts w:hint="eastAsia"/>
                      <w:bCs/>
                      <w:color w:val="auto"/>
                    </w:rPr>
                    <w:t>1</w:t>
                  </w:r>
                </w:p>
              </w:tc>
              <w:tc>
                <w:tcPr>
                  <w:tcW w:w="2368"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spacing w:line="320" w:lineRule="exact"/>
                    <w:jc w:val="center"/>
                    <w:rPr>
                      <w:bCs/>
                      <w:color w:val="auto"/>
                      <w:szCs w:val="21"/>
                    </w:rPr>
                  </w:pPr>
                  <w:r>
                    <w:rPr>
                      <w:rFonts w:hint="eastAsia" w:ascii="宋体" w:hAnsi="宋体"/>
                      <w:color w:val="auto"/>
                      <w:lang w:val="en-US" w:eastAsia="zh-CN"/>
                    </w:rPr>
                    <w:t>非甲烷总烃</w:t>
                  </w:r>
                </w:p>
              </w:tc>
              <w:tc>
                <w:tcPr>
                  <w:tcW w:w="1351"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spacing w:line="320" w:lineRule="exact"/>
                    <w:jc w:val="center"/>
                    <w:rPr>
                      <w:rFonts w:hint="default" w:eastAsia="宋体"/>
                      <w:color w:val="auto"/>
                      <w:kern w:val="0"/>
                      <w:szCs w:val="21"/>
                      <w:highlight w:val="none"/>
                      <w:lang w:val="en-US" w:eastAsia="zh-CN"/>
                    </w:rPr>
                  </w:pPr>
                  <w:r>
                    <w:rPr>
                      <w:rFonts w:hint="eastAsia"/>
                      <w:color w:val="auto"/>
                      <w:highlight w:val="none"/>
                      <w:lang w:val="en-US" w:eastAsia="zh-CN"/>
                    </w:rPr>
                    <w:t>0.675</w:t>
                  </w:r>
                </w:p>
              </w:tc>
              <w:tc>
                <w:tcPr>
                  <w:tcW w:w="1685"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spacing w:line="320" w:lineRule="exact"/>
                    <w:jc w:val="center"/>
                    <w:rPr>
                      <w:rFonts w:hint="default" w:eastAsia="宋体"/>
                      <w:color w:val="auto"/>
                      <w:szCs w:val="21"/>
                      <w:highlight w:val="none"/>
                      <w:lang w:val="en-US" w:eastAsia="zh-CN"/>
                    </w:rPr>
                  </w:pPr>
                  <w:r>
                    <w:rPr>
                      <w:rFonts w:hint="eastAsia"/>
                      <w:color w:val="auto"/>
                      <w:highlight w:val="none"/>
                      <w:lang w:val="en-US" w:eastAsia="zh-CN"/>
                    </w:rPr>
                    <w:t>0.375</w:t>
                  </w:r>
                </w:p>
              </w:tc>
              <w:tc>
                <w:tcPr>
                  <w:tcW w:w="1547"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spacing w:line="320" w:lineRule="exact"/>
                    <w:jc w:val="center"/>
                    <w:rPr>
                      <w:rFonts w:hint="default" w:eastAsia="宋体"/>
                      <w:color w:val="auto"/>
                      <w:sz w:val="22"/>
                      <w:szCs w:val="22"/>
                      <w:highlight w:val="none"/>
                      <w:lang w:val="en-US" w:eastAsia="zh-CN"/>
                    </w:rPr>
                  </w:pPr>
                  <w:r>
                    <w:rPr>
                      <w:rFonts w:hint="eastAsia"/>
                      <w:bCs/>
                      <w:color w:val="auto"/>
                      <w:highlight w:val="none"/>
                      <w:lang w:val="en-US" w:eastAsia="zh-CN"/>
                    </w:rPr>
                    <w:t>1.05</w:t>
                  </w:r>
                </w:p>
              </w:tc>
            </w:tr>
          </w:tbl>
          <w:p>
            <w:pPr>
              <w:adjustRightInd w:val="0"/>
              <w:snapToGrid w:val="0"/>
              <w:spacing w:line="400" w:lineRule="exact"/>
              <w:ind w:firstLine="422" w:firstLineChars="200"/>
              <w:rPr>
                <w:b/>
                <w:szCs w:val="21"/>
              </w:rPr>
            </w:pPr>
            <w:r>
              <w:rPr>
                <w:rFonts w:hint="eastAsia"/>
                <w:b/>
                <w:szCs w:val="21"/>
                <w:lang w:val="en-US" w:eastAsia="zh-CN"/>
              </w:rPr>
              <w:t>3、</w:t>
            </w:r>
            <w:r>
              <w:rPr>
                <w:rFonts w:hint="eastAsia"/>
                <w:b/>
                <w:szCs w:val="21"/>
              </w:rPr>
              <w:t>废气治理可行性分析：</w:t>
            </w:r>
          </w:p>
          <w:p>
            <w:pPr>
              <w:adjustRightInd w:val="0"/>
              <w:snapToGrid w:val="0"/>
              <w:spacing w:line="400" w:lineRule="exact"/>
              <w:ind w:firstLine="420" w:firstLineChars="200"/>
              <w:rPr>
                <w:bCs/>
                <w:szCs w:val="21"/>
              </w:rPr>
            </w:pPr>
            <w:r>
              <w:rPr>
                <w:rFonts w:hint="eastAsia"/>
                <w:bCs/>
                <w:szCs w:val="21"/>
              </w:rPr>
              <w:t>根据《排污许可证申请与核发技术规范 橡胶和塑料制品工业》（HJ 1122</w:t>
            </w:r>
            <w:r>
              <w:rPr>
                <w:rFonts w:hint="eastAsia"/>
                <w:bCs/>
                <w:szCs w:val="21"/>
                <w:lang w:eastAsia="zh-CN"/>
              </w:rPr>
              <w:t>-</w:t>
            </w:r>
            <w:r>
              <w:rPr>
                <w:rFonts w:hint="eastAsia"/>
                <w:bCs/>
                <w:szCs w:val="21"/>
              </w:rPr>
              <w:t>2020）</w:t>
            </w:r>
            <w:r>
              <w:rPr>
                <w:rFonts w:hint="eastAsia"/>
                <w:bCs/>
                <w:szCs w:val="21"/>
                <w:lang w:val="en-US" w:eastAsia="zh-CN"/>
              </w:rPr>
              <w:t>中</w:t>
            </w:r>
            <w:r>
              <w:rPr>
                <w:rFonts w:hint="eastAsia"/>
                <w:bCs/>
                <w:szCs w:val="21"/>
              </w:rPr>
              <w:t>塑料薄膜制造非甲烷总烃治理可行技术包括吸附，本项目废气</w:t>
            </w:r>
            <w:r>
              <w:rPr>
                <w:rFonts w:hint="eastAsia"/>
                <w:bCs/>
                <w:szCs w:val="21"/>
                <w:lang w:val="en-US" w:eastAsia="zh-CN"/>
              </w:rPr>
              <w:t>采用过滤棉+二级活性炭吸附装置处理，</w:t>
            </w:r>
            <w:r>
              <w:rPr>
                <w:rFonts w:hint="eastAsia"/>
                <w:bCs/>
                <w:szCs w:val="21"/>
              </w:rPr>
              <w:t>经分析可以达标排放，所以从经济、技术可行性考虑，本项目废气处理技术可行。</w:t>
            </w:r>
          </w:p>
          <w:p>
            <w:pPr>
              <w:adjustRightInd w:val="0"/>
              <w:snapToGrid w:val="0"/>
              <w:spacing w:line="400" w:lineRule="exact"/>
              <w:ind w:firstLine="422" w:firstLineChars="200"/>
              <w:rPr>
                <w:b/>
                <w:szCs w:val="21"/>
              </w:rPr>
            </w:pPr>
            <w:r>
              <w:rPr>
                <w:rFonts w:hint="eastAsia"/>
                <w:b/>
                <w:szCs w:val="21"/>
                <w:lang w:val="en-US" w:eastAsia="zh-CN"/>
              </w:rPr>
              <w:t>4</w:t>
            </w:r>
            <w:r>
              <w:rPr>
                <w:rFonts w:hint="eastAsia"/>
                <w:b/>
                <w:szCs w:val="21"/>
                <w:lang w:eastAsia="zh-CN"/>
              </w:rPr>
              <w:t>、</w:t>
            </w:r>
            <w:r>
              <w:rPr>
                <w:rFonts w:hint="eastAsia"/>
                <w:b/>
                <w:szCs w:val="21"/>
              </w:rPr>
              <w:t>排放口基本情况</w:t>
            </w:r>
          </w:p>
          <w:p>
            <w:pPr>
              <w:adjustRightInd w:val="0"/>
              <w:snapToGrid w:val="0"/>
              <w:spacing w:line="400" w:lineRule="exact"/>
              <w:ind w:firstLine="420" w:firstLineChars="200"/>
              <w:rPr>
                <w:rFonts w:hint="eastAsia" w:ascii="Times New Roman" w:hAnsi="Times New Roman" w:eastAsia="宋体" w:cs="Times New Roman"/>
                <w:bCs/>
                <w:szCs w:val="21"/>
                <w:lang w:val="en-US" w:eastAsia="zh-CN"/>
              </w:rPr>
            </w:pPr>
            <w:r>
              <w:rPr>
                <w:rFonts w:hint="eastAsia" w:ascii="Times New Roman" w:hAnsi="Times New Roman" w:eastAsia="宋体" w:cs="Times New Roman"/>
                <w:bCs/>
                <w:szCs w:val="21"/>
                <w:lang w:val="en-US" w:eastAsia="zh-CN"/>
              </w:rPr>
              <w:t>废气污染物排放口基本情况见下表。</w:t>
            </w:r>
          </w:p>
          <w:p>
            <w:pPr>
              <w:pStyle w:val="83"/>
              <w:shd w:val="clear" w:color="auto" w:fill="auto"/>
              <w:spacing w:before="0" w:beforeAutospacing="0" w:after="0" w:afterAutospacing="0" w:line="500" w:lineRule="exact"/>
              <w:jc w:val="center"/>
              <w:outlineLvl w:val="3"/>
              <w:rPr>
                <w:rFonts w:ascii="Times New Roman" w:hAnsi="Times New Roman"/>
                <w:b/>
                <w:bCs/>
                <w:color w:val="auto"/>
                <w:sz w:val="21"/>
                <w:szCs w:val="21"/>
              </w:rPr>
            </w:pPr>
            <w:r>
              <w:rPr>
                <w:b/>
                <w:bCs/>
                <w:color w:val="auto"/>
                <w:sz w:val="21"/>
                <w:szCs w:val="21"/>
              </w:rPr>
              <w:t>表</w:t>
            </w:r>
            <w:r>
              <w:rPr>
                <w:rFonts w:ascii="Times New Roman" w:hAnsi="Times New Roman"/>
                <w:b/>
                <w:bCs/>
                <w:color w:val="auto"/>
                <w:sz w:val="21"/>
                <w:szCs w:val="21"/>
              </w:rPr>
              <w:t xml:space="preserve"> </w:t>
            </w:r>
            <w:r>
              <w:rPr>
                <w:rFonts w:hint="eastAsia" w:ascii="Times New Roman" w:hAnsi="Times New Roman"/>
                <w:b/>
                <w:bCs/>
                <w:color w:val="auto"/>
                <w:sz w:val="21"/>
                <w:szCs w:val="21"/>
              </w:rPr>
              <w:t>4-</w:t>
            </w:r>
            <w:r>
              <w:rPr>
                <w:rFonts w:hint="eastAsia" w:ascii="Times New Roman" w:hAnsi="Times New Roman"/>
                <w:b/>
                <w:bCs/>
                <w:color w:val="auto"/>
                <w:sz w:val="21"/>
                <w:szCs w:val="21"/>
                <w:lang w:val="en-US" w:eastAsia="zh-CN"/>
              </w:rPr>
              <w:t>6</w:t>
            </w:r>
            <w:r>
              <w:rPr>
                <w:rFonts w:hint="eastAsia" w:ascii="Times New Roman" w:hAnsi="Times New Roman"/>
                <w:b/>
                <w:bCs/>
                <w:color w:val="auto"/>
                <w:sz w:val="21"/>
                <w:szCs w:val="21"/>
              </w:rPr>
              <w:t xml:space="preserve"> </w:t>
            </w:r>
            <w:r>
              <w:rPr>
                <w:rFonts w:ascii="Times New Roman" w:hAnsi="Times New Roman"/>
                <w:b/>
                <w:bCs/>
                <w:color w:val="auto"/>
                <w:sz w:val="21"/>
                <w:szCs w:val="21"/>
              </w:rPr>
              <w:t xml:space="preserve"> </w:t>
            </w:r>
            <w:r>
              <w:rPr>
                <w:b/>
                <w:bCs/>
                <w:color w:val="auto"/>
                <w:sz w:val="21"/>
                <w:szCs w:val="21"/>
              </w:rPr>
              <w:t>废气污染物排放口基本情况一览表</w:t>
            </w:r>
          </w:p>
          <w:tbl>
            <w:tblPr>
              <w:tblStyle w:val="90"/>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832"/>
              <w:gridCol w:w="1232"/>
              <w:gridCol w:w="1017"/>
              <w:gridCol w:w="514"/>
              <w:gridCol w:w="804"/>
              <w:gridCol w:w="852"/>
              <w:gridCol w:w="560"/>
              <w:gridCol w:w="457"/>
              <w:gridCol w:w="787"/>
              <w:gridCol w:w="8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50" w:hRule="atLeast"/>
                <w:jc w:val="center"/>
              </w:trPr>
              <w:tc>
                <w:tcPr>
                  <w:tcW w:w="832"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污染源名称</w:t>
                  </w:r>
                </w:p>
              </w:tc>
              <w:tc>
                <w:tcPr>
                  <w:tcW w:w="2249" w:type="dxa"/>
                  <w:gridSpan w:val="2"/>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排气筒坐标</w:t>
                  </w:r>
                </w:p>
              </w:tc>
              <w:tc>
                <w:tcPr>
                  <w:tcW w:w="514"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snapToGrid w:val="0"/>
                    <w:jc w:val="center"/>
                    <w:rPr>
                      <w:color w:val="auto"/>
                      <w:szCs w:val="21"/>
                    </w:rPr>
                  </w:pPr>
                  <w:r>
                    <w:rPr>
                      <w:rFonts w:ascii="宋体" w:hAnsi="宋体"/>
                      <w:color w:val="auto"/>
                    </w:rPr>
                    <w:t>排气筒海拔</w:t>
                  </w:r>
                  <w:r>
                    <w:rPr>
                      <w:color w:val="auto"/>
                    </w:rPr>
                    <w:t>m</w:t>
                  </w:r>
                </w:p>
              </w:tc>
              <w:tc>
                <w:tcPr>
                  <w:tcW w:w="804"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snapToGrid w:val="0"/>
                    <w:jc w:val="center"/>
                    <w:rPr>
                      <w:color w:val="auto"/>
                      <w:szCs w:val="21"/>
                    </w:rPr>
                  </w:pPr>
                  <w:r>
                    <w:rPr>
                      <w:rFonts w:ascii="宋体" w:hAnsi="宋体"/>
                      <w:color w:val="auto"/>
                    </w:rPr>
                    <w:t>风量（</w:t>
                  </w:r>
                  <w:r>
                    <w:rPr>
                      <w:color w:val="auto"/>
                    </w:rPr>
                    <w:t>m</w:t>
                  </w:r>
                  <w:r>
                    <w:rPr>
                      <w:color w:val="auto"/>
                      <w:vertAlign w:val="superscript"/>
                    </w:rPr>
                    <w:t>3</w:t>
                  </w:r>
                  <w:r>
                    <w:rPr>
                      <w:color w:val="auto"/>
                    </w:rPr>
                    <w:t>/h</w:t>
                  </w:r>
                  <w:r>
                    <w:rPr>
                      <w:rFonts w:ascii="宋体" w:hAnsi="宋体"/>
                      <w:color w:val="auto"/>
                    </w:rPr>
                    <w:t>）</w:t>
                  </w:r>
                </w:p>
              </w:tc>
              <w:tc>
                <w:tcPr>
                  <w:tcW w:w="1869" w:type="dxa"/>
                  <w:gridSpan w:val="3"/>
                  <w:tcBorders>
                    <w:top w:val="single" w:color="auto" w:sz="4" w:space="0"/>
                    <w:left w:val="single" w:color="auto" w:sz="4" w:space="0"/>
                    <w:bottom w:val="nil"/>
                    <w:right w:val="single" w:color="auto" w:sz="4" w:space="0"/>
                  </w:tcBorders>
                  <w:noWrap w:val="0"/>
                  <w:vAlign w:val="center"/>
                </w:tcPr>
                <w:p>
                  <w:pPr>
                    <w:shd w:val="clear" w:color="auto" w:fill="auto"/>
                    <w:jc w:val="center"/>
                    <w:rPr>
                      <w:color w:val="auto"/>
                      <w:szCs w:val="21"/>
                    </w:rPr>
                  </w:pPr>
                  <w:r>
                    <w:rPr>
                      <w:rFonts w:ascii="宋体" w:hAnsi="宋体"/>
                      <w:color w:val="auto"/>
                    </w:rPr>
                    <w:t>排气筒参数</w:t>
                  </w:r>
                </w:p>
              </w:tc>
              <w:tc>
                <w:tcPr>
                  <w:tcW w:w="787"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排放因子</w:t>
                  </w:r>
                </w:p>
              </w:tc>
              <w:tc>
                <w:tcPr>
                  <w:tcW w:w="876"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排放口类型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83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1232"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snapToGrid w:val="0"/>
                    <w:jc w:val="center"/>
                    <w:rPr>
                      <w:color w:val="auto"/>
                      <w:szCs w:val="21"/>
                    </w:rPr>
                  </w:pPr>
                  <w:r>
                    <w:rPr>
                      <w:rFonts w:ascii="宋体" w:hAnsi="宋体"/>
                      <w:color w:val="auto"/>
                    </w:rPr>
                    <w:t>经度</w:t>
                  </w:r>
                </w:p>
              </w:tc>
              <w:tc>
                <w:tcPr>
                  <w:tcW w:w="1017"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snapToGrid w:val="0"/>
                    <w:jc w:val="center"/>
                    <w:rPr>
                      <w:color w:val="auto"/>
                      <w:szCs w:val="21"/>
                    </w:rPr>
                  </w:pPr>
                  <w:r>
                    <w:rPr>
                      <w:rFonts w:ascii="宋体" w:hAnsi="宋体"/>
                      <w:color w:val="auto"/>
                    </w:rPr>
                    <w:t>纬度</w:t>
                  </w:r>
                </w:p>
              </w:tc>
              <w:tc>
                <w:tcPr>
                  <w:tcW w:w="51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80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snapToGrid w:val="0"/>
                    <w:jc w:val="center"/>
                    <w:rPr>
                      <w:color w:val="auto"/>
                      <w:szCs w:val="21"/>
                    </w:rPr>
                  </w:pPr>
                  <w:r>
                    <w:rPr>
                      <w:rFonts w:ascii="宋体" w:hAnsi="宋体"/>
                      <w:color w:val="auto"/>
                    </w:rPr>
                    <w:t>高度</w:t>
                  </w:r>
                  <w:r>
                    <w:rPr>
                      <w:color w:val="auto"/>
                    </w:rPr>
                    <w:t>(m)</w:t>
                  </w:r>
                </w:p>
              </w:tc>
              <w:tc>
                <w:tcPr>
                  <w:tcW w:w="560"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snapToGrid w:val="0"/>
                    <w:jc w:val="center"/>
                    <w:rPr>
                      <w:color w:val="auto"/>
                      <w:szCs w:val="21"/>
                    </w:rPr>
                  </w:pPr>
                  <w:r>
                    <w:rPr>
                      <w:rFonts w:ascii="宋体" w:hAnsi="宋体"/>
                      <w:color w:val="auto"/>
                    </w:rPr>
                    <w:t>内径</w:t>
                  </w:r>
                </w:p>
                <w:p>
                  <w:pPr>
                    <w:shd w:val="clear" w:color="auto" w:fill="auto"/>
                    <w:snapToGrid w:val="0"/>
                    <w:jc w:val="center"/>
                    <w:rPr>
                      <w:color w:val="auto"/>
                      <w:szCs w:val="21"/>
                    </w:rPr>
                  </w:pPr>
                  <w:r>
                    <w:rPr>
                      <w:color w:val="auto"/>
                    </w:rPr>
                    <w:t>(m)</w:t>
                  </w:r>
                </w:p>
              </w:tc>
              <w:tc>
                <w:tcPr>
                  <w:tcW w:w="457"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snapToGrid w:val="0"/>
                    <w:jc w:val="center"/>
                    <w:rPr>
                      <w:color w:val="auto"/>
                      <w:szCs w:val="21"/>
                    </w:rPr>
                  </w:pPr>
                  <w:r>
                    <w:rPr>
                      <w:rFonts w:ascii="宋体" w:hAnsi="宋体"/>
                      <w:color w:val="auto"/>
                    </w:rPr>
                    <w:t>温度</w:t>
                  </w:r>
                  <w:r>
                    <w:rPr>
                      <w:color w:val="auto"/>
                    </w:rPr>
                    <w:t>(℃)</w:t>
                  </w:r>
                </w:p>
              </w:tc>
              <w:tc>
                <w:tcPr>
                  <w:tcW w:w="78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c>
                <w:tcPr>
                  <w:tcW w:w="87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49" w:hRule="atLeast"/>
                <w:jc w:val="center"/>
              </w:trPr>
              <w:tc>
                <w:tcPr>
                  <w:tcW w:w="832"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color w:val="auto"/>
                    </w:rPr>
                    <w:t>DA0</w:t>
                  </w:r>
                  <w:r>
                    <w:rPr>
                      <w:rFonts w:hint="eastAsia"/>
                      <w:color w:val="auto"/>
                    </w:rPr>
                    <w:t>01</w:t>
                  </w:r>
                </w:p>
              </w:tc>
              <w:tc>
                <w:tcPr>
                  <w:tcW w:w="1232"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highlight w:val="none"/>
                    </w:rPr>
                  </w:pPr>
                  <w:r>
                    <w:rPr>
                      <w:rFonts w:hint="eastAsia"/>
                      <w:color w:val="auto"/>
                      <w:szCs w:val="21"/>
                      <w:highlight w:val="none"/>
                    </w:rPr>
                    <w:t>119.262713</w:t>
                  </w:r>
                </w:p>
              </w:tc>
              <w:tc>
                <w:tcPr>
                  <w:tcW w:w="1017"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highlight w:val="none"/>
                    </w:rPr>
                  </w:pPr>
                  <w:r>
                    <w:rPr>
                      <w:rFonts w:hint="eastAsia"/>
                      <w:color w:val="auto"/>
                      <w:szCs w:val="21"/>
                      <w:highlight w:val="none"/>
                    </w:rPr>
                    <w:t>39.767589</w:t>
                  </w:r>
                </w:p>
              </w:tc>
              <w:tc>
                <w:tcPr>
                  <w:tcW w:w="514"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hint="eastAsia"/>
                      <w:color w:val="auto"/>
                    </w:rPr>
                    <w:t>70</w:t>
                  </w:r>
                </w:p>
              </w:tc>
              <w:tc>
                <w:tcPr>
                  <w:tcW w:w="804"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hint="eastAsia"/>
                      <w:color w:val="auto"/>
                      <w:lang w:val="en-US" w:eastAsia="zh-CN"/>
                    </w:rPr>
                    <w:t>1</w:t>
                  </w:r>
                  <w:r>
                    <w:rPr>
                      <w:rFonts w:hint="eastAsia"/>
                      <w:color w:val="auto"/>
                    </w:rPr>
                    <w:t>0</w:t>
                  </w:r>
                  <w:r>
                    <w:rPr>
                      <w:color w:val="auto"/>
                    </w:rPr>
                    <w:t>000</w:t>
                  </w:r>
                </w:p>
              </w:tc>
              <w:tc>
                <w:tcPr>
                  <w:tcW w:w="852"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color w:val="auto"/>
                    </w:rPr>
                    <w:t>15</w:t>
                  </w:r>
                </w:p>
              </w:tc>
              <w:tc>
                <w:tcPr>
                  <w:tcW w:w="560"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eastAsia="宋体"/>
                      <w:color w:val="auto"/>
                      <w:szCs w:val="21"/>
                      <w:lang w:val="en-US" w:eastAsia="zh-CN"/>
                    </w:rPr>
                  </w:pPr>
                  <w:r>
                    <w:rPr>
                      <w:rFonts w:hint="eastAsia"/>
                      <w:color w:val="auto"/>
                      <w:lang w:val="en-US" w:eastAsia="zh-CN"/>
                    </w:rPr>
                    <w:t>0.25</w:t>
                  </w:r>
                </w:p>
              </w:tc>
              <w:tc>
                <w:tcPr>
                  <w:tcW w:w="457"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color w:val="auto"/>
                    </w:rPr>
                    <w:t>2</w:t>
                  </w:r>
                  <w:r>
                    <w:rPr>
                      <w:rFonts w:hint="eastAsia"/>
                      <w:color w:val="auto"/>
                    </w:rPr>
                    <w:t>5</w:t>
                  </w:r>
                </w:p>
              </w:tc>
              <w:tc>
                <w:tcPr>
                  <w:tcW w:w="787"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eastAsia="宋体"/>
                      <w:color w:val="auto"/>
                      <w:szCs w:val="21"/>
                      <w:lang w:val="en-US" w:eastAsia="zh-CN"/>
                    </w:rPr>
                  </w:pPr>
                  <w:r>
                    <w:rPr>
                      <w:rFonts w:hint="eastAsia" w:ascii="宋体" w:hAnsi="宋体"/>
                      <w:color w:val="auto"/>
                      <w:lang w:val="en-US" w:eastAsia="zh-CN"/>
                    </w:rPr>
                    <w:t>非甲烷总烃</w:t>
                  </w:r>
                </w:p>
              </w:tc>
              <w:tc>
                <w:tcPr>
                  <w:tcW w:w="876"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一般排放口</w:t>
                  </w:r>
                </w:p>
              </w:tc>
            </w:tr>
          </w:tbl>
          <w:p>
            <w:pPr>
              <w:adjustRightInd w:val="0"/>
              <w:snapToGrid w:val="0"/>
              <w:spacing w:line="400" w:lineRule="exact"/>
              <w:ind w:firstLine="422" w:firstLineChars="200"/>
              <w:rPr>
                <w:rFonts w:hint="default"/>
                <w:b/>
                <w:szCs w:val="21"/>
                <w:lang w:val="en-US" w:eastAsia="zh-CN"/>
              </w:rPr>
            </w:pPr>
            <w:r>
              <w:rPr>
                <w:rFonts w:hint="eastAsia"/>
                <w:b/>
                <w:szCs w:val="21"/>
                <w:lang w:val="en-US" w:eastAsia="zh-CN"/>
              </w:rPr>
              <w:t>5、非正常工况排放情况</w:t>
            </w:r>
          </w:p>
          <w:p>
            <w:pPr>
              <w:adjustRightInd w:val="0"/>
              <w:snapToGrid w:val="0"/>
              <w:spacing w:line="400" w:lineRule="exact"/>
              <w:ind w:firstLine="420" w:firstLineChars="200"/>
              <w:rPr>
                <w:rFonts w:hint="eastAsia"/>
                <w:b w:val="0"/>
                <w:bCs/>
                <w:szCs w:val="21"/>
                <w:lang w:val="en-US" w:eastAsia="zh-CN"/>
              </w:rPr>
            </w:pPr>
            <w:r>
              <w:rPr>
                <w:rFonts w:hint="eastAsia"/>
                <w:b w:val="0"/>
                <w:bCs/>
                <w:szCs w:val="21"/>
                <w:lang w:val="en-US" w:eastAsia="zh-CN"/>
              </w:rPr>
              <w:t>针对企业生产过程中设备的运行及污染治理设施的运行情况，其可能存在的非正常情况主要为废气治理设备故障等情况。</w:t>
            </w:r>
          </w:p>
          <w:p>
            <w:pPr>
              <w:adjustRightInd w:val="0"/>
              <w:snapToGrid w:val="0"/>
              <w:spacing w:line="400" w:lineRule="exact"/>
              <w:ind w:firstLine="420" w:firstLineChars="200"/>
              <w:rPr>
                <w:rFonts w:hint="eastAsia"/>
                <w:b w:val="0"/>
                <w:bCs/>
                <w:szCs w:val="21"/>
                <w:lang w:val="en-US" w:eastAsia="zh-CN"/>
              </w:rPr>
            </w:pPr>
            <w:r>
              <w:rPr>
                <w:rFonts w:hint="eastAsia"/>
                <w:b w:val="0"/>
                <w:bCs/>
                <w:szCs w:val="21"/>
                <w:lang w:val="en-US" w:eastAsia="zh-CN"/>
              </w:rPr>
              <w:t>设备故障引起的废气非正常排放的控制措施：①及时检修设备，严格按操作规程操作，对于机电设备皆采用一开一备；②定期巡视、检修，一旦设备出现故障，立刻启动备用设备，有效避免事故发生。</w:t>
            </w:r>
          </w:p>
          <w:p>
            <w:pPr>
              <w:adjustRightInd w:val="0"/>
              <w:snapToGrid w:val="0"/>
              <w:spacing w:line="400" w:lineRule="exact"/>
              <w:ind w:firstLine="420" w:firstLineChars="200"/>
              <w:rPr>
                <w:rFonts w:hint="eastAsia" w:eastAsia="宋体"/>
                <w:b w:val="0"/>
                <w:bCs/>
                <w:szCs w:val="21"/>
                <w:lang w:val="en-US" w:eastAsia="zh-CN"/>
              </w:rPr>
            </w:pPr>
            <w:r>
              <w:rPr>
                <w:rFonts w:hint="eastAsia"/>
                <w:b w:val="0"/>
                <w:bCs/>
                <w:szCs w:val="21"/>
                <w:lang w:val="en-US" w:eastAsia="zh-CN"/>
              </w:rPr>
              <w:t>本项目可能发生的非正常情况主要是环保设备失效，废气污染物未经处理，直接外排。即使环保设备发生故障等情况，可随时停止生产进行检修，不会产生污染物的持续非正常排放。发生非正常排放响应时间（从故障/检修开始到停止生产）约为0.25 h，本项目非正常排放量核算见下表。</w:t>
            </w:r>
          </w:p>
          <w:p>
            <w:pPr>
              <w:shd w:val="clear" w:color="auto" w:fill="auto"/>
              <w:adjustRightInd w:val="0"/>
              <w:snapToGrid w:val="0"/>
              <w:ind w:firstLine="211" w:firstLineChars="100"/>
              <w:jc w:val="center"/>
              <w:rPr>
                <w:rFonts w:hint="eastAsia" w:ascii="宋体" w:hAnsi="宋体"/>
                <w:color w:val="auto"/>
              </w:rPr>
            </w:pPr>
            <w:r>
              <w:rPr>
                <w:rFonts w:hint="eastAsia" w:ascii="宋体" w:hAnsi="宋体"/>
                <w:b/>
                <w:bCs/>
                <w:color w:val="auto"/>
                <w:kern w:val="0"/>
              </w:rPr>
              <w:t xml:space="preserve">表 </w:t>
            </w:r>
            <w:r>
              <w:rPr>
                <w:rFonts w:hint="eastAsia"/>
                <w:b/>
                <w:bCs/>
                <w:color w:val="auto"/>
                <w:kern w:val="0"/>
              </w:rPr>
              <w:t>4-</w:t>
            </w:r>
            <w:r>
              <w:rPr>
                <w:rFonts w:hint="eastAsia"/>
                <w:b/>
                <w:bCs/>
                <w:color w:val="auto"/>
                <w:kern w:val="0"/>
                <w:lang w:val="en-US" w:eastAsia="zh-CN"/>
              </w:rPr>
              <w:t>7</w:t>
            </w:r>
            <w:r>
              <w:rPr>
                <w:b/>
                <w:bCs/>
                <w:color w:val="auto"/>
                <w:kern w:val="0"/>
              </w:rPr>
              <w:t xml:space="preserve">  </w:t>
            </w:r>
            <w:r>
              <w:rPr>
                <w:rFonts w:hint="eastAsia" w:ascii="宋体" w:hAnsi="宋体"/>
                <w:b/>
                <w:bCs/>
                <w:color w:val="auto"/>
                <w:kern w:val="0"/>
              </w:rPr>
              <w:t>废气非正常情况排放量核算表</w:t>
            </w:r>
          </w:p>
          <w:tbl>
            <w:tblPr>
              <w:tblStyle w:val="90"/>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0"/>
              <w:gridCol w:w="1128"/>
              <w:gridCol w:w="942"/>
              <w:gridCol w:w="984"/>
              <w:gridCol w:w="1043"/>
              <w:gridCol w:w="944"/>
              <w:gridCol w:w="979"/>
              <w:gridCol w:w="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trPr>
              <w:tc>
                <w:tcPr>
                  <w:tcW w:w="1088"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宋体" w:hAnsi="宋体"/>
                      <w:color w:val="auto"/>
                      <w:szCs w:val="21"/>
                    </w:rPr>
                  </w:pPr>
                  <w:r>
                    <w:rPr>
                      <w:rFonts w:hint="eastAsia" w:ascii="宋体" w:hAnsi="宋体"/>
                      <w:color w:val="auto"/>
                    </w:rPr>
                    <w:t>污染源</w:t>
                  </w:r>
                </w:p>
              </w:tc>
              <w:tc>
                <w:tcPr>
                  <w:tcW w:w="1156"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宋体" w:hAnsi="宋体"/>
                      <w:color w:val="auto"/>
                      <w:szCs w:val="21"/>
                    </w:rPr>
                  </w:pPr>
                  <w:r>
                    <w:rPr>
                      <w:rFonts w:hint="eastAsia" w:ascii="宋体" w:hAnsi="宋体"/>
                      <w:color w:val="auto"/>
                    </w:rPr>
                    <w:t>排放</w:t>
                  </w:r>
                </w:p>
                <w:p>
                  <w:pPr>
                    <w:shd w:val="clear" w:color="auto" w:fill="auto"/>
                    <w:jc w:val="center"/>
                    <w:rPr>
                      <w:rFonts w:ascii="宋体" w:hAnsi="宋体"/>
                      <w:color w:val="auto"/>
                      <w:szCs w:val="21"/>
                    </w:rPr>
                  </w:pPr>
                  <w:r>
                    <w:rPr>
                      <w:rFonts w:hint="eastAsia" w:ascii="宋体" w:hAnsi="宋体"/>
                      <w:color w:val="auto"/>
                    </w:rPr>
                    <w:t>原因</w:t>
                  </w:r>
                </w:p>
              </w:tc>
              <w:tc>
                <w:tcPr>
                  <w:tcW w:w="967"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宋体" w:hAnsi="宋体"/>
                      <w:color w:val="auto"/>
                      <w:szCs w:val="21"/>
                    </w:rPr>
                  </w:pPr>
                  <w:r>
                    <w:rPr>
                      <w:rFonts w:hint="eastAsia" w:ascii="宋体" w:hAnsi="宋体"/>
                      <w:color w:val="auto"/>
                    </w:rPr>
                    <w:t>污染物</w:t>
                  </w:r>
                </w:p>
              </w:tc>
              <w:tc>
                <w:tcPr>
                  <w:tcW w:w="1010"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排放速率（</w:t>
                  </w:r>
                  <w:r>
                    <w:rPr>
                      <w:color w:val="auto"/>
                    </w:rPr>
                    <w:t>kg/h</w:t>
                  </w:r>
                  <w:r>
                    <w:rPr>
                      <w:rFonts w:ascii="宋体" w:hAnsi="宋体"/>
                      <w:color w:val="auto"/>
                    </w:rPr>
                    <w:t>）</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单次持续时间（</w:t>
                  </w:r>
                  <w:r>
                    <w:rPr>
                      <w:color w:val="auto"/>
                    </w:rPr>
                    <w:t>h</w:t>
                  </w:r>
                  <w:r>
                    <w:rPr>
                      <w:rFonts w:ascii="宋体" w:hAnsi="宋体"/>
                      <w:color w:val="auto"/>
                    </w:rPr>
                    <w:t>）</w:t>
                  </w:r>
                </w:p>
              </w:tc>
              <w:tc>
                <w:tcPr>
                  <w:tcW w:w="969"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排放量（</w:t>
                  </w:r>
                  <w:r>
                    <w:rPr>
                      <w:color w:val="auto"/>
                    </w:rPr>
                    <w:t>kg</w:t>
                  </w:r>
                  <w:r>
                    <w:rPr>
                      <w:rFonts w:ascii="宋体" w:hAnsi="宋体"/>
                      <w:color w:val="auto"/>
                    </w:rPr>
                    <w:t>）</w:t>
                  </w:r>
                </w:p>
              </w:tc>
              <w:tc>
                <w:tcPr>
                  <w:tcW w:w="1004"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年发生频次（次）</w:t>
                  </w:r>
                </w:p>
              </w:tc>
              <w:tc>
                <w:tcPr>
                  <w:tcW w:w="870"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宋体" w:hAnsi="宋体"/>
                      <w:color w:val="auto"/>
                      <w:szCs w:val="21"/>
                    </w:rPr>
                  </w:pPr>
                  <w:r>
                    <w:rPr>
                      <w:rFonts w:hint="eastAsia" w:ascii="宋体" w:hAnsi="宋体"/>
                      <w:color w:val="auto"/>
                    </w:rPr>
                    <w:t>应对措施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8"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hint="eastAsia" w:ascii="宋体" w:hAnsi="宋体"/>
                      <w:bCs/>
                      <w:color w:val="auto"/>
                      <w:lang w:val="en-US" w:eastAsia="zh-CN"/>
                    </w:rPr>
                    <w:t>废气</w:t>
                  </w:r>
                  <w:r>
                    <w:rPr>
                      <w:rFonts w:ascii="宋体" w:hAnsi="宋体"/>
                      <w:bCs/>
                      <w:color w:val="auto"/>
                    </w:rPr>
                    <w:t>处理设施</w:t>
                  </w:r>
                </w:p>
              </w:tc>
              <w:tc>
                <w:tcPr>
                  <w:tcW w:w="1156"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环保设备发生故障</w:t>
                  </w:r>
                </w:p>
              </w:tc>
              <w:tc>
                <w:tcPr>
                  <w:tcW w:w="967"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eastAsia="宋体"/>
                      <w:color w:val="auto"/>
                      <w:szCs w:val="21"/>
                      <w:lang w:val="en-US" w:eastAsia="zh-CN"/>
                    </w:rPr>
                  </w:pPr>
                  <w:r>
                    <w:rPr>
                      <w:rFonts w:hint="eastAsia"/>
                      <w:color w:val="auto"/>
                      <w:szCs w:val="21"/>
                      <w:lang w:val="en-US" w:eastAsia="zh-CN"/>
                    </w:rPr>
                    <w:t>非甲烷总烃</w:t>
                  </w:r>
                </w:p>
              </w:tc>
              <w:tc>
                <w:tcPr>
                  <w:tcW w:w="1010"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eastAsia="宋体"/>
                      <w:color w:val="auto"/>
                      <w:szCs w:val="21"/>
                      <w:lang w:val="en-US" w:eastAsia="zh-CN"/>
                    </w:rPr>
                  </w:pPr>
                  <w:r>
                    <w:rPr>
                      <w:rFonts w:hint="eastAsia"/>
                      <w:color w:val="auto"/>
                      <w:lang w:val="en-US" w:eastAsia="zh-CN"/>
                    </w:rPr>
                    <w:t>0.469</w:t>
                  </w:r>
                </w:p>
              </w:tc>
              <w:tc>
                <w:tcPr>
                  <w:tcW w:w="1071"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color w:val="auto"/>
                    </w:rPr>
                    <w:t>0.25</w:t>
                  </w:r>
                </w:p>
              </w:tc>
              <w:tc>
                <w:tcPr>
                  <w:tcW w:w="969"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eastAsia="宋体"/>
                      <w:color w:val="auto"/>
                      <w:szCs w:val="21"/>
                      <w:lang w:val="en-US" w:eastAsia="zh-CN"/>
                    </w:rPr>
                  </w:pPr>
                  <w:r>
                    <w:rPr>
                      <w:rFonts w:hint="eastAsia" w:eastAsia="宋体"/>
                      <w:color w:val="auto"/>
                      <w:lang w:val="en-US" w:eastAsia="zh-CN"/>
                    </w:rPr>
                    <w:t>0.117</w:t>
                  </w:r>
                </w:p>
              </w:tc>
              <w:tc>
                <w:tcPr>
                  <w:tcW w:w="1004"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color w:val="auto"/>
                    </w:rPr>
                    <w:t>1</w:t>
                  </w:r>
                </w:p>
              </w:tc>
              <w:tc>
                <w:tcPr>
                  <w:tcW w:w="870"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color w:val="auto"/>
                      <w:szCs w:val="21"/>
                    </w:rPr>
                  </w:pPr>
                  <w:r>
                    <w:rPr>
                      <w:rFonts w:ascii="宋体" w:hAnsi="宋体"/>
                      <w:color w:val="auto"/>
                    </w:rPr>
                    <w:t>立刻停止生产</w:t>
                  </w:r>
                </w:p>
              </w:tc>
            </w:tr>
          </w:tbl>
          <w:p>
            <w:pPr>
              <w:adjustRightInd w:val="0"/>
              <w:snapToGrid w:val="0"/>
              <w:spacing w:line="400" w:lineRule="exact"/>
              <w:ind w:firstLine="422" w:firstLineChars="200"/>
              <w:rPr>
                <w:b/>
                <w:szCs w:val="21"/>
              </w:rPr>
            </w:pPr>
            <w:r>
              <w:rPr>
                <w:rFonts w:hint="eastAsia"/>
                <w:b/>
                <w:szCs w:val="21"/>
                <w:lang w:val="en-US" w:eastAsia="zh-CN"/>
              </w:rPr>
              <w:t>6</w:t>
            </w:r>
            <w:r>
              <w:rPr>
                <w:rFonts w:hint="eastAsia"/>
                <w:b/>
                <w:szCs w:val="21"/>
                <w:lang w:eastAsia="zh-CN"/>
              </w:rPr>
              <w:t>、</w:t>
            </w:r>
            <w:r>
              <w:rPr>
                <w:rFonts w:hint="eastAsia"/>
                <w:b/>
                <w:szCs w:val="21"/>
              </w:rPr>
              <w:t>监测要求</w:t>
            </w:r>
          </w:p>
          <w:p>
            <w:pPr>
              <w:adjustRightInd w:val="0"/>
              <w:snapToGrid w:val="0"/>
              <w:spacing w:line="400" w:lineRule="exact"/>
              <w:ind w:firstLine="420" w:firstLineChars="200"/>
              <w:rPr>
                <w:bCs/>
                <w:szCs w:val="21"/>
              </w:rPr>
            </w:pPr>
            <w:r>
              <w:rPr>
                <w:rFonts w:hint="eastAsia"/>
                <w:bCs/>
                <w:szCs w:val="21"/>
              </w:rPr>
              <w:t>根据《排污单位自行监测技术指南 总则》（HJ819-2017）、《排污许可证申请与核发技术规范 橡胶和塑料制品工业》（HJ 1122</w:t>
            </w:r>
            <w:r>
              <w:rPr>
                <w:rFonts w:hint="eastAsia"/>
                <w:bCs/>
                <w:szCs w:val="21"/>
                <w:lang w:val="en-US" w:eastAsia="zh-CN"/>
              </w:rPr>
              <w:t>-</w:t>
            </w:r>
            <w:r>
              <w:rPr>
                <w:rFonts w:hint="eastAsia"/>
                <w:bCs/>
                <w:szCs w:val="21"/>
              </w:rPr>
              <w:t>2020）、《排污单位自行监测技术指南 橡胶和塑料制品》（HJ1207-2021）中相关规定，本项目自行监测计划如下：</w:t>
            </w:r>
          </w:p>
          <w:bookmarkEnd w:id="26"/>
          <w:p>
            <w:pPr>
              <w:shd w:val="clear" w:color="auto" w:fill="auto"/>
              <w:adjustRightInd w:val="0"/>
              <w:snapToGrid w:val="0"/>
              <w:ind w:firstLine="211" w:firstLineChars="100"/>
              <w:jc w:val="center"/>
              <w:rPr>
                <w:rFonts w:hint="eastAsia" w:ascii="宋体" w:hAnsi="宋体" w:eastAsia="宋体" w:cs="Times New Roman"/>
                <w:b/>
                <w:bCs/>
                <w:color w:val="auto"/>
                <w:kern w:val="0"/>
              </w:rPr>
            </w:pPr>
            <w:r>
              <w:rPr>
                <w:rFonts w:hint="default" w:ascii="Times New Roman" w:hAnsi="Times New Roman" w:cs="Times New Roman"/>
                <w:b/>
                <w:bCs/>
                <w:color w:val="auto"/>
                <w:kern w:val="0"/>
              </w:rPr>
              <w:t>表4-</w:t>
            </w:r>
            <w:r>
              <w:rPr>
                <w:rFonts w:hint="default" w:ascii="Times New Roman" w:hAnsi="Times New Roman" w:cs="Times New Roman"/>
                <w:b/>
                <w:bCs/>
                <w:color w:val="auto"/>
                <w:kern w:val="0"/>
                <w:lang w:val="en-US" w:eastAsia="zh-CN"/>
              </w:rPr>
              <w:t>8</w:t>
            </w:r>
            <w:r>
              <w:rPr>
                <w:rFonts w:hint="default" w:ascii="Times New Roman" w:hAnsi="Times New Roman" w:cs="Times New Roman"/>
                <w:b/>
                <w:bCs/>
                <w:color w:val="auto"/>
                <w:kern w:val="0"/>
              </w:rPr>
              <w:t xml:space="preserve">  </w:t>
            </w:r>
            <w:r>
              <w:rPr>
                <w:rFonts w:hint="eastAsia" w:ascii="宋体" w:hAnsi="宋体" w:eastAsia="宋体" w:cs="Times New Roman"/>
                <w:b/>
                <w:bCs/>
                <w:color w:val="auto"/>
                <w:kern w:val="0"/>
              </w:rPr>
              <w:t xml:space="preserve"> 监测计划一览表</w:t>
            </w:r>
          </w:p>
          <w:tbl>
            <w:tblPr>
              <w:tblStyle w:val="9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49"/>
              <w:gridCol w:w="622"/>
              <w:gridCol w:w="902"/>
              <w:gridCol w:w="1305"/>
              <w:gridCol w:w="1100"/>
              <w:gridCol w:w="1019"/>
              <w:gridCol w:w="1427"/>
              <w:gridCol w:w="10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38" w:type="pct"/>
                  <w:gridSpan w:val="2"/>
                  <w:noWrap w:val="0"/>
                  <w:vAlign w:val="center"/>
                </w:tcPr>
                <w:p>
                  <w:pPr>
                    <w:widowControl/>
                    <w:spacing w:line="0" w:lineRule="atLeast"/>
                    <w:jc w:val="center"/>
                    <w:rPr>
                      <w:rFonts w:hint="eastAsia" w:ascii="Times New Roman" w:hAnsi="Times New Roman" w:cs="Times New Roman"/>
                      <w:b/>
                      <w:bCs/>
                      <w:color w:val="auto"/>
                    </w:rPr>
                  </w:pPr>
                  <w:r>
                    <w:rPr>
                      <w:rFonts w:hint="eastAsia" w:ascii="Times New Roman" w:hAnsi="Times New Roman" w:cs="Times New Roman"/>
                      <w:b/>
                      <w:bCs/>
                      <w:color w:val="auto"/>
                    </w:rPr>
                    <w:t>项目</w:t>
                  </w:r>
                </w:p>
              </w:tc>
              <w:tc>
                <w:tcPr>
                  <w:tcW w:w="1391" w:type="pct"/>
                  <w:gridSpan w:val="2"/>
                  <w:noWrap w:val="0"/>
                  <w:vAlign w:val="center"/>
                </w:tcPr>
                <w:p>
                  <w:pPr>
                    <w:widowControl/>
                    <w:spacing w:line="0" w:lineRule="atLeast"/>
                    <w:jc w:val="center"/>
                    <w:rPr>
                      <w:rFonts w:hint="eastAsia" w:ascii="Times New Roman" w:hAnsi="Times New Roman" w:cs="Times New Roman"/>
                      <w:b/>
                      <w:bCs/>
                      <w:color w:val="auto"/>
                    </w:rPr>
                  </w:pPr>
                  <w:r>
                    <w:rPr>
                      <w:rFonts w:hint="eastAsia" w:ascii="Times New Roman" w:hAnsi="Times New Roman" w:cs="Times New Roman"/>
                      <w:b/>
                      <w:bCs/>
                      <w:color w:val="auto"/>
                    </w:rPr>
                    <w:t>监测因子</w:t>
                  </w:r>
                </w:p>
              </w:tc>
              <w:tc>
                <w:tcPr>
                  <w:tcW w:w="693" w:type="pct"/>
                  <w:noWrap w:val="0"/>
                  <w:vAlign w:val="center"/>
                </w:tcPr>
                <w:p>
                  <w:pPr>
                    <w:widowControl/>
                    <w:spacing w:line="0" w:lineRule="atLeast"/>
                    <w:jc w:val="center"/>
                    <w:rPr>
                      <w:rFonts w:hint="eastAsia" w:ascii="Times New Roman" w:hAnsi="Times New Roman" w:cs="Times New Roman"/>
                      <w:b/>
                      <w:bCs/>
                      <w:color w:val="auto"/>
                    </w:rPr>
                  </w:pPr>
                  <w:r>
                    <w:rPr>
                      <w:rFonts w:hint="eastAsia" w:ascii="Times New Roman" w:hAnsi="Times New Roman" w:cs="Times New Roman"/>
                      <w:b/>
                      <w:bCs/>
                      <w:color w:val="auto"/>
                    </w:rPr>
                    <w:t>取样位置</w:t>
                  </w:r>
                </w:p>
              </w:tc>
              <w:tc>
                <w:tcPr>
                  <w:tcW w:w="642" w:type="pct"/>
                  <w:noWrap w:val="0"/>
                  <w:vAlign w:val="center"/>
                </w:tcPr>
                <w:p>
                  <w:pPr>
                    <w:widowControl/>
                    <w:spacing w:line="0" w:lineRule="atLeast"/>
                    <w:jc w:val="center"/>
                    <w:rPr>
                      <w:rFonts w:hint="eastAsia" w:ascii="Times New Roman" w:hAnsi="Times New Roman" w:cs="Times New Roman"/>
                      <w:b/>
                      <w:bCs/>
                      <w:color w:val="auto"/>
                    </w:rPr>
                  </w:pPr>
                  <w:r>
                    <w:rPr>
                      <w:rFonts w:hint="eastAsia" w:ascii="Times New Roman" w:hAnsi="Times New Roman" w:cs="Times New Roman"/>
                      <w:b/>
                      <w:bCs/>
                      <w:color w:val="auto"/>
                    </w:rPr>
                    <w:t>最低监测频次</w:t>
                  </w:r>
                </w:p>
              </w:tc>
              <w:tc>
                <w:tcPr>
                  <w:tcW w:w="899" w:type="pct"/>
                  <w:noWrap w:val="0"/>
                  <w:vAlign w:val="center"/>
                </w:tcPr>
                <w:p>
                  <w:pPr>
                    <w:widowControl/>
                    <w:spacing w:line="0" w:lineRule="atLeast"/>
                    <w:jc w:val="center"/>
                    <w:rPr>
                      <w:rFonts w:hint="eastAsia" w:ascii="Times New Roman" w:hAnsi="Times New Roman" w:cs="Times New Roman"/>
                      <w:b/>
                      <w:bCs/>
                      <w:color w:val="auto"/>
                    </w:rPr>
                  </w:pPr>
                  <w:r>
                    <w:rPr>
                      <w:rFonts w:hint="eastAsia" w:ascii="Times New Roman" w:hAnsi="Times New Roman" w:cs="Times New Roman"/>
                      <w:b/>
                      <w:bCs/>
                      <w:color w:val="auto"/>
                    </w:rPr>
                    <w:t>排放口类型</w:t>
                  </w:r>
                </w:p>
              </w:tc>
              <w:tc>
                <w:tcPr>
                  <w:tcW w:w="635" w:type="pct"/>
                  <w:noWrap w:val="0"/>
                  <w:vAlign w:val="center"/>
                </w:tcPr>
                <w:p>
                  <w:pPr>
                    <w:widowControl/>
                    <w:spacing w:line="0" w:lineRule="atLeast"/>
                    <w:jc w:val="center"/>
                    <w:rPr>
                      <w:rFonts w:hint="eastAsia" w:ascii="Times New Roman" w:hAnsi="Times New Roman" w:cs="Times New Roman"/>
                      <w:b/>
                      <w:bCs/>
                      <w:color w:val="auto"/>
                    </w:rPr>
                  </w:pPr>
                  <w:r>
                    <w:rPr>
                      <w:rFonts w:hint="eastAsia" w:ascii="Times New Roman" w:hAnsi="Times New Roman" w:cs="Times New Roman"/>
                      <w:b/>
                      <w:bCs/>
                      <w:color w:val="auto"/>
                    </w:rPr>
                    <w:t>监测设施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2" w:hRule="atLeast"/>
                <w:jc w:val="center"/>
              </w:trPr>
              <w:tc>
                <w:tcPr>
                  <w:tcW w:w="346" w:type="pct"/>
                  <w:vMerge w:val="restart"/>
                  <w:noWrap w:val="0"/>
                  <w:vAlign w:val="center"/>
                </w:tcPr>
                <w:p>
                  <w:pPr>
                    <w:spacing w:line="300" w:lineRule="exact"/>
                    <w:jc w:val="center"/>
                    <w:rPr>
                      <w:rFonts w:hint="eastAsia" w:ascii="Times New Roman" w:hAnsi="Times New Roman"/>
                      <w:color w:val="auto"/>
                      <w:szCs w:val="21"/>
                    </w:rPr>
                  </w:pPr>
                  <w:r>
                    <w:rPr>
                      <w:rFonts w:hint="eastAsia" w:ascii="Times New Roman" w:hAnsi="Times New Roman"/>
                      <w:color w:val="auto"/>
                      <w:szCs w:val="21"/>
                    </w:rPr>
                    <w:t>废气</w:t>
                  </w:r>
                </w:p>
              </w:tc>
              <w:tc>
                <w:tcPr>
                  <w:tcW w:w="392" w:type="pct"/>
                  <w:noWrap w:val="0"/>
                  <w:vAlign w:val="center"/>
                </w:tcPr>
                <w:p>
                  <w:pPr>
                    <w:spacing w:line="300" w:lineRule="exact"/>
                    <w:jc w:val="center"/>
                    <w:rPr>
                      <w:rFonts w:hint="eastAsia" w:ascii="Times New Roman" w:hAnsi="Times New Roman"/>
                      <w:color w:val="auto"/>
                      <w:szCs w:val="21"/>
                    </w:rPr>
                  </w:pPr>
                  <w:r>
                    <w:rPr>
                      <w:rFonts w:hint="eastAsia" w:ascii="Times New Roman" w:hAnsi="Times New Roman"/>
                      <w:color w:val="auto"/>
                      <w:szCs w:val="21"/>
                    </w:rPr>
                    <w:t>有组织</w:t>
                  </w:r>
                </w:p>
              </w:tc>
              <w:tc>
                <w:tcPr>
                  <w:tcW w:w="1391" w:type="pct"/>
                  <w:gridSpan w:val="2"/>
                  <w:noWrap w:val="0"/>
                  <w:vAlign w:val="center"/>
                </w:tcPr>
                <w:p>
                  <w:pPr>
                    <w:adjustRightInd w:val="0"/>
                    <w:spacing w:line="0" w:lineRule="atLeast"/>
                    <w:jc w:val="center"/>
                    <w:textAlignment w:val="baseline"/>
                    <w:rPr>
                      <w:rFonts w:ascii="Times New Roman" w:hAnsi="Times New Roman"/>
                      <w:color w:val="auto"/>
                      <w:szCs w:val="21"/>
                      <w:lang w:bidi="ar"/>
                    </w:rPr>
                  </w:pPr>
                  <w:r>
                    <w:rPr>
                      <w:rFonts w:ascii="Times New Roman" w:hAnsi="Times New Roman"/>
                      <w:color w:val="auto"/>
                      <w:szCs w:val="21"/>
                      <w:lang w:bidi="ar"/>
                    </w:rPr>
                    <w:t>非甲烷总烃</w:t>
                  </w:r>
                </w:p>
              </w:tc>
              <w:tc>
                <w:tcPr>
                  <w:tcW w:w="693" w:type="pct"/>
                  <w:noWrap w:val="0"/>
                  <w:vAlign w:val="center"/>
                </w:tcPr>
                <w:p>
                  <w:pPr>
                    <w:spacing w:line="300" w:lineRule="exact"/>
                    <w:jc w:val="center"/>
                    <w:rPr>
                      <w:rFonts w:hint="eastAsia" w:ascii="Times New Roman" w:hAnsi="Times New Roman"/>
                      <w:color w:val="auto"/>
                      <w:szCs w:val="21"/>
                    </w:rPr>
                  </w:pPr>
                  <w:r>
                    <w:rPr>
                      <w:rFonts w:hint="eastAsia" w:ascii="Times New Roman" w:hAnsi="Times New Roman" w:cs="Times New Roman"/>
                      <w:color w:val="auto"/>
                      <w:szCs w:val="21"/>
                    </w:rPr>
                    <w:t>排气筒</w:t>
                  </w:r>
                  <w:r>
                    <w:rPr>
                      <w:rFonts w:hint="eastAsia" w:ascii="Times New Roman" w:hAnsi="Times New Roman"/>
                      <w:color w:val="auto"/>
                      <w:szCs w:val="21"/>
                    </w:rPr>
                    <w:t>DA001出口</w:t>
                  </w:r>
                </w:p>
              </w:tc>
              <w:tc>
                <w:tcPr>
                  <w:tcW w:w="642" w:type="pct"/>
                  <w:noWrap w:val="0"/>
                  <w:vAlign w:val="center"/>
                </w:tcPr>
                <w:p>
                  <w:pPr>
                    <w:spacing w:line="300" w:lineRule="exact"/>
                    <w:jc w:val="center"/>
                    <w:rPr>
                      <w:rFonts w:hint="eastAsia" w:ascii="Times New Roman" w:hAnsi="Times New Roman"/>
                      <w:color w:val="auto"/>
                      <w:szCs w:val="21"/>
                    </w:rPr>
                  </w:pPr>
                  <w:r>
                    <w:rPr>
                      <w:color w:val="auto"/>
                      <w:spacing w:val="0"/>
                    </w:rPr>
                    <w:t>1次/</w:t>
                  </w:r>
                  <w:r>
                    <w:rPr>
                      <w:rFonts w:hint="eastAsia"/>
                      <w:color w:val="auto"/>
                      <w:spacing w:val="0"/>
                    </w:rPr>
                    <w:t>半年</w:t>
                  </w:r>
                </w:p>
              </w:tc>
              <w:tc>
                <w:tcPr>
                  <w:tcW w:w="899" w:type="pct"/>
                  <w:noWrap w:val="0"/>
                  <w:vAlign w:val="center"/>
                </w:tcPr>
                <w:p>
                  <w:pPr>
                    <w:spacing w:line="300" w:lineRule="exact"/>
                    <w:jc w:val="center"/>
                    <w:rPr>
                      <w:rFonts w:hint="eastAsia" w:ascii="Times New Roman" w:hAnsi="Times New Roman" w:cs="Times New Roman"/>
                      <w:bCs/>
                      <w:color w:val="auto"/>
                    </w:rPr>
                  </w:pPr>
                  <w:r>
                    <w:rPr>
                      <w:rFonts w:hint="eastAsia" w:ascii="Times New Roman" w:hAnsi="Times New Roman" w:cs="Times New Roman"/>
                      <w:bCs/>
                      <w:color w:val="auto"/>
                    </w:rPr>
                    <w:t>一般排放口</w:t>
                  </w:r>
                </w:p>
              </w:tc>
              <w:tc>
                <w:tcPr>
                  <w:tcW w:w="635" w:type="pct"/>
                  <w:noWrap w:val="0"/>
                  <w:vAlign w:val="center"/>
                </w:tcPr>
                <w:p>
                  <w:pPr>
                    <w:spacing w:line="300" w:lineRule="exact"/>
                    <w:jc w:val="center"/>
                    <w:rPr>
                      <w:rFonts w:hint="eastAsia" w:ascii="Times New Roman" w:hAnsi="Times New Roman"/>
                      <w:color w:val="auto"/>
                      <w:szCs w:val="21"/>
                    </w:rPr>
                  </w:pPr>
                  <w:r>
                    <w:rPr>
                      <w:rFonts w:hint="eastAsia" w:ascii="Times New Roman" w:hAnsi="Times New Roman"/>
                      <w:color w:val="auto"/>
                      <w:szCs w:val="21"/>
                    </w:rPr>
                    <w:t>手动监测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0" w:hRule="atLeast"/>
                <w:jc w:val="center"/>
              </w:trPr>
              <w:tc>
                <w:tcPr>
                  <w:tcW w:w="346" w:type="pct"/>
                  <w:vMerge w:val="continue"/>
                  <w:noWrap w:val="0"/>
                  <w:vAlign w:val="center"/>
                </w:tcPr>
                <w:p>
                  <w:pPr>
                    <w:spacing w:line="300" w:lineRule="exact"/>
                    <w:jc w:val="center"/>
                    <w:rPr>
                      <w:rFonts w:hint="eastAsia" w:ascii="Times New Roman" w:hAnsi="Times New Roman"/>
                      <w:color w:val="auto"/>
                      <w:szCs w:val="21"/>
                    </w:rPr>
                  </w:pPr>
                </w:p>
              </w:tc>
              <w:tc>
                <w:tcPr>
                  <w:tcW w:w="392" w:type="pct"/>
                  <w:vMerge w:val="restart"/>
                  <w:noWrap w:val="0"/>
                  <w:vAlign w:val="center"/>
                </w:tcPr>
                <w:p>
                  <w:pPr>
                    <w:spacing w:line="300" w:lineRule="exact"/>
                    <w:jc w:val="center"/>
                    <w:rPr>
                      <w:rFonts w:hint="eastAsia" w:ascii="Times New Roman" w:hAnsi="Times New Roman"/>
                      <w:color w:val="auto"/>
                      <w:szCs w:val="21"/>
                    </w:rPr>
                  </w:pPr>
                  <w:r>
                    <w:rPr>
                      <w:rFonts w:hint="eastAsia" w:ascii="Times New Roman" w:hAnsi="Times New Roman"/>
                      <w:color w:val="auto"/>
                      <w:szCs w:val="21"/>
                    </w:rPr>
                    <w:t>无组织</w:t>
                  </w:r>
                </w:p>
              </w:tc>
              <w:tc>
                <w:tcPr>
                  <w:tcW w:w="1391" w:type="pct"/>
                  <w:gridSpan w:val="2"/>
                  <w:noWrap w:val="0"/>
                  <w:vAlign w:val="center"/>
                </w:tcPr>
                <w:p>
                  <w:pPr>
                    <w:adjustRightInd w:val="0"/>
                    <w:spacing w:line="0" w:lineRule="atLeast"/>
                    <w:jc w:val="center"/>
                    <w:textAlignment w:val="baseline"/>
                    <w:rPr>
                      <w:rFonts w:hint="eastAsia" w:ascii="Times New Roman" w:hAnsi="Times New Roman"/>
                      <w:color w:val="auto"/>
                      <w:szCs w:val="21"/>
                    </w:rPr>
                  </w:pPr>
                  <w:r>
                    <w:rPr>
                      <w:rFonts w:ascii="Times New Roman" w:hAnsi="Times New Roman"/>
                      <w:color w:val="auto"/>
                      <w:szCs w:val="21"/>
                      <w:lang w:bidi="ar"/>
                    </w:rPr>
                    <w:t>非甲烷总烃</w:t>
                  </w:r>
                </w:p>
              </w:tc>
              <w:tc>
                <w:tcPr>
                  <w:tcW w:w="693" w:type="pct"/>
                  <w:noWrap w:val="0"/>
                  <w:vAlign w:val="center"/>
                </w:tcPr>
                <w:p>
                  <w:pPr>
                    <w:spacing w:line="300" w:lineRule="exact"/>
                    <w:jc w:val="center"/>
                    <w:rPr>
                      <w:rFonts w:hint="eastAsia" w:ascii="Times New Roman" w:hAnsi="Times New Roman"/>
                      <w:color w:val="auto"/>
                      <w:szCs w:val="21"/>
                    </w:rPr>
                  </w:pPr>
                  <w:r>
                    <w:rPr>
                      <w:rFonts w:hint="eastAsia" w:ascii="Times New Roman" w:hAnsi="Times New Roman"/>
                      <w:color w:val="auto"/>
                      <w:szCs w:val="21"/>
                    </w:rPr>
                    <w:t>厂界</w:t>
                  </w:r>
                </w:p>
              </w:tc>
              <w:tc>
                <w:tcPr>
                  <w:tcW w:w="642" w:type="pct"/>
                  <w:noWrap w:val="0"/>
                  <w:vAlign w:val="center"/>
                </w:tcPr>
                <w:p>
                  <w:pPr>
                    <w:spacing w:line="300" w:lineRule="exact"/>
                    <w:jc w:val="center"/>
                    <w:rPr>
                      <w:rFonts w:hint="eastAsia" w:ascii="Times New Roman" w:hAnsi="Times New Roman"/>
                      <w:color w:val="auto"/>
                      <w:szCs w:val="21"/>
                    </w:rPr>
                  </w:pPr>
                  <w:r>
                    <w:rPr>
                      <w:rFonts w:hint="eastAsia" w:ascii="Times New Roman" w:hAnsi="Times New Roman"/>
                      <w:color w:val="auto"/>
                      <w:szCs w:val="21"/>
                    </w:rPr>
                    <w:t>1次/年</w:t>
                  </w:r>
                </w:p>
              </w:tc>
              <w:tc>
                <w:tcPr>
                  <w:tcW w:w="899" w:type="pct"/>
                  <w:noWrap w:val="0"/>
                  <w:vAlign w:val="center"/>
                </w:tcPr>
                <w:p>
                  <w:pPr>
                    <w:spacing w:line="300" w:lineRule="exact"/>
                    <w:jc w:val="center"/>
                    <w:rPr>
                      <w:rFonts w:hint="eastAsia" w:ascii="Times New Roman" w:hAnsi="Times New Roman" w:cs="宋体"/>
                      <w:color w:val="auto"/>
                      <w:kern w:val="0"/>
                      <w:szCs w:val="21"/>
                    </w:rPr>
                  </w:pPr>
                  <w:r>
                    <w:rPr>
                      <w:rFonts w:hint="eastAsia" w:ascii="Times New Roman" w:hAnsi="Times New Roman" w:cs="宋体"/>
                      <w:color w:val="auto"/>
                      <w:kern w:val="0"/>
                      <w:szCs w:val="21"/>
                    </w:rPr>
                    <w:t>/</w:t>
                  </w:r>
                </w:p>
              </w:tc>
              <w:tc>
                <w:tcPr>
                  <w:tcW w:w="635" w:type="pct"/>
                  <w:noWrap w:val="0"/>
                  <w:vAlign w:val="center"/>
                </w:tcPr>
                <w:p>
                  <w:pPr>
                    <w:spacing w:line="300" w:lineRule="exact"/>
                    <w:jc w:val="center"/>
                    <w:rPr>
                      <w:rFonts w:hint="eastAsia" w:ascii="Times New Roman" w:hAnsi="Times New Roman"/>
                      <w:color w:val="auto"/>
                      <w:szCs w:val="21"/>
                    </w:rPr>
                  </w:pPr>
                  <w:r>
                    <w:rPr>
                      <w:rFonts w:hint="eastAsia" w:ascii="Times New Roman" w:hAnsi="Times New Roman"/>
                      <w:color w:val="auto"/>
                      <w:szCs w:val="21"/>
                    </w:rPr>
                    <w:t>手动监测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0" w:hRule="atLeast"/>
                <w:jc w:val="center"/>
              </w:trPr>
              <w:tc>
                <w:tcPr>
                  <w:tcW w:w="346" w:type="pct"/>
                  <w:vMerge w:val="continue"/>
                  <w:noWrap w:val="0"/>
                  <w:vAlign w:val="center"/>
                </w:tcPr>
                <w:p>
                  <w:pPr>
                    <w:spacing w:line="300" w:lineRule="exact"/>
                    <w:jc w:val="center"/>
                    <w:rPr>
                      <w:rFonts w:hint="eastAsia" w:ascii="Times New Roman" w:hAnsi="Times New Roman"/>
                      <w:color w:val="auto"/>
                      <w:szCs w:val="21"/>
                    </w:rPr>
                  </w:pPr>
                </w:p>
              </w:tc>
              <w:tc>
                <w:tcPr>
                  <w:tcW w:w="392" w:type="pct"/>
                  <w:vMerge w:val="continue"/>
                  <w:noWrap w:val="0"/>
                  <w:vAlign w:val="center"/>
                </w:tcPr>
                <w:p>
                  <w:pPr>
                    <w:spacing w:line="300" w:lineRule="exact"/>
                    <w:jc w:val="center"/>
                    <w:rPr>
                      <w:rFonts w:hint="eastAsia" w:ascii="Times New Roman" w:hAnsi="Times New Roman"/>
                      <w:color w:val="auto"/>
                      <w:szCs w:val="21"/>
                    </w:rPr>
                  </w:pPr>
                </w:p>
              </w:tc>
              <w:tc>
                <w:tcPr>
                  <w:tcW w:w="568" w:type="pct"/>
                  <w:vMerge w:val="restart"/>
                  <w:noWrap w:val="0"/>
                  <w:vAlign w:val="center"/>
                </w:tcPr>
                <w:p>
                  <w:pPr>
                    <w:spacing w:line="300" w:lineRule="exact"/>
                    <w:jc w:val="center"/>
                    <w:rPr>
                      <w:rFonts w:hint="eastAsia" w:ascii="Times New Roman" w:hAnsi="Times New Roman"/>
                      <w:color w:val="auto"/>
                      <w:szCs w:val="21"/>
                    </w:rPr>
                  </w:pPr>
                  <w:r>
                    <w:rPr>
                      <w:rFonts w:hint="eastAsia" w:ascii="Times New Roman" w:hAnsi="Times New Roman"/>
                      <w:color w:val="auto"/>
                      <w:szCs w:val="21"/>
                    </w:rPr>
                    <w:t>非甲烷总烃</w:t>
                  </w:r>
                </w:p>
              </w:tc>
              <w:tc>
                <w:tcPr>
                  <w:tcW w:w="822" w:type="pct"/>
                  <w:noWrap w:val="0"/>
                  <w:vAlign w:val="center"/>
                </w:tcPr>
                <w:p>
                  <w:pPr>
                    <w:spacing w:line="300" w:lineRule="exact"/>
                    <w:jc w:val="center"/>
                    <w:rPr>
                      <w:rFonts w:hint="eastAsia" w:ascii="Times New Roman" w:hAnsi="Times New Roman" w:cs="Times New Roman"/>
                      <w:color w:val="auto"/>
                      <w:szCs w:val="21"/>
                    </w:rPr>
                  </w:pPr>
                  <w:r>
                    <w:rPr>
                      <w:rFonts w:hint="eastAsia" w:ascii="Times New Roman" w:hAnsi="Times New Roman" w:cs="Times New Roman"/>
                      <w:color w:val="auto"/>
                      <w:szCs w:val="21"/>
                    </w:rPr>
                    <w:t>监控点处</w:t>
                  </w:r>
                  <w:r>
                    <w:rPr>
                      <w:rFonts w:ascii="Times New Roman" w:hAnsi="Times New Roman" w:cs="Times New Roman"/>
                      <w:color w:val="auto"/>
                      <w:szCs w:val="21"/>
                    </w:rPr>
                    <w:t>1h</w:t>
                  </w:r>
                  <w:r>
                    <w:rPr>
                      <w:rFonts w:hint="eastAsia" w:ascii="Times New Roman" w:hAnsi="Times New Roman" w:cs="Times New Roman"/>
                      <w:color w:val="auto"/>
                      <w:szCs w:val="21"/>
                    </w:rPr>
                    <w:t>平均浓度值</w:t>
                  </w:r>
                </w:p>
              </w:tc>
              <w:tc>
                <w:tcPr>
                  <w:tcW w:w="693" w:type="pct"/>
                  <w:vMerge w:val="restart"/>
                  <w:noWrap w:val="0"/>
                  <w:vAlign w:val="center"/>
                </w:tcPr>
                <w:p>
                  <w:pPr>
                    <w:spacing w:line="300" w:lineRule="exact"/>
                    <w:jc w:val="center"/>
                    <w:rPr>
                      <w:rFonts w:hint="eastAsia" w:ascii="Times New Roman" w:hAnsi="Times New Roman"/>
                      <w:color w:val="auto"/>
                      <w:szCs w:val="21"/>
                    </w:rPr>
                  </w:pPr>
                  <w:r>
                    <w:rPr>
                      <w:rFonts w:hint="eastAsia" w:ascii="Times New Roman" w:hAnsi="Times New Roman"/>
                      <w:color w:val="auto"/>
                      <w:szCs w:val="21"/>
                    </w:rPr>
                    <w:t>厂区内</w:t>
                  </w:r>
                </w:p>
              </w:tc>
              <w:tc>
                <w:tcPr>
                  <w:tcW w:w="642" w:type="pct"/>
                  <w:vMerge w:val="restart"/>
                  <w:noWrap w:val="0"/>
                  <w:vAlign w:val="center"/>
                </w:tcPr>
                <w:p>
                  <w:pPr>
                    <w:spacing w:line="300" w:lineRule="exact"/>
                    <w:jc w:val="center"/>
                    <w:rPr>
                      <w:rFonts w:hint="eastAsia" w:ascii="Times New Roman" w:hAnsi="Times New Roman"/>
                      <w:color w:val="auto"/>
                      <w:szCs w:val="21"/>
                    </w:rPr>
                  </w:pPr>
                  <w:r>
                    <w:rPr>
                      <w:rFonts w:hint="eastAsia" w:ascii="Times New Roman" w:hAnsi="Times New Roman"/>
                      <w:color w:val="auto"/>
                      <w:szCs w:val="21"/>
                    </w:rPr>
                    <w:t>1次/年</w:t>
                  </w:r>
                </w:p>
              </w:tc>
              <w:tc>
                <w:tcPr>
                  <w:tcW w:w="899" w:type="pct"/>
                  <w:noWrap w:val="0"/>
                  <w:vAlign w:val="center"/>
                </w:tcPr>
                <w:p>
                  <w:pPr>
                    <w:spacing w:line="300" w:lineRule="exact"/>
                    <w:jc w:val="center"/>
                    <w:rPr>
                      <w:rFonts w:hint="eastAsia" w:ascii="Times New Roman" w:hAnsi="Times New Roman" w:cs="宋体"/>
                      <w:color w:val="auto"/>
                      <w:kern w:val="0"/>
                      <w:szCs w:val="21"/>
                    </w:rPr>
                  </w:pPr>
                  <w:r>
                    <w:rPr>
                      <w:rFonts w:hint="eastAsia" w:ascii="Times New Roman" w:hAnsi="Times New Roman" w:cs="宋体"/>
                      <w:color w:val="auto"/>
                      <w:kern w:val="0"/>
                      <w:szCs w:val="21"/>
                    </w:rPr>
                    <w:t>/</w:t>
                  </w:r>
                </w:p>
              </w:tc>
              <w:tc>
                <w:tcPr>
                  <w:tcW w:w="635" w:type="pct"/>
                  <w:vMerge w:val="restart"/>
                  <w:noWrap w:val="0"/>
                  <w:vAlign w:val="center"/>
                </w:tcPr>
                <w:p>
                  <w:pPr>
                    <w:spacing w:line="300" w:lineRule="exact"/>
                    <w:jc w:val="center"/>
                    <w:rPr>
                      <w:rFonts w:hint="eastAsia" w:ascii="Times New Roman" w:hAnsi="Times New Roman"/>
                      <w:color w:val="auto"/>
                      <w:szCs w:val="21"/>
                    </w:rPr>
                  </w:pPr>
                  <w:r>
                    <w:rPr>
                      <w:rFonts w:hint="eastAsia" w:ascii="Times New Roman" w:hAnsi="Times New Roman"/>
                      <w:color w:val="auto"/>
                      <w:szCs w:val="21"/>
                    </w:rPr>
                    <w:t>手动监测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0" w:hRule="atLeast"/>
                <w:jc w:val="center"/>
              </w:trPr>
              <w:tc>
                <w:tcPr>
                  <w:tcW w:w="346" w:type="pct"/>
                  <w:vMerge w:val="continue"/>
                  <w:noWrap w:val="0"/>
                  <w:vAlign w:val="center"/>
                </w:tcPr>
                <w:p>
                  <w:pPr>
                    <w:spacing w:line="300" w:lineRule="exact"/>
                    <w:jc w:val="center"/>
                    <w:rPr>
                      <w:color w:val="auto"/>
                    </w:rPr>
                  </w:pPr>
                </w:p>
              </w:tc>
              <w:tc>
                <w:tcPr>
                  <w:tcW w:w="392" w:type="pct"/>
                  <w:vMerge w:val="continue"/>
                  <w:noWrap w:val="0"/>
                  <w:vAlign w:val="center"/>
                </w:tcPr>
                <w:p>
                  <w:pPr>
                    <w:spacing w:line="300" w:lineRule="exact"/>
                    <w:jc w:val="center"/>
                    <w:rPr>
                      <w:color w:val="auto"/>
                    </w:rPr>
                  </w:pPr>
                </w:p>
              </w:tc>
              <w:tc>
                <w:tcPr>
                  <w:tcW w:w="568" w:type="pct"/>
                  <w:vMerge w:val="continue"/>
                  <w:noWrap w:val="0"/>
                  <w:vAlign w:val="center"/>
                </w:tcPr>
                <w:p>
                  <w:pPr>
                    <w:spacing w:line="300" w:lineRule="exact"/>
                    <w:jc w:val="center"/>
                    <w:rPr>
                      <w:color w:val="auto"/>
                    </w:rPr>
                  </w:pPr>
                </w:p>
              </w:tc>
              <w:tc>
                <w:tcPr>
                  <w:tcW w:w="822" w:type="pct"/>
                  <w:noWrap w:val="0"/>
                  <w:vAlign w:val="center"/>
                </w:tcPr>
                <w:p>
                  <w:pPr>
                    <w:spacing w:line="300" w:lineRule="exact"/>
                    <w:jc w:val="center"/>
                    <w:rPr>
                      <w:rFonts w:hint="eastAsia" w:ascii="Times New Roman" w:hAnsi="Times New Roman" w:cs="Times New Roman"/>
                      <w:color w:val="auto"/>
                      <w:szCs w:val="21"/>
                    </w:rPr>
                  </w:pPr>
                  <w:r>
                    <w:rPr>
                      <w:rFonts w:hint="eastAsia" w:ascii="Times New Roman" w:hAnsi="Times New Roman" w:cs="Times New Roman"/>
                      <w:color w:val="auto"/>
                      <w:szCs w:val="21"/>
                    </w:rPr>
                    <w:t>监控点处任意一次浓度值</w:t>
                  </w:r>
                </w:p>
              </w:tc>
              <w:tc>
                <w:tcPr>
                  <w:tcW w:w="693" w:type="pct"/>
                  <w:vMerge w:val="continue"/>
                  <w:noWrap w:val="0"/>
                  <w:vAlign w:val="center"/>
                </w:tcPr>
                <w:p>
                  <w:pPr>
                    <w:spacing w:line="300" w:lineRule="exact"/>
                    <w:jc w:val="center"/>
                    <w:rPr>
                      <w:rFonts w:hint="eastAsia" w:ascii="Times New Roman" w:hAnsi="Times New Roman"/>
                      <w:color w:val="auto"/>
                      <w:szCs w:val="21"/>
                    </w:rPr>
                  </w:pPr>
                </w:p>
              </w:tc>
              <w:tc>
                <w:tcPr>
                  <w:tcW w:w="642" w:type="pct"/>
                  <w:vMerge w:val="continue"/>
                  <w:noWrap w:val="0"/>
                  <w:vAlign w:val="center"/>
                </w:tcPr>
                <w:p>
                  <w:pPr>
                    <w:spacing w:line="300" w:lineRule="exact"/>
                    <w:jc w:val="center"/>
                    <w:rPr>
                      <w:rFonts w:hint="eastAsia" w:ascii="Times New Roman" w:hAnsi="Times New Roman"/>
                      <w:color w:val="auto"/>
                      <w:szCs w:val="21"/>
                    </w:rPr>
                  </w:pPr>
                </w:p>
              </w:tc>
              <w:tc>
                <w:tcPr>
                  <w:tcW w:w="899" w:type="pct"/>
                  <w:noWrap w:val="0"/>
                  <w:vAlign w:val="center"/>
                </w:tcPr>
                <w:p>
                  <w:pPr>
                    <w:spacing w:line="300" w:lineRule="exact"/>
                    <w:jc w:val="center"/>
                    <w:rPr>
                      <w:rFonts w:hint="eastAsia" w:ascii="Times New Roman" w:hAnsi="Times New Roman"/>
                      <w:color w:val="auto"/>
                      <w:szCs w:val="21"/>
                    </w:rPr>
                  </w:pPr>
                  <w:r>
                    <w:rPr>
                      <w:rFonts w:hint="eastAsia" w:ascii="Times New Roman" w:hAnsi="Times New Roman"/>
                      <w:color w:val="auto"/>
                      <w:szCs w:val="21"/>
                    </w:rPr>
                    <w:t>/</w:t>
                  </w:r>
                </w:p>
              </w:tc>
              <w:tc>
                <w:tcPr>
                  <w:tcW w:w="635" w:type="pct"/>
                  <w:vMerge w:val="continue"/>
                  <w:noWrap w:val="0"/>
                  <w:vAlign w:val="center"/>
                </w:tcPr>
                <w:p>
                  <w:pPr>
                    <w:spacing w:line="300" w:lineRule="exact"/>
                    <w:jc w:val="center"/>
                    <w:rPr>
                      <w:rFonts w:hint="eastAsia" w:ascii="Times New Roman" w:hAnsi="Times New Roman"/>
                      <w:color w:val="auto"/>
                      <w:szCs w:val="21"/>
                    </w:rPr>
                  </w:pPr>
                </w:p>
              </w:tc>
            </w:tr>
          </w:tbl>
          <w:p>
            <w:pPr>
              <w:adjustRightInd w:val="0"/>
              <w:snapToGrid w:val="0"/>
              <w:spacing w:line="400" w:lineRule="exact"/>
              <w:ind w:firstLine="422" w:firstLineChars="200"/>
              <w:rPr>
                <w:b/>
                <w:szCs w:val="21"/>
              </w:rPr>
            </w:pPr>
            <w:r>
              <w:rPr>
                <w:rFonts w:hint="eastAsia"/>
                <w:b/>
                <w:szCs w:val="21"/>
              </w:rPr>
              <w:t>二、废水</w:t>
            </w:r>
          </w:p>
          <w:p>
            <w:pPr>
              <w:adjustRightInd w:val="0"/>
              <w:snapToGrid w:val="0"/>
              <w:spacing w:line="400" w:lineRule="exact"/>
              <w:ind w:firstLine="420" w:firstLineChars="200"/>
              <w:rPr>
                <w:bCs/>
                <w:szCs w:val="21"/>
              </w:rPr>
            </w:pPr>
            <w:r>
              <w:rPr>
                <w:rFonts w:hint="eastAsia"/>
                <w:bCs/>
                <w:szCs w:val="21"/>
              </w:rPr>
              <w:t>项目</w:t>
            </w:r>
            <w:r>
              <w:rPr>
                <w:rFonts w:hint="eastAsia" w:ascii="Times New Roman" w:hAnsi="Times New Roman" w:eastAsia="宋体" w:cs="Times New Roman"/>
                <w:bCs/>
                <w:szCs w:val="21"/>
              </w:rPr>
              <w:t>冷</w:t>
            </w:r>
            <w:r>
              <w:rPr>
                <w:rFonts w:hint="eastAsia"/>
                <w:bCs/>
                <w:szCs w:val="21"/>
              </w:rPr>
              <w:t>却水循环使用，不外排</w:t>
            </w:r>
            <w:r>
              <w:rPr>
                <w:rFonts w:hint="eastAsia"/>
                <w:bCs/>
                <w:szCs w:val="21"/>
                <w:lang w:eastAsia="zh-CN"/>
              </w:rPr>
              <w:t>；</w:t>
            </w:r>
            <w:r>
              <w:rPr>
                <w:rFonts w:hint="eastAsia"/>
                <w:bCs/>
                <w:szCs w:val="21"/>
                <w:lang w:val="en-US" w:eastAsia="zh-CN"/>
              </w:rPr>
              <w:t>职工生活污水用于</w:t>
            </w:r>
            <w:r>
              <w:rPr>
                <w:rFonts w:hint="eastAsia"/>
                <w:bCs/>
                <w:kern w:val="0"/>
                <w:szCs w:val="21"/>
                <w:lang w:val="en-US" w:eastAsia="zh-CN"/>
              </w:rPr>
              <w:t>厂区内泼洒抑尘，旱厕定期清掏；项目</w:t>
            </w:r>
            <w:r>
              <w:rPr>
                <w:rFonts w:hint="eastAsia"/>
                <w:bCs/>
                <w:szCs w:val="21"/>
              </w:rPr>
              <w:t>无生产废水排放，对环境影响很小。</w:t>
            </w:r>
          </w:p>
          <w:p>
            <w:pPr>
              <w:adjustRightInd w:val="0"/>
              <w:snapToGrid w:val="0"/>
              <w:spacing w:line="400" w:lineRule="exact"/>
              <w:ind w:firstLine="422" w:firstLineChars="200"/>
              <w:rPr>
                <w:b/>
                <w:szCs w:val="21"/>
              </w:rPr>
            </w:pPr>
            <w:r>
              <w:rPr>
                <w:rFonts w:hint="eastAsia"/>
                <w:b/>
                <w:szCs w:val="21"/>
              </w:rPr>
              <w:t>三、噪声</w:t>
            </w:r>
          </w:p>
          <w:p>
            <w:pPr>
              <w:adjustRightInd w:val="0"/>
              <w:snapToGrid w:val="0"/>
              <w:spacing w:line="400" w:lineRule="exact"/>
              <w:ind w:firstLine="422" w:firstLineChars="200"/>
              <w:rPr>
                <w:rFonts w:hint="default" w:eastAsia="宋体"/>
                <w:b/>
                <w:bCs w:val="0"/>
                <w:szCs w:val="21"/>
                <w:lang w:val="en-US" w:eastAsia="zh-CN"/>
              </w:rPr>
            </w:pPr>
            <w:r>
              <w:rPr>
                <w:rFonts w:hint="eastAsia"/>
                <w:b/>
                <w:bCs w:val="0"/>
                <w:szCs w:val="21"/>
                <w:lang w:val="en-US" w:eastAsia="zh-CN"/>
              </w:rPr>
              <w:t>3.1 噪声预测模式</w:t>
            </w:r>
          </w:p>
          <w:p>
            <w:pPr>
              <w:adjustRightInd w:val="0"/>
              <w:snapToGrid w:val="0"/>
              <w:spacing w:line="400" w:lineRule="exact"/>
              <w:ind w:firstLine="420" w:firstLineChars="200"/>
              <w:rPr>
                <w:bCs/>
                <w:szCs w:val="21"/>
              </w:rPr>
            </w:pPr>
            <w:r>
              <w:rPr>
                <w:rFonts w:hint="eastAsia"/>
                <w:bCs/>
                <w:szCs w:val="21"/>
              </w:rPr>
              <w:t>按照《环境影响评价技术导则 声环境》（HJ2.4-20</w:t>
            </w:r>
            <w:r>
              <w:rPr>
                <w:bCs/>
                <w:szCs w:val="21"/>
              </w:rPr>
              <w:t>21</w:t>
            </w:r>
            <w:r>
              <w:rPr>
                <w:rFonts w:hint="eastAsia"/>
                <w:bCs/>
                <w:szCs w:val="21"/>
              </w:rPr>
              <w:t>）中的模式预测噪声源对各预测点的影响值并进行影响评价。</w:t>
            </w:r>
          </w:p>
          <w:p>
            <w:pPr>
              <w:adjustRightInd w:val="0"/>
              <w:snapToGrid w:val="0"/>
              <w:spacing w:line="400" w:lineRule="exact"/>
              <w:ind w:firstLine="420" w:firstLineChars="200"/>
              <w:rPr>
                <w:bCs/>
                <w:szCs w:val="21"/>
              </w:rPr>
            </w:pPr>
            <w:r>
              <w:rPr>
                <w:rFonts w:hint="eastAsia"/>
                <w:bCs/>
                <w:szCs w:val="21"/>
              </w:rPr>
              <w:t>（1）室外声源对厂界噪声预测点贡献值预测模式</w:t>
            </w:r>
          </w:p>
          <w:p>
            <w:pPr>
              <w:adjustRightInd w:val="0"/>
              <w:snapToGrid w:val="0"/>
              <w:spacing w:line="400" w:lineRule="exact"/>
              <w:ind w:firstLine="420" w:firstLineChars="200"/>
              <w:rPr>
                <w:bCs/>
                <w:szCs w:val="21"/>
              </w:rPr>
            </w:pPr>
            <w:r>
              <w:rPr>
                <w:rFonts w:hint="eastAsia"/>
                <w:bCs/>
                <w:szCs w:val="21"/>
              </w:rPr>
              <w:t>本次仅考虑几何发散衰减，对于室外点声源，不考虑其指向性，几何发散衰减计算公式为：</w:t>
            </w:r>
          </w:p>
          <w:p>
            <w:pPr>
              <w:adjustRightInd w:val="0"/>
              <w:snapToGrid w:val="0"/>
              <w:spacing w:line="400" w:lineRule="exact"/>
              <w:ind w:firstLine="420" w:firstLineChars="200"/>
              <w:jc w:val="center"/>
              <w:rPr>
                <w:bCs/>
                <w:szCs w:val="21"/>
              </w:rPr>
            </w:pPr>
            <w:r>
              <w:rPr>
                <w:rFonts w:hint="eastAsia"/>
                <w:bCs/>
                <w:szCs w:val="21"/>
              </w:rPr>
              <w:t>LA(r)=LA(r0)－20Lg(r/r0)</w:t>
            </w:r>
          </w:p>
          <w:p>
            <w:pPr>
              <w:adjustRightInd w:val="0"/>
              <w:snapToGrid w:val="0"/>
              <w:spacing w:line="400" w:lineRule="exact"/>
              <w:ind w:firstLine="420" w:firstLineChars="200"/>
              <w:rPr>
                <w:bCs/>
                <w:szCs w:val="21"/>
              </w:rPr>
            </w:pPr>
            <w:r>
              <w:rPr>
                <w:rFonts w:hint="eastAsia"/>
                <w:bCs/>
                <w:szCs w:val="21"/>
              </w:rPr>
              <w:t>（2）室内声源对厂界噪声预测点贡献值预测模式</w:t>
            </w:r>
          </w:p>
          <w:p>
            <w:pPr>
              <w:adjustRightInd w:val="0"/>
              <w:snapToGrid w:val="0"/>
              <w:spacing w:line="400" w:lineRule="exact"/>
              <w:ind w:firstLine="420" w:firstLineChars="200"/>
              <w:rPr>
                <w:bCs/>
                <w:szCs w:val="21"/>
              </w:rPr>
            </w:pPr>
            <w:r>
              <w:rPr>
                <w:rFonts w:hint="eastAsia"/>
                <w:bCs/>
                <w:szCs w:val="21"/>
              </w:rPr>
              <w:t>室内声源首先换算为等效室外声源，再按各类声源模式计算。</w:t>
            </w:r>
          </w:p>
          <w:p>
            <w:pPr>
              <w:adjustRightInd w:val="0"/>
              <w:snapToGrid w:val="0"/>
              <w:spacing w:line="400" w:lineRule="exact"/>
              <w:ind w:firstLine="480" w:firstLineChars="200"/>
              <w:rPr>
                <w:bCs/>
                <w:szCs w:val="21"/>
              </w:rPr>
            </w:pPr>
            <w:r>
              <w:rPr>
                <w:color w:val="000000"/>
                <w:sz w:val="24"/>
              </w:rPr>
              <w:drawing>
                <wp:anchor distT="0" distB="0" distL="114300" distR="114300" simplePos="0" relativeHeight="251660288" behindDoc="0" locked="0" layoutInCell="1" allowOverlap="1">
                  <wp:simplePos x="0" y="0"/>
                  <wp:positionH relativeFrom="column">
                    <wp:posOffset>1306830</wp:posOffset>
                  </wp:positionH>
                  <wp:positionV relativeFrom="paragraph">
                    <wp:posOffset>333375</wp:posOffset>
                  </wp:positionV>
                  <wp:extent cx="2019935" cy="488950"/>
                  <wp:effectExtent l="0" t="0" r="0" b="6350"/>
                  <wp:wrapTopAndBottom/>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019935" cy="488950"/>
                          </a:xfrm>
                          <a:prstGeom prst="rect">
                            <a:avLst/>
                          </a:prstGeom>
                          <a:noFill/>
                          <a:ln>
                            <a:noFill/>
                          </a:ln>
                        </pic:spPr>
                      </pic:pic>
                    </a:graphicData>
                  </a:graphic>
                </wp:anchor>
              </w:drawing>
            </w:r>
            <w:r>
              <w:rPr>
                <w:rFonts w:hint="eastAsia"/>
                <w:bCs/>
                <w:szCs w:val="21"/>
              </w:rPr>
              <w:t>①首先计算出某个室内声源靠近围护结构处的倍频带声压级：</w:t>
            </w:r>
          </w:p>
          <w:p>
            <w:pPr>
              <w:adjustRightInd w:val="0"/>
              <w:snapToGrid w:val="0"/>
              <w:spacing w:line="400" w:lineRule="exact"/>
              <w:ind w:firstLine="420" w:firstLineChars="200"/>
              <w:rPr>
                <w:bCs/>
                <w:szCs w:val="21"/>
              </w:rPr>
            </w:pPr>
            <w:r>
              <w:rPr>
                <w:bCs/>
                <w:szCs w:val="21"/>
              </w:rPr>
              <w:t xml:space="preserve"> </w:t>
            </w:r>
            <w:r>
              <w:rPr>
                <w:rFonts w:hint="eastAsia"/>
                <w:bCs/>
                <w:szCs w:val="21"/>
              </w:rPr>
              <w:t>式中：L</w:t>
            </w:r>
            <w:r>
              <w:rPr>
                <w:rFonts w:hint="eastAsia"/>
                <w:bCs/>
                <w:szCs w:val="21"/>
                <w:vertAlign w:val="subscript"/>
              </w:rPr>
              <w:t>oct,1</w:t>
            </w:r>
            <w:r>
              <w:rPr>
                <w:rFonts w:hint="eastAsia"/>
                <w:bCs/>
                <w:szCs w:val="21"/>
              </w:rPr>
              <w:t>为某个室内声源在靠近围护结构处产生的倍频带声压级；</w:t>
            </w:r>
          </w:p>
          <w:p>
            <w:pPr>
              <w:adjustRightInd w:val="0"/>
              <w:snapToGrid w:val="0"/>
              <w:spacing w:line="400" w:lineRule="exact"/>
              <w:ind w:firstLine="1260" w:firstLineChars="600"/>
              <w:rPr>
                <w:bCs/>
                <w:szCs w:val="21"/>
              </w:rPr>
            </w:pPr>
            <w:r>
              <w:rPr>
                <w:rFonts w:hint="eastAsia"/>
                <w:bCs/>
                <w:szCs w:val="21"/>
              </w:rPr>
              <w:t>L</w:t>
            </w:r>
            <w:r>
              <w:rPr>
                <w:rFonts w:hint="eastAsia"/>
                <w:bCs/>
                <w:szCs w:val="21"/>
                <w:vertAlign w:val="subscript"/>
              </w:rPr>
              <w:t>w oct</w:t>
            </w:r>
            <w:r>
              <w:rPr>
                <w:rFonts w:hint="eastAsia"/>
                <w:bCs/>
                <w:szCs w:val="21"/>
              </w:rPr>
              <w:t>为某个声源的倍频带声功率级；</w:t>
            </w:r>
          </w:p>
          <w:p>
            <w:pPr>
              <w:adjustRightInd w:val="0"/>
              <w:snapToGrid w:val="0"/>
              <w:spacing w:line="400" w:lineRule="exact"/>
              <w:ind w:firstLine="1260" w:firstLineChars="600"/>
              <w:rPr>
                <w:bCs/>
                <w:szCs w:val="21"/>
              </w:rPr>
            </w:pPr>
            <w:r>
              <w:rPr>
                <w:rFonts w:hint="eastAsia"/>
                <w:bCs/>
                <w:szCs w:val="21"/>
              </w:rPr>
              <w:t>r</w:t>
            </w:r>
            <w:r>
              <w:rPr>
                <w:rFonts w:hint="eastAsia"/>
                <w:bCs/>
                <w:szCs w:val="21"/>
                <w:vertAlign w:val="subscript"/>
              </w:rPr>
              <w:t>1</w:t>
            </w:r>
            <w:r>
              <w:rPr>
                <w:rFonts w:hint="eastAsia"/>
                <w:bCs/>
                <w:szCs w:val="21"/>
              </w:rPr>
              <w:t>为室内某个声源与靠近围护结构处的距离，R为房间常数，Q为方向性因子。</w:t>
            </w:r>
          </w:p>
          <w:p>
            <w:pPr>
              <w:adjustRightInd w:val="0"/>
              <w:snapToGrid w:val="0"/>
              <w:spacing w:line="400" w:lineRule="exact"/>
              <w:ind w:firstLine="480" w:firstLineChars="200"/>
              <w:rPr>
                <w:bCs/>
                <w:szCs w:val="21"/>
              </w:rPr>
            </w:pPr>
            <w:r>
              <w:rPr>
                <w:color w:val="000000"/>
                <w:sz w:val="24"/>
              </w:rPr>
              <w:drawing>
                <wp:anchor distT="0" distB="0" distL="114300" distR="114300" simplePos="0" relativeHeight="251661312" behindDoc="0" locked="0" layoutInCell="1" allowOverlap="1">
                  <wp:simplePos x="0" y="0"/>
                  <wp:positionH relativeFrom="column">
                    <wp:posOffset>1747520</wp:posOffset>
                  </wp:positionH>
                  <wp:positionV relativeFrom="paragraph">
                    <wp:posOffset>288925</wp:posOffset>
                  </wp:positionV>
                  <wp:extent cx="1839595" cy="457200"/>
                  <wp:effectExtent l="0" t="0" r="8255" b="0"/>
                  <wp:wrapTopAndBottom/>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1839595" cy="457200"/>
                          </a:xfrm>
                          <a:prstGeom prst="rect">
                            <a:avLst/>
                          </a:prstGeom>
                          <a:noFill/>
                          <a:ln>
                            <a:noFill/>
                          </a:ln>
                        </pic:spPr>
                      </pic:pic>
                    </a:graphicData>
                  </a:graphic>
                </wp:anchor>
              </w:drawing>
            </w:r>
            <w:r>
              <w:rPr>
                <w:rFonts w:hint="eastAsia"/>
                <w:bCs/>
                <w:szCs w:val="21"/>
              </w:rPr>
              <w:t>②计算出所有室内声源的靠近围护结构处产生的总倍频带声压级：</w:t>
            </w:r>
          </w:p>
          <w:p>
            <w:pPr>
              <w:adjustRightInd w:val="0"/>
              <w:snapToGrid w:val="0"/>
              <w:spacing w:line="400" w:lineRule="exact"/>
              <w:ind w:firstLine="420" w:firstLineChars="200"/>
              <w:rPr>
                <w:bCs/>
                <w:szCs w:val="21"/>
              </w:rPr>
            </w:pPr>
            <w:r>
              <w:rPr>
                <w:bCs/>
                <w:szCs w:val="21"/>
              </w:rPr>
              <w:t xml:space="preserve"> </w:t>
            </w:r>
            <w:r>
              <w:rPr>
                <w:rFonts w:hint="eastAsia"/>
                <w:bCs/>
                <w:szCs w:val="21"/>
              </w:rPr>
              <w:t>③计算出室外靠近围护结构处的声压级：</w:t>
            </w:r>
          </w:p>
          <w:p>
            <w:pPr>
              <w:adjustRightInd w:val="0"/>
              <w:snapToGrid w:val="0"/>
              <w:spacing w:line="400" w:lineRule="exact"/>
              <w:ind w:firstLine="480" w:firstLineChars="200"/>
              <w:jc w:val="center"/>
              <w:rPr>
                <w:bCs/>
                <w:szCs w:val="21"/>
              </w:rPr>
            </w:pPr>
            <m:oMathPara>
              <m:oMath>
                <m:r>
                  <w:rPr>
                    <w:rFonts w:ascii="Cambria Math" w:hAnsi="Cambria Math"/>
                    <w:color w:val="000000"/>
                    <w:sz w:val="24"/>
                  </w:rPr>
                  <w:object>
                    <v:shape id="_x0000_i1027" o:spt="75" type="#_x0000_t75" style="height:19pt;width:153.5pt;" o:ole="t" filled="f" o:preferrelative="t" stroked="f" coordsize="21600,21600">
                      <v:path/>
                      <v:fill on="f" focussize="0,0"/>
                      <v:stroke on="f" joinstyle="miter"/>
                      <v:imagedata r:id="rId17" o:title=""/>
                      <o:lock v:ext="edit" aspectratio="t"/>
                      <w10:wrap type="none"/>
                      <w10:anchorlock/>
                    </v:shape>
                    <o:OLEObject Type="Embed" ProgID="Equation.3" ShapeID="_x0000_i1027" DrawAspect="Content" ObjectID="_1468075727" r:id="rId16">
                      <o:LockedField>false</o:LockedField>
                    </o:OLEObject>
                  </w:object>
                </m:r>
              </m:oMath>
            </m:oMathPara>
          </w:p>
          <w:p>
            <w:pPr>
              <w:adjustRightInd w:val="0"/>
              <w:snapToGrid w:val="0"/>
              <w:spacing w:line="400" w:lineRule="exact"/>
              <w:ind w:firstLine="420" w:firstLineChars="200"/>
              <w:rPr>
                <w:bCs/>
                <w:szCs w:val="21"/>
              </w:rPr>
            </w:pPr>
            <w:r>
              <w:rPr>
                <w:rFonts w:hint="eastAsia"/>
                <w:bCs/>
                <w:szCs w:val="21"/>
              </w:rPr>
              <w:t>式中：T</w:t>
            </w:r>
            <w:r>
              <w:rPr>
                <w:rFonts w:hint="eastAsia"/>
                <w:bCs/>
                <w:szCs w:val="21"/>
                <w:vertAlign w:val="subscript"/>
              </w:rPr>
              <w:t>Loct</w:t>
            </w:r>
            <w:r>
              <w:rPr>
                <w:rFonts w:hint="eastAsia"/>
                <w:bCs/>
                <w:szCs w:val="21"/>
              </w:rPr>
              <w:t>为围护结构倍频带隔声损失，厂房内的噪声与围护结构距离较近，整个厂房实际起着一个大隔声罩的作用。在本次预测中，厂房围护的隔声量取值2</w:t>
            </w:r>
            <w:r>
              <w:rPr>
                <w:bCs/>
                <w:szCs w:val="21"/>
              </w:rPr>
              <w:t>0</w:t>
            </w:r>
            <w:r>
              <w:rPr>
                <w:rFonts w:hint="eastAsia"/>
                <w:bCs/>
                <w:szCs w:val="21"/>
              </w:rPr>
              <w:t>dB(A)。</w:t>
            </w:r>
          </w:p>
          <w:p>
            <w:pPr>
              <w:adjustRightInd w:val="0"/>
              <w:snapToGrid w:val="0"/>
              <w:spacing w:line="400" w:lineRule="exact"/>
              <w:ind w:firstLine="420" w:firstLineChars="200"/>
              <w:rPr>
                <w:bCs/>
                <w:szCs w:val="21"/>
              </w:rPr>
            </w:pPr>
            <w:r>
              <w:rPr>
                <w:rFonts w:hint="eastAsia"/>
                <w:bCs/>
                <w:szCs w:val="21"/>
              </w:rPr>
              <w:t>④声源在预测点产生的A声级</w:t>
            </w:r>
          </w:p>
          <w:p>
            <w:pPr>
              <w:adjustRightInd w:val="0"/>
              <w:snapToGrid w:val="0"/>
              <w:spacing w:line="400" w:lineRule="exact"/>
              <w:ind w:firstLine="420" w:firstLineChars="200"/>
              <w:rPr>
                <w:bCs/>
                <w:szCs w:val="21"/>
              </w:rPr>
            </w:pPr>
          </w:p>
          <w:p>
            <w:pPr>
              <w:adjustRightInd w:val="0"/>
              <w:snapToGrid w:val="0"/>
              <w:ind w:firstLine="420" w:firstLineChars="200"/>
              <w:rPr>
                <w:bCs/>
                <w:szCs w:val="21"/>
              </w:rPr>
            </w:pPr>
            <m:oMathPara>
              <m:oMath>
                <m:sSub>
                  <m:sSubPr>
                    <m:ctrlPr>
                      <w:rPr>
                        <w:rFonts w:ascii="Cambria Math" w:hAnsi="Cambria Math"/>
                        <w:bCs/>
                        <w:i/>
                        <w:szCs w:val="21"/>
                      </w:rPr>
                    </m:ctrlPr>
                  </m:sSubPr>
                  <m:e>
                    <m:r>
                      <w:rPr>
                        <w:rFonts w:ascii="Cambria Math" w:hAnsi="Cambria Math"/>
                        <w:szCs w:val="21"/>
                      </w:rPr>
                      <m:t>L</m:t>
                    </m:r>
                    <m:ctrlPr>
                      <w:rPr>
                        <w:rFonts w:ascii="Cambria Math" w:hAnsi="Cambria Math"/>
                        <w:bCs/>
                        <w:i/>
                        <w:szCs w:val="21"/>
                      </w:rPr>
                    </m:ctrlPr>
                  </m:e>
                  <m:sub>
                    <m:r>
                      <w:rPr>
                        <w:rFonts w:ascii="Cambria Math" w:hAnsi="Cambria Math"/>
                        <w:szCs w:val="21"/>
                      </w:rPr>
                      <m:t>eqg</m:t>
                    </m:r>
                    <m:ctrlPr>
                      <w:rPr>
                        <w:rFonts w:ascii="Cambria Math" w:hAnsi="Cambria Math"/>
                        <w:bCs/>
                        <w:i/>
                        <w:szCs w:val="21"/>
                      </w:rPr>
                    </m:ctrlPr>
                  </m:sub>
                </m:sSub>
                <m:r>
                  <w:rPr>
                    <w:rFonts w:ascii="Cambria Math" w:hAnsi="Cambria Math"/>
                    <w:szCs w:val="21"/>
                  </w:rPr>
                  <m:t>=10</m:t>
                </m:r>
                <m:r>
                  <w:rPr>
                    <w:rFonts w:hint="eastAsia" w:ascii="Cambria Math" w:hAnsi="Cambria Math"/>
                    <w:szCs w:val="21"/>
                  </w:rPr>
                  <m:t>lg</m:t>
                </m:r>
                <m:d>
                  <m:dPr>
                    <m:begChr m:val="{"/>
                    <m:endChr m:val="}"/>
                    <m:ctrlPr>
                      <w:rPr>
                        <w:rFonts w:ascii="Cambria Math" w:hAnsi="Cambria Math"/>
                        <w:bCs/>
                        <w:i/>
                        <w:szCs w:val="21"/>
                      </w:rPr>
                    </m:ctrlPr>
                  </m:dPr>
                  <m:e>
                    <m:f>
                      <m:fPr>
                        <m:ctrlPr>
                          <w:rPr>
                            <w:rFonts w:ascii="Cambria Math" w:hAnsi="Cambria Math"/>
                            <w:bCs/>
                            <w:i/>
                            <w:szCs w:val="21"/>
                          </w:rPr>
                        </m:ctrlPr>
                      </m:fPr>
                      <m:num>
                        <m:r>
                          <w:rPr>
                            <w:rFonts w:ascii="Cambria Math" w:hAnsi="Cambria Math"/>
                            <w:szCs w:val="21"/>
                          </w:rPr>
                          <m:t>1</m:t>
                        </m:r>
                        <m:ctrlPr>
                          <w:rPr>
                            <w:rFonts w:ascii="Cambria Math" w:hAnsi="Cambria Math"/>
                            <w:bCs/>
                            <w:i/>
                            <w:szCs w:val="21"/>
                          </w:rPr>
                        </m:ctrlPr>
                      </m:num>
                      <m:den>
                        <m:r>
                          <w:rPr>
                            <w:rFonts w:ascii="Cambria Math" w:hAnsi="Cambria Math"/>
                            <w:szCs w:val="21"/>
                          </w:rPr>
                          <m:t>T</m:t>
                        </m:r>
                        <m:ctrlPr>
                          <w:rPr>
                            <w:rFonts w:ascii="Cambria Math" w:hAnsi="Cambria Math"/>
                            <w:bCs/>
                            <w:i/>
                            <w:szCs w:val="21"/>
                          </w:rPr>
                        </m:ctrlPr>
                      </m:den>
                    </m:f>
                    <m:d>
                      <m:dPr>
                        <m:ctrlPr>
                          <w:rPr>
                            <w:rFonts w:ascii="Cambria Math" w:hAnsi="Cambria Math"/>
                            <w:bCs/>
                            <w:i/>
                            <w:szCs w:val="21"/>
                          </w:rPr>
                        </m:ctrlPr>
                      </m:dPr>
                      <m:e>
                        <m:nary>
                          <m:naryPr>
                            <m:chr m:val="∑"/>
                            <m:limLoc m:val="undOvr"/>
                            <m:ctrlPr>
                              <w:rPr>
                                <w:rFonts w:ascii="Cambria Math" w:hAnsi="Cambria Math"/>
                                <w:bCs/>
                                <w:i/>
                                <w:szCs w:val="21"/>
                              </w:rPr>
                            </m:ctrlPr>
                          </m:naryPr>
                          <m:sub>
                            <m:r>
                              <w:rPr>
                                <w:rFonts w:ascii="Cambria Math" w:hAnsi="Cambria Math"/>
                                <w:szCs w:val="21"/>
                              </w:rPr>
                              <m:t>i=1</m:t>
                            </m:r>
                            <m:ctrlPr>
                              <w:rPr>
                                <w:rFonts w:ascii="Cambria Math" w:hAnsi="Cambria Math"/>
                                <w:bCs/>
                                <w:i/>
                                <w:szCs w:val="21"/>
                              </w:rPr>
                            </m:ctrlPr>
                          </m:sub>
                          <m:sup>
                            <m:r>
                              <w:rPr>
                                <w:rFonts w:ascii="Cambria Math" w:hAnsi="Cambria Math"/>
                                <w:szCs w:val="21"/>
                              </w:rPr>
                              <m:t>N</m:t>
                            </m:r>
                            <m:ctrlPr>
                              <w:rPr>
                                <w:rFonts w:ascii="Cambria Math" w:hAnsi="Cambria Math"/>
                                <w:bCs/>
                                <w:i/>
                                <w:szCs w:val="21"/>
                              </w:rPr>
                            </m:ctrlPr>
                          </m:sup>
                          <m:e>
                            <m:sSub>
                              <m:sSubPr>
                                <m:ctrlPr>
                                  <w:rPr>
                                    <w:rFonts w:ascii="Cambria Math" w:hAnsi="Cambria Math"/>
                                    <w:bCs/>
                                    <w:i/>
                                    <w:szCs w:val="21"/>
                                  </w:rPr>
                                </m:ctrlPr>
                              </m:sSubPr>
                              <m:e>
                                <m:r>
                                  <w:rPr>
                                    <w:rFonts w:ascii="Cambria Math" w:hAnsi="Cambria Math"/>
                                    <w:szCs w:val="21"/>
                                  </w:rPr>
                                  <m:t>t</m:t>
                                </m:r>
                                <m:ctrlPr>
                                  <w:rPr>
                                    <w:rFonts w:ascii="Cambria Math" w:hAnsi="Cambria Math"/>
                                    <w:bCs/>
                                    <w:i/>
                                    <w:szCs w:val="21"/>
                                  </w:rPr>
                                </m:ctrlPr>
                              </m:e>
                              <m:sub>
                                <m:r>
                                  <w:rPr>
                                    <w:rFonts w:ascii="Cambria Math" w:hAnsi="Cambria Math"/>
                                    <w:szCs w:val="21"/>
                                  </w:rPr>
                                  <m:t>i</m:t>
                                </m:r>
                                <m:ctrlPr>
                                  <w:rPr>
                                    <w:rFonts w:ascii="Cambria Math" w:hAnsi="Cambria Math"/>
                                    <w:bCs/>
                                    <w:i/>
                                    <w:szCs w:val="21"/>
                                  </w:rPr>
                                </m:ctrlPr>
                              </m:sub>
                            </m:sSub>
                            <m:sSup>
                              <m:sSupPr>
                                <m:ctrlPr>
                                  <w:rPr>
                                    <w:rFonts w:ascii="Cambria Math" w:hAnsi="Cambria Math"/>
                                    <w:bCs/>
                                    <w:i/>
                                    <w:szCs w:val="21"/>
                                  </w:rPr>
                                </m:ctrlPr>
                              </m:sSupPr>
                              <m:e>
                                <m:r>
                                  <w:rPr>
                                    <w:rFonts w:ascii="Cambria Math" w:hAnsi="Cambria Math"/>
                                    <w:szCs w:val="21"/>
                                  </w:rPr>
                                  <m:t>10</m:t>
                                </m:r>
                                <m:ctrlPr>
                                  <w:rPr>
                                    <w:rFonts w:ascii="Cambria Math" w:hAnsi="Cambria Math"/>
                                    <w:bCs/>
                                    <w:i/>
                                    <w:szCs w:val="21"/>
                                  </w:rPr>
                                </m:ctrlPr>
                              </m:e>
                              <m:sup>
                                <m:r>
                                  <w:rPr>
                                    <w:rFonts w:ascii="Cambria Math" w:hAnsi="Cambria Math"/>
                                    <w:szCs w:val="21"/>
                                  </w:rPr>
                                  <m:t>0.1</m:t>
                                </m:r>
                                <m:sSub>
                                  <m:sSubPr>
                                    <m:ctrlPr>
                                      <w:rPr>
                                        <w:rFonts w:ascii="Cambria Math" w:hAnsi="Cambria Math"/>
                                        <w:bCs/>
                                        <w:i/>
                                        <w:szCs w:val="21"/>
                                      </w:rPr>
                                    </m:ctrlPr>
                                  </m:sSubPr>
                                  <m:e>
                                    <m:r>
                                      <w:rPr>
                                        <w:rFonts w:ascii="Cambria Math" w:hAnsi="Cambria Math"/>
                                        <w:szCs w:val="21"/>
                                      </w:rPr>
                                      <m:t>L</m:t>
                                    </m:r>
                                    <m:ctrlPr>
                                      <w:rPr>
                                        <w:rFonts w:ascii="Cambria Math" w:hAnsi="Cambria Math"/>
                                        <w:bCs/>
                                        <w:i/>
                                        <w:szCs w:val="21"/>
                                      </w:rPr>
                                    </m:ctrlPr>
                                  </m:e>
                                  <m:sub>
                                    <m:r>
                                      <w:rPr>
                                        <w:rFonts w:ascii="Cambria Math" w:hAnsi="Cambria Math"/>
                                        <w:szCs w:val="21"/>
                                      </w:rPr>
                                      <m:t>Ai</m:t>
                                    </m:r>
                                    <m:ctrlPr>
                                      <w:rPr>
                                        <w:rFonts w:ascii="Cambria Math" w:hAnsi="Cambria Math"/>
                                        <w:bCs/>
                                        <w:i/>
                                        <w:szCs w:val="21"/>
                                      </w:rPr>
                                    </m:ctrlPr>
                                  </m:sub>
                                </m:sSub>
                                <m:ctrlPr>
                                  <w:rPr>
                                    <w:rFonts w:ascii="Cambria Math" w:hAnsi="Cambria Math"/>
                                    <w:bCs/>
                                    <w:i/>
                                    <w:szCs w:val="21"/>
                                  </w:rPr>
                                </m:ctrlPr>
                              </m:sup>
                            </m:sSup>
                            <m:r>
                              <w:rPr>
                                <w:rFonts w:ascii="Cambria Math" w:hAnsi="Cambria Math"/>
                                <w:szCs w:val="21"/>
                              </w:rPr>
                              <m:t>+</m:t>
                            </m:r>
                            <m:nary>
                              <m:naryPr>
                                <m:chr m:val="∑"/>
                                <m:limLoc m:val="undOvr"/>
                                <m:ctrlPr>
                                  <w:rPr>
                                    <w:rFonts w:ascii="Cambria Math" w:hAnsi="Cambria Math"/>
                                    <w:bCs/>
                                    <w:i/>
                                    <w:szCs w:val="21"/>
                                  </w:rPr>
                                </m:ctrlPr>
                              </m:naryPr>
                              <m:sub>
                                <m:r>
                                  <w:rPr>
                                    <w:rFonts w:ascii="Cambria Math" w:hAnsi="Cambria Math"/>
                                    <w:szCs w:val="21"/>
                                  </w:rPr>
                                  <m:t>j=1</m:t>
                                </m:r>
                                <m:ctrlPr>
                                  <w:rPr>
                                    <w:rFonts w:ascii="Cambria Math" w:hAnsi="Cambria Math"/>
                                    <w:bCs/>
                                    <w:i/>
                                    <w:szCs w:val="21"/>
                                  </w:rPr>
                                </m:ctrlPr>
                              </m:sub>
                              <m:sup>
                                <m:r>
                                  <w:rPr>
                                    <w:rFonts w:ascii="Cambria Math" w:hAnsi="Cambria Math"/>
                                    <w:szCs w:val="21"/>
                                  </w:rPr>
                                  <m:t>M</m:t>
                                </m:r>
                                <m:ctrlPr>
                                  <w:rPr>
                                    <w:rFonts w:ascii="Cambria Math" w:hAnsi="Cambria Math"/>
                                    <w:bCs/>
                                    <w:i/>
                                    <w:szCs w:val="21"/>
                                  </w:rPr>
                                </m:ctrlPr>
                              </m:sup>
                              <m:e>
                                <m:sSub>
                                  <m:sSubPr>
                                    <m:ctrlPr>
                                      <w:rPr>
                                        <w:rFonts w:ascii="Cambria Math" w:hAnsi="Cambria Math"/>
                                        <w:bCs/>
                                        <w:i/>
                                        <w:szCs w:val="21"/>
                                      </w:rPr>
                                    </m:ctrlPr>
                                  </m:sSubPr>
                                  <m:e>
                                    <m:r>
                                      <w:rPr>
                                        <w:rFonts w:ascii="Cambria Math" w:hAnsi="Cambria Math"/>
                                        <w:szCs w:val="21"/>
                                      </w:rPr>
                                      <m:t>t</m:t>
                                    </m:r>
                                    <m:ctrlPr>
                                      <w:rPr>
                                        <w:rFonts w:ascii="Cambria Math" w:hAnsi="Cambria Math"/>
                                        <w:bCs/>
                                        <w:i/>
                                        <w:szCs w:val="21"/>
                                      </w:rPr>
                                    </m:ctrlPr>
                                  </m:e>
                                  <m:sub>
                                    <m:r>
                                      <w:rPr>
                                        <w:rFonts w:ascii="Cambria Math" w:hAnsi="Cambria Math"/>
                                        <w:szCs w:val="21"/>
                                      </w:rPr>
                                      <m:t>j</m:t>
                                    </m:r>
                                    <m:ctrlPr>
                                      <w:rPr>
                                        <w:rFonts w:ascii="Cambria Math" w:hAnsi="Cambria Math"/>
                                        <w:bCs/>
                                        <w:i/>
                                        <w:szCs w:val="21"/>
                                      </w:rPr>
                                    </m:ctrlPr>
                                  </m:sub>
                                </m:sSub>
                                <m:sSup>
                                  <m:sSupPr>
                                    <m:ctrlPr>
                                      <w:rPr>
                                        <w:rFonts w:ascii="Cambria Math" w:hAnsi="Cambria Math"/>
                                        <w:bCs/>
                                        <w:i/>
                                        <w:szCs w:val="21"/>
                                      </w:rPr>
                                    </m:ctrlPr>
                                  </m:sSupPr>
                                  <m:e>
                                    <m:r>
                                      <w:rPr>
                                        <w:rFonts w:ascii="Cambria Math" w:hAnsi="Cambria Math"/>
                                        <w:szCs w:val="21"/>
                                      </w:rPr>
                                      <m:t>10</m:t>
                                    </m:r>
                                    <m:ctrlPr>
                                      <w:rPr>
                                        <w:rFonts w:ascii="Cambria Math" w:hAnsi="Cambria Math"/>
                                        <w:bCs/>
                                        <w:i/>
                                        <w:szCs w:val="21"/>
                                      </w:rPr>
                                    </m:ctrlPr>
                                  </m:e>
                                  <m:sup>
                                    <m:r>
                                      <w:rPr>
                                        <w:rFonts w:ascii="Cambria Math" w:hAnsi="Cambria Math"/>
                                        <w:szCs w:val="21"/>
                                      </w:rPr>
                                      <m:t>0.1</m:t>
                                    </m:r>
                                    <m:sSub>
                                      <m:sSubPr>
                                        <m:ctrlPr>
                                          <w:rPr>
                                            <w:rFonts w:ascii="Cambria Math" w:hAnsi="Cambria Math"/>
                                            <w:bCs/>
                                            <w:i/>
                                            <w:szCs w:val="21"/>
                                          </w:rPr>
                                        </m:ctrlPr>
                                      </m:sSubPr>
                                      <m:e>
                                        <m:r>
                                          <w:rPr>
                                            <w:rFonts w:ascii="Cambria Math" w:hAnsi="Cambria Math"/>
                                            <w:szCs w:val="21"/>
                                          </w:rPr>
                                          <m:t>L</m:t>
                                        </m:r>
                                        <m:ctrlPr>
                                          <w:rPr>
                                            <w:rFonts w:ascii="Cambria Math" w:hAnsi="Cambria Math"/>
                                            <w:bCs/>
                                            <w:i/>
                                            <w:szCs w:val="21"/>
                                          </w:rPr>
                                        </m:ctrlPr>
                                      </m:e>
                                      <m:sub>
                                        <m:r>
                                          <w:rPr>
                                            <w:rFonts w:ascii="Cambria Math" w:hAnsi="Cambria Math"/>
                                            <w:szCs w:val="21"/>
                                          </w:rPr>
                                          <m:t>Aj</m:t>
                                        </m:r>
                                        <m:ctrlPr>
                                          <w:rPr>
                                            <w:rFonts w:ascii="Cambria Math" w:hAnsi="Cambria Math"/>
                                            <w:bCs/>
                                            <w:i/>
                                            <w:szCs w:val="21"/>
                                          </w:rPr>
                                        </m:ctrlPr>
                                      </m:sub>
                                    </m:sSub>
                                    <m:ctrlPr>
                                      <w:rPr>
                                        <w:rFonts w:ascii="Cambria Math" w:hAnsi="Cambria Math"/>
                                        <w:bCs/>
                                        <w:i/>
                                        <w:szCs w:val="21"/>
                                      </w:rPr>
                                    </m:ctrlPr>
                                  </m:sup>
                                </m:sSup>
                                <m:ctrlPr>
                                  <w:rPr>
                                    <w:rFonts w:ascii="Cambria Math" w:hAnsi="Cambria Math"/>
                                    <w:bCs/>
                                    <w:i/>
                                    <w:szCs w:val="21"/>
                                  </w:rPr>
                                </m:ctrlPr>
                              </m:e>
                            </m:nary>
                            <m:ctrlPr>
                              <w:rPr>
                                <w:rFonts w:ascii="Cambria Math" w:hAnsi="Cambria Math"/>
                                <w:bCs/>
                                <w:i/>
                                <w:szCs w:val="21"/>
                              </w:rPr>
                            </m:ctrlPr>
                          </m:e>
                        </m:nary>
                        <m:ctrlPr>
                          <w:rPr>
                            <w:rFonts w:ascii="Cambria Math" w:hAnsi="Cambria Math"/>
                            <w:bCs/>
                            <w:i/>
                            <w:szCs w:val="21"/>
                          </w:rPr>
                        </m:ctrlPr>
                      </m:e>
                    </m:d>
                    <m:ctrlPr>
                      <w:rPr>
                        <w:rFonts w:ascii="Cambria Math" w:hAnsi="Cambria Math"/>
                        <w:bCs/>
                        <w:i/>
                        <w:szCs w:val="21"/>
                      </w:rPr>
                    </m:ctrlPr>
                  </m:e>
                </m:d>
              </m:oMath>
            </m:oMathPara>
          </w:p>
          <w:p>
            <w:pPr>
              <w:adjustRightInd w:val="0"/>
              <w:snapToGrid w:val="0"/>
              <w:spacing w:line="400" w:lineRule="exact"/>
              <w:ind w:firstLine="420" w:firstLineChars="200"/>
              <w:rPr>
                <w:bCs/>
                <w:szCs w:val="21"/>
              </w:rPr>
            </w:pPr>
            <w:r>
              <w:rPr>
                <w:bCs/>
                <w:szCs w:val="21"/>
              </w:rPr>
              <w:t>式中：</w:t>
            </w:r>
          </w:p>
          <w:p>
            <w:pPr>
              <w:adjustRightInd w:val="0"/>
              <w:snapToGrid w:val="0"/>
              <w:spacing w:line="400" w:lineRule="exact"/>
              <w:ind w:firstLine="420" w:firstLineChars="200"/>
              <w:rPr>
                <w:bCs/>
                <w:szCs w:val="21"/>
              </w:rPr>
            </w:pPr>
            <m:oMath>
              <m:sSub>
                <m:sSubPr>
                  <m:ctrlPr>
                    <w:rPr>
                      <w:rFonts w:ascii="Cambria Math" w:hAnsi="Cambria Math"/>
                      <w:bCs/>
                      <w:i/>
                      <w:szCs w:val="21"/>
                    </w:rPr>
                  </m:ctrlPr>
                </m:sSubPr>
                <m:e>
                  <m:r>
                    <w:rPr>
                      <w:rFonts w:ascii="Cambria Math" w:hAnsi="Cambria Math"/>
                      <w:szCs w:val="21"/>
                    </w:rPr>
                    <m:t>L</m:t>
                  </m:r>
                  <m:ctrlPr>
                    <w:rPr>
                      <w:rFonts w:ascii="Cambria Math" w:hAnsi="Cambria Math"/>
                      <w:bCs/>
                      <w:i/>
                      <w:szCs w:val="21"/>
                    </w:rPr>
                  </m:ctrlPr>
                </m:e>
                <m:sub>
                  <m:r>
                    <w:rPr>
                      <w:rFonts w:ascii="Cambria Math" w:hAnsi="Cambria Math"/>
                      <w:szCs w:val="21"/>
                    </w:rPr>
                    <m:t>eqg</m:t>
                  </m:r>
                  <m:ctrlPr>
                    <w:rPr>
                      <w:rFonts w:ascii="Cambria Math" w:hAnsi="Cambria Math"/>
                      <w:bCs/>
                      <w:i/>
                      <w:szCs w:val="21"/>
                    </w:rPr>
                  </m:ctrlPr>
                </m:sub>
              </m:sSub>
            </m:oMath>
            <w:r>
              <w:rPr>
                <w:bCs/>
                <w:szCs w:val="21"/>
              </w:rPr>
              <w:t>—— 建设项目声源在预测点产生的噪声贡献值，dB；</w:t>
            </w:r>
          </w:p>
          <w:p>
            <w:pPr>
              <w:adjustRightInd w:val="0"/>
              <w:snapToGrid w:val="0"/>
              <w:spacing w:line="400" w:lineRule="exact"/>
              <w:ind w:firstLine="420" w:firstLineChars="200"/>
              <w:rPr>
                <w:bCs/>
                <w:szCs w:val="21"/>
              </w:rPr>
            </w:pPr>
            <w:r>
              <w:rPr>
                <w:bCs/>
                <w:szCs w:val="21"/>
              </w:rPr>
              <w:t>T—— 用于计算等效声级的时间，s；</w:t>
            </w:r>
          </w:p>
          <w:p>
            <w:pPr>
              <w:adjustRightInd w:val="0"/>
              <w:snapToGrid w:val="0"/>
              <w:spacing w:line="400" w:lineRule="exact"/>
              <w:ind w:firstLine="420" w:firstLineChars="200"/>
              <w:rPr>
                <w:bCs/>
                <w:szCs w:val="21"/>
              </w:rPr>
            </w:pPr>
            <w:r>
              <w:rPr>
                <w:bCs/>
                <w:szCs w:val="21"/>
              </w:rPr>
              <w:t>N—— 室外声源个数；</w:t>
            </w:r>
          </w:p>
          <w:p>
            <w:pPr>
              <w:adjustRightInd w:val="0"/>
              <w:snapToGrid w:val="0"/>
              <w:spacing w:line="400" w:lineRule="exact"/>
              <w:ind w:firstLine="420" w:firstLineChars="200"/>
              <w:rPr>
                <w:bCs/>
                <w:szCs w:val="21"/>
              </w:rPr>
            </w:pPr>
            <m:oMath>
              <m:sSub>
                <m:sSubPr>
                  <m:ctrlPr>
                    <w:rPr>
                      <w:rFonts w:ascii="Cambria Math" w:hAnsi="Cambria Math"/>
                      <w:bCs/>
                      <w:i/>
                      <w:szCs w:val="21"/>
                    </w:rPr>
                  </m:ctrlPr>
                </m:sSubPr>
                <m:e>
                  <m:r>
                    <w:rPr>
                      <w:rFonts w:ascii="Cambria Math" w:hAnsi="Cambria Math"/>
                      <w:szCs w:val="21"/>
                    </w:rPr>
                    <m:t>t</m:t>
                  </m:r>
                  <m:ctrlPr>
                    <w:rPr>
                      <w:rFonts w:ascii="Cambria Math" w:hAnsi="Cambria Math"/>
                      <w:bCs/>
                      <w:i/>
                      <w:szCs w:val="21"/>
                    </w:rPr>
                  </m:ctrlPr>
                </m:e>
                <m:sub>
                  <m:r>
                    <w:rPr>
                      <w:rFonts w:ascii="Cambria Math" w:hAnsi="Cambria Math"/>
                      <w:szCs w:val="21"/>
                    </w:rPr>
                    <m:t>i</m:t>
                  </m:r>
                  <m:ctrlPr>
                    <w:rPr>
                      <w:rFonts w:ascii="Cambria Math" w:hAnsi="Cambria Math"/>
                      <w:bCs/>
                      <w:i/>
                      <w:szCs w:val="21"/>
                    </w:rPr>
                  </m:ctrlPr>
                </m:sub>
              </m:sSub>
            </m:oMath>
            <w:r>
              <w:rPr>
                <w:bCs/>
                <w:szCs w:val="21"/>
              </w:rPr>
              <w:t>—— 在T时间内i声源工作时间，s；</w:t>
            </w:r>
          </w:p>
          <w:p>
            <w:pPr>
              <w:adjustRightInd w:val="0"/>
              <w:snapToGrid w:val="0"/>
              <w:spacing w:line="400" w:lineRule="exact"/>
              <w:ind w:firstLine="420" w:firstLineChars="200"/>
              <w:rPr>
                <w:bCs/>
                <w:szCs w:val="21"/>
              </w:rPr>
            </w:pPr>
            <w:r>
              <w:rPr>
                <w:bCs/>
                <w:szCs w:val="21"/>
              </w:rPr>
              <w:t>M—— 等效室外声源个数；</w:t>
            </w:r>
          </w:p>
          <w:p>
            <w:pPr>
              <w:adjustRightInd w:val="0"/>
              <w:snapToGrid w:val="0"/>
              <w:spacing w:line="400" w:lineRule="exact"/>
              <w:ind w:firstLine="420" w:firstLineChars="200"/>
              <w:rPr>
                <w:bCs/>
                <w:szCs w:val="21"/>
              </w:rPr>
            </w:pPr>
            <m:oMath>
              <m:sSub>
                <m:sSubPr>
                  <m:ctrlPr>
                    <w:rPr>
                      <w:rFonts w:ascii="Cambria Math" w:hAnsi="Cambria Math"/>
                      <w:bCs/>
                      <w:i/>
                      <w:szCs w:val="21"/>
                    </w:rPr>
                  </m:ctrlPr>
                </m:sSubPr>
                <m:e>
                  <m:r>
                    <w:rPr>
                      <w:rFonts w:ascii="Cambria Math" w:hAnsi="Cambria Math"/>
                      <w:szCs w:val="21"/>
                    </w:rPr>
                    <m:t>t</m:t>
                  </m:r>
                  <m:ctrlPr>
                    <w:rPr>
                      <w:rFonts w:ascii="Cambria Math" w:hAnsi="Cambria Math"/>
                      <w:bCs/>
                      <w:i/>
                      <w:szCs w:val="21"/>
                    </w:rPr>
                  </m:ctrlPr>
                </m:e>
                <m:sub>
                  <m:r>
                    <w:rPr>
                      <w:rFonts w:ascii="Cambria Math" w:hAnsi="Cambria Math"/>
                      <w:szCs w:val="21"/>
                    </w:rPr>
                    <m:t>j</m:t>
                  </m:r>
                  <m:ctrlPr>
                    <w:rPr>
                      <w:rFonts w:ascii="Cambria Math" w:hAnsi="Cambria Math"/>
                      <w:bCs/>
                      <w:i/>
                      <w:szCs w:val="21"/>
                    </w:rPr>
                  </m:ctrlPr>
                </m:sub>
              </m:sSub>
            </m:oMath>
            <w:r>
              <w:rPr>
                <w:bCs/>
                <w:szCs w:val="21"/>
              </w:rPr>
              <w:t>—— 在T时间内j声源工作时间，s。</w:t>
            </w:r>
          </w:p>
          <w:p>
            <w:pPr>
              <w:adjustRightInd w:val="0"/>
              <w:snapToGrid w:val="0"/>
              <w:spacing w:line="400" w:lineRule="exact"/>
              <w:ind w:firstLine="422" w:firstLineChars="200"/>
              <w:rPr>
                <w:rFonts w:hint="default" w:eastAsia="宋体"/>
                <w:b/>
                <w:szCs w:val="21"/>
                <w:lang w:val="en-US" w:eastAsia="zh-CN"/>
              </w:rPr>
            </w:pPr>
            <w:r>
              <w:rPr>
                <w:rFonts w:hint="eastAsia"/>
                <w:b/>
                <w:szCs w:val="21"/>
              </w:rPr>
              <w:t>3</w:t>
            </w:r>
            <w:r>
              <w:rPr>
                <w:b/>
                <w:szCs w:val="21"/>
              </w:rPr>
              <w:t>.</w:t>
            </w:r>
            <w:r>
              <w:rPr>
                <w:rFonts w:hint="eastAsia"/>
                <w:b/>
                <w:szCs w:val="21"/>
                <w:lang w:val="en-US" w:eastAsia="zh-CN"/>
              </w:rPr>
              <w:t>2预测参数</w:t>
            </w:r>
          </w:p>
          <w:p>
            <w:pPr>
              <w:adjustRightInd w:val="0"/>
              <w:snapToGrid w:val="0"/>
              <w:spacing w:line="400" w:lineRule="exact"/>
              <w:ind w:firstLine="422" w:firstLineChars="200"/>
              <w:rPr>
                <w:b/>
                <w:szCs w:val="21"/>
              </w:rPr>
            </w:pPr>
            <w:r>
              <w:rPr>
                <w:rFonts w:hint="eastAsia"/>
                <w:b/>
                <w:szCs w:val="21"/>
              </w:rPr>
              <w:t>（1）气候数据</w:t>
            </w:r>
          </w:p>
          <w:p>
            <w:pPr>
              <w:adjustRightInd w:val="0"/>
              <w:snapToGrid w:val="0"/>
              <w:spacing w:line="400" w:lineRule="exact"/>
              <w:ind w:firstLine="420" w:firstLineChars="200"/>
              <w:rPr>
                <w:bCs/>
                <w:szCs w:val="21"/>
              </w:rPr>
            </w:pPr>
            <w:r>
              <w:rPr>
                <w:rFonts w:hint="eastAsia"/>
                <w:bCs/>
                <w:szCs w:val="21"/>
              </w:rPr>
              <w:t>本项目选址位于秦皇岛市抚宁区，属于季风暖温带滨海半湿润气候区，四季分明，雨热同期，季风显著，冬季雪少风寒，夏季炎热多雨，噪声预测所需气象数据如下：</w:t>
            </w:r>
          </w:p>
          <w:p>
            <w:pPr>
              <w:spacing w:line="400" w:lineRule="exact"/>
              <w:jc w:val="center"/>
              <w:rPr>
                <w:b/>
                <w:szCs w:val="21"/>
              </w:rPr>
            </w:pPr>
            <w:r>
              <w:rPr>
                <w:b/>
                <w:szCs w:val="21"/>
              </w:rPr>
              <w:t>表4-</w:t>
            </w:r>
            <w:r>
              <w:rPr>
                <w:rFonts w:hint="eastAsia"/>
                <w:b/>
                <w:szCs w:val="21"/>
                <w:lang w:val="en-US" w:eastAsia="zh-CN"/>
              </w:rPr>
              <w:t>9</w:t>
            </w:r>
            <w:r>
              <w:rPr>
                <w:b/>
                <w:szCs w:val="21"/>
              </w:rPr>
              <w:t xml:space="preserve">   区域主要气象参数统计数据一览表</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279"/>
              <w:gridCol w:w="2343"/>
              <w:gridCol w:w="1368"/>
              <w:gridCol w:w="2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806" w:type="pct"/>
                </w:tcPr>
                <w:p>
                  <w:pPr>
                    <w:adjustRightInd w:val="0"/>
                    <w:snapToGrid w:val="0"/>
                    <w:jc w:val="center"/>
                    <w:rPr>
                      <w:bCs/>
                      <w:szCs w:val="21"/>
                    </w:rPr>
                  </w:pPr>
                  <w:r>
                    <w:rPr>
                      <w:rFonts w:hint="eastAsia"/>
                      <w:bCs/>
                      <w:szCs w:val="21"/>
                    </w:rPr>
                    <w:t>序号</w:t>
                  </w:r>
                </w:p>
              </w:tc>
              <w:tc>
                <w:tcPr>
                  <w:tcW w:w="1476" w:type="pct"/>
                  <w:vAlign w:val="center"/>
                </w:tcPr>
                <w:p>
                  <w:pPr>
                    <w:adjustRightInd w:val="0"/>
                    <w:snapToGrid w:val="0"/>
                    <w:jc w:val="center"/>
                    <w:rPr>
                      <w:bCs/>
                      <w:szCs w:val="21"/>
                    </w:rPr>
                  </w:pPr>
                  <w:r>
                    <w:rPr>
                      <w:bCs/>
                      <w:szCs w:val="21"/>
                    </w:rPr>
                    <w:t>项  目</w:t>
                  </w:r>
                </w:p>
              </w:tc>
              <w:tc>
                <w:tcPr>
                  <w:tcW w:w="862" w:type="pct"/>
                  <w:vAlign w:val="center"/>
                </w:tcPr>
                <w:p>
                  <w:pPr>
                    <w:adjustRightInd w:val="0"/>
                    <w:snapToGrid w:val="0"/>
                    <w:jc w:val="center"/>
                    <w:rPr>
                      <w:bCs/>
                      <w:szCs w:val="21"/>
                    </w:rPr>
                  </w:pPr>
                  <w:r>
                    <w:rPr>
                      <w:bCs/>
                      <w:szCs w:val="21"/>
                    </w:rPr>
                    <w:t>单位</w:t>
                  </w:r>
                </w:p>
              </w:tc>
              <w:tc>
                <w:tcPr>
                  <w:tcW w:w="1856" w:type="pct"/>
                  <w:vAlign w:val="center"/>
                </w:tcPr>
                <w:p>
                  <w:pPr>
                    <w:adjustRightInd w:val="0"/>
                    <w:snapToGrid w:val="0"/>
                    <w:jc w:val="center"/>
                    <w:rPr>
                      <w:bCs/>
                      <w:szCs w:val="21"/>
                    </w:rPr>
                  </w:pPr>
                  <w:r>
                    <w:rPr>
                      <w:rFonts w:hint="eastAsia"/>
                      <w:bCs/>
                      <w:szCs w:val="21"/>
                    </w:rPr>
                    <w:t>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806" w:type="pct"/>
                </w:tcPr>
                <w:p>
                  <w:pPr>
                    <w:adjustRightInd w:val="0"/>
                    <w:snapToGrid w:val="0"/>
                    <w:jc w:val="center"/>
                    <w:rPr>
                      <w:bCs/>
                      <w:szCs w:val="21"/>
                    </w:rPr>
                  </w:pPr>
                  <w:r>
                    <w:rPr>
                      <w:rFonts w:hint="eastAsia"/>
                      <w:bCs/>
                      <w:szCs w:val="21"/>
                    </w:rPr>
                    <w:t>1</w:t>
                  </w:r>
                </w:p>
              </w:tc>
              <w:tc>
                <w:tcPr>
                  <w:tcW w:w="1476" w:type="pct"/>
                  <w:vAlign w:val="center"/>
                </w:tcPr>
                <w:p>
                  <w:pPr>
                    <w:adjustRightInd w:val="0"/>
                    <w:snapToGrid w:val="0"/>
                    <w:jc w:val="center"/>
                    <w:rPr>
                      <w:bCs/>
                      <w:szCs w:val="21"/>
                    </w:rPr>
                  </w:pPr>
                  <w:r>
                    <w:rPr>
                      <w:bCs/>
                      <w:szCs w:val="21"/>
                    </w:rPr>
                    <w:t>多年平均气温</w:t>
                  </w:r>
                </w:p>
              </w:tc>
              <w:tc>
                <w:tcPr>
                  <w:tcW w:w="862" w:type="pct"/>
                  <w:vAlign w:val="center"/>
                </w:tcPr>
                <w:p>
                  <w:pPr>
                    <w:adjustRightInd w:val="0"/>
                    <w:snapToGrid w:val="0"/>
                    <w:jc w:val="center"/>
                    <w:rPr>
                      <w:bCs/>
                      <w:szCs w:val="21"/>
                    </w:rPr>
                  </w:pPr>
                  <w:r>
                    <w:rPr>
                      <w:bCs/>
                      <w:szCs w:val="21"/>
                    </w:rPr>
                    <w:t>℃</w:t>
                  </w:r>
                </w:p>
              </w:tc>
              <w:tc>
                <w:tcPr>
                  <w:tcW w:w="1856" w:type="pct"/>
                  <w:vAlign w:val="center"/>
                </w:tcPr>
                <w:p>
                  <w:pPr>
                    <w:adjustRightInd w:val="0"/>
                    <w:snapToGrid w:val="0"/>
                    <w:jc w:val="center"/>
                    <w:rPr>
                      <w:bCs/>
                      <w:szCs w:val="21"/>
                    </w:rPr>
                  </w:pPr>
                  <w:r>
                    <w:rPr>
                      <w:bCs/>
                      <w:szCs w:val="21"/>
                    </w:rPr>
                    <w:t>11.4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806" w:type="pct"/>
                </w:tcPr>
                <w:p>
                  <w:pPr>
                    <w:adjustRightInd w:val="0"/>
                    <w:snapToGrid w:val="0"/>
                    <w:jc w:val="center"/>
                    <w:rPr>
                      <w:bCs/>
                      <w:szCs w:val="21"/>
                    </w:rPr>
                  </w:pPr>
                  <w:r>
                    <w:rPr>
                      <w:rFonts w:hint="eastAsia"/>
                      <w:bCs/>
                      <w:szCs w:val="21"/>
                    </w:rPr>
                    <w:t>2</w:t>
                  </w:r>
                </w:p>
              </w:tc>
              <w:tc>
                <w:tcPr>
                  <w:tcW w:w="1476" w:type="pct"/>
                  <w:vAlign w:val="center"/>
                </w:tcPr>
                <w:p>
                  <w:pPr>
                    <w:adjustRightInd w:val="0"/>
                    <w:snapToGrid w:val="0"/>
                    <w:jc w:val="center"/>
                    <w:rPr>
                      <w:bCs/>
                      <w:szCs w:val="21"/>
                    </w:rPr>
                  </w:pPr>
                  <w:r>
                    <w:rPr>
                      <w:rFonts w:hint="eastAsia"/>
                      <w:bCs/>
                      <w:szCs w:val="21"/>
                    </w:rPr>
                    <w:t>多年主导风向</w:t>
                  </w:r>
                </w:p>
              </w:tc>
              <w:tc>
                <w:tcPr>
                  <w:tcW w:w="862" w:type="pct"/>
                  <w:vAlign w:val="center"/>
                </w:tcPr>
                <w:p>
                  <w:pPr>
                    <w:adjustRightInd w:val="0"/>
                    <w:snapToGrid w:val="0"/>
                    <w:jc w:val="center"/>
                    <w:rPr>
                      <w:bCs/>
                      <w:szCs w:val="21"/>
                    </w:rPr>
                  </w:pPr>
                  <w:r>
                    <w:rPr>
                      <w:rFonts w:hint="eastAsia"/>
                      <w:bCs/>
                      <w:szCs w:val="21"/>
                    </w:rPr>
                    <w:t>/</w:t>
                  </w:r>
                </w:p>
              </w:tc>
              <w:tc>
                <w:tcPr>
                  <w:tcW w:w="1856" w:type="pct"/>
                  <w:vAlign w:val="center"/>
                </w:tcPr>
                <w:p>
                  <w:pPr>
                    <w:adjustRightInd w:val="0"/>
                    <w:snapToGrid w:val="0"/>
                    <w:jc w:val="center"/>
                    <w:rPr>
                      <w:bCs/>
                      <w:szCs w:val="21"/>
                    </w:rPr>
                  </w:pPr>
                  <w:r>
                    <w:rPr>
                      <w:kern w:val="0"/>
                      <w:szCs w:val="21"/>
                    </w:rPr>
                    <w:t>WNW、NW和NNW</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806" w:type="pct"/>
                </w:tcPr>
                <w:p>
                  <w:pPr>
                    <w:adjustRightInd w:val="0"/>
                    <w:snapToGrid w:val="0"/>
                    <w:jc w:val="center"/>
                    <w:rPr>
                      <w:bCs/>
                      <w:szCs w:val="21"/>
                    </w:rPr>
                  </w:pPr>
                  <w:r>
                    <w:rPr>
                      <w:rFonts w:hint="eastAsia"/>
                      <w:bCs/>
                      <w:szCs w:val="21"/>
                    </w:rPr>
                    <w:t>3</w:t>
                  </w:r>
                </w:p>
              </w:tc>
              <w:tc>
                <w:tcPr>
                  <w:tcW w:w="1476" w:type="pct"/>
                  <w:vAlign w:val="center"/>
                </w:tcPr>
                <w:p>
                  <w:pPr>
                    <w:adjustRightInd w:val="0"/>
                    <w:snapToGrid w:val="0"/>
                    <w:jc w:val="center"/>
                    <w:rPr>
                      <w:bCs/>
                      <w:szCs w:val="21"/>
                    </w:rPr>
                  </w:pPr>
                  <w:r>
                    <w:rPr>
                      <w:bCs/>
                      <w:szCs w:val="21"/>
                    </w:rPr>
                    <w:t>多年平均风速</w:t>
                  </w:r>
                </w:p>
              </w:tc>
              <w:tc>
                <w:tcPr>
                  <w:tcW w:w="862" w:type="pct"/>
                  <w:vAlign w:val="center"/>
                </w:tcPr>
                <w:p>
                  <w:pPr>
                    <w:adjustRightInd w:val="0"/>
                    <w:snapToGrid w:val="0"/>
                    <w:jc w:val="center"/>
                    <w:rPr>
                      <w:bCs/>
                      <w:szCs w:val="21"/>
                    </w:rPr>
                  </w:pPr>
                  <w:r>
                    <w:rPr>
                      <w:bCs/>
                      <w:szCs w:val="21"/>
                    </w:rPr>
                    <w:t>m/s</w:t>
                  </w:r>
                </w:p>
              </w:tc>
              <w:tc>
                <w:tcPr>
                  <w:tcW w:w="1856" w:type="pct"/>
                  <w:vAlign w:val="center"/>
                </w:tcPr>
                <w:p>
                  <w:pPr>
                    <w:adjustRightInd w:val="0"/>
                    <w:snapToGrid w:val="0"/>
                    <w:jc w:val="center"/>
                    <w:rPr>
                      <w:bCs/>
                      <w:szCs w:val="21"/>
                    </w:rPr>
                  </w:pPr>
                  <w:r>
                    <w:rPr>
                      <w:bCs/>
                      <w:szCs w:val="21"/>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806" w:type="pct"/>
                </w:tcPr>
                <w:p>
                  <w:pPr>
                    <w:adjustRightInd w:val="0"/>
                    <w:snapToGrid w:val="0"/>
                    <w:jc w:val="center"/>
                    <w:rPr>
                      <w:bCs/>
                      <w:szCs w:val="21"/>
                    </w:rPr>
                  </w:pPr>
                  <w:r>
                    <w:rPr>
                      <w:rFonts w:hint="eastAsia"/>
                      <w:bCs/>
                      <w:szCs w:val="21"/>
                    </w:rPr>
                    <w:t>4</w:t>
                  </w:r>
                </w:p>
              </w:tc>
              <w:tc>
                <w:tcPr>
                  <w:tcW w:w="1476" w:type="pct"/>
                  <w:vAlign w:val="center"/>
                </w:tcPr>
                <w:p>
                  <w:pPr>
                    <w:adjustRightInd w:val="0"/>
                    <w:snapToGrid w:val="0"/>
                    <w:jc w:val="center"/>
                    <w:rPr>
                      <w:bCs/>
                      <w:szCs w:val="21"/>
                    </w:rPr>
                  </w:pPr>
                  <w:r>
                    <w:rPr>
                      <w:bCs/>
                      <w:szCs w:val="21"/>
                    </w:rPr>
                    <w:t>平均相对湿度</w:t>
                  </w:r>
                </w:p>
              </w:tc>
              <w:tc>
                <w:tcPr>
                  <w:tcW w:w="862" w:type="pct"/>
                  <w:vAlign w:val="center"/>
                </w:tcPr>
                <w:p>
                  <w:pPr>
                    <w:adjustRightInd w:val="0"/>
                    <w:snapToGrid w:val="0"/>
                    <w:jc w:val="center"/>
                    <w:rPr>
                      <w:bCs/>
                      <w:szCs w:val="21"/>
                    </w:rPr>
                  </w:pPr>
                  <w:r>
                    <w:rPr>
                      <w:bCs/>
                      <w:szCs w:val="21"/>
                    </w:rPr>
                    <w:t>%</w:t>
                  </w:r>
                </w:p>
              </w:tc>
              <w:tc>
                <w:tcPr>
                  <w:tcW w:w="1856" w:type="pct"/>
                  <w:vAlign w:val="center"/>
                </w:tcPr>
                <w:p>
                  <w:pPr>
                    <w:adjustRightInd w:val="0"/>
                    <w:snapToGrid w:val="0"/>
                    <w:jc w:val="center"/>
                    <w:rPr>
                      <w:bCs/>
                      <w:szCs w:val="21"/>
                    </w:rPr>
                  </w:pPr>
                  <w:r>
                    <w:rPr>
                      <w:bCs/>
                      <w:szCs w:val="21"/>
                    </w:rPr>
                    <w:t>62</w:t>
                  </w:r>
                </w:p>
              </w:tc>
            </w:tr>
          </w:tbl>
          <w:p>
            <w:pPr>
              <w:adjustRightInd w:val="0"/>
              <w:snapToGrid w:val="0"/>
              <w:spacing w:line="400" w:lineRule="exact"/>
              <w:ind w:firstLine="422" w:firstLineChars="200"/>
              <w:rPr>
                <w:rFonts w:hint="eastAsia" w:ascii="Times New Roman" w:hAnsi="Times New Roman" w:eastAsia="宋体" w:cs="Times New Roman"/>
                <w:b/>
                <w:szCs w:val="21"/>
              </w:rPr>
            </w:pPr>
            <w:r>
              <w:rPr>
                <w:rFonts w:hint="eastAsia" w:ascii="Times New Roman" w:hAnsi="Times New Roman" w:eastAsia="宋体" w:cs="Times New Roman"/>
                <w:b/>
                <w:szCs w:val="21"/>
              </w:rPr>
              <w:t>（</w:t>
            </w:r>
            <w:r>
              <w:rPr>
                <w:rFonts w:hint="eastAsia" w:ascii="Times New Roman" w:hAnsi="Times New Roman" w:eastAsia="宋体" w:cs="Times New Roman"/>
                <w:b/>
                <w:szCs w:val="21"/>
                <w:lang w:val="en-US" w:eastAsia="zh-CN"/>
              </w:rPr>
              <w:t>2</w:t>
            </w:r>
            <w:r>
              <w:rPr>
                <w:rFonts w:hint="eastAsia" w:ascii="Times New Roman" w:hAnsi="Times New Roman" w:eastAsia="宋体" w:cs="Times New Roman"/>
                <w:b/>
                <w:szCs w:val="21"/>
              </w:rPr>
              <w:t>）噪声源强</w:t>
            </w:r>
          </w:p>
          <w:p>
            <w:pPr>
              <w:adjustRightInd w:val="0"/>
              <w:snapToGrid w:val="0"/>
              <w:spacing w:line="400" w:lineRule="exact"/>
              <w:ind w:firstLine="420" w:firstLineChars="200"/>
              <w:rPr>
                <w:bCs/>
                <w:szCs w:val="21"/>
              </w:rPr>
            </w:pPr>
            <w:r>
              <w:rPr>
                <w:rFonts w:hint="eastAsia"/>
                <w:bCs/>
                <w:szCs w:val="21"/>
              </w:rPr>
              <w:t>项目噪声主要为预涂膜生产线、切割机</w:t>
            </w:r>
            <w:r>
              <w:rPr>
                <w:rFonts w:hint="eastAsia"/>
                <w:bCs/>
                <w:szCs w:val="21"/>
                <w:lang w:eastAsia="zh-CN"/>
              </w:rPr>
              <w:t>、</w:t>
            </w:r>
            <w:r>
              <w:rPr>
                <w:rFonts w:hint="eastAsia"/>
                <w:bCs/>
                <w:szCs w:val="21"/>
              </w:rPr>
              <w:t>风机等设备运行噪声，噪声源强约为7</w:t>
            </w:r>
            <w:r>
              <w:rPr>
                <w:rFonts w:hint="eastAsia"/>
                <w:bCs/>
                <w:szCs w:val="21"/>
                <w:lang w:val="en-US" w:eastAsia="zh-CN"/>
              </w:rPr>
              <w:t>5</w:t>
            </w:r>
            <w:r>
              <w:rPr>
                <w:rFonts w:hint="eastAsia"/>
                <w:bCs/>
                <w:szCs w:val="21"/>
              </w:rPr>
              <w:t>~90dB（A）</w:t>
            </w:r>
            <w:r>
              <w:rPr>
                <w:rFonts w:hint="eastAsia"/>
                <w:bCs/>
                <w:szCs w:val="21"/>
                <w:lang w:eastAsia="zh-CN"/>
              </w:rPr>
              <w:t>。</w:t>
            </w:r>
          </w:p>
          <w:p>
            <w:pPr>
              <w:adjustRightInd w:val="0"/>
              <w:snapToGrid w:val="0"/>
              <w:spacing w:line="400" w:lineRule="exact"/>
              <w:ind w:firstLine="420" w:firstLineChars="200"/>
              <w:rPr>
                <w:bCs/>
                <w:szCs w:val="21"/>
              </w:rPr>
            </w:pPr>
            <w:r>
              <w:rPr>
                <w:rFonts w:hint="eastAsia"/>
                <w:bCs/>
                <w:szCs w:val="21"/>
              </w:rPr>
              <w:t>具体如下：</w:t>
            </w:r>
          </w:p>
          <w:p>
            <w:pPr>
              <w:spacing w:line="400" w:lineRule="exact"/>
              <w:jc w:val="center"/>
              <w:rPr>
                <w:b/>
                <w:szCs w:val="21"/>
              </w:rPr>
            </w:pPr>
            <w:r>
              <w:rPr>
                <w:rFonts w:hint="eastAsia"/>
                <w:b/>
                <w:szCs w:val="21"/>
              </w:rPr>
              <w:t>表</w:t>
            </w:r>
            <w:r>
              <w:rPr>
                <w:b/>
                <w:szCs w:val="21"/>
              </w:rPr>
              <w:t>4-1</w:t>
            </w:r>
            <w:r>
              <w:rPr>
                <w:rFonts w:hint="eastAsia"/>
                <w:b/>
                <w:szCs w:val="21"/>
                <w:lang w:val="en-US" w:eastAsia="zh-CN"/>
              </w:rPr>
              <w:t>0</w:t>
            </w:r>
            <w:r>
              <w:rPr>
                <w:b/>
                <w:szCs w:val="21"/>
              </w:rPr>
              <w:t xml:space="preserve"> </w:t>
            </w:r>
            <w:r>
              <w:rPr>
                <w:rFonts w:hint="eastAsia"/>
                <w:b/>
                <w:szCs w:val="21"/>
              </w:rPr>
              <w:t xml:space="preserve">工业企业噪声源强调查清单（室内声源） </w:t>
            </w:r>
            <w:r>
              <w:rPr>
                <w:b/>
                <w:szCs w:val="21"/>
              </w:rPr>
              <w:t xml:space="preserve">    </w:t>
            </w:r>
            <w:r>
              <w:rPr>
                <w:rFonts w:hint="eastAsia"/>
                <w:b/>
                <w:szCs w:val="21"/>
              </w:rPr>
              <w:t>单位：</w:t>
            </w:r>
            <w:r>
              <w:rPr>
                <w:b/>
                <w:szCs w:val="21"/>
              </w:rPr>
              <w:t>dB</w:t>
            </w:r>
            <w:r>
              <w:rPr>
                <w:rFonts w:hint="eastAsia"/>
                <w:b/>
                <w:szCs w:val="21"/>
              </w:rPr>
              <w:t>（A）</w:t>
            </w:r>
          </w:p>
          <w:tbl>
            <w:tblPr>
              <w:tblStyle w:val="90"/>
              <w:tblW w:w="4994" w:type="pct"/>
              <w:tblInd w:w="0" w:type="dxa"/>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212"/>
              <w:gridCol w:w="601"/>
              <w:gridCol w:w="705"/>
              <w:gridCol w:w="495"/>
              <w:gridCol w:w="270"/>
              <w:gridCol w:w="240"/>
              <w:gridCol w:w="240"/>
              <w:gridCol w:w="240"/>
              <w:gridCol w:w="270"/>
              <w:gridCol w:w="255"/>
              <w:gridCol w:w="240"/>
              <w:gridCol w:w="374"/>
              <w:gridCol w:w="345"/>
              <w:gridCol w:w="405"/>
              <w:gridCol w:w="374"/>
              <w:gridCol w:w="435"/>
              <w:gridCol w:w="417"/>
              <w:gridCol w:w="412"/>
              <w:gridCol w:w="371"/>
              <w:gridCol w:w="436"/>
              <w:gridCol w:w="363"/>
              <w:gridCol w:w="216"/>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27" w:hRule="atLeast"/>
              </w:trPr>
              <w:tc>
                <w:tcPr>
                  <w:tcW w:w="212" w:type="dxa"/>
                  <w:vMerge w:val="restart"/>
                  <w:tcBorders>
                    <w:top w:val="single" w:color="000000" w:sz="8" w:space="0"/>
                    <w:left w:val="single" w:color="000000" w:sz="8"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噪声源</w:t>
                  </w:r>
                </w:p>
              </w:tc>
              <w:tc>
                <w:tcPr>
                  <w:tcW w:w="601" w:type="dxa"/>
                  <w:vMerge w:val="restart"/>
                  <w:tcBorders>
                    <w:top w:val="single" w:color="000000" w:sz="8"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设备名称</w:t>
                  </w:r>
                </w:p>
              </w:tc>
              <w:tc>
                <w:tcPr>
                  <w:tcW w:w="705" w:type="dxa"/>
                  <w:vMerge w:val="restart"/>
                  <w:tcBorders>
                    <w:top w:val="single" w:color="000000" w:sz="8"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控制措施</w:t>
                  </w:r>
                </w:p>
              </w:tc>
              <w:tc>
                <w:tcPr>
                  <w:tcW w:w="495" w:type="dxa"/>
                  <w:vMerge w:val="restart"/>
                  <w:tcBorders>
                    <w:top w:val="single" w:color="000000" w:sz="8"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声源源强/声功率级dB(A)</w:t>
                  </w:r>
                </w:p>
              </w:tc>
              <w:tc>
                <w:tcPr>
                  <w:tcW w:w="750" w:type="dxa"/>
                  <w:gridSpan w:val="3"/>
                  <w:tcBorders>
                    <w:top w:val="single" w:color="000000" w:sz="8"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空间相对位置/m</w:t>
                  </w:r>
                </w:p>
              </w:tc>
              <w:tc>
                <w:tcPr>
                  <w:tcW w:w="1005" w:type="dxa"/>
                  <w:gridSpan w:val="4"/>
                  <w:tcBorders>
                    <w:top w:val="single" w:color="000000" w:sz="8"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距室内边界距离</w:t>
                  </w:r>
                </w:p>
              </w:tc>
              <w:tc>
                <w:tcPr>
                  <w:tcW w:w="1500" w:type="dxa"/>
                  <w:gridSpan w:val="4"/>
                  <w:tcBorders>
                    <w:top w:val="single" w:color="000000" w:sz="8"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室内边界声级/dB(A)</w:t>
                  </w:r>
                </w:p>
              </w:tc>
              <w:tc>
                <w:tcPr>
                  <w:tcW w:w="435" w:type="dxa"/>
                  <w:vMerge w:val="restart"/>
                  <w:tcBorders>
                    <w:top w:val="single" w:color="000000" w:sz="8"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运行时段</w:t>
                  </w:r>
                </w:p>
              </w:tc>
              <w:tc>
                <w:tcPr>
                  <w:tcW w:w="417" w:type="dxa"/>
                  <w:vMerge w:val="restart"/>
                  <w:tcBorders>
                    <w:top w:val="single" w:color="000000" w:sz="8"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建筑物插入损失/dB(A)</w:t>
                  </w:r>
                </w:p>
              </w:tc>
              <w:tc>
                <w:tcPr>
                  <w:tcW w:w="1798" w:type="dxa"/>
                  <w:gridSpan w:val="5"/>
                  <w:tcBorders>
                    <w:top w:val="single" w:color="000000" w:sz="8" w:space="0"/>
                    <w:left w:val="single" w:color="000000" w:sz="4" w:space="0"/>
                    <w:bottom w:val="single" w:color="000000" w:sz="4" w:space="0"/>
                    <w:right w:val="single" w:color="000000" w:sz="8"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建筑物外噪声</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27" w:hRule="atLeast"/>
              </w:trPr>
              <w:tc>
                <w:tcPr>
                  <w:tcW w:w="212" w:type="dxa"/>
                  <w:vMerge w:val="continue"/>
                  <w:tcBorders>
                    <w:top w:val="single" w:color="000000" w:sz="8" w:space="0"/>
                    <w:left w:val="single" w:color="000000" w:sz="8"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601" w:type="dxa"/>
                  <w:vMerge w:val="continue"/>
                  <w:tcBorders>
                    <w:top w:val="single" w:color="000000" w:sz="8"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705" w:type="dxa"/>
                  <w:vMerge w:val="continue"/>
                  <w:tcBorders>
                    <w:top w:val="single" w:color="000000" w:sz="8"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495" w:type="dxa"/>
                  <w:vMerge w:val="continue"/>
                  <w:tcBorders>
                    <w:top w:val="single" w:color="000000" w:sz="8"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27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x</w:t>
                  </w:r>
                </w:p>
              </w:tc>
              <w:tc>
                <w:tcPr>
                  <w:tcW w:w="24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y</w:t>
                  </w:r>
                </w:p>
              </w:tc>
              <w:tc>
                <w:tcPr>
                  <w:tcW w:w="24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z</w:t>
                  </w:r>
                </w:p>
              </w:tc>
              <w:tc>
                <w:tcPr>
                  <w:tcW w:w="24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东</w:t>
                  </w:r>
                </w:p>
              </w:tc>
              <w:tc>
                <w:tcPr>
                  <w:tcW w:w="27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南</w:t>
                  </w:r>
                </w:p>
              </w:tc>
              <w:tc>
                <w:tcPr>
                  <w:tcW w:w="255"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西</w:t>
                  </w:r>
                </w:p>
              </w:tc>
              <w:tc>
                <w:tcPr>
                  <w:tcW w:w="240"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北</w:t>
                  </w:r>
                </w:p>
              </w:tc>
              <w:tc>
                <w:tcPr>
                  <w:tcW w:w="375"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东</w:t>
                  </w:r>
                </w:p>
              </w:tc>
              <w:tc>
                <w:tcPr>
                  <w:tcW w:w="345"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南</w:t>
                  </w:r>
                </w:p>
              </w:tc>
              <w:tc>
                <w:tcPr>
                  <w:tcW w:w="405"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西</w:t>
                  </w:r>
                </w:p>
              </w:tc>
              <w:tc>
                <w:tcPr>
                  <w:tcW w:w="375"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北</w:t>
                  </w:r>
                </w:p>
              </w:tc>
              <w:tc>
                <w:tcPr>
                  <w:tcW w:w="435" w:type="dxa"/>
                  <w:vMerge w:val="continue"/>
                  <w:tcBorders>
                    <w:top w:val="single" w:color="000000" w:sz="8"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417" w:type="dxa"/>
                  <w:vMerge w:val="continue"/>
                  <w:tcBorders>
                    <w:top w:val="single" w:color="000000" w:sz="8"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1582" w:type="dxa"/>
                  <w:gridSpan w:val="4"/>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声压级/dB(A）</w:t>
                  </w:r>
                </w:p>
              </w:tc>
              <w:tc>
                <w:tcPr>
                  <w:tcW w:w="216" w:type="dxa"/>
                  <w:vMerge w:val="restart"/>
                  <w:tcBorders>
                    <w:top w:val="single" w:color="000000" w:sz="4" w:space="0"/>
                    <w:left w:val="single" w:color="000000" w:sz="4" w:space="0"/>
                    <w:bottom w:val="single" w:color="000000" w:sz="4" w:space="0"/>
                    <w:right w:val="single" w:color="000000" w:sz="8"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建筑物外距离</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27" w:hRule="atLeast"/>
              </w:trPr>
              <w:tc>
                <w:tcPr>
                  <w:tcW w:w="212" w:type="dxa"/>
                  <w:vMerge w:val="continue"/>
                  <w:tcBorders>
                    <w:top w:val="single" w:color="000000" w:sz="8" w:space="0"/>
                    <w:left w:val="single" w:color="000000" w:sz="8"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601" w:type="dxa"/>
                  <w:vMerge w:val="continue"/>
                  <w:tcBorders>
                    <w:top w:val="single" w:color="000000" w:sz="8"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705" w:type="dxa"/>
                  <w:vMerge w:val="continue"/>
                  <w:tcBorders>
                    <w:top w:val="single" w:color="000000" w:sz="8"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495" w:type="dxa"/>
                  <w:vMerge w:val="continue"/>
                  <w:tcBorders>
                    <w:top w:val="single" w:color="000000" w:sz="8"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27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24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24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24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27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25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24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37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34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40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37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435" w:type="dxa"/>
                  <w:vMerge w:val="continue"/>
                  <w:tcBorders>
                    <w:top w:val="single" w:color="000000" w:sz="8"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417" w:type="dxa"/>
                  <w:vMerge w:val="continue"/>
                  <w:tcBorders>
                    <w:top w:val="single" w:color="000000" w:sz="8"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412" w:type="dxa"/>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东</w:t>
                  </w:r>
                </w:p>
              </w:tc>
              <w:tc>
                <w:tcPr>
                  <w:tcW w:w="371" w:type="dxa"/>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南</w:t>
                  </w:r>
                </w:p>
              </w:tc>
              <w:tc>
                <w:tcPr>
                  <w:tcW w:w="436" w:type="dxa"/>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西</w:t>
                  </w:r>
                </w:p>
              </w:tc>
              <w:tc>
                <w:tcPr>
                  <w:tcW w:w="363" w:type="dxa"/>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北</w:t>
                  </w:r>
                </w:p>
              </w:tc>
              <w:tc>
                <w:tcPr>
                  <w:tcW w:w="216" w:type="dxa"/>
                  <w:vMerge w:val="continue"/>
                  <w:tcBorders>
                    <w:top w:val="single" w:color="000000" w:sz="4" w:space="0"/>
                    <w:left w:val="single" w:color="000000" w:sz="4" w:space="0"/>
                    <w:bottom w:val="single" w:color="000000" w:sz="4" w:space="0"/>
                    <w:right w:val="single" w:color="000000" w:sz="8" w:space="0"/>
                  </w:tcBorders>
                  <w:noWrap w:val="0"/>
                  <w:vAlign w:val="center"/>
                </w:tcPr>
                <w:p>
                  <w:pPr>
                    <w:widowControl/>
                    <w:shd w:val="clear" w:color="auto" w:fill="auto"/>
                    <w:jc w:val="left"/>
                    <w:rPr>
                      <w:rFonts w:hint="default" w:ascii="Times New Roman" w:hAnsi="Times New Roman" w:cs="Times New Roman"/>
                      <w:color w:val="auto"/>
                      <w:sz w:val="18"/>
                      <w:szCs w:val="21"/>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27" w:hRule="atLeast"/>
              </w:trPr>
              <w:tc>
                <w:tcPr>
                  <w:tcW w:w="212" w:type="dxa"/>
                  <w:vMerge w:val="restart"/>
                  <w:tcBorders>
                    <w:top w:val="single" w:color="000000" w:sz="4" w:space="0"/>
                    <w:left w:val="single" w:color="000000" w:sz="8"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生产车间</w:t>
                  </w:r>
                </w:p>
              </w:tc>
              <w:tc>
                <w:tcPr>
                  <w:tcW w:w="601"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val="en-US" w:eastAsia="zh-CN"/>
                    </w:rPr>
                  </w:pPr>
                  <w:r>
                    <w:rPr>
                      <w:rFonts w:hint="default" w:ascii="Times New Roman" w:hAnsi="Times New Roman" w:eastAsia="宋体" w:cs="Times New Roman"/>
                      <w:color w:val="auto"/>
                      <w:sz w:val="18"/>
                      <w:szCs w:val="21"/>
                      <w:lang w:val="en-US" w:eastAsia="zh-CN"/>
                    </w:rPr>
                    <w:t>预涂膜生产线</w:t>
                  </w:r>
                </w:p>
              </w:tc>
              <w:tc>
                <w:tcPr>
                  <w:tcW w:w="705"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选用低噪声设备，基础减震，建筑隔声</w:t>
                  </w:r>
                </w:p>
              </w:tc>
              <w:tc>
                <w:tcPr>
                  <w:tcW w:w="495"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val="en-US" w:eastAsia="zh-CN"/>
                    </w:rPr>
                  </w:pPr>
                  <w:r>
                    <w:rPr>
                      <w:rFonts w:hint="default" w:ascii="Times New Roman" w:hAnsi="Times New Roman" w:cs="Times New Roman"/>
                      <w:color w:val="auto"/>
                      <w:sz w:val="18"/>
                      <w:szCs w:val="21"/>
                      <w:lang w:val="en-US" w:eastAsia="zh-CN"/>
                    </w:rPr>
                    <w:t>75</w:t>
                  </w:r>
                </w:p>
              </w:tc>
              <w:tc>
                <w:tcPr>
                  <w:tcW w:w="270"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eastAsia="zh-CN"/>
                    </w:rPr>
                  </w:pPr>
                  <w:r>
                    <w:rPr>
                      <w:rFonts w:hint="default" w:ascii="Times New Roman" w:hAnsi="Times New Roman" w:cs="Times New Roman"/>
                      <w:color w:val="auto"/>
                      <w:sz w:val="18"/>
                      <w:szCs w:val="21"/>
                      <w:lang w:val="en-US" w:eastAsia="zh-CN"/>
                    </w:rPr>
                    <w:t>6</w:t>
                  </w:r>
                </w:p>
              </w:tc>
              <w:tc>
                <w:tcPr>
                  <w:tcW w:w="240"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val="en-US" w:eastAsia="zh-CN"/>
                    </w:rPr>
                  </w:pPr>
                  <w:r>
                    <w:rPr>
                      <w:rFonts w:hint="default" w:ascii="Times New Roman" w:hAnsi="Times New Roman" w:cs="Times New Roman"/>
                      <w:color w:val="auto"/>
                      <w:sz w:val="18"/>
                      <w:szCs w:val="21"/>
                      <w:lang w:val="en-US" w:eastAsia="zh-CN"/>
                    </w:rPr>
                    <w:t>38</w:t>
                  </w:r>
                </w:p>
              </w:tc>
              <w:tc>
                <w:tcPr>
                  <w:tcW w:w="240"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1.2</w:t>
                  </w:r>
                </w:p>
              </w:tc>
              <w:tc>
                <w:tcPr>
                  <w:tcW w:w="240"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8</w:t>
                  </w:r>
                </w:p>
              </w:tc>
              <w:tc>
                <w:tcPr>
                  <w:tcW w:w="270"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5</w:t>
                  </w:r>
                </w:p>
              </w:tc>
              <w:tc>
                <w:tcPr>
                  <w:tcW w:w="255"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8</w:t>
                  </w:r>
                </w:p>
              </w:tc>
              <w:tc>
                <w:tcPr>
                  <w:tcW w:w="240"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5</w:t>
                  </w:r>
                </w:p>
              </w:tc>
              <w:tc>
                <w:tcPr>
                  <w:tcW w:w="375"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lang w:val="en-US" w:eastAsia="zh-CN"/>
                    </w:rPr>
                    <w:t>52</w:t>
                  </w:r>
                  <w:r>
                    <w:rPr>
                      <w:rFonts w:hint="default" w:ascii="Times New Roman" w:hAnsi="Times New Roman" w:cs="Times New Roman"/>
                      <w:color w:val="auto"/>
                      <w:sz w:val="18"/>
                      <w:szCs w:val="21"/>
                    </w:rPr>
                    <w:t xml:space="preserve">.0 </w:t>
                  </w:r>
                </w:p>
              </w:tc>
              <w:tc>
                <w:tcPr>
                  <w:tcW w:w="345"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lang w:val="en-US" w:eastAsia="zh-CN"/>
                    </w:rPr>
                    <w:t>5</w:t>
                  </w:r>
                  <w:r>
                    <w:rPr>
                      <w:rFonts w:hint="default" w:ascii="Times New Roman" w:hAnsi="Times New Roman" w:cs="Times New Roman"/>
                      <w:color w:val="auto"/>
                      <w:sz w:val="18"/>
                      <w:szCs w:val="21"/>
                    </w:rPr>
                    <w:t xml:space="preserve">3.9 </w:t>
                  </w:r>
                </w:p>
              </w:tc>
              <w:tc>
                <w:tcPr>
                  <w:tcW w:w="405"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lang w:val="en-US" w:eastAsia="zh-CN"/>
                    </w:rPr>
                    <w:t>5</w:t>
                  </w:r>
                  <w:r>
                    <w:rPr>
                      <w:rFonts w:hint="default" w:ascii="Times New Roman" w:hAnsi="Times New Roman" w:cs="Times New Roman"/>
                      <w:color w:val="auto"/>
                      <w:sz w:val="18"/>
                      <w:szCs w:val="21"/>
                    </w:rPr>
                    <w:t xml:space="preserve">1.2 </w:t>
                  </w:r>
                </w:p>
              </w:tc>
              <w:tc>
                <w:tcPr>
                  <w:tcW w:w="375"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lang w:val="en-US" w:eastAsia="zh-CN"/>
                    </w:rPr>
                    <w:t>5</w:t>
                  </w:r>
                  <w:r>
                    <w:rPr>
                      <w:rFonts w:hint="default" w:ascii="Times New Roman" w:hAnsi="Times New Roman" w:cs="Times New Roman"/>
                      <w:color w:val="auto"/>
                      <w:sz w:val="18"/>
                      <w:szCs w:val="21"/>
                    </w:rPr>
                    <w:t xml:space="preserve">5.1 </w:t>
                  </w:r>
                </w:p>
              </w:tc>
              <w:tc>
                <w:tcPr>
                  <w:tcW w:w="435" w:type="dxa"/>
                  <w:vMerge w:val="restart"/>
                  <w:tcBorders>
                    <w:top w:val="single" w:color="000000" w:sz="4" w:space="0"/>
                    <w:left w:val="single" w:color="000000" w:sz="4" w:space="0"/>
                    <w:bottom w:val="single" w:color="000000"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0:00-24:00</w:t>
                  </w:r>
                </w:p>
              </w:tc>
              <w:tc>
                <w:tcPr>
                  <w:tcW w:w="417"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lang w:val="en-US" w:eastAsia="zh-CN"/>
                    </w:rPr>
                    <w:t>2</w:t>
                  </w:r>
                  <w:r>
                    <w:rPr>
                      <w:rFonts w:hint="default" w:ascii="Times New Roman" w:hAnsi="Times New Roman" w:cs="Times New Roman"/>
                      <w:color w:val="auto"/>
                      <w:sz w:val="18"/>
                      <w:szCs w:val="21"/>
                    </w:rPr>
                    <w:t>0</w:t>
                  </w:r>
                </w:p>
              </w:tc>
              <w:tc>
                <w:tcPr>
                  <w:tcW w:w="412"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eastAsia" w:ascii="Times New Roman" w:hAnsi="Times New Roman" w:cs="Times New Roman"/>
                      <w:color w:val="auto"/>
                      <w:sz w:val="18"/>
                      <w:szCs w:val="21"/>
                      <w:lang w:val="en-US" w:eastAsia="zh-CN"/>
                    </w:rPr>
                    <w:t>3</w:t>
                  </w:r>
                  <w:r>
                    <w:rPr>
                      <w:rFonts w:hint="default" w:ascii="Times New Roman" w:hAnsi="Times New Roman" w:cs="Times New Roman"/>
                      <w:color w:val="auto"/>
                      <w:sz w:val="18"/>
                      <w:szCs w:val="21"/>
                      <w:lang w:val="en-US" w:eastAsia="zh-CN"/>
                    </w:rPr>
                    <w:t>2</w:t>
                  </w:r>
                  <w:r>
                    <w:rPr>
                      <w:rFonts w:hint="default" w:ascii="Times New Roman" w:hAnsi="Times New Roman" w:cs="Times New Roman"/>
                      <w:color w:val="auto"/>
                      <w:sz w:val="18"/>
                      <w:szCs w:val="21"/>
                    </w:rPr>
                    <w:t xml:space="preserve">.0 </w:t>
                  </w:r>
                </w:p>
              </w:tc>
              <w:tc>
                <w:tcPr>
                  <w:tcW w:w="371"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eastAsia" w:ascii="Times New Roman" w:hAnsi="Times New Roman" w:cs="Times New Roman"/>
                      <w:color w:val="auto"/>
                      <w:sz w:val="18"/>
                      <w:szCs w:val="21"/>
                      <w:lang w:val="en-US" w:eastAsia="zh-CN"/>
                    </w:rPr>
                    <w:t>3</w:t>
                  </w:r>
                  <w:r>
                    <w:rPr>
                      <w:rFonts w:hint="default" w:ascii="Times New Roman" w:hAnsi="Times New Roman" w:cs="Times New Roman"/>
                      <w:color w:val="auto"/>
                      <w:sz w:val="18"/>
                      <w:szCs w:val="21"/>
                    </w:rPr>
                    <w:t xml:space="preserve">3.9 </w:t>
                  </w:r>
                </w:p>
              </w:tc>
              <w:tc>
                <w:tcPr>
                  <w:tcW w:w="436"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eastAsia" w:ascii="Times New Roman" w:hAnsi="Times New Roman" w:cs="Times New Roman"/>
                      <w:color w:val="auto"/>
                      <w:sz w:val="18"/>
                      <w:szCs w:val="21"/>
                      <w:lang w:val="en-US" w:eastAsia="zh-CN"/>
                    </w:rPr>
                    <w:t>3</w:t>
                  </w:r>
                  <w:r>
                    <w:rPr>
                      <w:rFonts w:hint="default" w:ascii="Times New Roman" w:hAnsi="Times New Roman" w:cs="Times New Roman"/>
                      <w:color w:val="auto"/>
                      <w:sz w:val="18"/>
                      <w:szCs w:val="21"/>
                    </w:rPr>
                    <w:t xml:space="preserve">1.2 </w:t>
                  </w:r>
                </w:p>
              </w:tc>
              <w:tc>
                <w:tcPr>
                  <w:tcW w:w="363" w:type="dxa"/>
                  <w:tcBorders>
                    <w:top w:val="single" w:color="000000"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eastAsia" w:ascii="Times New Roman" w:hAnsi="Times New Roman" w:cs="Times New Roman"/>
                      <w:color w:val="auto"/>
                      <w:sz w:val="18"/>
                      <w:szCs w:val="21"/>
                      <w:lang w:val="en-US" w:eastAsia="zh-CN"/>
                    </w:rPr>
                    <w:t>3</w:t>
                  </w:r>
                  <w:r>
                    <w:rPr>
                      <w:rFonts w:hint="default" w:ascii="Times New Roman" w:hAnsi="Times New Roman" w:cs="Times New Roman"/>
                      <w:color w:val="auto"/>
                      <w:sz w:val="18"/>
                      <w:szCs w:val="21"/>
                    </w:rPr>
                    <w:t xml:space="preserve">5.1 </w:t>
                  </w:r>
                </w:p>
              </w:tc>
              <w:tc>
                <w:tcPr>
                  <w:tcW w:w="216" w:type="dxa"/>
                  <w:tcBorders>
                    <w:top w:val="single" w:color="000000" w:sz="4" w:space="0"/>
                    <w:left w:val="single" w:color="000000" w:sz="4" w:space="0"/>
                    <w:bottom w:val="single" w:color="auto" w:sz="4" w:space="0"/>
                    <w:right w:val="single" w:color="000000" w:sz="8"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1</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15" w:hRule="atLeast"/>
              </w:trPr>
              <w:tc>
                <w:tcPr>
                  <w:tcW w:w="212" w:type="dxa"/>
                  <w:vMerge w:val="continue"/>
                  <w:tcBorders>
                    <w:top w:val="single" w:color="000000" w:sz="4" w:space="0"/>
                    <w:left w:val="single" w:color="000000" w:sz="8"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601"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val="en-US" w:eastAsia="zh-CN"/>
                    </w:rPr>
                  </w:pPr>
                  <w:r>
                    <w:rPr>
                      <w:rFonts w:hint="default" w:ascii="Times New Roman" w:hAnsi="Times New Roman" w:eastAsia="宋体" w:cs="Times New Roman"/>
                      <w:color w:val="auto"/>
                      <w:sz w:val="18"/>
                      <w:szCs w:val="21"/>
                      <w:lang w:val="en-US" w:eastAsia="zh-CN"/>
                    </w:rPr>
                    <w:t>切割机</w:t>
                  </w:r>
                </w:p>
              </w:tc>
              <w:tc>
                <w:tcPr>
                  <w:tcW w:w="70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49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val="en-US" w:eastAsia="zh-CN"/>
                    </w:rPr>
                  </w:pPr>
                  <w:r>
                    <w:rPr>
                      <w:rFonts w:hint="default" w:ascii="Times New Roman" w:hAnsi="Times New Roman" w:cs="Times New Roman"/>
                      <w:color w:val="auto"/>
                      <w:sz w:val="18"/>
                      <w:szCs w:val="21"/>
                      <w:lang w:val="en-US" w:eastAsia="zh-CN"/>
                    </w:rPr>
                    <w:t>80</w:t>
                  </w:r>
                </w:p>
              </w:tc>
              <w:tc>
                <w:tcPr>
                  <w:tcW w:w="27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val="en-US" w:eastAsia="zh-CN"/>
                    </w:rPr>
                  </w:pPr>
                  <w:r>
                    <w:rPr>
                      <w:rFonts w:hint="default" w:ascii="Times New Roman" w:hAnsi="Times New Roman" w:cs="Times New Roman"/>
                      <w:color w:val="auto"/>
                      <w:sz w:val="18"/>
                      <w:szCs w:val="21"/>
                      <w:lang w:val="en-US" w:eastAsia="zh-CN"/>
                    </w:rPr>
                    <w:t>12</w:t>
                  </w:r>
                </w:p>
              </w:tc>
              <w:tc>
                <w:tcPr>
                  <w:tcW w:w="24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val="en-US" w:eastAsia="zh-CN"/>
                    </w:rPr>
                  </w:pPr>
                  <w:r>
                    <w:rPr>
                      <w:rFonts w:hint="default" w:ascii="Times New Roman" w:hAnsi="Times New Roman" w:cs="Times New Roman"/>
                      <w:color w:val="auto"/>
                      <w:sz w:val="18"/>
                      <w:szCs w:val="21"/>
                      <w:lang w:val="en-US" w:eastAsia="zh-CN"/>
                    </w:rPr>
                    <w:t>40</w:t>
                  </w:r>
                </w:p>
              </w:tc>
              <w:tc>
                <w:tcPr>
                  <w:tcW w:w="24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val="en-US" w:eastAsia="zh-CN"/>
                    </w:rPr>
                  </w:pPr>
                  <w:r>
                    <w:rPr>
                      <w:rFonts w:hint="default" w:ascii="Times New Roman" w:hAnsi="Times New Roman" w:cs="Times New Roman"/>
                      <w:color w:val="auto"/>
                      <w:sz w:val="18"/>
                      <w:szCs w:val="21"/>
                      <w:lang w:val="en-US" w:eastAsia="zh-CN"/>
                    </w:rPr>
                    <w:t>1.2</w:t>
                  </w:r>
                </w:p>
              </w:tc>
              <w:tc>
                <w:tcPr>
                  <w:tcW w:w="24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val="en-US" w:eastAsia="zh-CN"/>
                    </w:rPr>
                  </w:pPr>
                  <w:r>
                    <w:rPr>
                      <w:rFonts w:hint="default" w:ascii="Times New Roman" w:hAnsi="Times New Roman" w:cs="Times New Roman"/>
                      <w:color w:val="auto"/>
                      <w:sz w:val="18"/>
                      <w:szCs w:val="21"/>
                      <w:lang w:val="en-US" w:eastAsia="zh-CN"/>
                    </w:rPr>
                    <w:t>4</w:t>
                  </w:r>
                </w:p>
              </w:tc>
              <w:tc>
                <w:tcPr>
                  <w:tcW w:w="27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eastAsia="zh-CN"/>
                    </w:rPr>
                  </w:pPr>
                  <w:r>
                    <w:rPr>
                      <w:rFonts w:hint="default" w:ascii="Times New Roman" w:hAnsi="Times New Roman" w:cs="Times New Roman"/>
                      <w:color w:val="auto"/>
                      <w:sz w:val="18"/>
                      <w:szCs w:val="21"/>
                      <w:lang w:val="en-US" w:eastAsia="zh-CN"/>
                    </w:rPr>
                    <w:t>6</w:t>
                  </w:r>
                </w:p>
              </w:tc>
              <w:tc>
                <w:tcPr>
                  <w:tcW w:w="25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eastAsia="zh-CN"/>
                    </w:rPr>
                  </w:pPr>
                  <w:r>
                    <w:rPr>
                      <w:rFonts w:hint="default" w:ascii="Times New Roman" w:hAnsi="Times New Roman" w:cs="Times New Roman"/>
                      <w:color w:val="auto"/>
                      <w:sz w:val="18"/>
                      <w:szCs w:val="21"/>
                      <w:lang w:val="en-US" w:eastAsia="zh-CN"/>
                    </w:rPr>
                    <w:t>7</w:t>
                  </w:r>
                </w:p>
              </w:tc>
              <w:tc>
                <w:tcPr>
                  <w:tcW w:w="24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eastAsia="zh-CN"/>
                    </w:rPr>
                  </w:pPr>
                  <w:r>
                    <w:rPr>
                      <w:rFonts w:hint="eastAsia" w:ascii="Times New Roman" w:hAnsi="Times New Roman" w:cs="Times New Roman"/>
                      <w:color w:val="auto"/>
                      <w:sz w:val="18"/>
                      <w:szCs w:val="21"/>
                      <w:lang w:val="en-US" w:eastAsia="zh-CN"/>
                    </w:rPr>
                    <w:t>2</w:t>
                  </w:r>
                </w:p>
              </w:tc>
              <w:tc>
                <w:tcPr>
                  <w:tcW w:w="37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 xml:space="preserve">56.4 </w:t>
                  </w:r>
                </w:p>
              </w:tc>
              <w:tc>
                <w:tcPr>
                  <w:tcW w:w="34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 xml:space="preserve">58.0 </w:t>
                  </w:r>
                </w:p>
              </w:tc>
              <w:tc>
                <w:tcPr>
                  <w:tcW w:w="40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 xml:space="preserve">55.1 </w:t>
                  </w:r>
                </w:p>
              </w:tc>
              <w:tc>
                <w:tcPr>
                  <w:tcW w:w="37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 xml:space="preserve">58.0 </w:t>
                  </w:r>
                </w:p>
              </w:tc>
              <w:tc>
                <w:tcPr>
                  <w:tcW w:w="43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417" w:type="dxa"/>
                  <w:tcBorders>
                    <w:top w:val="single" w:color="auto" w:sz="4" w:space="0"/>
                    <w:left w:val="single" w:color="000000" w:sz="4" w:space="0"/>
                    <w:bottom w:val="single" w:color="auto" w:sz="4" w:space="0"/>
                    <w:right w:val="single" w:color="000000" w:sz="4" w:space="0"/>
                  </w:tcBorders>
                  <w:noWrap w:val="0"/>
                  <w:vAlign w:val="center"/>
                </w:tcPr>
                <w:p>
                  <w:pPr>
                    <w:shd w:val="clear" w:color="auto" w:fill="auto"/>
                    <w:autoSpaceDE w:val="0"/>
                    <w:jc w:val="center"/>
                    <w:rPr>
                      <w:rFonts w:hint="default" w:ascii="Times New Roman" w:hAnsi="Times New Roman" w:eastAsia="宋体" w:cs="Times New Roman"/>
                      <w:color w:val="auto"/>
                      <w:sz w:val="18"/>
                      <w:szCs w:val="21"/>
                      <w:lang w:val="en-US" w:eastAsia="zh-CN"/>
                    </w:rPr>
                  </w:pPr>
                  <w:r>
                    <w:rPr>
                      <w:rFonts w:hint="default" w:ascii="Times New Roman" w:hAnsi="Times New Roman" w:cs="Times New Roman"/>
                      <w:color w:val="auto"/>
                      <w:sz w:val="18"/>
                      <w:szCs w:val="21"/>
                      <w:lang w:val="en-US" w:eastAsia="zh-CN"/>
                    </w:rPr>
                    <w:t>2</w:t>
                  </w:r>
                  <w:r>
                    <w:rPr>
                      <w:rFonts w:hint="default" w:ascii="Times New Roman" w:hAnsi="Times New Roman" w:cs="Times New Roman"/>
                      <w:color w:val="auto"/>
                      <w:sz w:val="18"/>
                      <w:szCs w:val="21"/>
                    </w:rPr>
                    <w:t>0</w:t>
                  </w:r>
                </w:p>
              </w:tc>
              <w:tc>
                <w:tcPr>
                  <w:tcW w:w="412"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eastAsia" w:ascii="Times New Roman" w:hAnsi="Times New Roman" w:cs="Times New Roman"/>
                      <w:color w:val="auto"/>
                      <w:sz w:val="18"/>
                      <w:szCs w:val="21"/>
                      <w:lang w:val="en-US" w:eastAsia="zh-CN"/>
                    </w:rPr>
                    <w:t>3</w:t>
                  </w:r>
                  <w:r>
                    <w:rPr>
                      <w:rFonts w:hint="default" w:ascii="Times New Roman" w:hAnsi="Times New Roman" w:cs="Times New Roman"/>
                      <w:color w:val="auto"/>
                      <w:sz w:val="18"/>
                      <w:szCs w:val="21"/>
                    </w:rPr>
                    <w:t xml:space="preserve">6.4 </w:t>
                  </w:r>
                </w:p>
              </w:tc>
              <w:tc>
                <w:tcPr>
                  <w:tcW w:w="371"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eastAsia" w:ascii="Times New Roman" w:hAnsi="Times New Roman" w:cs="Times New Roman"/>
                      <w:color w:val="auto"/>
                      <w:sz w:val="18"/>
                      <w:szCs w:val="21"/>
                      <w:lang w:val="en-US" w:eastAsia="zh-CN"/>
                    </w:rPr>
                    <w:t>3</w:t>
                  </w:r>
                  <w:r>
                    <w:rPr>
                      <w:rFonts w:hint="default" w:ascii="Times New Roman" w:hAnsi="Times New Roman" w:cs="Times New Roman"/>
                      <w:color w:val="auto"/>
                      <w:sz w:val="18"/>
                      <w:szCs w:val="21"/>
                    </w:rPr>
                    <w:t xml:space="preserve">8.0 </w:t>
                  </w:r>
                </w:p>
              </w:tc>
              <w:tc>
                <w:tcPr>
                  <w:tcW w:w="436"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eastAsia" w:ascii="Times New Roman" w:hAnsi="Times New Roman" w:cs="Times New Roman"/>
                      <w:color w:val="auto"/>
                      <w:sz w:val="18"/>
                      <w:szCs w:val="21"/>
                      <w:lang w:val="en-US" w:eastAsia="zh-CN"/>
                    </w:rPr>
                    <w:t>3</w:t>
                  </w:r>
                  <w:r>
                    <w:rPr>
                      <w:rFonts w:hint="default" w:ascii="Times New Roman" w:hAnsi="Times New Roman" w:cs="Times New Roman"/>
                      <w:color w:val="auto"/>
                      <w:sz w:val="18"/>
                      <w:szCs w:val="21"/>
                    </w:rPr>
                    <w:t xml:space="preserve">5.1 </w:t>
                  </w:r>
                </w:p>
              </w:tc>
              <w:tc>
                <w:tcPr>
                  <w:tcW w:w="363"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eastAsia" w:ascii="Times New Roman" w:hAnsi="Times New Roman" w:cs="Times New Roman"/>
                      <w:color w:val="auto"/>
                      <w:sz w:val="18"/>
                      <w:szCs w:val="21"/>
                      <w:lang w:val="en-US" w:eastAsia="zh-CN"/>
                    </w:rPr>
                    <w:t>3</w:t>
                  </w:r>
                  <w:r>
                    <w:rPr>
                      <w:rFonts w:hint="default" w:ascii="Times New Roman" w:hAnsi="Times New Roman" w:cs="Times New Roman"/>
                      <w:color w:val="auto"/>
                      <w:sz w:val="18"/>
                      <w:szCs w:val="21"/>
                    </w:rPr>
                    <w:t xml:space="preserve">8.0 </w:t>
                  </w:r>
                </w:p>
              </w:tc>
              <w:tc>
                <w:tcPr>
                  <w:tcW w:w="216" w:type="dxa"/>
                  <w:tcBorders>
                    <w:top w:val="single" w:color="auto" w:sz="4" w:space="0"/>
                    <w:left w:val="single" w:color="000000" w:sz="4" w:space="0"/>
                    <w:bottom w:val="single" w:color="auto" w:sz="4" w:space="0"/>
                    <w:right w:val="single" w:color="000000" w:sz="8"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val="en-US" w:eastAsia="zh-CN"/>
                    </w:rPr>
                  </w:pPr>
                  <w:r>
                    <w:rPr>
                      <w:rFonts w:hint="default" w:ascii="Times New Roman" w:hAnsi="Times New Roman" w:cs="Times New Roman"/>
                      <w:color w:val="auto"/>
                      <w:sz w:val="18"/>
                      <w:szCs w:val="21"/>
                      <w:lang w:val="en-US" w:eastAsia="zh-CN"/>
                    </w:rPr>
                    <w:t>1</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15" w:hRule="atLeast"/>
              </w:trPr>
              <w:tc>
                <w:tcPr>
                  <w:tcW w:w="212" w:type="dxa"/>
                  <w:vMerge w:val="continue"/>
                  <w:tcBorders>
                    <w:top w:val="single" w:color="000000" w:sz="4" w:space="0"/>
                    <w:left w:val="single" w:color="000000" w:sz="8"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601"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val="en-US" w:eastAsia="zh-CN"/>
                    </w:rPr>
                  </w:pPr>
                  <w:r>
                    <w:rPr>
                      <w:rFonts w:hint="default" w:ascii="Times New Roman" w:hAnsi="Times New Roman" w:eastAsia="宋体" w:cs="Times New Roman"/>
                      <w:color w:val="auto"/>
                      <w:sz w:val="18"/>
                      <w:szCs w:val="21"/>
                      <w:lang w:val="en-US" w:eastAsia="zh-CN"/>
                    </w:rPr>
                    <w:t>切割机</w:t>
                  </w:r>
                </w:p>
              </w:tc>
              <w:tc>
                <w:tcPr>
                  <w:tcW w:w="70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49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lang w:val="en-US" w:eastAsia="zh-CN"/>
                    </w:rPr>
                    <w:t>8</w:t>
                  </w:r>
                  <w:r>
                    <w:rPr>
                      <w:rFonts w:hint="default" w:ascii="Times New Roman" w:hAnsi="Times New Roman" w:cs="Times New Roman"/>
                      <w:color w:val="auto"/>
                      <w:sz w:val="18"/>
                      <w:szCs w:val="21"/>
                    </w:rPr>
                    <w:t>0</w:t>
                  </w:r>
                </w:p>
              </w:tc>
              <w:tc>
                <w:tcPr>
                  <w:tcW w:w="27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eastAsia="zh-CN"/>
                    </w:rPr>
                  </w:pPr>
                  <w:r>
                    <w:rPr>
                      <w:rFonts w:hint="default" w:ascii="Times New Roman" w:hAnsi="Times New Roman" w:cs="Times New Roman"/>
                      <w:color w:val="auto"/>
                      <w:sz w:val="18"/>
                      <w:szCs w:val="21"/>
                    </w:rPr>
                    <w:t>1</w:t>
                  </w:r>
                  <w:r>
                    <w:rPr>
                      <w:rFonts w:hint="default" w:ascii="Times New Roman" w:hAnsi="Times New Roman" w:cs="Times New Roman"/>
                      <w:color w:val="auto"/>
                      <w:sz w:val="18"/>
                      <w:szCs w:val="21"/>
                      <w:lang w:val="en-US" w:eastAsia="zh-CN"/>
                    </w:rPr>
                    <w:t>7</w:t>
                  </w:r>
                </w:p>
              </w:tc>
              <w:tc>
                <w:tcPr>
                  <w:tcW w:w="24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lang w:val="en-US" w:eastAsia="zh-CN"/>
                    </w:rPr>
                    <w:t>4</w:t>
                  </w:r>
                  <w:r>
                    <w:rPr>
                      <w:rFonts w:hint="default" w:ascii="Times New Roman" w:hAnsi="Times New Roman" w:cs="Times New Roman"/>
                      <w:color w:val="auto"/>
                      <w:sz w:val="18"/>
                      <w:szCs w:val="21"/>
                    </w:rPr>
                    <w:t>4</w:t>
                  </w:r>
                </w:p>
              </w:tc>
              <w:tc>
                <w:tcPr>
                  <w:tcW w:w="24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1.2</w:t>
                  </w:r>
                </w:p>
              </w:tc>
              <w:tc>
                <w:tcPr>
                  <w:tcW w:w="24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8</w:t>
                  </w:r>
                </w:p>
              </w:tc>
              <w:tc>
                <w:tcPr>
                  <w:tcW w:w="27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5</w:t>
                  </w:r>
                </w:p>
              </w:tc>
              <w:tc>
                <w:tcPr>
                  <w:tcW w:w="25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8</w:t>
                  </w:r>
                </w:p>
              </w:tc>
              <w:tc>
                <w:tcPr>
                  <w:tcW w:w="24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5</w:t>
                  </w:r>
                </w:p>
              </w:tc>
              <w:tc>
                <w:tcPr>
                  <w:tcW w:w="37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56.</w:t>
                  </w:r>
                  <w:r>
                    <w:rPr>
                      <w:rFonts w:hint="default" w:ascii="Times New Roman" w:hAnsi="Times New Roman" w:cs="Times New Roman"/>
                      <w:color w:val="auto"/>
                      <w:sz w:val="18"/>
                      <w:szCs w:val="21"/>
                      <w:lang w:val="en-US" w:eastAsia="zh-CN"/>
                    </w:rPr>
                    <w:t>6</w:t>
                  </w:r>
                  <w:r>
                    <w:rPr>
                      <w:rFonts w:hint="default" w:ascii="Times New Roman" w:hAnsi="Times New Roman" w:cs="Times New Roman"/>
                      <w:color w:val="auto"/>
                      <w:sz w:val="18"/>
                      <w:szCs w:val="21"/>
                    </w:rPr>
                    <w:t xml:space="preserve"> </w:t>
                  </w:r>
                </w:p>
              </w:tc>
              <w:tc>
                <w:tcPr>
                  <w:tcW w:w="34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5</w:t>
                  </w:r>
                  <w:r>
                    <w:rPr>
                      <w:rFonts w:hint="default" w:ascii="Times New Roman" w:hAnsi="Times New Roman" w:cs="Times New Roman"/>
                      <w:color w:val="auto"/>
                      <w:sz w:val="18"/>
                      <w:szCs w:val="21"/>
                      <w:lang w:val="en-US" w:eastAsia="zh-CN"/>
                    </w:rPr>
                    <w:t>7</w:t>
                  </w:r>
                  <w:r>
                    <w:rPr>
                      <w:rFonts w:hint="default" w:ascii="Times New Roman" w:hAnsi="Times New Roman" w:cs="Times New Roman"/>
                      <w:color w:val="auto"/>
                      <w:sz w:val="18"/>
                      <w:szCs w:val="21"/>
                    </w:rPr>
                    <w:t>.</w:t>
                  </w:r>
                  <w:r>
                    <w:rPr>
                      <w:rFonts w:hint="default" w:ascii="Times New Roman" w:hAnsi="Times New Roman" w:cs="Times New Roman"/>
                      <w:color w:val="auto"/>
                      <w:sz w:val="18"/>
                      <w:szCs w:val="21"/>
                      <w:lang w:val="en-US" w:eastAsia="zh-CN"/>
                    </w:rPr>
                    <w:t>5</w:t>
                  </w:r>
                  <w:r>
                    <w:rPr>
                      <w:rFonts w:hint="default" w:ascii="Times New Roman" w:hAnsi="Times New Roman" w:cs="Times New Roman"/>
                      <w:color w:val="auto"/>
                      <w:sz w:val="18"/>
                      <w:szCs w:val="21"/>
                    </w:rPr>
                    <w:t xml:space="preserve"> </w:t>
                  </w:r>
                </w:p>
              </w:tc>
              <w:tc>
                <w:tcPr>
                  <w:tcW w:w="40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5</w:t>
                  </w:r>
                  <w:r>
                    <w:rPr>
                      <w:rFonts w:hint="default" w:ascii="Times New Roman" w:hAnsi="Times New Roman" w:cs="Times New Roman"/>
                      <w:color w:val="auto"/>
                      <w:sz w:val="18"/>
                      <w:szCs w:val="21"/>
                      <w:lang w:val="en-US" w:eastAsia="zh-CN"/>
                    </w:rPr>
                    <w:t>6</w:t>
                  </w:r>
                  <w:r>
                    <w:rPr>
                      <w:rFonts w:hint="default" w:ascii="Times New Roman" w:hAnsi="Times New Roman" w:cs="Times New Roman"/>
                      <w:color w:val="auto"/>
                      <w:sz w:val="18"/>
                      <w:szCs w:val="21"/>
                    </w:rPr>
                    <w:t xml:space="preserve">.1 </w:t>
                  </w:r>
                </w:p>
              </w:tc>
              <w:tc>
                <w:tcPr>
                  <w:tcW w:w="37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58.</w:t>
                  </w:r>
                  <w:r>
                    <w:rPr>
                      <w:rFonts w:hint="default" w:ascii="Times New Roman" w:hAnsi="Times New Roman" w:cs="Times New Roman"/>
                      <w:color w:val="auto"/>
                      <w:sz w:val="18"/>
                      <w:szCs w:val="21"/>
                      <w:lang w:val="en-US" w:eastAsia="zh-CN"/>
                    </w:rPr>
                    <w:t>6</w:t>
                  </w:r>
                  <w:r>
                    <w:rPr>
                      <w:rFonts w:hint="default" w:ascii="Times New Roman" w:hAnsi="Times New Roman" w:cs="Times New Roman"/>
                      <w:color w:val="auto"/>
                      <w:sz w:val="18"/>
                      <w:szCs w:val="21"/>
                    </w:rPr>
                    <w:t xml:space="preserve"> </w:t>
                  </w:r>
                </w:p>
              </w:tc>
              <w:tc>
                <w:tcPr>
                  <w:tcW w:w="43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417" w:type="dxa"/>
                  <w:tcBorders>
                    <w:top w:val="single" w:color="auto" w:sz="4" w:space="0"/>
                    <w:left w:val="single" w:color="000000" w:sz="4" w:space="0"/>
                    <w:bottom w:val="single" w:color="auto" w:sz="4" w:space="0"/>
                    <w:right w:val="single" w:color="000000" w:sz="4" w:space="0"/>
                  </w:tcBorders>
                  <w:noWrap w:val="0"/>
                  <w:vAlign w:val="center"/>
                </w:tcPr>
                <w:p>
                  <w:pPr>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lang w:val="en-US" w:eastAsia="zh-CN"/>
                    </w:rPr>
                    <w:t>2</w:t>
                  </w:r>
                  <w:r>
                    <w:rPr>
                      <w:rFonts w:hint="default" w:ascii="Times New Roman" w:hAnsi="Times New Roman" w:cs="Times New Roman"/>
                      <w:color w:val="auto"/>
                      <w:sz w:val="18"/>
                      <w:szCs w:val="21"/>
                    </w:rPr>
                    <w:t>0</w:t>
                  </w:r>
                </w:p>
              </w:tc>
              <w:tc>
                <w:tcPr>
                  <w:tcW w:w="412"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eastAsia" w:ascii="Times New Roman" w:hAnsi="Times New Roman" w:cs="Times New Roman"/>
                      <w:color w:val="auto"/>
                      <w:sz w:val="18"/>
                      <w:szCs w:val="21"/>
                      <w:lang w:val="en-US" w:eastAsia="zh-CN"/>
                    </w:rPr>
                    <w:t>3</w:t>
                  </w:r>
                  <w:r>
                    <w:rPr>
                      <w:rFonts w:hint="default" w:ascii="Times New Roman" w:hAnsi="Times New Roman" w:cs="Times New Roman"/>
                      <w:color w:val="auto"/>
                      <w:sz w:val="18"/>
                      <w:szCs w:val="21"/>
                    </w:rPr>
                    <w:t>6.</w:t>
                  </w:r>
                  <w:r>
                    <w:rPr>
                      <w:rFonts w:hint="default" w:ascii="Times New Roman" w:hAnsi="Times New Roman" w:cs="Times New Roman"/>
                      <w:color w:val="auto"/>
                      <w:sz w:val="18"/>
                      <w:szCs w:val="21"/>
                      <w:lang w:val="en-US" w:eastAsia="zh-CN"/>
                    </w:rPr>
                    <w:t>6</w:t>
                  </w:r>
                  <w:r>
                    <w:rPr>
                      <w:rFonts w:hint="default" w:ascii="Times New Roman" w:hAnsi="Times New Roman" w:cs="Times New Roman"/>
                      <w:color w:val="auto"/>
                      <w:sz w:val="18"/>
                      <w:szCs w:val="21"/>
                    </w:rPr>
                    <w:t xml:space="preserve"> </w:t>
                  </w:r>
                </w:p>
              </w:tc>
              <w:tc>
                <w:tcPr>
                  <w:tcW w:w="371"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eastAsia" w:ascii="Times New Roman" w:hAnsi="Times New Roman" w:cs="Times New Roman"/>
                      <w:color w:val="auto"/>
                      <w:sz w:val="18"/>
                      <w:szCs w:val="21"/>
                      <w:lang w:val="en-US" w:eastAsia="zh-CN"/>
                    </w:rPr>
                    <w:t>3</w:t>
                  </w:r>
                  <w:r>
                    <w:rPr>
                      <w:rFonts w:hint="default" w:ascii="Times New Roman" w:hAnsi="Times New Roman" w:cs="Times New Roman"/>
                      <w:color w:val="auto"/>
                      <w:sz w:val="18"/>
                      <w:szCs w:val="21"/>
                      <w:lang w:val="en-US" w:eastAsia="zh-CN"/>
                    </w:rPr>
                    <w:t>7</w:t>
                  </w:r>
                  <w:r>
                    <w:rPr>
                      <w:rFonts w:hint="default" w:ascii="Times New Roman" w:hAnsi="Times New Roman" w:cs="Times New Roman"/>
                      <w:color w:val="auto"/>
                      <w:sz w:val="18"/>
                      <w:szCs w:val="21"/>
                    </w:rPr>
                    <w:t>.</w:t>
                  </w:r>
                  <w:r>
                    <w:rPr>
                      <w:rFonts w:hint="default" w:ascii="Times New Roman" w:hAnsi="Times New Roman" w:cs="Times New Roman"/>
                      <w:color w:val="auto"/>
                      <w:sz w:val="18"/>
                      <w:szCs w:val="21"/>
                      <w:lang w:val="en-US" w:eastAsia="zh-CN"/>
                    </w:rPr>
                    <w:t>5</w:t>
                  </w:r>
                  <w:r>
                    <w:rPr>
                      <w:rFonts w:hint="default" w:ascii="Times New Roman" w:hAnsi="Times New Roman" w:cs="Times New Roman"/>
                      <w:color w:val="auto"/>
                      <w:sz w:val="18"/>
                      <w:szCs w:val="21"/>
                    </w:rPr>
                    <w:t xml:space="preserve"> </w:t>
                  </w:r>
                </w:p>
              </w:tc>
              <w:tc>
                <w:tcPr>
                  <w:tcW w:w="436"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eastAsia" w:ascii="Times New Roman" w:hAnsi="Times New Roman" w:cs="Times New Roman"/>
                      <w:color w:val="auto"/>
                      <w:sz w:val="18"/>
                      <w:szCs w:val="21"/>
                      <w:lang w:val="en-US" w:eastAsia="zh-CN"/>
                    </w:rPr>
                    <w:t>3</w:t>
                  </w:r>
                  <w:r>
                    <w:rPr>
                      <w:rFonts w:hint="default" w:ascii="Times New Roman" w:hAnsi="Times New Roman" w:cs="Times New Roman"/>
                      <w:color w:val="auto"/>
                      <w:sz w:val="18"/>
                      <w:szCs w:val="21"/>
                      <w:lang w:val="en-US" w:eastAsia="zh-CN"/>
                    </w:rPr>
                    <w:t>6</w:t>
                  </w:r>
                  <w:r>
                    <w:rPr>
                      <w:rFonts w:hint="default" w:ascii="Times New Roman" w:hAnsi="Times New Roman" w:cs="Times New Roman"/>
                      <w:color w:val="auto"/>
                      <w:sz w:val="18"/>
                      <w:szCs w:val="21"/>
                    </w:rPr>
                    <w:t xml:space="preserve">.1 </w:t>
                  </w:r>
                </w:p>
              </w:tc>
              <w:tc>
                <w:tcPr>
                  <w:tcW w:w="363"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eastAsia" w:ascii="Times New Roman" w:hAnsi="Times New Roman" w:cs="Times New Roman"/>
                      <w:color w:val="auto"/>
                      <w:sz w:val="18"/>
                      <w:szCs w:val="21"/>
                      <w:lang w:val="en-US" w:eastAsia="zh-CN"/>
                    </w:rPr>
                    <w:t>3</w:t>
                  </w:r>
                  <w:r>
                    <w:rPr>
                      <w:rFonts w:hint="default" w:ascii="Times New Roman" w:hAnsi="Times New Roman" w:cs="Times New Roman"/>
                      <w:color w:val="auto"/>
                      <w:sz w:val="18"/>
                      <w:szCs w:val="21"/>
                    </w:rPr>
                    <w:t>8.</w:t>
                  </w:r>
                  <w:r>
                    <w:rPr>
                      <w:rFonts w:hint="default" w:ascii="Times New Roman" w:hAnsi="Times New Roman" w:cs="Times New Roman"/>
                      <w:color w:val="auto"/>
                      <w:sz w:val="18"/>
                      <w:szCs w:val="21"/>
                      <w:lang w:val="en-US" w:eastAsia="zh-CN"/>
                    </w:rPr>
                    <w:t>6</w:t>
                  </w:r>
                  <w:r>
                    <w:rPr>
                      <w:rFonts w:hint="default" w:ascii="Times New Roman" w:hAnsi="Times New Roman" w:cs="Times New Roman"/>
                      <w:color w:val="auto"/>
                      <w:sz w:val="18"/>
                      <w:szCs w:val="21"/>
                    </w:rPr>
                    <w:t xml:space="preserve"> </w:t>
                  </w:r>
                </w:p>
              </w:tc>
              <w:tc>
                <w:tcPr>
                  <w:tcW w:w="216" w:type="dxa"/>
                  <w:tcBorders>
                    <w:top w:val="single" w:color="auto" w:sz="4" w:space="0"/>
                    <w:left w:val="single" w:color="000000" w:sz="4" w:space="0"/>
                    <w:bottom w:val="single" w:color="auto" w:sz="4" w:space="0"/>
                    <w:right w:val="single" w:color="000000" w:sz="8" w:space="0"/>
                  </w:tcBorders>
                  <w:noWrap w:val="0"/>
                  <w:vAlign w:val="center"/>
                </w:tcPr>
                <w:p>
                  <w:pPr>
                    <w:pStyle w:val="168"/>
                    <w:shd w:val="clear" w:color="auto" w:fill="auto"/>
                    <w:autoSpaceDE w:val="0"/>
                    <w:jc w:val="center"/>
                    <w:rPr>
                      <w:rFonts w:hint="default" w:ascii="Times New Roman" w:hAnsi="Times New Roman" w:cs="Times New Roman"/>
                      <w:color w:val="auto"/>
                      <w:sz w:val="18"/>
                      <w:szCs w:val="21"/>
                    </w:rPr>
                  </w:pPr>
                  <w:r>
                    <w:rPr>
                      <w:rFonts w:hint="default" w:ascii="Times New Roman" w:hAnsi="Times New Roman" w:cs="Times New Roman"/>
                      <w:color w:val="auto"/>
                      <w:sz w:val="18"/>
                      <w:szCs w:val="21"/>
                    </w:rPr>
                    <w:t>1</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215" w:hRule="atLeast"/>
              </w:trPr>
              <w:tc>
                <w:tcPr>
                  <w:tcW w:w="212" w:type="dxa"/>
                  <w:vMerge w:val="continue"/>
                  <w:tcBorders>
                    <w:top w:val="single" w:color="000000" w:sz="4" w:space="0"/>
                    <w:left w:val="single" w:color="000000" w:sz="8"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601"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sz w:val="18"/>
                      <w:szCs w:val="21"/>
                      <w:lang w:val="en-US" w:eastAsia="zh-CN"/>
                    </w:rPr>
                  </w:pPr>
                  <w:r>
                    <w:rPr>
                      <w:rFonts w:hint="default" w:ascii="Times New Roman" w:hAnsi="Times New Roman" w:eastAsia="宋体" w:cs="Times New Roman"/>
                      <w:color w:val="auto"/>
                      <w:sz w:val="18"/>
                      <w:szCs w:val="21"/>
                      <w:lang w:val="en-US" w:eastAsia="zh-CN"/>
                    </w:rPr>
                    <w:t>切割机</w:t>
                  </w:r>
                </w:p>
              </w:tc>
              <w:tc>
                <w:tcPr>
                  <w:tcW w:w="70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49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default" w:ascii="Times New Roman" w:hAnsi="Times New Roman" w:cs="Times New Roman"/>
                      <w:color w:val="auto"/>
                      <w:sz w:val="18"/>
                      <w:szCs w:val="21"/>
                      <w:lang w:val="en-US" w:eastAsia="zh-CN"/>
                    </w:rPr>
                    <w:t>8</w:t>
                  </w:r>
                  <w:r>
                    <w:rPr>
                      <w:rFonts w:hint="default" w:ascii="Times New Roman" w:hAnsi="Times New Roman" w:cs="Times New Roman"/>
                      <w:color w:val="auto"/>
                      <w:sz w:val="18"/>
                      <w:szCs w:val="21"/>
                    </w:rPr>
                    <w:t>0</w:t>
                  </w:r>
                </w:p>
              </w:tc>
              <w:tc>
                <w:tcPr>
                  <w:tcW w:w="27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eastAsia="宋体" w:cs="Times New Roman"/>
                      <w:color w:val="auto"/>
                      <w:kern w:val="2"/>
                      <w:sz w:val="18"/>
                      <w:szCs w:val="21"/>
                      <w:lang w:val="en-US" w:eastAsia="zh-CN" w:bidi="ar-SA"/>
                    </w:rPr>
                  </w:pPr>
                  <w:r>
                    <w:rPr>
                      <w:rFonts w:hint="default" w:ascii="Times New Roman" w:hAnsi="Times New Roman" w:cs="Times New Roman"/>
                      <w:color w:val="auto"/>
                      <w:sz w:val="18"/>
                      <w:szCs w:val="21"/>
                    </w:rPr>
                    <w:t>1</w:t>
                  </w:r>
                  <w:r>
                    <w:rPr>
                      <w:rFonts w:hint="default" w:ascii="Times New Roman" w:hAnsi="Times New Roman" w:cs="Times New Roman"/>
                      <w:color w:val="auto"/>
                      <w:sz w:val="18"/>
                      <w:szCs w:val="21"/>
                      <w:lang w:val="en-US" w:eastAsia="zh-CN"/>
                    </w:rPr>
                    <w:t>5</w:t>
                  </w:r>
                </w:p>
              </w:tc>
              <w:tc>
                <w:tcPr>
                  <w:tcW w:w="24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default" w:ascii="Times New Roman" w:hAnsi="Times New Roman" w:cs="Times New Roman"/>
                      <w:color w:val="auto"/>
                      <w:sz w:val="18"/>
                      <w:szCs w:val="21"/>
                      <w:lang w:val="en-US" w:eastAsia="zh-CN"/>
                    </w:rPr>
                    <w:t>49</w:t>
                  </w:r>
                </w:p>
              </w:tc>
              <w:tc>
                <w:tcPr>
                  <w:tcW w:w="24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default" w:ascii="Times New Roman" w:hAnsi="Times New Roman" w:cs="Times New Roman"/>
                      <w:color w:val="auto"/>
                      <w:sz w:val="18"/>
                      <w:szCs w:val="21"/>
                    </w:rPr>
                    <w:t>1.2</w:t>
                  </w:r>
                </w:p>
              </w:tc>
              <w:tc>
                <w:tcPr>
                  <w:tcW w:w="24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default" w:ascii="Times New Roman" w:hAnsi="Times New Roman" w:cs="Times New Roman"/>
                      <w:color w:val="auto"/>
                      <w:sz w:val="18"/>
                      <w:szCs w:val="21"/>
                    </w:rPr>
                    <w:t>10</w:t>
                  </w:r>
                </w:p>
              </w:tc>
              <w:tc>
                <w:tcPr>
                  <w:tcW w:w="27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default" w:ascii="Times New Roman" w:hAnsi="Times New Roman" w:cs="Times New Roman"/>
                      <w:color w:val="auto"/>
                      <w:sz w:val="18"/>
                      <w:szCs w:val="21"/>
                    </w:rPr>
                    <w:t>5</w:t>
                  </w:r>
                </w:p>
              </w:tc>
              <w:tc>
                <w:tcPr>
                  <w:tcW w:w="25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default" w:ascii="Times New Roman" w:hAnsi="Times New Roman" w:cs="Times New Roman"/>
                      <w:color w:val="auto"/>
                      <w:sz w:val="18"/>
                      <w:szCs w:val="21"/>
                    </w:rPr>
                    <w:t>3</w:t>
                  </w:r>
                </w:p>
              </w:tc>
              <w:tc>
                <w:tcPr>
                  <w:tcW w:w="240"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default" w:ascii="Times New Roman" w:hAnsi="Times New Roman" w:cs="Times New Roman"/>
                      <w:color w:val="auto"/>
                      <w:sz w:val="18"/>
                      <w:szCs w:val="21"/>
                    </w:rPr>
                    <w:t>5</w:t>
                  </w:r>
                </w:p>
              </w:tc>
              <w:tc>
                <w:tcPr>
                  <w:tcW w:w="37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default" w:ascii="Times New Roman" w:hAnsi="Times New Roman" w:cs="Times New Roman"/>
                      <w:color w:val="auto"/>
                      <w:sz w:val="18"/>
                      <w:szCs w:val="21"/>
                    </w:rPr>
                    <w:t xml:space="preserve">56.4 </w:t>
                  </w:r>
                </w:p>
              </w:tc>
              <w:tc>
                <w:tcPr>
                  <w:tcW w:w="34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default" w:ascii="Times New Roman" w:hAnsi="Times New Roman" w:cs="Times New Roman"/>
                      <w:color w:val="auto"/>
                      <w:sz w:val="18"/>
                      <w:szCs w:val="21"/>
                    </w:rPr>
                    <w:t xml:space="preserve">58.0 </w:t>
                  </w:r>
                </w:p>
              </w:tc>
              <w:tc>
                <w:tcPr>
                  <w:tcW w:w="40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default" w:ascii="Times New Roman" w:hAnsi="Times New Roman" w:cs="Times New Roman"/>
                      <w:color w:val="auto"/>
                      <w:sz w:val="18"/>
                      <w:szCs w:val="21"/>
                    </w:rPr>
                    <w:t xml:space="preserve">55.1 </w:t>
                  </w:r>
                </w:p>
              </w:tc>
              <w:tc>
                <w:tcPr>
                  <w:tcW w:w="375"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default" w:ascii="Times New Roman" w:hAnsi="Times New Roman" w:cs="Times New Roman"/>
                      <w:color w:val="auto"/>
                      <w:sz w:val="18"/>
                      <w:szCs w:val="21"/>
                    </w:rPr>
                    <w:t xml:space="preserve">58.0 </w:t>
                  </w:r>
                </w:p>
              </w:tc>
              <w:tc>
                <w:tcPr>
                  <w:tcW w:w="435"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hd w:val="clear" w:color="auto" w:fill="auto"/>
                    <w:jc w:val="left"/>
                    <w:rPr>
                      <w:rFonts w:hint="default" w:ascii="Times New Roman" w:hAnsi="Times New Roman" w:cs="Times New Roman"/>
                      <w:color w:val="auto"/>
                      <w:sz w:val="18"/>
                      <w:szCs w:val="21"/>
                    </w:rPr>
                  </w:pPr>
                </w:p>
              </w:tc>
              <w:tc>
                <w:tcPr>
                  <w:tcW w:w="417" w:type="dxa"/>
                  <w:tcBorders>
                    <w:top w:val="single" w:color="auto" w:sz="4" w:space="0"/>
                    <w:left w:val="single" w:color="000000" w:sz="4" w:space="0"/>
                    <w:bottom w:val="single" w:color="auto" w:sz="4" w:space="0"/>
                    <w:right w:val="single" w:color="000000" w:sz="4" w:space="0"/>
                  </w:tcBorders>
                  <w:noWrap w:val="0"/>
                  <w:vAlign w:val="center"/>
                </w:tcPr>
                <w:p>
                  <w:pPr>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default" w:ascii="Times New Roman" w:hAnsi="Times New Roman" w:cs="Times New Roman"/>
                      <w:color w:val="auto"/>
                      <w:sz w:val="18"/>
                      <w:szCs w:val="21"/>
                      <w:lang w:val="en-US" w:eastAsia="zh-CN"/>
                    </w:rPr>
                    <w:t>2</w:t>
                  </w:r>
                  <w:r>
                    <w:rPr>
                      <w:rFonts w:hint="default" w:ascii="Times New Roman" w:hAnsi="Times New Roman" w:cs="Times New Roman"/>
                      <w:color w:val="auto"/>
                      <w:sz w:val="18"/>
                      <w:szCs w:val="21"/>
                    </w:rPr>
                    <w:t>0</w:t>
                  </w:r>
                </w:p>
              </w:tc>
              <w:tc>
                <w:tcPr>
                  <w:tcW w:w="412"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eastAsia" w:ascii="Times New Roman" w:hAnsi="Times New Roman" w:cs="Times New Roman"/>
                      <w:color w:val="auto"/>
                      <w:sz w:val="18"/>
                      <w:szCs w:val="21"/>
                      <w:lang w:val="en-US" w:eastAsia="zh-CN"/>
                    </w:rPr>
                    <w:t>3</w:t>
                  </w:r>
                  <w:r>
                    <w:rPr>
                      <w:rFonts w:hint="default" w:ascii="Times New Roman" w:hAnsi="Times New Roman" w:cs="Times New Roman"/>
                      <w:color w:val="auto"/>
                      <w:sz w:val="18"/>
                      <w:szCs w:val="21"/>
                    </w:rPr>
                    <w:t xml:space="preserve">6.4 </w:t>
                  </w:r>
                </w:p>
              </w:tc>
              <w:tc>
                <w:tcPr>
                  <w:tcW w:w="371"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eastAsia" w:ascii="Times New Roman" w:hAnsi="Times New Roman" w:cs="Times New Roman"/>
                      <w:color w:val="auto"/>
                      <w:sz w:val="18"/>
                      <w:szCs w:val="21"/>
                      <w:lang w:val="en-US" w:eastAsia="zh-CN"/>
                    </w:rPr>
                    <w:t>3</w:t>
                  </w:r>
                  <w:r>
                    <w:rPr>
                      <w:rFonts w:hint="default" w:ascii="Times New Roman" w:hAnsi="Times New Roman" w:cs="Times New Roman"/>
                      <w:color w:val="auto"/>
                      <w:sz w:val="18"/>
                      <w:szCs w:val="21"/>
                    </w:rPr>
                    <w:t xml:space="preserve">8.0 </w:t>
                  </w:r>
                </w:p>
              </w:tc>
              <w:tc>
                <w:tcPr>
                  <w:tcW w:w="436"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eastAsia" w:ascii="Times New Roman" w:hAnsi="Times New Roman" w:cs="Times New Roman"/>
                      <w:color w:val="auto"/>
                      <w:sz w:val="18"/>
                      <w:szCs w:val="21"/>
                      <w:lang w:val="en-US" w:eastAsia="zh-CN"/>
                    </w:rPr>
                    <w:t>3</w:t>
                  </w:r>
                  <w:r>
                    <w:rPr>
                      <w:rFonts w:hint="default" w:ascii="Times New Roman" w:hAnsi="Times New Roman" w:cs="Times New Roman"/>
                      <w:color w:val="auto"/>
                      <w:sz w:val="18"/>
                      <w:szCs w:val="21"/>
                    </w:rPr>
                    <w:t xml:space="preserve">5.1 </w:t>
                  </w:r>
                </w:p>
              </w:tc>
              <w:tc>
                <w:tcPr>
                  <w:tcW w:w="363" w:type="dxa"/>
                  <w:tcBorders>
                    <w:top w:val="single" w:color="auto" w:sz="4" w:space="0"/>
                    <w:left w:val="single" w:color="000000" w:sz="4" w:space="0"/>
                    <w:bottom w:val="single" w:color="auto" w:sz="4" w:space="0"/>
                    <w:right w:val="single" w:color="000000" w:sz="4" w:space="0"/>
                  </w:tcBorders>
                  <w:noWrap w:val="0"/>
                  <w:vAlign w:val="center"/>
                </w:tcPr>
                <w:p>
                  <w:pPr>
                    <w:pStyle w:val="168"/>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eastAsia" w:ascii="Times New Roman" w:hAnsi="Times New Roman" w:cs="Times New Roman"/>
                      <w:color w:val="auto"/>
                      <w:sz w:val="18"/>
                      <w:szCs w:val="21"/>
                      <w:lang w:val="en-US" w:eastAsia="zh-CN"/>
                    </w:rPr>
                    <w:t>3</w:t>
                  </w:r>
                  <w:r>
                    <w:rPr>
                      <w:rFonts w:hint="default" w:ascii="Times New Roman" w:hAnsi="Times New Roman" w:cs="Times New Roman"/>
                      <w:color w:val="auto"/>
                      <w:sz w:val="18"/>
                      <w:szCs w:val="21"/>
                    </w:rPr>
                    <w:t xml:space="preserve">8.0 </w:t>
                  </w:r>
                </w:p>
              </w:tc>
              <w:tc>
                <w:tcPr>
                  <w:tcW w:w="216" w:type="dxa"/>
                  <w:tcBorders>
                    <w:top w:val="single" w:color="auto" w:sz="4" w:space="0"/>
                    <w:left w:val="single" w:color="000000" w:sz="4" w:space="0"/>
                    <w:bottom w:val="single" w:color="auto" w:sz="4" w:space="0"/>
                    <w:right w:val="single" w:color="000000" w:sz="8" w:space="0"/>
                  </w:tcBorders>
                  <w:noWrap w:val="0"/>
                  <w:vAlign w:val="center"/>
                </w:tcPr>
                <w:p>
                  <w:pPr>
                    <w:pStyle w:val="168"/>
                    <w:shd w:val="clear" w:color="auto" w:fill="auto"/>
                    <w:autoSpaceDE w:val="0"/>
                    <w:jc w:val="center"/>
                    <w:rPr>
                      <w:rFonts w:hint="default" w:ascii="Times New Roman" w:hAnsi="Times New Roman" w:cs="Times New Roman"/>
                      <w:color w:val="auto"/>
                      <w:kern w:val="2"/>
                      <w:sz w:val="18"/>
                      <w:szCs w:val="21"/>
                      <w:lang w:val="en-US" w:eastAsia="zh-CN" w:bidi="ar-SA"/>
                    </w:rPr>
                  </w:pPr>
                  <w:r>
                    <w:rPr>
                      <w:rFonts w:hint="default" w:ascii="Times New Roman" w:hAnsi="Times New Roman" w:cs="Times New Roman"/>
                      <w:color w:val="auto"/>
                      <w:sz w:val="18"/>
                      <w:szCs w:val="21"/>
                    </w:rPr>
                    <w:t>1</w:t>
                  </w:r>
                </w:p>
              </w:tc>
            </w:tr>
          </w:tbl>
          <w:p>
            <w:pPr>
              <w:adjustRightInd w:val="0"/>
              <w:snapToGrid w:val="0"/>
              <w:rPr>
                <w:b/>
                <w:sz w:val="18"/>
                <w:szCs w:val="18"/>
              </w:rPr>
            </w:pPr>
            <w:r>
              <w:rPr>
                <w:rFonts w:hint="eastAsia"/>
                <w:b/>
                <w:sz w:val="18"/>
                <w:szCs w:val="18"/>
              </w:rPr>
              <w:t>注：表中坐标以厂界</w:t>
            </w:r>
            <w:r>
              <w:rPr>
                <w:rFonts w:hint="eastAsia"/>
                <w:b/>
                <w:sz w:val="18"/>
                <w:szCs w:val="18"/>
                <w:lang w:val="en-US" w:eastAsia="zh-CN"/>
              </w:rPr>
              <w:t>西南角</w:t>
            </w:r>
            <w:r>
              <w:rPr>
                <w:rFonts w:hint="eastAsia"/>
                <w:b/>
                <w:sz w:val="18"/>
                <w:szCs w:val="18"/>
              </w:rPr>
              <w:t>（119.261621971,39.767101187）为坐标原点，正东向为X轴正方向，正北向为Y轴正方向。</w:t>
            </w:r>
          </w:p>
          <w:p>
            <w:pPr>
              <w:keepNext w:val="0"/>
              <w:keepLines w:val="0"/>
              <w:pageBreakBefore w:val="0"/>
              <w:widowControl/>
              <w:shd w:val="clear" w:color="auto" w:fill="auto"/>
              <w:kinsoku/>
              <w:wordWrap/>
              <w:overflowPunct/>
              <w:topLinePunct w:val="0"/>
              <w:autoSpaceDE w:val="0"/>
              <w:autoSpaceDN/>
              <w:bidi w:val="0"/>
              <w:adjustRightInd/>
              <w:snapToGrid w:val="0"/>
              <w:spacing w:line="360" w:lineRule="auto"/>
              <w:ind w:right="0" w:firstLine="0" w:firstLineChars="0"/>
              <w:jc w:val="center"/>
              <w:textAlignment w:val="auto"/>
              <w:rPr>
                <w:rFonts w:hint="eastAsia" w:ascii="宋体" w:hAnsi="宋体" w:eastAsia="宋体" w:cs="Times New Roman"/>
                <w:b/>
                <w:bCs/>
                <w:color w:val="auto"/>
                <w:kern w:val="0"/>
                <w:sz w:val="21"/>
                <w:szCs w:val="21"/>
                <w:lang w:val="en-US" w:eastAsia="zh-CN" w:bidi="ar-SA"/>
              </w:rPr>
            </w:pPr>
            <w:bookmarkStart w:id="29" w:name="_Hlk112252988"/>
            <w:r>
              <w:rPr>
                <w:rFonts w:hint="eastAsia"/>
                <w:b/>
                <w:szCs w:val="21"/>
              </w:rPr>
              <w:t>表</w:t>
            </w:r>
            <w:r>
              <w:rPr>
                <w:b/>
                <w:szCs w:val="21"/>
              </w:rPr>
              <w:t>4-1</w:t>
            </w:r>
            <w:r>
              <w:rPr>
                <w:rFonts w:hint="eastAsia"/>
                <w:b/>
                <w:szCs w:val="21"/>
                <w:lang w:val="en-US" w:eastAsia="zh-CN"/>
              </w:rPr>
              <w:t>1</w:t>
            </w:r>
            <w:r>
              <w:rPr>
                <w:b/>
                <w:szCs w:val="21"/>
              </w:rPr>
              <w:t xml:space="preserve"> </w:t>
            </w:r>
            <w:r>
              <w:rPr>
                <w:rFonts w:hint="eastAsia" w:ascii="宋体" w:hAnsi="宋体" w:eastAsia="宋体" w:cs="Times New Roman"/>
                <w:b/>
                <w:bCs/>
                <w:color w:val="auto"/>
                <w:kern w:val="0"/>
                <w:sz w:val="21"/>
                <w:szCs w:val="21"/>
                <w:lang w:val="en-US" w:eastAsia="zh-CN" w:bidi="ar-SA"/>
              </w:rPr>
              <w:t>工业企业噪声源强调查清单（室外声源）</w:t>
            </w:r>
          </w:p>
          <w:tbl>
            <w:tblPr>
              <w:tblStyle w:val="90"/>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3"/>
              <w:gridCol w:w="841"/>
              <w:gridCol w:w="852"/>
              <w:gridCol w:w="952"/>
              <w:gridCol w:w="958"/>
              <w:gridCol w:w="1097"/>
              <w:gridCol w:w="1482"/>
              <w:gridCol w:w="11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3"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Times New Roman" w:hAnsi="Times New Roman" w:eastAsia="宋体" w:cs="Times New Roman"/>
                      <w:bCs/>
                      <w:color w:val="auto"/>
                      <w:szCs w:val="21"/>
                    </w:rPr>
                  </w:pPr>
                  <w:r>
                    <w:rPr>
                      <w:rFonts w:ascii="宋体" w:hAnsi="宋体" w:eastAsia="宋体" w:cs="Times New Roman"/>
                      <w:bCs/>
                      <w:color w:val="auto"/>
                    </w:rPr>
                    <w:t>序号</w:t>
                  </w:r>
                </w:p>
              </w:tc>
              <w:tc>
                <w:tcPr>
                  <w:tcW w:w="841"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Times New Roman" w:hAnsi="Times New Roman" w:eastAsia="宋体" w:cs="Times New Roman"/>
                      <w:bCs/>
                      <w:color w:val="auto"/>
                      <w:szCs w:val="21"/>
                    </w:rPr>
                  </w:pPr>
                  <w:r>
                    <w:rPr>
                      <w:rFonts w:ascii="宋体" w:hAnsi="宋体" w:eastAsia="宋体" w:cs="Times New Roman"/>
                      <w:bCs/>
                      <w:color w:val="auto"/>
                    </w:rPr>
                    <w:t>声源名称</w:t>
                  </w:r>
                </w:p>
              </w:tc>
              <w:tc>
                <w:tcPr>
                  <w:tcW w:w="2762" w:type="dxa"/>
                  <w:gridSpan w:val="3"/>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Times New Roman" w:hAnsi="Times New Roman" w:eastAsia="宋体" w:cs="Times New Roman"/>
                      <w:bCs/>
                      <w:color w:val="auto"/>
                      <w:szCs w:val="21"/>
                    </w:rPr>
                  </w:pPr>
                  <w:r>
                    <w:rPr>
                      <w:rFonts w:ascii="宋体" w:hAnsi="宋体" w:eastAsia="宋体" w:cs="Times New Roman"/>
                      <w:bCs/>
                      <w:color w:val="auto"/>
                    </w:rPr>
                    <w:t>空间相对位置</w:t>
                  </w:r>
                  <w:r>
                    <w:rPr>
                      <w:rFonts w:ascii="Times New Roman" w:hAnsi="Times New Roman" w:eastAsia="宋体" w:cs="Times New Roman"/>
                      <w:bCs/>
                      <w:color w:val="auto"/>
                    </w:rPr>
                    <w:t>/m</w:t>
                  </w:r>
                </w:p>
              </w:tc>
              <w:tc>
                <w:tcPr>
                  <w:tcW w:w="1097"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Times New Roman" w:hAnsi="Times New Roman" w:eastAsia="宋体" w:cs="Times New Roman"/>
                      <w:bCs/>
                      <w:color w:val="auto"/>
                      <w:szCs w:val="21"/>
                    </w:rPr>
                  </w:pPr>
                  <w:r>
                    <w:rPr>
                      <w:rFonts w:ascii="宋体" w:hAnsi="宋体" w:eastAsia="宋体" w:cs="Times New Roman"/>
                      <w:bCs/>
                      <w:color w:val="auto"/>
                    </w:rPr>
                    <w:t>声源源强</w:t>
                  </w:r>
                </w:p>
              </w:tc>
              <w:tc>
                <w:tcPr>
                  <w:tcW w:w="1482"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Times New Roman" w:hAnsi="Times New Roman" w:eastAsia="宋体" w:cs="Times New Roman"/>
                      <w:bCs/>
                      <w:color w:val="auto"/>
                      <w:szCs w:val="21"/>
                    </w:rPr>
                  </w:pPr>
                  <w:r>
                    <w:rPr>
                      <w:rFonts w:ascii="宋体" w:hAnsi="宋体" w:eastAsia="宋体" w:cs="Times New Roman"/>
                      <w:bCs/>
                      <w:color w:val="auto"/>
                    </w:rPr>
                    <w:t>声源控制措施</w:t>
                  </w:r>
                </w:p>
              </w:tc>
              <w:tc>
                <w:tcPr>
                  <w:tcW w:w="1137" w:type="dxa"/>
                  <w:vMerge w:val="restart"/>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Times New Roman" w:hAnsi="Times New Roman" w:eastAsia="宋体" w:cs="Times New Roman"/>
                      <w:bCs/>
                      <w:color w:val="auto"/>
                      <w:szCs w:val="21"/>
                    </w:rPr>
                  </w:pPr>
                  <w:r>
                    <w:rPr>
                      <w:rFonts w:ascii="宋体" w:hAnsi="宋体" w:eastAsia="宋体" w:cs="Times New Roman"/>
                      <w:bCs/>
                      <w:color w:val="auto"/>
                    </w:rPr>
                    <w:t>运行时段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trPr>
              <w:tc>
                <w:tcPr>
                  <w:tcW w:w="61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rFonts w:ascii="Times New Roman" w:hAnsi="Times New Roman" w:eastAsia="宋体" w:cs="Times New Roman"/>
                      <w:bCs/>
                      <w:color w:val="auto"/>
                      <w:szCs w:val="21"/>
                    </w:rPr>
                  </w:pPr>
                </w:p>
              </w:tc>
              <w:tc>
                <w:tcPr>
                  <w:tcW w:w="84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rFonts w:ascii="Times New Roman" w:hAnsi="Times New Roman" w:eastAsia="宋体" w:cs="Times New Roman"/>
                      <w:bCs/>
                      <w:color w:val="auto"/>
                      <w:szCs w:val="21"/>
                    </w:rPr>
                  </w:pPr>
                </w:p>
              </w:tc>
              <w:tc>
                <w:tcPr>
                  <w:tcW w:w="852"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Times New Roman" w:hAnsi="Times New Roman" w:eastAsia="宋体" w:cs="Times New Roman"/>
                      <w:bCs/>
                      <w:color w:val="auto"/>
                      <w:szCs w:val="21"/>
                    </w:rPr>
                  </w:pPr>
                  <w:r>
                    <w:rPr>
                      <w:rFonts w:ascii="Times New Roman" w:hAnsi="Times New Roman" w:eastAsia="宋体" w:cs="Times New Roman"/>
                      <w:bCs/>
                      <w:color w:val="auto"/>
                    </w:rPr>
                    <w:t>X</w:t>
                  </w:r>
                </w:p>
              </w:tc>
              <w:tc>
                <w:tcPr>
                  <w:tcW w:w="952"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Times New Roman" w:hAnsi="Times New Roman" w:eastAsia="宋体" w:cs="Times New Roman"/>
                      <w:bCs/>
                      <w:color w:val="auto"/>
                      <w:szCs w:val="21"/>
                    </w:rPr>
                  </w:pPr>
                  <w:r>
                    <w:rPr>
                      <w:rFonts w:ascii="Times New Roman" w:hAnsi="Times New Roman" w:eastAsia="宋体" w:cs="Times New Roman"/>
                      <w:bCs/>
                      <w:color w:val="auto"/>
                    </w:rPr>
                    <w:t>Y</w:t>
                  </w:r>
                </w:p>
              </w:tc>
              <w:tc>
                <w:tcPr>
                  <w:tcW w:w="958"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Times New Roman" w:hAnsi="Times New Roman" w:eastAsia="宋体" w:cs="Times New Roman"/>
                      <w:bCs/>
                      <w:color w:val="auto"/>
                      <w:szCs w:val="21"/>
                    </w:rPr>
                  </w:pPr>
                  <w:r>
                    <w:rPr>
                      <w:rFonts w:ascii="Times New Roman" w:hAnsi="Times New Roman" w:eastAsia="宋体" w:cs="Times New Roman"/>
                      <w:bCs/>
                      <w:color w:val="auto"/>
                    </w:rPr>
                    <w:t>Z</w:t>
                  </w:r>
                </w:p>
              </w:tc>
              <w:tc>
                <w:tcPr>
                  <w:tcW w:w="1097"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Times New Roman" w:hAnsi="Times New Roman" w:eastAsia="宋体" w:cs="Times New Roman"/>
                      <w:bCs/>
                      <w:color w:val="auto"/>
                      <w:szCs w:val="21"/>
                    </w:rPr>
                  </w:pPr>
                  <w:r>
                    <w:rPr>
                      <w:rFonts w:ascii="宋体" w:hAnsi="宋体" w:eastAsia="宋体" w:cs="Times New Roman"/>
                      <w:bCs/>
                      <w:color w:val="auto"/>
                    </w:rPr>
                    <w:t>声功率级</w:t>
                  </w:r>
                  <w:r>
                    <w:rPr>
                      <w:rFonts w:ascii="Times New Roman" w:hAnsi="Times New Roman" w:eastAsia="宋体" w:cs="Times New Roman"/>
                      <w:bCs/>
                      <w:color w:val="auto"/>
                    </w:rPr>
                    <w:t>/dB(A)</w:t>
                  </w:r>
                </w:p>
              </w:tc>
              <w:tc>
                <w:tcPr>
                  <w:tcW w:w="148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rFonts w:ascii="Times New Roman" w:hAnsi="Times New Roman" w:eastAsia="宋体" w:cs="Times New Roman"/>
                      <w:bCs/>
                      <w:color w:val="auto"/>
                      <w:szCs w:val="21"/>
                    </w:rPr>
                  </w:pPr>
                </w:p>
              </w:tc>
              <w:tc>
                <w:tcPr>
                  <w:tcW w:w="11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hd w:val="clear" w:color="auto" w:fill="auto"/>
                    <w:jc w:val="left"/>
                    <w:rPr>
                      <w:rFonts w:ascii="Times New Roman" w:hAnsi="Times New Roman" w:eastAsia="宋体" w:cs="Times New Roman"/>
                      <w:bCs/>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3"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Times New Roman" w:hAnsi="Times New Roman" w:eastAsia="宋体" w:cs="Times New Roman"/>
                      <w:bCs/>
                      <w:color w:val="auto"/>
                      <w:szCs w:val="21"/>
                    </w:rPr>
                  </w:pPr>
                  <w:r>
                    <w:rPr>
                      <w:rFonts w:ascii="Times New Roman" w:hAnsi="Times New Roman" w:eastAsia="Arial" w:cs="Times New Roman"/>
                      <w:bCs/>
                      <w:color w:val="auto"/>
                    </w:rPr>
                    <w:t>1</w:t>
                  </w:r>
                </w:p>
              </w:tc>
              <w:tc>
                <w:tcPr>
                  <w:tcW w:w="841"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Times New Roman" w:hAnsi="Times New Roman" w:eastAsia="宋体" w:cs="Times New Roman"/>
                      <w:bCs/>
                      <w:color w:val="auto"/>
                      <w:szCs w:val="21"/>
                    </w:rPr>
                  </w:pPr>
                  <w:r>
                    <w:rPr>
                      <w:rFonts w:hint="eastAsia" w:ascii="宋体" w:hAnsi="宋体" w:eastAsia="宋体" w:cs="宋体"/>
                      <w:bCs/>
                      <w:color w:val="auto"/>
                    </w:rPr>
                    <w:t>风机</w:t>
                  </w:r>
                </w:p>
              </w:tc>
              <w:tc>
                <w:tcPr>
                  <w:tcW w:w="852"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ascii="Times New Roman" w:hAnsi="Times New Roman" w:eastAsia="宋体" w:cs="Times New Roman"/>
                      <w:bCs/>
                      <w:color w:val="auto"/>
                      <w:szCs w:val="21"/>
                      <w:lang w:val="en-US" w:eastAsia="zh-CN"/>
                    </w:rPr>
                  </w:pPr>
                  <w:r>
                    <w:rPr>
                      <w:rFonts w:hint="eastAsia" w:ascii="Times New Roman" w:hAnsi="Times New Roman" w:eastAsia="宋体" w:cs="Times New Roman"/>
                      <w:bCs/>
                      <w:color w:val="auto"/>
                      <w:lang w:val="en-US" w:eastAsia="zh-CN"/>
                    </w:rPr>
                    <w:t>80</w:t>
                  </w:r>
                </w:p>
              </w:tc>
              <w:tc>
                <w:tcPr>
                  <w:tcW w:w="952"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ascii="Times New Roman" w:hAnsi="Times New Roman" w:eastAsia="宋体" w:cs="Times New Roman"/>
                      <w:bCs/>
                      <w:color w:val="auto"/>
                      <w:szCs w:val="21"/>
                      <w:lang w:val="en-US" w:eastAsia="zh-CN"/>
                    </w:rPr>
                  </w:pPr>
                  <w:r>
                    <w:rPr>
                      <w:rFonts w:hint="eastAsia" w:ascii="Times New Roman" w:hAnsi="Times New Roman" w:eastAsia="宋体" w:cs="Times New Roman"/>
                      <w:bCs/>
                      <w:color w:val="auto"/>
                      <w:lang w:val="en-US" w:eastAsia="zh-CN"/>
                    </w:rPr>
                    <w:t>50</w:t>
                  </w:r>
                </w:p>
              </w:tc>
              <w:tc>
                <w:tcPr>
                  <w:tcW w:w="958"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Times New Roman" w:hAnsi="Times New Roman" w:eastAsia="宋体" w:cs="Times New Roman"/>
                      <w:bCs/>
                      <w:color w:val="auto"/>
                      <w:szCs w:val="21"/>
                    </w:rPr>
                  </w:pPr>
                  <w:r>
                    <w:rPr>
                      <w:rFonts w:hint="eastAsia" w:ascii="Times New Roman" w:hAnsi="Times New Roman" w:eastAsia="宋体" w:cs="Times New Roman"/>
                      <w:bCs/>
                      <w:color w:val="auto"/>
                    </w:rPr>
                    <w:t>1.2</w:t>
                  </w:r>
                </w:p>
              </w:tc>
              <w:tc>
                <w:tcPr>
                  <w:tcW w:w="1097"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hint="default" w:ascii="宋体" w:hAnsi="宋体" w:eastAsia="宋体" w:cs="Times New Roman"/>
                      <w:bCs/>
                      <w:color w:val="auto"/>
                      <w:szCs w:val="21"/>
                      <w:lang w:val="en-US" w:eastAsia="zh-CN"/>
                    </w:rPr>
                  </w:pPr>
                  <w:r>
                    <w:rPr>
                      <w:rFonts w:hint="eastAsia" w:ascii="Times New Roman" w:hAnsi="Times New Roman" w:eastAsia="宋体" w:cs="Times New Roman"/>
                      <w:bCs/>
                      <w:color w:val="auto"/>
                      <w:lang w:val="en-US" w:eastAsia="zh-CN"/>
                    </w:rPr>
                    <w:t>90</w:t>
                  </w:r>
                </w:p>
              </w:tc>
              <w:tc>
                <w:tcPr>
                  <w:tcW w:w="1482" w:type="dxa"/>
                  <w:tcBorders>
                    <w:top w:val="nil"/>
                    <w:left w:val="single" w:color="auto" w:sz="4" w:space="0"/>
                    <w:bottom w:val="single" w:color="auto" w:sz="4" w:space="0"/>
                    <w:right w:val="single" w:color="auto" w:sz="4" w:space="0"/>
                  </w:tcBorders>
                  <w:noWrap w:val="0"/>
                  <w:vAlign w:val="center"/>
                </w:tcPr>
                <w:p>
                  <w:pPr>
                    <w:shd w:val="clear" w:color="auto" w:fill="auto"/>
                    <w:jc w:val="center"/>
                    <w:rPr>
                      <w:rFonts w:ascii="宋体" w:hAnsi="宋体" w:eastAsia="宋体" w:cs="Times New Roman"/>
                      <w:bCs/>
                      <w:color w:val="auto"/>
                      <w:szCs w:val="21"/>
                    </w:rPr>
                  </w:pPr>
                  <w:r>
                    <w:rPr>
                      <w:rFonts w:hint="eastAsia" w:ascii="宋体" w:hAnsi="宋体" w:eastAsia="宋体" w:cs="Times New Roman"/>
                      <w:bCs/>
                      <w:color w:val="auto"/>
                    </w:rPr>
                    <w:t>选用低噪声设备，减震基础加距离衰减</w:t>
                  </w:r>
                </w:p>
              </w:tc>
              <w:tc>
                <w:tcPr>
                  <w:tcW w:w="1137" w:type="dxa"/>
                  <w:tcBorders>
                    <w:top w:val="single" w:color="auto" w:sz="4" w:space="0"/>
                    <w:left w:val="single" w:color="auto" w:sz="4" w:space="0"/>
                    <w:bottom w:val="single" w:color="auto" w:sz="4" w:space="0"/>
                    <w:right w:val="single" w:color="auto" w:sz="4" w:space="0"/>
                  </w:tcBorders>
                  <w:noWrap w:val="0"/>
                  <w:vAlign w:val="center"/>
                </w:tcPr>
                <w:p>
                  <w:pPr>
                    <w:shd w:val="clear" w:color="auto" w:fill="auto"/>
                    <w:jc w:val="center"/>
                    <w:rPr>
                      <w:rFonts w:ascii="宋体" w:hAnsi="宋体" w:eastAsia="宋体" w:cs="Times New Roman"/>
                      <w:bCs/>
                      <w:color w:val="auto"/>
                      <w:szCs w:val="21"/>
                    </w:rPr>
                  </w:pPr>
                  <w:r>
                    <w:rPr>
                      <w:rFonts w:hint="eastAsia" w:ascii="宋体" w:hAnsi="宋体" w:eastAsia="宋体" w:cs="Times New Roman"/>
                      <w:bCs/>
                      <w:color w:val="auto"/>
                    </w:rPr>
                    <w:t>昼夜</w:t>
                  </w:r>
                </w:p>
              </w:tc>
            </w:tr>
          </w:tbl>
          <w:p>
            <w:pPr>
              <w:adjustRightInd w:val="0"/>
              <w:snapToGrid w:val="0"/>
              <w:spacing w:line="400" w:lineRule="exact"/>
              <w:ind w:firstLine="422" w:firstLineChars="200"/>
              <w:rPr>
                <w:rFonts w:hint="eastAsia" w:ascii="Times New Roman" w:hAnsi="Times New Roman" w:eastAsia="宋体" w:cs="Times New Roman"/>
                <w:b/>
                <w:szCs w:val="21"/>
              </w:rPr>
            </w:pPr>
            <w:r>
              <w:rPr>
                <w:rFonts w:hint="eastAsia" w:ascii="Times New Roman" w:hAnsi="Times New Roman" w:eastAsia="宋体" w:cs="Times New Roman"/>
                <w:b/>
                <w:szCs w:val="21"/>
                <w:lang w:val="en-US" w:eastAsia="zh-CN"/>
              </w:rPr>
              <w:t>3.3</w:t>
            </w:r>
            <w:r>
              <w:rPr>
                <w:rFonts w:hint="eastAsia" w:ascii="Times New Roman" w:hAnsi="Times New Roman" w:eastAsia="宋体" w:cs="Times New Roman"/>
                <w:b/>
                <w:szCs w:val="21"/>
              </w:rPr>
              <w:t>预测结果</w:t>
            </w:r>
          </w:p>
          <w:p>
            <w:pPr>
              <w:adjustRightInd w:val="0"/>
              <w:snapToGrid w:val="0"/>
              <w:spacing w:line="400" w:lineRule="exact"/>
              <w:ind w:firstLine="420" w:firstLineChars="200"/>
              <w:rPr>
                <w:rFonts w:hint="eastAsia" w:ascii="Times New Roman" w:hAnsi="Times New Roman" w:eastAsia="宋体" w:cs="Times New Roman"/>
                <w:bCs/>
                <w:szCs w:val="21"/>
                <w:lang w:eastAsia="zh-CN"/>
              </w:rPr>
            </w:pPr>
            <w:r>
              <w:rPr>
                <w:rFonts w:hint="eastAsia" w:ascii="Times New Roman" w:hAnsi="Times New Roman" w:eastAsia="宋体" w:cs="Times New Roman"/>
                <w:bCs/>
                <w:szCs w:val="21"/>
                <w:lang w:val="en-US" w:eastAsia="zh-CN"/>
              </w:rPr>
              <w:t>通</w:t>
            </w:r>
            <w:r>
              <w:rPr>
                <w:rFonts w:hint="eastAsia" w:ascii="Times New Roman" w:hAnsi="Times New Roman" w:eastAsia="宋体" w:cs="Times New Roman"/>
                <w:bCs/>
                <w:szCs w:val="21"/>
              </w:rPr>
              <w:t>过预测模型计算，项目厂界噪声预测结果与达标分析见下表</w:t>
            </w:r>
            <w:r>
              <w:rPr>
                <w:rFonts w:hint="eastAsia" w:ascii="Times New Roman" w:hAnsi="Times New Roman" w:eastAsia="宋体" w:cs="Times New Roman"/>
                <w:bCs/>
                <w:szCs w:val="21"/>
                <w:lang w:eastAsia="zh-CN"/>
              </w:rPr>
              <w:t>。</w:t>
            </w:r>
          </w:p>
          <w:p>
            <w:pPr>
              <w:spacing w:line="400" w:lineRule="exact"/>
              <w:jc w:val="center"/>
              <w:rPr>
                <w:b/>
                <w:szCs w:val="21"/>
              </w:rPr>
            </w:pPr>
            <w:r>
              <w:rPr>
                <w:rFonts w:hint="eastAsia"/>
                <w:b/>
                <w:szCs w:val="21"/>
              </w:rPr>
              <w:t>表</w:t>
            </w:r>
            <w:r>
              <w:rPr>
                <w:b/>
                <w:szCs w:val="21"/>
              </w:rPr>
              <w:t>4-1</w:t>
            </w:r>
            <w:r>
              <w:rPr>
                <w:rFonts w:hint="eastAsia"/>
                <w:b/>
                <w:szCs w:val="21"/>
                <w:lang w:val="en-US" w:eastAsia="zh-CN"/>
              </w:rPr>
              <w:t>2</w:t>
            </w:r>
            <w:r>
              <w:rPr>
                <w:b/>
                <w:szCs w:val="21"/>
              </w:rPr>
              <w:t xml:space="preserve">  </w:t>
            </w:r>
            <w:r>
              <w:rPr>
                <w:rFonts w:hint="eastAsia"/>
                <w:b/>
                <w:szCs w:val="21"/>
              </w:rPr>
              <w:t>厂界噪声预测结果与达标分析表</w:t>
            </w:r>
          </w:p>
          <w:tbl>
            <w:tblPr>
              <w:tblStyle w:val="9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716"/>
              <w:gridCol w:w="897"/>
              <w:gridCol w:w="819"/>
              <w:gridCol w:w="870"/>
              <w:gridCol w:w="846"/>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7" w:type="pct"/>
                  <w:vMerge w:val="restart"/>
                  <w:vAlign w:val="center"/>
                </w:tcPr>
                <w:p>
                  <w:pPr>
                    <w:adjustRightInd w:val="0"/>
                    <w:snapToGrid w:val="0"/>
                    <w:jc w:val="center"/>
                    <w:rPr>
                      <w:bCs/>
                      <w:szCs w:val="21"/>
                    </w:rPr>
                  </w:pPr>
                  <w:r>
                    <w:rPr>
                      <w:rFonts w:hint="eastAsia"/>
                      <w:bCs/>
                      <w:szCs w:val="21"/>
                    </w:rPr>
                    <w:t>序号</w:t>
                  </w:r>
                </w:p>
              </w:tc>
              <w:tc>
                <w:tcPr>
                  <w:tcW w:w="1081" w:type="pct"/>
                  <w:vMerge w:val="restart"/>
                  <w:vAlign w:val="center"/>
                </w:tcPr>
                <w:p>
                  <w:pPr>
                    <w:adjustRightInd w:val="0"/>
                    <w:snapToGrid w:val="0"/>
                    <w:jc w:val="center"/>
                    <w:rPr>
                      <w:bCs/>
                      <w:szCs w:val="21"/>
                    </w:rPr>
                  </w:pPr>
                  <w:r>
                    <w:rPr>
                      <w:rFonts w:hint="eastAsia"/>
                      <w:bCs/>
                      <w:szCs w:val="21"/>
                    </w:rPr>
                    <w:t>名称</w:t>
                  </w:r>
                </w:p>
              </w:tc>
              <w:tc>
                <w:tcPr>
                  <w:tcW w:w="1081" w:type="pct"/>
                  <w:gridSpan w:val="2"/>
                  <w:vAlign w:val="center"/>
                </w:tcPr>
                <w:p>
                  <w:pPr>
                    <w:adjustRightInd w:val="0"/>
                    <w:snapToGrid w:val="0"/>
                    <w:jc w:val="center"/>
                    <w:rPr>
                      <w:bCs/>
                      <w:szCs w:val="21"/>
                    </w:rPr>
                  </w:pPr>
                  <w:r>
                    <w:rPr>
                      <w:rFonts w:hint="eastAsia"/>
                      <w:bCs/>
                      <w:szCs w:val="21"/>
                    </w:rPr>
                    <w:t>噪声贡献值</w:t>
                  </w:r>
                </w:p>
              </w:tc>
              <w:tc>
                <w:tcPr>
                  <w:tcW w:w="1081" w:type="pct"/>
                  <w:gridSpan w:val="2"/>
                  <w:vAlign w:val="center"/>
                </w:tcPr>
                <w:p>
                  <w:pPr>
                    <w:adjustRightInd w:val="0"/>
                    <w:snapToGrid w:val="0"/>
                    <w:jc w:val="center"/>
                    <w:rPr>
                      <w:bCs/>
                      <w:szCs w:val="21"/>
                    </w:rPr>
                  </w:pPr>
                  <w:r>
                    <w:rPr>
                      <w:rFonts w:hint="eastAsia"/>
                      <w:bCs/>
                      <w:szCs w:val="21"/>
                    </w:rPr>
                    <w:t>标准限值</w:t>
                  </w:r>
                </w:p>
              </w:tc>
              <w:tc>
                <w:tcPr>
                  <w:tcW w:w="1079" w:type="pct"/>
                  <w:vMerge w:val="restart"/>
                  <w:vAlign w:val="center"/>
                </w:tcPr>
                <w:p>
                  <w:pPr>
                    <w:adjustRightInd w:val="0"/>
                    <w:snapToGrid w:val="0"/>
                    <w:jc w:val="center"/>
                    <w:rPr>
                      <w:bCs/>
                      <w:szCs w:val="21"/>
                    </w:rPr>
                  </w:pPr>
                  <w:r>
                    <w:rPr>
                      <w:rFonts w:hint="eastAsia"/>
                      <w:bCs/>
                      <w:szCs w:val="21"/>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7" w:type="pct"/>
                  <w:vMerge w:val="continue"/>
                  <w:vAlign w:val="center"/>
                </w:tcPr>
                <w:p>
                  <w:pPr>
                    <w:adjustRightInd w:val="0"/>
                    <w:snapToGrid w:val="0"/>
                    <w:jc w:val="center"/>
                    <w:rPr>
                      <w:bCs/>
                      <w:szCs w:val="21"/>
                    </w:rPr>
                  </w:pPr>
                </w:p>
              </w:tc>
              <w:tc>
                <w:tcPr>
                  <w:tcW w:w="1081" w:type="pct"/>
                  <w:vMerge w:val="continue"/>
                  <w:vAlign w:val="center"/>
                </w:tcPr>
                <w:p>
                  <w:pPr>
                    <w:adjustRightInd w:val="0"/>
                    <w:snapToGrid w:val="0"/>
                    <w:jc w:val="center"/>
                    <w:rPr>
                      <w:bCs/>
                      <w:szCs w:val="21"/>
                    </w:rPr>
                  </w:pPr>
                </w:p>
              </w:tc>
              <w:tc>
                <w:tcPr>
                  <w:tcW w:w="897" w:type="dxa"/>
                  <w:vAlign w:val="center"/>
                </w:tcPr>
                <w:p>
                  <w:pPr>
                    <w:adjustRightInd w:val="0"/>
                    <w:snapToGrid w:val="0"/>
                    <w:jc w:val="center"/>
                    <w:rPr>
                      <w:bCs/>
                      <w:szCs w:val="21"/>
                    </w:rPr>
                  </w:pPr>
                  <w:r>
                    <w:rPr>
                      <w:rFonts w:hint="eastAsia"/>
                      <w:bCs/>
                      <w:szCs w:val="21"/>
                    </w:rPr>
                    <w:t>昼间</w:t>
                  </w:r>
                </w:p>
              </w:tc>
              <w:tc>
                <w:tcPr>
                  <w:tcW w:w="819" w:type="dxa"/>
                  <w:vAlign w:val="center"/>
                </w:tcPr>
                <w:p>
                  <w:pPr>
                    <w:adjustRightInd w:val="0"/>
                    <w:snapToGrid w:val="0"/>
                    <w:jc w:val="center"/>
                    <w:rPr>
                      <w:bCs/>
                      <w:szCs w:val="21"/>
                    </w:rPr>
                  </w:pPr>
                  <w:r>
                    <w:rPr>
                      <w:rFonts w:hint="eastAsia"/>
                      <w:bCs/>
                      <w:szCs w:val="21"/>
                    </w:rPr>
                    <w:t>夜间</w:t>
                  </w:r>
                </w:p>
              </w:tc>
              <w:tc>
                <w:tcPr>
                  <w:tcW w:w="548" w:type="pct"/>
                  <w:vAlign w:val="center"/>
                </w:tcPr>
                <w:p>
                  <w:pPr>
                    <w:adjustRightInd w:val="0"/>
                    <w:snapToGrid w:val="0"/>
                    <w:jc w:val="center"/>
                    <w:rPr>
                      <w:bCs/>
                      <w:szCs w:val="21"/>
                    </w:rPr>
                  </w:pPr>
                  <w:r>
                    <w:rPr>
                      <w:rFonts w:hint="eastAsia"/>
                      <w:bCs/>
                      <w:szCs w:val="21"/>
                    </w:rPr>
                    <w:t>昼间</w:t>
                  </w:r>
                </w:p>
              </w:tc>
              <w:tc>
                <w:tcPr>
                  <w:tcW w:w="533" w:type="pct"/>
                  <w:vAlign w:val="center"/>
                </w:tcPr>
                <w:p>
                  <w:pPr>
                    <w:adjustRightInd w:val="0"/>
                    <w:snapToGrid w:val="0"/>
                    <w:jc w:val="center"/>
                    <w:rPr>
                      <w:bCs/>
                      <w:szCs w:val="21"/>
                    </w:rPr>
                  </w:pPr>
                  <w:r>
                    <w:rPr>
                      <w:rFonts w:hint="eastAsia"/>
                      <w:bCs/>
                      <w:szCs w:val="21"/>
                    </w:rPr>
                    <w:t>夜间</w:t>
                  </w:r>
                </w:p>
              </w:tc>
              <w:tc>
                <w:tcPr>
                  <w:tcW w:w="1079" w:type="pct"/>
                  <w:vMerge w:val="continue"/>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7" w:type="pct"/>
                  <w:vAlign w:val="center"/>
                </w:tcPr>
                <w:p>
                  <w:pPr>
                    <w:adjustRightInd w:val="0"/>
                    <w:snapToGrid w:val="0"/>
                    <w:jc w:val="center"/>
                    <w:rPr>
                      <w:bCs/>
                      <w:szCs w:val="21"/>
                    </w:rPr>
                  </w:pPr>
                  <w:r>
                    <w:rPr>
                      <w:rFonts w:hint="eastAsia"/>
                      <w:bCs/>
                      <w:szCs w:val="21"/>
                    </w:rPr>
                    <w:t>1</w:t>
                  </w:r>
                </w:p>
              </w:tc>
              <w:tc>
                <w:tcPr>
                  <w:tcW w:w="1081" w:type="pct"/>
                  <w:vAlign w:val="center"/>
                </w:tcPr>
                <w:p>
                  <w:pPr>
                    <w:adjustRightInd w:val="0"/>
                    <w:snapToGrid w:val="0"/>
                    <w:jc w:val="center"/>
                    <w:rPr>
                      <w:bCs/>
                      <w:szCs w:val="21"/>
                    </w:rPr>
                  </w:pPr>
                  <w:r>
                    <w:rPr>
                      <w:rFonts w:hint="eastAsia"/>
                      <w:bCs/>
                      <w:szCs w:val="21"/>
                    </w:rPr>
                    <w:t>东厂界</w:t>
                  </w:r>
                </w:p>
              </w:tc>
              <w:tc>
                <w:tcPr>
                  <w:tcW w:w="565" w:type="pct"/>
                  <w:vAlign w:val="center"/>
                </w:tcPr>
                <w:p>
                  <w:pPr>
                    <w:adjustRightInd w:val="0"/>
                    <w:snapToGrid w:val="0"/>
                    <w:jc w:val="center"/>
                    <w:rPr>
                      <w:bCs/>
                      <w:szCs w:val="21"/>
                    </w:rPr>
                  </w:pPr>
                  <w:r>
                    <w:rPr>
                      <w:rFonts w:hint="eastAsia"/>
                      <w:bCs/>
                      <w:szCs w:val="21"/>
                      <w:lang w:val="en-US" w:eastAsia="zh-CN"/>
                    </w:rPr>
                    <w:t>3</w:t>
                  </w:r>
                  <w:r>
                    <w:rPr>
                      <w:bCs/>
                      <w:szCs w:val="21"/>
                    </w:rPr>
                    <w:t>3.8</w:t>
                  </w:r>
                </w:p>
              </w:tc>
              <w:tc>
                <w:tcPr>
                  <w:tcW w:w="819" w:type="dxa"/>
                  <w:vAlign w:val="center"/>
                </w:tcPr>
                <w:p>
                  <w:pPr>
                    <w:adjustRightInd w:val="0"/>
                    <w:snapToGrid w:val="0"/>
                    <w:jc w:val="center"/>
                    <w:rPr>
                      <w:bCs/>
                      <w:szCs w:val="21"/>
                    </w:rPr>
                  </w:pPr>
                  <w:r>
                    <w:rPr>
                      <w:rFonts w:hint="eastAsia"/>
                      <w:bCs/>
                      <w:szCs w:val="21"/>
                      <w:lang w:val="en-US" w:eastAsia="zh-CN"/>
                    </w:rPr>
                    <w:t>3</w:t>
                  </w:r>
                  <w:r>
                    <w:rPr>
                      <w:bCs/>
                      <w:szCs w:val="21"/>
                    </w:rPr>
                    <w:t>3.8</w:t>
                  </w:r>
                </w:p>
              </w:tc>
              <w:tc>
                <w:tcPr>
                  <w:tcW w:w="548" w:type="pct"/>
                  <w:vAlign w:val="center"/>
                </w:tcPr>
                <w:p>
                  <w:pPr>
                    <w:adjustRightInd w:val="0"/>
                    <w:snapToGrid w:val="0"/>
                    <w:jc w:val="center"/>
                    <w:rPr>
                      <w:rFonts w:hint="eastAsia" w:eastAsia="宋体"/>
                      <w:bCs/>
                      <w:szCs w:val="21"/>
                      <w:lang w:eastAsia="zh-CN"/>
                    </w:rPr>
                  </w:pPr>
                  <w:r>
                    <w:rPr>
                      <w:rFonts w:hint="eastAsia"/>
                      <w:bCs/>
                      <w:szCs w:val="21"/>
                    </w:rPr>
                    <w:t>6</w:t>
                  </w:r>
                  <w:r>
                    <w:rPr>
                      <w:rFonts w:hint="eastAsia"/>
                      <w:bCs/>
                      <w:szCs w:val="21"/>
                      <w:lang w:val="en-US" w:eastAsia="zh-CN"/>
                    </w:rPr>
                    <w:t>0</w:t>
                  </w:r>
                </w:p>
              </w:tc>
              <w:tc>
                <w:tcPr>
                  <w:tcW w:w="533" w:type="pct"/>
                  <w:vAlign w:val="center"/>
                </w:tcPr>
                <w:p>
                  <w:pPr>
                    <w:adjustRightInd w:val="0"/>
                    <w:snapToGrid w:val="0"/>
                    <w:jc w:val="center"/>
                    <w:rPr>
                      <w:rFonts w:hint="eastAsia" w:eastAsia="宋体"/>
                      <w:bCs/>
                      <w:szCs w:val="21"/>
                      <w:lang w:eastAsia="zh-CN"/>
                    </w:rPr>
                  </w:pPr>
                  <w:r>
                    <w:rPr>
                      <w:rFonts w:hint="eastAsia"/>
                      <w:bCs/>
                      <w:szCs w:val="21"/>
                    </w:rPr>
                    <w:t>5</w:t>
                  </w:r>
                  <w:r>
                    <w:rPr>
                      <w:rFonts w:hint="eastAsia"/>
                      <w:bCs/>
                      <w:szCs w:val="21"/>
                      <w:lang w:val="en-US" w:eastAsia="zh-CN"/>
                    </w:rPr>
                    <w:t>0</w:t>
                  </w:r>
                </w:p>
              </w:tc>
              <w:tc>
                <w:tcPr>
                  <w:tcW w:w="1079" w:type="pct"/>
                  <w:vAlign w:val="center"/>
                </w:tcPr>
                <w:p>
                  <w:pPr>
                    <w:adjustRightInd w:val="0"/>
                    <w:snapToGrid w:val="0"/>
                    <w:jc w:val="center"/>
                    <w:rPr>
                      <w:bCs/>
                      <w:szCs w:val="21"/>
                    </w:rPr>
                  </w:pPr>
                  <w:r>
                    <w:rPr>
                      <w:rFonts w:hint="eastAsia"/>
                      <w:bCs/>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7" w:type="pct"/>
                  <w:vAlign w:val="center"/>
                </w:tcPr>
                <w:p>
                  <w:pPr>
                    <w:adjustRightInd w:val="0"/>
                    <w:snapToGrid w:val="0"/>
                    <w:jc w:val="center"/>
                    <w:rPr>
                      <w:bCs/>
                      <w:szCs w:val="21"/>
                    </w:rPr>
                  </w:pPr>
                  <w:r>
                    <w:rPr>
                      <w:rFonts w:hint="eastAsia"/>
                      <w:bCs/>
                      <w:szCs w:val="21"/>
                    </w:rPr>
                    <w:t>2</w:t>
                  </w:r>
                </w:p>
              </w:tc>
              <w:tc>
                <w:tcPr>
                  <w:tcW w:w="1081" w:type="pct"/>
                  <w:vAlign w:val="center"/>
                </w:tcPr>
                <w:p>
                  <w:pPr>
                    <w:adjustRightInd w:val="0"/>
                    <w:snapToGrid w:val="0"/>
                    <w:jc w:val="center"/>
                    <w:rPr>
                      <w:bCs/>
                      <w:szCs w:val="21"/>
                    </w:rPr>
                  </w:pPr>
                  <w:r>
                    <w:rPr>
                      <w:rFonts w:hint="eastAsia"/>
                      <w:bCs/>
                      <w:szCs w:val="21"/>
                    </w:rPr>
                    <w:t>南厂界</w:t>
                  </w:r>
                </w:p>
              </w:tc>
              <w:tc>
                <w:tcPr>
                  <w:tcW w:w="565" w:type="pct"/>
                  <w:vAlign w:val="center"/>
                </w:tcPr>
                <w:p>
                  <w:pPr>
                    <w:adjustRightInd w:val="0"/>
                    <w:snapToGrid w:val="0"/>
                    <w:jc w:val="center"/>
                    <w:rPr>
                      <w:bCs/>
                      <w:szCs w:val="21"/>
                    </w:rPr>
                  </w:pPr>
                  <w:r>
                    <w:rPr>
                      <w:rFonts w:hint="eastAsia"/>
                      <w:bCs/>
                      <w:szCs w:val="21"/>
                      <w:lang w:val="en-US" w:eastAsia="zh-CN"/>
                    </w:rPr>
                    <w:t>35.6</w:t>
                  </w:r>
                </w:p>
              </w:tc>
              <w:tc>
                <w:tcPr>
                  <w:tcW w:w="819" w:type="dxa"/>
                  <w:vAlign w:val="center"/>
                </w:tcPr>
                <w:p>
                  <w:pPr>
                    <w:adjustRightInd w:val="0"/>
                    <w:snapToGrid w:val="0"/>
                    <w:jc w:val="center"/>
                    <w:rPr>
                      <w:rFonts w:hint="eastAsia"/>
                      <w:bCs/>
                      <w:szCs w:val="21"/>
                    </w:rPr>
                  </w:pPr>
                  <w:r>
                    <w:rPr>
                      <w:rFonts w:hint="eastAsia"/>
                      <w:bCs/>
                      <w:szCs w:val="21"/>
                      <w:lang w:val="en-US" w:eastAsia="zh-CN"/>
                    </w:rPr>
                    <w:t>35.6</w:t>
                  </w:r>
                </w:p>
              </w:tc>
              <w:tc>
                <w:tcPr>
                  <w:tcW w:w="870" w:type="dxa"/>
                  <w:vAlign w:val="center"/>
                </w:tcPr>
                <w:p>
                  <w:pPr>
                    <w:adjustRightInd w:val="0"/>
                    <w:snapToGrid w:val="0"/>
                    <w:jc w:val="center"/>
                    <w:rPr>
                      <w:bCs/>
                      <w:szCs w:val="21"/>
                    </w:rPr>
                  </w:pPr>
                  <w:r>
                    <w:rPr>
                      <w:rFonts w:hint="eastAsia"/>
                      <w:bCs/>
                      <w:szCs w:val="21"/>
                    </w:rPr>
                    <w:t>6</w:t>
                  </w:r>
                  <w:r>
                    <w:rPr>
                      <w:rFonts w:hint="eastAsia"/>
                      <w:bCs/>
                      <w:szCs w:val="21"/>
                      <w:lang w:val="en-US" w:eastAsia="zh-CN"/>
                    </w:rPr>
                    <w:t>0</w:t>
                  </w:r>
                </w:p>
              </w:tc>
              <w:tc>
                <w:tcPr>
                  <w:tcW w:w="846" w:type="dxa"/>
                  <w:vAlign w:val="center"/>
                </w:tcPr>
                <w:p>
                  <w:pPr>
                    <w:adjustRightInd w:val="0"/>
                    <w:snapToGrid w:val="0"/>
                    <w:jc w:val="center"/>
                    <w:rPr>
                      <w:bCs/>
                      <w:szCs w:val="21"/>
                    </w:rPr>
                  </w:pPr>
                  <w:r>
                    <w:rPr>
                      <w:rFonts w:hint="eastAsia"/>
                      <w:bCs/>
                      <w:szCs w:val="21"/>
                    </w:rPr>
                    <w:t>5</w:t>
                  </w:r>
                  <w:r>
                    <w:rPr>
                      <w:rFonts w:hint="eastAsia"/>
                      <w:bCs/>
                      <w:szCs w:val="21"/>
                      <w:lang w:val="en-US" w:eastAsia="zh-CN"/>
                    </w:rPr>
                    <w:t>0</w:t>
                  </w:r>
                </w:p>
              </w:tc>
              <w:tc>
                <w:tcPr>
                  <w:tcW w:w="1079" w:type="pct"/>
                  <w:vAlign w:val="center"/>
                </w:tcPr>
                <w:p>
                  <w:pPr>
                    <w:adjustRightInd w:val="0"/>
                    <w:snapToGrid w:val="0"/>
                    <w:jc w:val="center"/>
                    <w:rPr>
                      <w:bCs/>
                      <w:szCs w:val="21"/>
                    </w:rPr>
                  </w:pPr>
                  <w:r>
                    <w:rPr>
                      <w:rFonts w:hint="eastAsia"/>
                      <w:bCs/>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7" w:type="pct"/>
                  <w:vAlign w:val="center"/>
                </w:tcPr>
                <w:p>
                  <w:pPr>
                    <w:adjustRightInd w:val="0"/>
                    <w:snapToGrid w:val="0"/>
                    <w:jc w:val="center"/>
                    <w:rPr>
                      <w:bCs/>
                      <w:szCs w:val="21"/>
                    </w:rPr>
                  </w:pPr>
                  <w:r>
                    <w:rPr>
                      <w:rFonts w:hint="eastAsia"/>
                      <w:bCs/>
                      <w:szCs w:val="21"/>
                    </w:rPr>
                    <w:t>3</w:t>
                  </w:r>
                </w:p>
              </w:tc>
              <w:tc>
                <w:tcPr>
                  <w:tcW w:w="1081" w:type="pct"/>
                  <w:vAlign w:val="center"/>
                </w:tcPr>
                <w:p>
                  <w:pPr>
                    <w:adjustRightInd w:val="0"/>
                    <w:snapToGrid w:val="0"/>
                    <w:jc w:val="center"/>
                    <w:rPr>
                      <w:bCs/>
                      <w:szCs w:val="21"/>
                    </w:rPr>
                  </w:pPr>
                  <w:r>
                    <w:rPr>
                      <w:rFonts w:hint="eastAsia"/>
                      <w:bCs/>
                      <w:szCs w:val="21"/>
                    </w:rPr>
                    <w:t>西厂界</w:t>
                  </w:r>
                </w:p>
              </w:tc>
              <w:tc>
                <w:tcPr>
                  <w:tcW w:w="565" w:type="pct"/>
                  <w:vAlign w:val="center"/>
                </w:tcPr>
                <w:p>
                  <w:pPr>
                    <w:adjustRightInd w:val="0"/>
                    <w:snapToGrid w:val="0"/>
                    <w:jc w:val="center"/>
                    <w:rPr>
                      <w:bCs/>
                      <w:szCs w:val="21"/>
                    </w:rPr>
                  </w:pPr>
                  <w:r>
                    <w:rPr>
                      <w:rFonts w:hint="eastAsia"/>
                      <w:bCs/>
                      <w:szCs w:val="21"/>
                      <w:lang w:val="en-US" w:eastAsia="zh-CN"/>
                    </w:rPr>
                    <w:t>40</w:t>
                  </w:r>
                  <w:r>
                    <w:rPr>
                      <w:bCs/>
                      <w:szCs w:val="21"/>
                    </w:rPr>
                    <w:t>.7</w:t>
                  </w:r>
                </w:p>
              </w:tc>
              <w:tc>
                <w:tcPr>
                  <w:tcW w:w="819" w:type="dxa"/>
                  <w:vAlign w:val="center"/>
                </w:tcPr>
                <w:p>
                  <w:pPr>
                    <w:adjustRightInd w:val="0"/>
                    <w:snapToGrid w:val="0"/>
                    <w:jc w:val="center"/>
                    <w:rPr>
                      <w:rFonts w:hint="eastAsia"/>
                      <w:bCs/>
                      <w:szCs w:val="21"/>
                    </w:rPr>
                  </w:pPr>
                  <w:r>
                    <w:rPr>
                      <w:rFonts w:hint="eastAsia"/>
                      <w:bCs/>
                      <w:szCs w:val="21"/>
                      <w:lang w:val="en-US" w:eastAsia="zh-CN"/>
                    </w:rPr>
                    <w:t>40</w:t>
                  </w:r>
                  <w:r>
                    <w:rPr>
                      <w:bCs/>
                      <w:szCs w:val="21"/>
                    </w:rPr>
                    <w:t>.7</w:t>
                  </w:r>
                </w:p>
              </w:tc>
              <w:tc>
                <w:tcPr>
                  <w:tcW w:w="870" w:type="dxa"/>
                  <w:vAlign w:val="center"/>
                </w:tcPr>
                <w:p>
                  <w:pPr>
                    <w:adjustRightInd w:val="0"/>
                    <w:snapToGrid w:val="0"/>
                    <w:jc w:val="center"/>
                    <w:rPr>
                      <w:bCs/>
                      <w:szCs w:val="21"/>
                    </w:rPr>
                  </w:pPr>
                  <w:r>
                    <w:rPr>
                      <w:rFonts w:hint="eastAsia"/>
                      <w:bCs/>
                      <w:szCs w:val="21"/>
                    </w:rPr>
                    <w:t>6</w:t>
                  </w:r>
                  <w:r>
                    <w:rPr>
                      <w:rFonts w:hint="eastAsia"/>
                      <w:bCs/>
                      <w:szCs w:val="21"/>
                      <w:lang w:val="en-US" w:eastAsia="zh-CN"/>
                    </w:rPr>
                    <w:t>0</w:t>
                  </w:r>
                </w:p>
              </w:tc>
              <w:tc>
                <w:tcPr>
                  <w:tcW w:w="846" w:type="dxa"/>
                  <w:vAlign w:val="center"/>
                </w:tcPr>
                <w:p>
                  <w:pPr>
                    <w:adjustRightInd w:val="0"/>
                    <w:snapToGrid w:val="0"/>
                    <w:jc w:val="center"/>
                    <w:rPr>
                      <w:bCs/>
                      <w:szCs w:val="21"/>
                    </w:rPr>
                  </w:pPr>
                  <w:r>
                    <w:rPr>
                      <w:rFonts w:hint="eastAsia"/>
                      <w:bCs/>
                      <w:szCs w:val="21"/>
                    </w:rPr>
                    <w:t>5</w:t>
                  </w:r>
                  <w:r>
                    <w:rPr>
                      <w:rFonts w:hint="eastAsia"/>
                      <w:bCs/>
                      <w:szCs w:val="21"/>
                      <w:lang w:val="en-US" w:eastAsia="zh-CN"/>
                    </w:rPr>
                    <w:t>0</w:t>
                  </w:r>
                </w:p>
              </w:tc>
              <w:tc>
                <w:tcPr>
                  <w:tcW w:w="1079" w:type="pct"/>
                  <w:vAlign w:val="center"/>
                </w:tcPr>
                <w:p>
                  <w:pPr>
                    <w:adjustRightInd w:val="0"/>
                    <w:snapToGrid w:val="0"/>
                    <w:jc w:val="center"/>
                    <w:rPr>
                      <w:bCs/>
                      <w:szCs w:val="21"/>
                    </w:rPr>
                  </w:pPr>
                  <w:r>
                    <w:rPr>
                      <w:rFonts w:hint="eastAsia"/>
                      <w:bCs/>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7" w:type="pct"/>
                  <w:vAlign w:val="center"/>
                </w:tcPr>
                <w:p>
                  <w:pPr>
                    <w:adjustRightInd w:val="0"/>
                    <w:snapToGrid w:val="0"/>
                    <w:jc w:val="center"/>
                    <w:rPr>
                      <w:bCs/>
                      <w:szCs w:val="21"/>
                    </w:rPr>
                  </w:pPr>
                  <w:r>
                    <w:rPr>
                      <w:rFonts w:hint="eastAsia"/>
                      <w:bCs/>
                      <w:szCs w:val="21"/>
                    </w:rPr>
                    <w:t>4</w:t>
                  </w:r>
                </w:p>
              </w:tc>
              <w:tc>
                <w:tcPr>
                  <w:tcW w:w="1081" w:type="pct"/>
                  <w:vAlign w:val="center"/>
                </w:tcPr>
                <w:p>
                  <w:pPr>
                    <w:adjustRightInd w:val="0"/>
                    <w:snapToGrid w:val="0"/>
                    <w:jc w:val="center"/>
                    <w:rPr>
                      <w:bCs/>
                      <w:szCs w:val="21"/>
                    </w:rPr>
                  </w:pPr>
                  <w:r>
                    <w:rPr>
                      <w:rFonts w:hint="eastAsia"/>
                      <w:bCs/>
                      <w:szCs w:val="21"/>
                    </w:rPr>
                    <w:t>北厂界</w:t>
                  </w:r>
                </w:p>
              </w:tc>
              <w:tc>
                <w:tcPr>
                  <w:tcW w:w="565" w:type="pct"/>
                  <w:vAlign w:val="center"/>
                </w:tcPr>
                <w:p>
                  <w:pPr>
                    <w:adjustRightInd w:val="0"/>
                    <w:snapToGrid w:val="0"/>
                    <w:jc w:val="center"/>
                    <w:rPr>
                      <w:rFonts w:hint="eastAsia" w:eastAsia="宋体"/>
                      <w:bCs/>
                      <w:szCs w:val="21"/>
                      <w:lang w:eastAsia="zh-CN"/>
                    </w:rPr>
                  </w:pPr>
                  <w:r>
                    <w:rPr>
                      <w:rFonts w:hint="eastAsia"/>
                      <w:bCs/>
                      <w:szCs w:val="21"/>
                      <w:lang w:val="en-US" w:eastAsia="zh-CN"/>
                    </w:rPr>
                    <w:t>4</w:t>
                  </w:r>
                  <w:r>
                    <w:rPr>
                      <w:bCs/>
                      <w:szCs w:val="21"/>
                    </w:rPr>
                    <w:t>4.</w:t>
                  </w:r>
                  <w:r>
                    <w:rPr>
                      <w:rFonts w:hint="eastAsia"/>
                      <w:bCs/>
                      <w:szCs w:val="21"/>
                      <w:lang w:val="en-US" w:eastAsia="zh-CN"/>
                    </w:rPr>
                    <w:t>5</w:t>
                  </w:r>
                </w:p>
              </w:tc>
              <w:tc>
                <w:tcPr>
                  <w:tcW w:w="819" w:type="dxa"/>
                  <w:vAlign w:val="center"/>
                </w:tcPr>
                <w:p>
                  <w:pPr>
                    <w:adjustRightInd w:val="0"/>
                    <w:snapToGrid w:val="0"/>
                    <w:jc w:val="center"/>
                    <w:rPr>
                      <w:bCs/>
                      <w:szCs w:val="21"/>
                    </w:rPr>
                  </w:pPr>
                  <w:r>
                    <w:rPr>
                      <w:rFonts w:hint="eastAsia"/>
                      <w:bCs/>
                      <w:szCs w:val="21"/>
                      <w:lang w:val="en-US" w:eastAsia="zh-CN"/>
                    </w:rPr>
                    <w:t>4</w:t>
                  </w:r>
                  <w:r>
                    <w:rPr>
                      <w:bCs/>
                      <w:szCs w:val="21"/>
                    </w:rPr>
                    <w:t>4.</w:t>
                  </w:r>
                  <w:r>
                    <w:rPr>
                      <w:rFonts w:hint="eastAsia"/>
                      <w:bCs/>
                      <w:szCs w:val="21"/>
                      <w:lang w:val="en-US" w:eastAsia="zh-CN"/>
                    </w:rPr>
                    <w:t>5</w:t>
                  </w:r>
                </w:p>
              </w:tc>
              <w:tc>
                <w:tcPr>
                  <w:tcW w:w="870" w:type="dxa"/>
                  <w:vAlign w:val="center"/>
                </w:tcPr>
                <w:p>
                  <w:pPr>
                    <w:adjustRightInd w:val="0"/>
                    <w:snapToGrid w:val="0"/>
                    <w:jc w:val="center"/>
                    <w:rPr>
                      <w:bCs/>
                      <w:szCs w:val="21"/>
                    </w:rPr>
                  </w:pPr>
                  <w:r>
                    <w:rPr>
                      <w:rFonts w:hint="eastAsia"/>
                      <w:bCs/>
                      <w:szCs w:val="21"/>
                    </w:rPr>
                    <w:t>6</w:t>
                  </w:r>
                  <w:r>
                    <w:rPr>
                      <w:rFonts w:hint="eastAsia"/>
                      <w:bCs/>
                      <w:szCs w:val="21"/>
                      <w:lang w:val="en-US" w:eastAsia="zh-CN"/>
                    </w:rPr>
                    <w:t>0</w:t>
                  </w:r>
                </w:p>
              </w:tc>
              <w:tc>
                <w:tcPr>
                  <w:tcW w:w="846" w:type="dxa"/>
                  <w:vAlign w:val="center"/>
                </w:tcPr>
                <w:p>
                  <w:pPr>
                    <w:adjustRightInd w:val="0"/>
                    <w:snapToGrid w:val="0"/>
                    <w:jc w:val="center"/>
                    <w:rPr>
                      <w:bCs/>
                      <w:szCs w:val="21"/>
                    </w:rPr>
                  </w:pPr>
                  <w:r>
                    <w:rPr>
                      <w:rFonts w:hint="eastAsia"/>
                      <w:bCs/>
                      <w:szCs w:val="21"/>
                    </w:rPr>
                    <w:t>5</w:t>
                  </w:r>
                  <w:r>
                    <w:rPr>
                      <w:rFonts w:hint="eastAsia"/>
                      <w:bCs/>
                      <w:szCs w:val="21"/>
                      <w:lang w:val="en-US" w:eastAsia="zh-CN"/>
                    </w:rPr>
                    <w:t>0</w:t>
                  </w:r>
                </w:p>
              </w:tc>
              <w:tc>
                <w:tcPr>
                  <w:tcW w:w="1079" w:type="pct"/>
                  <w:vAlign w:val="center"/>
                </w:tcPr>
                <w:p>
                  <w:pPr>
                    <w:adjustRightInd w:val="0"/>
                    <w:snapToGrid w:val="0"/>
                    <w:jc w:val="center"/>
                    <w:rPr>
                      <w:bCs/>
                      <w:szCs w:val="21"/>
                    </w:rPr>
                  </w:pPr>
                  <w:r>
                    <w:rPr>
                      <w:rFonts w:hint="eastAsia"/>
                      <w:bCs/>
                      <w:szCs w:val="21"/>
                    </w:rPr>
                    <w:t>达标</w:t>
                  </w:r>
                </w:p>
              </w:tc>
            </w:tr>
            <w:bookmarkEnd w:id="29"/>
          </w:tbl>
          <w:p>
            <w:pPr>
              <w:adjustRightInd w:val="0"/>
              <w:snapToGrid w:val="0"/>
              <w:spacing w:line="400" w:lineRule="exact"/>
              <w:ind w:firstLine="420" w:firstLineChars="200"/>
              <w:rPr>
                <w:bCs/>
                <w:szCs w:val="21"/>
              </w:rPr>
            </w:pPr>
            <w:r>
              <w:rPr>
                <w:rFonts w:hint="eastAsia"/>
                <w:bCs/>
                <w:szCs w:val="21"/>
              </w:rPr>
              <w:t>由上可知，项目实施后，在采取相应基础减振、厂房隔声、距离衰减等措施的情况下，厂界噪声贡献值满足《工业企业厂界噪声排放标准》（G</w:t>
            </w:r>
            <w:r>
              <w:rPr>
                <w:bCs/>
                <w:szCs w:val="21"/>
              </w:rPr>
              <w:t>B12348-2002</w:t>
            </w:r>
            <w:r>
              <w:rPr>
                <w:rFonts w:hint="eastAsia"/>
                <w:bCs/>
                <w:szCs w:val="21"/>
              </w:rPr>
              <w:t>）</w:t>
            </w:r>
            <w:r>
              <w:rPr>
                <w:rFonts w:hint="eastAsia"/>
                <w:bCs/>
                <w:szCs w:val="21"/>
                <w:lang w:val="en-US" w:eastAsia="zh-CN"/>
              </w:rPr>
              <w:t>2</w:t>
            </w:r>
            <w:r>
              <w:rPr>
                <w:rFonts w:hint="eastAsia"/>
                <w:bCs/>
                <w:szCs w:val="21"/>
              </w:rPr>
              <w:t>类</w:t>
            </w:r>
            <w:r>
              <w:rPr>
                <w:rFonts w:hint="eastAsia"/>
                <w:bCs/>
                <w:szCs w:val="21"/>
                <w:lang w:val="en-US" w:eastAsia="zh-CN"/>
              </w:rPr>
              <w:t>标准</w:t>
            </w:r>
            <w:r>
              <w:rPr>
                <w:rFonts w:hint="eastAsia"/>
                <w:bCs/>
                <w:szCs w:val="21"/>
              </w:rPr>
              <w:t>，同时项目周边5</w:t>
            </w:r>
            <w:r>
              <w:rPr>
                <w:bCs/>
                <w:szCs w:val="21"/>
              </w:rPr>
              <w:t>0 m</w:t>
            </w:r>
            <w:r>
              <w:rPr>
                <w:rFonts w:hint="eastAsia"/>
                <w:bCs/>
                <w:szCs w:val="21"/>
              </w:rPr>
              <w:t>范围内无声环境敏感点，综合考虑对周边声环境影响很小。</w:t>
            </w:r>
          </w:p>
          <w:p>
            <w:pPr>
              <w:adjustRightInd w:val="0"/>
              <w:snapToGrid w:val="0"/>
              <w:spacing w:line="400" w:lineRule="exact"/>
              <w:ind w:firstLine="422" w:firstLineChars="200"/>
              <w:rPr>
                <w:rFonts w:hint="default" w:ascii="Times New Roman" w:hAnsi="Times New Roman" w:eastAsia="宋体" w:cs="Times New Roman"/>
                <w:b/>
                <w:szCs w:val="21"/>
                <w:lang w:val="en-US"/>
              </w:rPr>
            </w:pPr>
            <w:r>
              <w:rPr>
                <w:rFonts w:hint="eastAsia" w:ascii="Times New Roman" w:hAnsi="Times New Roman" w:eastAsia="宋体" w:cs="Times New Roman"/>
                <w:b/>
                <w:szCs w:val="21"/>
                <w:lang w:val="en-US" w:eastAsia="zh-CN"/>
              </w:rPr>
              <w:t>3.3监测计划</w:t>
            </w:r>
          </w:p>
          <w:p>
            <w:pPr>
              <w:adjustRightInd w:val="0"/>
              <w:snapToGrid w:val="0"/>
              <w:spacing w:line="400" w:lineRule="exact"/>
              <w:ind w:firstLine="420" w:firstLineChars="200"/>
              <w:rPr>
                <w:bCs/>
                <w:szCs w:val="21"/>
              </w:rPr>
            </w:pPr>
            <w:r>
              <w:rPr>
                <w:rFonts w:hint="eastAsia"/>
                <w:bCs/>
                <w:szCs w:val="21"/>
              </w:rPr>
              <w:t>根据生产特征和污染物排放情况，参考《排污单位自行监测技术指南 橡胶和塑料制品》（HJ1207-2021）、《排污许可证申请与核发技术规范 工业噪声》（HJ1301-2023）及其他相关要求，制定本项目的噪声监测计划，</w:t>
            </w:r>
            <w:r>
              <w:rPr>
                <w:rFonts w:hint="eastAsia"/>
                <w:bCs/>
                <w:szCs w:val="21"/>
                <w:lang w:val="en-US" w:eastAsia="zh-CN"/>
              </w:rPr>
              <w:t>见</w:t>
            </w:r>
            <w:r>
              <w:rPr>
                <w:rFonts w:hint="eastAsia"/>
                <w:bCs/>
                <w:szCs w:val="21"/>
              </w:rPr>
              <w:t>下表：</w:t>
            </w:r>
          </w:p>
          <w:p>
            <w:pPr>
              <w:spacing w:line="400" w:lineRule="exact"/>
              <w:jc w:val="center"/>
              <w:rPr>
                <w:b/>
                <w:szCs w:val="21"/>
              </w:rPr>
            </w:pPr>
            <w:bookmarkStart w:id="30" w:name="_Hlk112166014"/>
            <w:r>
              <w:rPr>
                <w:rFonts w:hint="eastAsia"/>
                <w:b/>
                <w:szCs w:val="21"/>
              </w:rPr>
              <w:t>表</w:t>
            </w:r>
            <w:r>
              <w:rPr>
                <w:b/>
                <w:szCs w:val="21"/>
              </w:rPr>
              <w:t>4-1</w:t>
            </w:r>
            <w:r>
              <w:rPr>
                <w:rFonts w:hint="eastAsia"/>
                <w:b/>
                <w:szCs w:val="21"/>
                <w:lang w:val="en-US" w:eastAsia="zh-CN"/>
              </w:rPr>
              <w:t>3</w:t>
            </w:r>
            <w:r>
              <w:rPr>
                <w:b/>
                <w:szCs w:val="21"/>
              </w:rPr>
              <w:t xml:space="preserve">  </w:t>
            </w:r>
            <w:r>
              <w:rPr>
                <w:rFonts w:hint="eastAsia"/>
                <w:b/>
                <w:szCs w:val="21"/>
              </w:rPr>
              <w:t>噪声监测要求</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6"/>
              <w:gridCol w:w="2815"/>
              <w:gridCol w:w="1969"/>
              <w:gridCol w:w="17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86" w:type="pct"/>
                  <w:vAlign w:val="center"/>
                </w:tcPr>
                <w:p>
                  <w:pPr>
                    <w:adjustRightInd w:val="0"/>
                    <w:snapToGrid w:val="0"/>
                    <w:jc w:val="center"/>
                    <w:rPr>
                      <w:bCs/>
                      <w:szCs w:val="21"/>
                    </w:rPr>
                  </w:pPr>
                  <w:r>
                    <w:rPr>
                      <w:bCs/>
                      <w:szCs w:val="21"/>
                    </w:rPr>
                    <w:t>名称</w:t>
                  </w:r>
                </w:p>
              </w:tc>
              <w:tc>
                <w:tcPr>
                  <w:tcW w:w="1773" w:type="pct"/>
                  <w:vAlign w:val="center"/>
                </w:tcPr>
                <w:p>
                  <w:pPr>
                    <w:adjustRightInd w:val="0"/>
                    <w:snapToGrid w:val="0"/>
                    <w:jc w:val="center"/>
                    <w:rPr>
                      <w:bCs/>
                      <w:szCs w:val="21"/>
                    </w:rPr>
                  </w:pPr>
                  <w:r>
                    <w:rPr>
                      <w:bCs/>
                      <w:szCs w:val="21"/>
                    </w:rPr>
                    <w:t>监测点位</w:t>
                  </w:r>
                </w:p>
              </w:tc>
              <w:tc>
                <w:tcPr>
                  <w:tcW w:w="1240" w:type="pct"/>
                  <w:vAlign w:val="center"/>
                </w:tcPr>
                <w:p>
                  <w:pPr>
                    <w:adjustRightInd w:val="0"/>
                    <w:snapToGrid w:val="0"/>
                    <w:jc w:val="center"/>
                    <w:rPr>
                      <w:bCs/>
                      <w:szCs w:val="21"/>
                    </w:rPr>
                  </w:pPr>
                  <w:r>
                    <w:rPr>
                      <w:bCs/>
                      <w:szCs w:val="21"/>
                    </w:rPr>
                    <w:t>监测因子</w:t>
                  </w:r>
                </w:p>
              </w:tc>
              <w:tc>
                <w:tcPr>
                  <w:tcW w:w="1100" w:type="pct"/>
                  <w:vAlign w:val="center"/>
                </w:tcPr>
                <w:p>
                  <w:pPr>
                    <w:adjustRightInd w:val="0"/>
                    <w:snapToGrid w:val="0"/>
                    <w:jc w:val="center"/>
                    <w:rPr>
                      <w:bCs/>
                      <w:szCs w:val="21"/>
                    </w:rPr>
                  </w:pPr>
                  <w:r>
                    <w:rPr>
                      <w:bCs/>
                      <w:szCs w:val="21"/>
                    </w:rPr>
                    <w:t>监测频次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6" w:type="pct"/>
                  <w:vAlign w:val="center"/>
                </w:tcPr>
                <w:p>
                  <w:pPr>
                    <w:adjustRightInd w:val="0"/>
                    <w:snapToGrid w:val="0"/>
                    <w:jc w:val="center"/>
                    <w:rPr>
                      <w:bCs/>
                      <w:szCs w:val="21"/>
                    </w:rPr>
                  </w:pPr>
                  <w:r>
                    <w:rPr>
                      <w:bCs/>
                      <w:szCs w:val="21"/>
                    </w:rPr>
                    <w:t>厂界噪声</w:t>
                  </w:r>
                </w:p>
              </w:tc>
              <w:tc>
                <w:tcPr>
                  <w:tcW w:w="1773" w:type="pct"/>
                  <w:vAlign w:val="center"/>
                </w:tcPr>
                <w:p>
                  <w:pPr>
                    <w:adjustRightInd w:val="0"/>
                    <w:snapToGrid w:val="0"/>
                    <w:jc w:val="center"/>
                    <w:rPr>
                      <w:bCs/>
                      <w:szCs w:val="21"/>
                    </w:rPr>
                  </w:pPr>
                  <w:r>
                    <w:rPr>
                      <w:bCs/>
                      <w:szCs w:val="21"/>
                    </w:rPr>
                    <w:t>东、西、南、北厂界外1m</w:t>
                  </w:r>
                </w:p>
              </w:tc>
              <w:tc>
                <w:tcPr>
                  <w:tcW w:w="1240" w:type="pct"/>
                  <w:vAlign w:val="center"/>
                </w:tcPr>
                <w:p>
                  <w:pPr>
                    <w:adjustRightInd w:val="0"/>
                    <w:snapToGrid w:val="0"/>
                    <w:jc w:val="center"/>
                    <w:rPr>
                      <w:bCs/>
                      <w:szCs w:val="21"/>
                    </w:rPr>
                  </w:pPr>
                  <w:r>
                    <w:rPr>
                      <w:bCs/>
                      <w:szCs w:val="21"/>
                    </w:rPr>
                    <w:t>等效连续A声级</w:t>
                  </w:r>
                </w:p>
              </w:tc>
              <w:tc>
                <w:tcPr>
                  <w:tcW w:w="1100" w:type="pct"/>
                  <w:vAlign w:val="center"/>
                </w:tcPr>
                <w:p>
                  <w:pPr>
                    <w:adjustRightInd w:val="0"/>
                    <w:snapToGrid w:val="0"/>
                    <w:jc w:val="center"/>
                    <w:rPr>
                      <w:bCs/>
                      <w:szCs w:val="21"/>
                    </w:rPr>
                  </w:pPr>
                  <w:r>
                    <w:rPr>
                      <w:bCs/>
                      <w:szCs w:val="21"/>
                    </w:rPr>
                    <w:t>1次/季度</w:t>
                  </w:r>
                </w:p>
              </w:tc>
            </w:tr>
            <w:bookmarkEnd w:id="30"/>
          </w:tbl>
          <w:p>
            <w:pPr>
              <w:adjustRightInd w:val="0"/>
              <w:snapToGrid w:val="0"/>
              <w:spacing w:line="400" w:lineRule="exact"/>
              <w:ind w:firstLine="422" w:firstLineChars="200"/>
              <w:rPr>
                <w:b/>
                <w:szCs w:val="21"/>
              </w:rPr>
            </w:pPr>
            <w:r>
              <w:rPr>
                <w:rFonts w:hint="eastAsia"/>
                <w:b/>
                <w:szCs w:val="21"/>
              </w:rPr>
              <w:t>四、固体废物</w:t>
            </w:r>
          </w:p>
          <w:p>
            <w:pPr>
              <w:adjustRightInd w:val="0"/>
              <w:snapToGrid w:val="0"/>
              <w:spacing w:line="400" w:lineRule="exact"/>
              <w:ind w:firstLine="422" w:firstLineChars="200"/>
              <w:rPr>
                <w:b/>
                <w:szCs w:val="21"/>
              </w:rPr>
            </w:pPr>
            <w:r>
              <w:rPr>
                <w:rFonts w:hint="eastAsia"/>
                <w:b/>
                <w:szCs w:val="21"/>
              </w:rPr>
              <w:t>1、固废产生及处置情况</w:t>
            </w:r>
          </w:p>
          <w:p>
            <w:pPr>
              <w:adjustRightInd w:val="0"/>
              <w:snapToGrid w:val="0"/>
              <w:spacing w:line="400" w:lineRule="exact"/>
              <w:ind w:firstLine="420" w:firstLineChars="200"/>
              <w:rPr>
                <w:rFonts w:hint="eastAsia"/>
                <w:bCs/>
                <w:szCs w:val="21"/>
              </w:rPr>
            </w:pPr>
            <w:r>
              <w:rPr>
                <w:rFonts w:hint="eastAsia"/>
                <w:bCs/>
                <w:szCs w:val="21"/>
              </w:rPr>
              <w:t>本项目产生的固体废物主要包括一般固体废物、危险废物和生活垃圾。</w:t>
            </w:r>
          </w:p>
          <w:p>
            <w:pPr>
              <w:adjustRightInd w:val="0"/>
              <w:snapToGrid w:val="0"/>
              <w:spacing w:line="400" w:lineRule="exact"/>
              <w:ind w:firstLine="420" w:firstLineChars="200"/>
              <w:rPr>
                <w:rFonts w:hint="eastAsia"/>
                <w:bCs/>
                <w:szCs w:val="21"/>
              </w:rPr>
            </w:pPr>
            <w:r>
              <w:rPr>
                <w:rFonts w:hint="eastAsia"/>
                <w:bCs/>
                <w:szCs w:val="21"/>
              </w:rPr>
              <w:t>一般固废：主要是废包装</w:t>
            </w:r>
            <w:r>
              <w:rPr>
                <w:rFonts w:hint="eastAsia"/>
                <w:bCs/>
                <w:szCs w:val="21"/>
                <w:lang w:val="en-US" w:eastAsia="zh-CN"/>
              </w:rPr>
              <w:t>物</w:t>
            </w:r>
            <w:r>
              <w:rPr>
                <w:rFonts w:hint="eastAsia"/>
                <w:bCs/>
                <w:szCs w:val="21"/>
              </w:rPr>
              <w:t>、</w:t>
            </w:r>
            <w:r>
              <w:rPr>
                <w:rFonts w:hint="eastAsia"/>
                <w:bCs/>
                <w:szCs w:val="21"/>
                <w:lang w:val="en-US" w:eastAsia="zh-CN"/>
              </w:rPr>
              <w:t>废边角料</w:t>
            </w:r>
            <w:r>
              <w:rPr>
                <w:rFonts w:hint="eastAsia"/>
                <w:bCs/>
                <w:szCs w:val="21"/>
              </w:rPr>
              <w:t>。项目废包装</w:t>
            </w:r>
            <w:r>
              <w:rPr>
                <w:rFonts w:hint="eastAsia"/>
                <w:bCs/>
                <w:szCs w:val="21"/>
                <w:lang w:val="en-US" w:eastAsia="zh-CN"/>
              </w:rPr>
              <w:t>物</w:t>
            </w:r>
            <w:r>
              <w:rPr>
                <w:rFonts w:hint="eastAsia"/>
                <w:bCs/>
                <w:szCs w:val="21"/>
              </w:rPr>
              <w:t>产生量为</w:t>
            </w:r>
            <w:r>
              <w:rPr>
                <w:rFonts w:hint="eastAsia"/>
                <w:bCs/>
                <w:szCs w:val="21"/>
                <w:lang w:val="en-US" w:eastAsia="zh-CN"/>
              </w:rPr>
              <w:t>0.8</w:t>
            </w:r>
            <w:r>
              <w:rPr>
                <w:rFonts w:hint="eastAsia"/>
                <w:bCs/>
                <w:szCs w:val="21"/>
              </w:rPr>
              <w:t>t/a，统一收集后外售；</w:t>
            </w:r>
            <w:r>
              <w:rPr>
                <w:rFonts w:hint="eastAsia"/>
                <w:bCs/>
                <w:szCs w:val="21"/>
                <w:lang w:val="en-US" w:eastAsia="zh-CN"/>
              </w:rPr>
              <w:t>废边角料</w:t>
            </w:r>
            <w:r>
              <w:rPr>
                <w:rFonts w:hint="eastAsia"/>
                <w:bCs/>
                <w:szCs w:val="21"/>
              </w:rPr>
              <w:t>产生量为</w:t>
            </w:r>
            <w:r>
              <w:rPr>
                <w:rFonts w:hint="eastAsia"/>
                <w:bCs/>
                <w:szCs w:val="21"/>
                <w:lang w:val="en-US" w:eastAsia="zh-CN"/>
              </w:rPr>
              <w:t>2.6</w:t>
            </w:r>
            <w:r>
              <w:rPr>
                <w:rFonts w:hint="eastAsia"/>
                <w:bCs/>
                <w:szCs w:val="21"/>
              </w:rPr>
              <w:t>t/a，统一收集后外售。</w:t>
            </w:r>
          </w:p>
          <w:p>
            <w:pPr>
              <w:adjustRightInd w:val="0"/>
              <w:snapToGrid w:val="0"/>
              <w:spacing w:line="400" w:lineRule="exact"/>
              <w:ind w:firstLine="420" w:firstLineChars="200"/>
              <w:rPr>
                <w:rFonts w:hint="eastAsia"/>
                <w:bCs/>
                <w:szCs w:val="21"/>
                <w:highlight w:val="yellow"/>
              </w:rPr>
            </w:pPr>
            <w:r>
              <w:rPr>
                <w:rFonts w:hint="eastAsia"/>
                <w:bCs/>
                <w:szCs w:val="21"/>
                <w:highlight w:val="none"/>
              </w:rPr>
              <w:t>危险废物：主要为</w:t>
            </w:r>
            <w:r>
              <w:rPr>
                <w:rFonts w:hint="eastAsia"/>
                <w:bCs/>
                <w:szCs w:val="21"/>
                <w:highlight w:val="none"/>
                <w:lang w:val="en-US" w:eastAsia="zh-CN"/>
              </w:rPr>
              <w:t>废过滤棉、废活性炭</w:t>
            </w:r>
            <w:r>
              <w:rPr>
                <w:rFonts w:hint="eastAsia"/>
                <w:bCs/>
                <w:szCs w:val="21"/>
                <w:highlight w:val="none"/>
              </w:rPr>
              <w:t>。根据《国家危险废物名录》（202</w:t>
            </w:r>
            <w:r>
              <w:rPr>
                <w:rFonts w:hint="eastAsia"/>
                <w:bCs/>
                <w:szCs w:val="21"/>
                <w:highlight w:val="none"/>
                <w:lang w:val="en-US" w:eastAsia="zh-CN"/>
              </w:rPr>
              <w:t>5</w:t>
            </w:r>
            <w:r>
              <w:rPr>
                <w:rFonts w:hint="eastAsia"/>
                <w:bCs/>
                <w:szCs w:val="21"/>
                <w:highlight w:val="none"/>
              </w:rPr>
              <w:t>年版）可知，</w:t>
            </w:r>
            <w:r>
              <w:rPr>
                <w:rFonts w:hint="eastAsia"/>
                <w:bCs/>
                <w:szCs w:val="21"/>
                <w:highlight w:val="none"/>
                <w:lang w:val="en-US" w:eastAsia="zh-CN"/>
              </w:rPr>
              <w:t>废过滤棉</w:t>
            </w:r>
            <w:r>
              <w:rPr>
                <w:rFonts w:hint="eastAsia"/>
                <w:bCs/>
                <w:szCs w:val="21"/>
                <w:highlight w:val="none"/>
              </w:rPr>
              <w:t>为危险废物，废物类别为HW</w:t>
            </w:r>
            <w:r>
              <w:rPr>
                <w:rFonts w:hint="eastAsia"/>
                <w:bCs/>
                <w:szCs w:val="21"/>
                <w:highlight w:val="none"/>
                <w:lang w:val="en-US" w:eastAsia="zh-CN"/>
              </w:rPr>
              <w:t>49</w:t>
            </w:r>
            <w:r>
              <w:rPr>
                <w:rFonts w:hint="eastAsia"/>
                <w:bCs/>
                <w:szCs w:val="21"/>
                <w:highlight w:val="none"/>
              </w:rPr>
              <w:t>，废物代码为900-</w:t>
            </w:r>
            <w:r>
              <w:rPr>
                <w:rFonts w:hint="eastAsia"/>
                <w:bCs/>
                <w:szCs w:val="21"/>
                <w:highlight w:val="none"/>
                <w:lang w:val="en-US" w:eastAsia="zh-CN"/>
              </w:rPr>
              <w:t>041</w:t>
            </w:r>
            <w:r>
              <w:rPr>
                <w:rFonts w:hint="eastAsia"/>
                <w:bCs/>
                <w:szCs w:val="21"/>
                <w:highlight w:val="none"/>
              </w:rPr>
              <w:t>-</w:t>
            </w:r>
            <w:r>
              <w:rPr>
                <w:rFonts w:hint="eastAsia"/>
                <w:bCs/>
                <w:szCs w:val="21"/>
                <w:highlight w:val="none"/>
                <w:lang w:val="en-US" w:eastAsia="zh-CN"/>
              </w:rPr>
              <w:t>49</w:t>
            </w:r>
            <w:r>
              <w:rPr>
                <w:rFonts w:hint="eastAsia"/>
                <w:bCs/>
                <w:szCs w:val="21"/>
                <w:highlight w:val="none"/>
              </w:rPr>
              <w:t>，产生量为0.5t/a</w:t>
            </w:r>
            <w:r>
              <w:rPr>
                <w:rFonts w:hint="eastAsia"/>
                <w:bCs/>
                <w:szCs w:val="21"/>
                <w:highlight w:val="none"/>
                <w:lang w:eastAsia="zh-CN"/>
              </w:rPr>
              <w:t>，</w:t>
            </w:r>
            <w:r>
              <w:rPr>
                <w:rFonts w:hint="eastAsia"/>
                <w:bCs/>
                <w:szCs w:val="21"/>
                <w:highlight w:val="none"/>
              </w:rPr>
              <w:t>在厂区</w:t>
            </w:r>
            <w:r>
              <w:rPr>
                <w:rFonts w:hint="eastAsia"/>
                <w:bCs/>
                <w:szCs w:val="21"/>
                <w:highlight w:val="none"/>
                <w:lang w:val="en-US" w:eastAsia="zh-CN"/>
              </w:rPr>
              <w:t>现有</w:t>
            </w:r>
            <w:r>
              <w:rPr>
                <w:rFonts w:hint="eastAsia"/>
                <w:bCs/>
                <w:szCs w:val="21"/>
                <w:highlight w:val="none"/>
              </w:rPr>
              <w:t>危废暂存间暂存，定期</w:t>
            </w:r>
            <w:r>
              <w:rPr>
                <w:rFonts w:hint="eastAsia"/>
                <w:szCs w:val="21"/>
                <w:highlight w:val="none"/>
              </w:rPr>
              <w:t>委托有资质单位处置</w:t>
            </w:r>
            <w:r>
              <w:rPr>
                <w:rFonts w:hint="eastAsia"/>
                <w:bCs/>
                <w:szCs w:val="21"/>
                <w:highlight w:val="none"/>
              </w:rPr>
              <w:t>。</w:t>
            </w:r>
          </w:p>
          <w:p>
            <w:pPr>
              <w:adjustRightInd w:val="0"/>
              <w:snapToGrid w:val="0"/>
              <w:spacing w:line="400" w:lineRule="exact"/>
              <w:ind w:firstLine="420" w:firstLineChars="200"/>
              <w:rPr>
                <w:rFonts w:hint="eastAsia"/>
                <w:bCs/>
                <w:szCs w:val="21"/>
                <w:highlight w:val="none"/>
              </w:rPr>
            </w:pPr>
            <w:r>
              <w:rPr>
                <w:rFonts w:hint="eastAsia"/>
                <w:bCs/>
                <w:szCs w:val="21"/>
                <w:highlight w:val="none"/>
              </w:rPr>
              <w:t>本项目废气采用二级活性炭吸附装置进行处理，根据河北省生态环境厅《关于印发&lt;河北省涉VOCs工业企业常用治理技术指南&gt;的通知》（冀环应急〔2022〕140 号），活性炭填充量与每小时处理废气量体积之比宜不小于1:</w:t>
            </w:r>
            <w:r>
              <w:rPr>
                <w:rFonts w:hint="eastAsia"/>
                <w:bCs/>
                <w:szCs w:val="21"/>
                <w:highlight w:val="none"/>
                <w:lang w:val="en-US" w:eastAsia="zh-CN"/>
              </w:rPr>
              <w:t>5</w:t>
            </w:r>
            <w:r>
              <w:rPr>
                <w:rFonts w:hint="eastAsia"/>
                <w:bCs/>
                <w:szCs w:val="21"/>
                <w:highlight w:val="none"/>
              </w:rPr>
              <w:t>000，每1万 Nm</w:t>
            </w:r>
            <w:r>
              <w:rPr>
                <w:rFonts w:hint="eastAsia"/>
                <w:bCs/>
                <w:szCs w:val="21"/>
                <w:highlight w:val="none"/>
                <w:vertAlign w:val="superscript"/>
              </w:rPr>
              <w:t>3</w:t>
            </w:r>
            <w:r>
              <w:rPr>
                <w:rFonts w:hint="eastAsia"/>
                <w:bCs/>
                <w:szCs w:val="21"/>
                <w:highlight w:val="none"/>
              </w:rPr>
              <w:t>/h 废气处理颗粒活性炭吸附截面积不小于4.6m</w:t>
            </w:r>
            <w:r>
              <w:rPr>
                <w:rFonts w:hint="eastAsia"/>
                <w:bCs/>
                <w:szCs w:val="21"/>
                <w:highlight w:val="none"/>
                <w:vertAlign w:val="superscript"/>
              </w:rPr>
              <w:t>2</w:t>
            </w:r>
            <w:r>
              <w:rPr>
                <w:rFonts w:hint="eastAsia"/>
                <w:bCs/>
                <w:szCs w:val="21"/>
                <w:highlight w:val="none"/>
              </w:rPr>
              <w:t>。本项目有机废气治理设施风机风量为</w:t>
            </w:r>
            <w:r>
              <w:rPr>
                <w:rFonts w:hint="eastAsia"/>
                <w:bCs/>
                <w:szCs w:val="21"/>
                <w:highlight w:val="none"/>
                <w:lang w:val="en-US" w:eastAsia="zh-CN"/>
              </w:rPr>
              <w:t>10</w:t>
            </w:r>
            <w:r>
              <w:rPr>
                <w:rFonts w:hint="eastAsia"/>
                <w:bCs/>
                <w:szCs w:val="21"/>
                <w:highlight w:val="none"/>
              </w:rPr>
              <w:t>000m</w:t>
            </w:r>
            <w:r>
              <w:rPr>
                <w:rFonts w:hint="eastAsia"/>
                <w:bCs/>
                <w:szCs w:val="21"/>
                <w:highlight w:val="none"/>
                <w:vertAlign w:val="superscript"/>
              </w:rPr>
              <w:t>3</w:t>
            </w:r>
            <w:r>
              <w:rPr>
                <w:rFonts w:hint="eastAsia"/>
                <w:bCs/>
                <w:szCs w:val="21"/>
                <w:highlight w:val="none"/>
              </w:rPr>
              <w:t>/h，则需要活性炭约</w:t>
            </w:r>
            <w:r>
              <w:rPr>
                <w:rFonts w:hint="eastAsia"/>
                <w:bCs/>
                <w:szCs w:val="21"/>
                <w:highlight w:val="none"/>
                <w:lang w:val="en-US" w:eastAsia="zh-CN"/>
              </w:rPr>
              <w:t>4.6</w:t>
            </w:r>
            <w:r>
              <w:rPr>
                <w:rFonts w:hint="eastAsia"/>
                <w:bCs/>
                <w:szCs w:val="21"/>
                <w:highlight w:val="none"/>
              </w:rPr>
              <w:t>m</w:t>
            </w:r>
            <w:r>
              <w:rPr>
                <w:rFonts w:hint="eastAsia"/>
                <w:bCs/>
                <w:szCs w:val="21"/>
                <w:highlight w:val="none"/>
                <w:vertAlign w:val="superscript"/>
              </w:rPr>
              <w:t>3</w:t>
            </w:r>
            <w:r>
              <w:rPr>
                <w:rFonts w:hint="eastAsia"/>
                <w:bCs/>
                <w:szCs w:val="21"/>
                <w:highlight w:val="none"/>
              </w:rPr>
              <w:t>，活性炭密度一般为0.</w:t>
            </w:r>
            <w:r>
              <w:rPr>
                <w:rFonts w:hint="eastAsia"/>
                <w:bCs/>
                <w:szCs w:val="21"/>
                <w:highlight w:val="none"/>
                <w:lang w:val="en-US" w:eastAsia="zh-CN"/>
              </w:rPr>
              <w:t>6</w:t>
            </w:r>
            <w:r>
              <w:rPr>
                <w:rFonts w:hint="eastAsia"/>
                <w:bCs/>
                <w:szCs w:val="21"/>
                <w:highlight w:val="none"/>
              </w:rPr>
              <w:t>t/m</w:t>
            </w:r>
            <w:r>
              <w:rPr>
                <w:rFonts w:hint="eastAsia"/>
                <w:bCs/>
                <w:szCs w:val="21"/>
                <w:highlight w:val="none"/>
                <w:vertAlign w:val="superscript"/>
              </w:rPr>
              <w:t>3</w:t>
            </w:r>
            <w:r>
              <w:rPr>
                <w:rFonts w:hint="eastAsia"/>
                <w:bCs/>
                <w:szCs w:val="21"/>
                <w:highlight w:val="none"/>
              </w:rPr>
              <w:t>，有机废气治理设施需活性炭</w:t>
            </w:r>
            <w:r>
              <w:rPr>
                <w:rFonts w:hint="eastAsia"/>
                <w:bCs/>
                <w:szCs w:val="21"/>
                <w:highlight w:val="none"/>
                <w:lang w:val="en-US" w:eastAsia="zh-CN"/>
              </w:rPr>
              <w:t>2.76</w:t>
            </w:r>
            <w:r>
              <w:rPr>
                <w:rFonts w:hint="eastAsia"/>
                <w:bCs/>
                <w:szCs w:val="21"/>
                <w:highlight w:val="none"/>
              </w:rPr>
              <w:t>t。</w:t>
            </w:r>
          </w:p>
          <w:p>
            <w:pPr>
              <w:adjustRightInd w:val="0"/>
              <w:snapToGrid w:val="0"/>
              <w:spacing w:line="400" w:lineRule="exact"/>
              <w:ind w:firstLine="420" w:firstLineChars="200"/>
              <w:rPr>
                <w:rFonts w:hint="eastAsia"/>
                <w:bCs/>
                <w:szCs w:val="21"/>
                <w:highlight w:val="yellow"/>
              </w:rPr>
            </w:pPr>
            <w:r>
              <w:rPr>
                <w:rFonts w:hint="eastAsia"/>
                <w:bCs/>
                <w:szCs w:val="21"/>
                <w:highlight w:val="none"/>
              </w:rPr>
              <w:t>根据废气污染源分析可知，活性炭吸附装置吸附废气量约为</w:t>
            </w:r>
            <w:r>
              <w:rPr>
                <w:rFonts w:hint="eastAsia"/>
                <w:bCs/>
                <w:szCs w:val="21"/>
                <w:highlight w:val="none"/>
                <w:lang w:val="en-US" w:eastAsia="zh-CN"/>
              </w:rPr>
              <w:t>2.7</w:t>
            </w:r>
            <w:r>
              <w:rPr>
                <w:rFonts w:hint="eastAsia"/>
                <w:bCs/>
                <w:szCs w:val="21"/>
                <w:highlight w:val="none"/>
              </w:rPr>
              <w:t>t/a，本项目活性炭箱内活性炭填装量为</w:t>
            </w:r>
            <w:r>
              <w:rPr>
                <w:rFonts w:hint="eastAsia"/>
                <w:bCs/>
                <w:szCs w:val="21"/>
                <w:highlight w:val="none"/>
                <w:lang w:val="en-US" w:eastAsia="zh-CN"/>
              </w:rPr>
              <w:t>2.76</w:t>
            </w:r>
            <w:r>
              <w:rPr>
                <w:rFonts w:hint="eastAsia"/>
                <w:bCs/>
                <w:szCs w:val="21"/>
                <w:highlight w:val="none"/>
              </w:rPr>
              <w:t>t/a，每年更换1次，本项目活性炭吸附有机废气后产生的废活性炭量为活性炭重量与吸附的有机废气的重量之和，废活性炭产生量为</w:t>
            </w:r>
            <w:r>
              <w:rPr>
                <w:rFonts w:hint="eastAsia"/>
                <w:bCs/>
                <w:szCs w:val="21"/>
                <w:highlight w:val="none"/>
                <w:lang w:val="en-US" w:eastAsia="zh-CN"/>
              </w:rPr>
              <w:t>5.46</w:t>
            </w:r>
            <w:r>
              <w:rPr>
                <w:rFonts w:hint="eastAsia"/>
                <w:bCs/>
                <w:szCs w:val="21"/>
                <w:highlight w:val="none"/>
              </w:rPr>
              <w:t>t/a</w:t>
            </w:r>
            <w:r>
              <w:rPr>
                <w:rFonts w:hint="eastAsia"/>
                <w:bCs/>
                <w:szCs w:val="21"/>
                <w:highlight w:val="none"/>
                <w:lang w:eastAsia="zh-CN"/>
              </w:rPr>
              <w:t>，</w:t>
            </w:r>
            <w:r>
              <w:rPr>
                <w:rFonts w:hint="eastAsia"/>
                <w:bCs/>
                <w:szCs w:val="21"/>
                <w:highlight w:val="none"/>
                <w:lang w:val="en-US" w:eastAsia="zh-CN"/>
              </w:rPr>
              <w:t>废活性炭</w:t>
            </w:r>
            <w:r>
              <w:rPr>
                <w:rFonts w:hint="eastAsia"/>
                <w:bCs/>
                <w:szCs w:val="21"/>
                <w:highlight w:val="none"/>
              </w:rPr>
              <w:t>类别为HW</w:t>
            </w:r>
            <w:r>
              <w:rPr>
                <w:rFonts w:hint="eastAsia"/>
                <w:bCs/>
                <w:szCs w:val="21"/>
                <w:highlight w:val="none"/>
                <w:lang w:val="en-US" w:eastAsia="zh-CN"/>
              </w:rPr>
              <w:t>49</w:t>
            </w:r>
            <w:r>
              <w:rPr>
                <w:rFonts w:hint="eastAsia"/>
                <w:bCs/>
                <w:szCs w:val="21"/>
                <w:highlight w:val="none"/>
              </w:rPr>
              <w:t>，废物代码为900-</w:t>
            </w:r>
            <w:r>
              <w:rPr>
                <w:rFonts w:hint="eastAsia"/>
                <w:bCs/>
                <w:szCs w:val="21"/>
                <w:highlight w:val="none"/>
                <w:lang w:val="en-US" w:eastAsia="zh-CN"/>
              </w:rPr>
              <w:t>039</w:t>
            </w:r>
            <w:r>
              <w:rPr>
                <w:rFonts w:hint="eastAsia"/>
                <w:bCs/>
                <w:szCs w:val="21"/>
                <w:highlight w:val="none"/>
              </w:rPr>
              <w:t>-</w:t>
            </w:r>
            <w:r>
              <w:rPr>
                <w:rFonts w:hint="eastAsia"/>
                <w:bCs/>
                <w:szCs w:val="21"/>
                <w:highlight w:val="none"/>
                <w:lang w:val="en-US" w:eastAsia="zh-CN"/>
              </w:rPr>
              <w:t>49，</w:t>
            </w:r>
            <w:r>
              <w:rPr>
                <w:rFonts w:hint="eastAsia"/>
                <w:bCs/>
                <w:szCs w:val="21"/>
                <w:highlight w:val="none"/>
              </w:rPr>
              <w:t>在厂区</w:t>
            </w:r>
            <w:r>
              <w:rPr>
                <w:rFonts w:hint="eastAsia"/>
                <w:bCs/>
                <w:szCs w:val="21"/>
                <w:highlight w:val="none"/>
                <w:lang w:val="en-US" w:eastAsia="zh-CN"/>
              </w:rPr>
              <w:t>现有</w:t>
            </w:r>
            <w:r>
              <w:rPr>
                <w:rFonts w:hint="eastAsia"/>
                <w:bCs/>
                <w:szCs w:val="21"/>
                <w:highlight w:val="none"/>
              </w:rPr>
              <w:t>危废暂存间暂存，定期</w:t>
            </w:r>
            <w:r>
              <w:rPr>
                <w:rFonts w:hint="eastAsia"/>
                <w:szCs w:val="21"/>
                <w:highlight w:val="none"/>
              </w:rPr>
              <w:t>委托有资质单位处置</w:t>
            </w:r>
            <w:r>
              <w:rPr>
                <w:rFonts w:hint="eastAsia"/>
                <w:bCs/>
                <w:szCs w:val="21"/>
                <w:highlight w:val="none"/>
              </w:rPr>
              <w:t>。</w:t>
            </w:r>
          </w:p>
          <w:p>
            <w:pPr>
              <w:adjustRightInd w:val="0"/>
              <w:snapToGrid w:val="0"/>
              <w:spacing w:line="400" w:lineRule="exact"/>
              <w:ind w:firstLine="420" w:firstLineChars="200"/>
              <w:rPr>
                <w:rFonts w:hint="eastAsia"/>
                <w:bCs/>
                <w:szCs w:val="21"/>
              </w:rPr>
            </w:pPr>
            <w:r>
              <w:rPr>
                <w:rFonts w:hint="eastAsia"/>
                <w:bCs/>
                <w:szCs w:val="21"/>
              </w:rPr>
              <w:t>生活垃圾：项目劳动定员1</w:t>
            </w:r>
            <w:r>
              <w:rPr>
                <w:rFonts w:hint="eastAsia"/>
                <w:bCs/>
                <w:szCs w:val="21"/>
                <w:lang w:val="en-US" w:eastAsia="zh-CN"/>
              </w:rPr>
              <w:t>0</w:t>
            </w:r>
            <w:r>
              <w:rPr>
                <w:rFonts w:hint="eastAsia"/>
                <w:bCs/>
                <w:szCs w:val="21"/>
              </w:rPr>
              <w:t>人，人均综合垃圾产生量按照0.5kg/人•d计算，则本项目生活垃圾产生量为</w:t>
            </w:r>
            <w:r>
              <w:rPr>
                <w:rFonts w:hint="eastAsia"/>
                <w:bCs/>
                <w:szCs w:val="21"/>
                <w:lang w:val="en-US" w:eastAsia="zh-CN"/>
              </w:rPr>
              <w:t>1.5</w:t>
            </w:r>
            <w:r>
              <w:rPr>
                <w:rFonts w:hint="eastAsia"/>
                <w:bCs/>
                <w:szCs w:val="21"/>
              </w:rPr>
              <w:t>t/a，统一收集后由环卫部门处置。</w:t>
            </w:r>
          </w:p>
          <w:p>
            <w:pPr>
              <w:adjustRightInd w:val="0"/>
              <w:snapToGrid w:val="0"/>
              <w:spacing w:line="400" w:lineRule="exact"/>
              <w:ind w:firstLine="420" w:firstLineChars="200"/>
              <w:rPr>
                <w:bCs/>
                <w:szCs w:val="21"/>
              </w:rPr>
            </w:pPr>
            <w:r>
              <w:rPr>
                <w:rFonts w:hint="eastAsia"/>
                <w:bCs/>
                <w:szCs w:val="21"/>
              </w:rPr>
              <w:t>本项目固体废物产生及处置情况如下：</w:t>
            </w:r>
          </w:p>
          <w:p>
            <w:pPr>
              <w:spacing w:line="400" w:lineRule="exact"/>
              <w:jc w:val="center"/>
              <w:rPr>
                <w:b/>
                <w:szCs w:val="21"/>
              </w:rPr>
            </w:pPr>
            <w:bookmarkStart w:id="31" w:name="_Hlk112163080"/>
            <w:r>
              <w:rPr>
                <w:rFonts w:hint="eastAsia"/>
                <w:b/>
                <w:szCs w:val="21"/>
              </w:rPr>
              <w:t>表</w:t>
            </w:r>
            <w:r>
              <w:rPr>
                <w:b/>
                <w:szCs w:val="21"/>
              </w:rPr>
              <w:t>4-1</w:t>
            </w:r>
            <w:r>
              <w:rPr>
                <w:rFonts w:hint="eastAsia"/>
                <w:b/>
                <w:szCs w:val="21"/>
                <w:lang w:val="en-US" w:eastAsia="zh-CN"/>
              </w:rPr>
              <w:t>4</w:t>
            </w:r>
            <w:r>
              <w:rPr>
                <w:b/>
                <w:szCs w:val="21"/>
              </w:rPr>
              <w:t xml:space="preserve"> </w:t>
            </w:r>
            <w:r>
              <w:rPr>
                <w:rFonts w:hint="eastAsia"/>
                <w:b/>
                <w:szCs w:val="21"/>
              </w:rPr>
              <w:t xml:space="preserve"> 固体废物产生及拟采取的处置措施一览表</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2"/>
              <w:gridCol w:w="1309"/>
              <w:gridCol w:w="1004"/>
              <w:gridCol w:w="1421"/>
              <w:gridCol w:w="1162"/>
              <w:gridCol w:w="19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06" w:type="pct"/>
                  <w:vAlign w:val="center"/>
                </w:tcPr>
                <w:p>
                  <w:pPr>
                    <w:jc w:val="center"/>
                    <w:rPr>
                      <w:szCs w:val="21"/>
                    </w:rPr>
                  </w:pPr>
                  <w:r>
                    <w:rPr>
                      <w:rFonts w:hint="eastAsia"/>
                      <w:szCs w:val="21"/>
                    </w:rPr>
                    <w:t>产生工序</w:t>
                  </w:r>
                </w:p>
              </w:tc>
              <w:tc>
                <w:tcPr>
                  <w:tcW w:w="824" w:type="pct"/>
                  <w:vAlign w:val="center"/>
                </w:tcPr>
                <w:p>
                  <w:pPr>
                    <w:jc w:val="center"/>
                    <w:rPr>
                      <w:szCs w:val="21"/>
                    </w:rPr>
                  </w:pPr>
                  <w:r>
                    <w:rPr>
                      <w:rFonts w:hint="eastAsia"/>
                      <w:szCs w:val="21"/>
                    </w:rPr>
                    <w:t>种类</w:t>
                  </w:r>
                </w:p>
              </w:tc>
              <w:tc>
                <w:tcPr>
                  <w:tcW w:w="632" w:type="pct"/>
                  <w:vAlign w:val="center"/>
                </w:tcPr>
                <w:p>
                  <w:pPr>
                    <w:jc w:val="center"/>
                    <w:rPr>
                      <w:szCs w:val="21"/>
                    </w:rPr>
                  </w:pPr>
                  <w:r>
                    <w:rPr>
                      <w:rFonts w:hint="eastAsia"/>
                      <w:szCs w:val="21"/>
                    </w:rPr>
                    <w:t>产生量</w:t>
                  </w:r>
                </w:p>
              </w:tc>
              <w:tc>
                <w:tcPr>
                  <w:tcW w:w="895" w:type="pct"/>
                  <w:vAlign w:val="center"/>
                </w:tcPr>
                <w:p>
                  <w:pPr>
                    <w:jc w:val="center"/>
                    <w:rPr>
                      <w:szCs w:val="21"/>
                    </w:rPr>
                  </w:pPr>
                  <w:r>
                    <w:rPr>
                      <w:rFonts w:hint="eastAsia"/>
                      <w:szCs w:val="21"/>
                    </w:rPr>
                    <w:t>代码</w:t>
                  </w:r>
                </w:p>
              </w:tc>
              <w:tc>
                <w:tcPr>
                  <w:tcW w:w="732" w:type="pct"/>
                  <w:vAlign w:val="center"/>
                </w:tcPr>
                <w:p>
                  <w:pPr>
                    <w:jc w:val="center"/>
                    <w:rPr>
                      <w:szCs w:val="21"/>
                    </w:rPr>
                  </w:pPr>
                  <w:r>
                    <w:rPr>
                      <w:rFonts w:hint="eastAsia"/>
                      <w:szCs w:val="21"/>
                    </w:rPr>
                    <w:t>暂存</w:t>
                  </w:r>
                </w:p>
              </w:tc>
              <w:tc>
                <w:tcPr>
                  <w:tcW w:w="1208" w:type="pct"/>
                  <w:vAlign w:val="center"/>
                </w:tcPr>
                <w:p>
                  <w:pPr>
                    <w:jc w:val="center"/>
                    <w:rPr>
                      <w:szCs w:val="21"/>
                    </w:rPr>
                  </w:pPr>
                  <w:r>
                    <w:rPr>
                      <w:rFonts w:hint="eastAsia"/>
                      <w:szCs w:val="21"/>
                    </w:rPr>
                    <w:t>去向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06" w:type="pct"/>
                  <w:vAlign w:val="center"/>
                </w:tcPr>
                <w:p>
                  <w:pPr>
                    <w:jc w:val="center"/>
                    <w:rPr>
                      <w:rFonts w:hint="default" w:eastAsia="宋体"/>
                      <w:bCs/>
                      <w:szCs w:val="21"/>
                      <w:lang w:val="en-US" w:eastAsia="zh-CN"/>
                    </w:rPr>
                  </w:pPr>
                  <w:r>
                    <w:rPr>
                      <w:rFonts w:hint="eastAsia"/>
                      <w:bCs/>
                      <w:szCs w:val="21"/>
                      <w:lang w:val="en-US" w:eastAsia="zh-CN"/>
                    </w:rPr>
                    <w:t>原辅料包装</w:t>
                  </w:r>
                </w:p>
              </w:tc>
              <w:tc>
                <w:tcPr>
                  <w:tcW w:w="824" w:type="pct"/>
                  <w:vAlign w:val="center"/>
                </w:tcPr>
                <w:p>
                  <w:pPr>
                    <w:jc w:val="center"/>
                    <w:rPr>
                      <w:szCs w:val="21"/>
                    </w:rPr>
                  </w:pPr>
                  <w:r>
                    <w:rPr>
                      <w:rFonts w:hint="eastAsia"/>
                      <w:szCs w:val="21"/>
                    </w:rPr>
                    <w:t>废包装物</w:t>
                  </w:r>
                </w:p>
              </w:tc>
              <w:tc>
                <w:tcPr>
                  <w:tcW w:w="632" w:type="pct"/>
                  <w:vAlign w:val="center"/>
                </w:tcPr>
                <w:p>
                  <w:pPr>
                    <w:jc w:val="center"/>
                    <w:rPr>
                      <w:szCs w:val="21"/>
                    </w:rPr>
                  </w:pPr>
                  <w:r>
                    <w:rPr>
                      <w:szCs w:val="21"/>
                    </w:rPr>
                    <w:t>0.</w:t>
                  </w:r>
                  <w:r>
                    <w:rPr>
                      <w:rFonts w:hint="eastAsia"/>
                      <w:szCs w:val="21"/>
                      <w:lang w:val="en-US" w:eastAsia="zh-CN"/>
                    </w:rPr>
                    <w:t>8</w:t>
                  </w:r>
                  <w:r>
                    <w:rPr>
                      <w:szCs w:val="21"/>
                    </w:rPr>
                    <w:t xml:space="preserve"> t/a</w:t>
                  </w:r>
                </w:p>
              </w:tc>
              <w:tc>
                <w:tcPr>
                  <w:tcW w:w="895" w:type="pct"/>
                  <w:vAlign w:val="center"/>
                </w:tcPr>
                <w:p>
                  <w:pPr>
                    <w:jc w:val="center"/>
                    <w:rPr>
                      <w:rFonts w:hint="default" w:eastAsia="宋体"/>
                      <w:szCs w:val="21"/>
                      <w:lang w:val="en-US" w:eastAsia="zh-CN"/>
                    </w:rPr>
                  </w:pPr>
                  <w:r>
                    <w:rPr>
                      <w:szCs w:val="21"/>
                    </w:rPr>
                    <w:t>900-0</w:t>
                  </w:r>
                  <w:r>
                    <w:rPr>
                      <w:rFonts w:hint="eastAsia"/>
                      <w:szCs w:val="21"/>
                      <w:lang w:val="en-US" w:eastAsia="zh-CN"/>
                    </w:rPr>
                    <w:t>03</w:t>
                  </w:r>
                  <w:r>
                    <w:rPr>
                      <w:szCs w:val="21"/>
                    </w:rPr>
                    <w:t>-S</w:t>
                  </w:r>
                  <w:r>
                    <w:rPr>
                      <w:rFonts w:hint="eastAsia"/>
                      <w:szCs w:val="21"/>
                      <w:lang w:val="en-US" w:eastAsia="zh-CN"/>
                    </w:rPr>
                    <w:t>17</w:t>
                  </w:r>
                </w:p>
              </w:tc>
              <w:tc>
                <w:tcPr>
                  <w:tcW w:w="732" w:type="pct"/>
                  <w:vMerge w:val="restart"/>
                  <w:vAlign w:val="center"/>
                </w:tcPr>
                <w:p>
                  <w:pPr>
                    <w:jc w:val="center"/>
                    <w:rPr>
                      <w:rFonts w:hint="eastAsia" w:eastAsia="宋体"/>
                      <w:szCs w:val="21"/>
                      <w:lang w:eastAsia="zh-CN"/>
                    </w:rPr>
                  </w:pPr>
                  <w:r>
                    <w:rPr>
                      <w:rFonts w:hint="eastAsia"/>
                      <w:szCs w:val="21"/>
                    </w:rPr>
                    <w:t>一般固废</w:t>
                  </w:r>
                  <w:r>
                    <w:rPr>
                      <w:rFonts w:hint="eastAsia"/>
                      <w:szCs w:val="21"/>
                      <w:lang w:val="en-US" w:eastAsia="zh-CN"/>
                    </w:rPr>
                    <w:t>间</w:t>
                  </w:r>
                </w:p>
              </w:tc>
              <w:tc>
                <w:tcPr>
                  <w:tcW w:w="1208" w:type="pct"/>
                  <w:vAlign w:val="center"/>
                </w:tcPr>
                <w:p>
                  <w:pPr>
                    <w:jc w:val="center"/>
                    <w:rPr>
                      <w:rFonts w:hint="eastAsia" w:eastAsia="宋体"/>
                      <w:szCs w:val="21"/>
                      <w:lang w:eastAsia="zh-CN"/>
                    </w:rPr>
                  </w:pPr>
                  <w:r>
                    <w:rPr>
                      <w:rFonts w:hint="eastAsia"/>
                      <w:szCs w:val="21"/>
                      <w:lang w:val="en-US" w:eastAsia="zh-CN"/>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706" w:type="pct"/>
                  <w:vAlign w:val="center"/>
                </w:tcPr>
                <w:p>
                  <w:pPr>
                    <w:jc w:val="center"/>
                    <w:rPr>
                      <w:rFonts w:hint="eastAsia" w:eastAsia="宋体"/>
                      <w:bCs/>
                      <w:szCs w:val="21"/>
                      <w:lang w:eastAsia="zh-CN"/>
                    </w:rPr>
                  </w:pPr>
                  <w:r>
                    <w:rPr>
                      <w:rFonts w:hint="eastAsia"/>
                      <w:bCs/>
                      <w:szCs w:val="21"/>
                      <w:lang w:val="en-US" w:eastAsia="zh-CN"/>
                    </w:rPr>
                    <w:t>切割</w:t>
                  </w:r>
                </w:p>
              </w:tc>
              <w:tc>
                <w:tcPr>
                  <w:tcW w:w="824" w:type="pct"/>
                  <w:vAlign w:val="center"/>
                </w:tcPr>
                <w:p>
                  <w:pPr>
                    <w:jc w:val="center"/>
                    <w:rPr>
                      <w:szCs w:val="21"/>
                    </w:rPr>
                  </w:pPr>
                  <w:r>
                    <w:rPr>
                      <w:rFonts w:hint="eastAsia"/>
                      <w:bCs/>
                      <w:szCs w:val="21"/>
                      <w:lang w:val="en-US" w:eastAsia="zh-CN"/>
                    </w:rPr>
                    <w:t>废</w:t>
                  </w:r>
                  <w:r>
                    <w:rPr>
                      <w:rFonts w:hint="eastAsia"/>
                      <w:szCs w:val="21"/>
                    </w:rPr>
                    <w:t>边角料</w:t>
                  </w:r>
                </w:p>
              </w:tc>
              <w:tc>
                <w:tcPr>
                  <w:tcW w:w="632" w:type="pct"/>
                  <w:vAlign w:val="center"/>
                </w:tcPr>
                <w:p>
                  <w:pPr>
                    <w:jc w:val="center"/>
                    <w:rPr>
                      <w:szCs w:val="21"/>
                    </w:rPr>
                  </w:pPr>
                  <w:r>
                    <w:rPr>
                      <w:szCs w:val="21"/>
                    </w:rPr>
                    <w:t>2</w:t>
                  </w:r>
                  <w:r>
                    <w:rPr>
                      <w:rFonts w:hint="eastAsia"/>
                      <w:szCs w:val="21"/>
                      <w:lang w:val="en-US" w:eastAsia="zh-CN"/>
                    </w:rPr>
                    <w:t>.6</w:t>
                  </w:r>
                  <w:r>
                    <w:rPr>
                      <w:szCs w:val="21"/>
                    </w:rPr>
                    <w:t>t/a</w:t>
                  </w:r>
                </w:p>
              </w:tc>
              <w:tc>
                <w:tcPr>
                  <w:tcW w:w="895" w:type="pct"/>
                  <w:vAlign w:val="center"/>
                </w:tcPr>
                <w:p>
                  <w:pPr>
                    <w:jc w:val="center"/>
                    <w:rPr>
                      <w:szCs w:val="21"/>
                    </w:rPr>
                  </w:pPr>
                  <w:r>
                    <w:rPr>
                      <w:szCs w:val="21"/>
                    </w:rPr>
                    <w:t>900-00</w:t>
                  </w:r>
                  <w:r>
                    <w:rPr>
                      <w:rFonts w:hint="eastAsia"/>
                      <w:szCs w:val="21"/>
                      <w:lang w:val="en-US" w:eastAsia="zh-CN"/>
                    </w:rPr>
                    <w:t>3</w:t>
                  </w:r>
                  <w:r>
                    <w:rPr>
                      <w:szCs w:val="21"/>
                    </w:rPr>
                    <w:t>-S17</w:t>
                  </w:r>
                </w:p>
              </w:tc>
              <w:tc>
                <w:tcPr>
                  <w:tcW w:w="732" w:type="pct"/>
                  <w:vMerge w:val="continue"/>
                  <w:vAlign w:val="center"/>
                </w:tcPr>
                <w:p>
                  <w:pPr>
                    <w:jc w:val="center"/>
                    <w:rPr>
                      <w:szCs w:val="21"/>
                    </w:rPr>
                  </w:pPr>
                </w:p>
              </w:tc>
              <w:tc>
                <w:tcPr>
                  <w:tcW w:w="1208" w:type="pct"/>
                  <w:vAlign w:val="center"/>
                </w:tcPr>
                <w:p>
                  <w:pPr>
                    <w:jc w:val="center"/>
                    <w:rPr>
                      <w:szCs w:val="21"/>
                    </w:rPr>
                  </w:pPr>
                  <w:r>
                    <w:rPr>
                      <w:rFonts w:hint="eastAsia"/>
                      <w:szCs w:val="21"/>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06" w:type="pct"/>
                  <w:vMerge w:val="restart"/>
                  <w:vAlign w:val="center"/>
                </w:tcPr>
                <w:p>
                  <w:pPr>
                    <w:jc w:val="center"/>
                    <w:rPr>
                      <w:szCs w:val="21"/>
                    </w:rPr>
                  </w:pPr>
                  <w:r>
                    <w:rPr>
                      <w:rFonts w:hint="eastAsia"/>
                      <w:szCs w:val="21"/>
                    </w:rPr>
                    <w:t>废气处理</w:t>
                  </w:r>
                </w:p>
              </w:tc>
              <w:tc>
                <w:tcPr>
                  <w:tcW w:w="824" w:type="pct"/>
                  <w:vAlign w:val="center"/>
                </w:tcPr>
                <w:p>
                  <w:pPr>
                    <w:jc w:val="center"/>
                    <w:rPr>
                      <w:szCs w:val="21"/>
                    </w:rPr>
                  </w:pPr>
                  <w:r>
                    <w:rPr>
                      <w:rFonts w:hint="eastAsia"/>
                      <w:szCs w:val="21"/>
                    </w:rPr>
                    <w:t>废过滤棉</w:t>
                  </w:r>
                </w:p>
              </w:tc>
              <w:tc>
                <w:tcPr>
                  <w:tcW w:w="632" w:type="pct"/>
                  <w:vAlign w:val="center"/>
                </w:tcPr>
                <w:p>
                  <w:pPr>
                    <w:jc w:val="center"/>
                    <w:rPr>
                      <w:rFonts w:hint="default" w:eastAsia="宋体"/>
                      <w:szCs w:val="21"/>
                      <w:lang w:val="en-US" w:eastAsia="zh-CN"/>
                    </w:rPr>
                  </w:pPr>
                  <w:r>
                    <w:rPr>
                      <w:rFonts w:hint="eastAsia"/>
                      <w:szCs w:val="21"/>
                      <w:lang w:val="en-US" w:eastAsia="zh-CN"/>
                    </w:rPr>
                    <w:t>0.5</w:t>
                  </w:r>
                  <w:r>
                    <w:rPr>
                      <w:szCs w:val="21"/>
                    </w:rPr>
                    <w:t>t/a</w:t>
                  </w:r>
                </w:p>
              </w:tc>
              <w:tc>
                <w:tcPr>
                  <w:tcW w:w="895" w:type="pct"/>
                  <w:vAlign w:val="center"/>
                </w:tcPr>
                <w:p>
                  <w:pPr>
                    <w:jc w:val="center"/>
                    <w:rPr>
                      <w:szCs w:val="21"/>
                    </w:rPr>
                  </w:pPr>
                  <w:r>
                    <w:rPr>
                      <w:rFonts w:hint="eastAsia"/>
                      <w:szCs w:val="21"/>
                    </w:rPr>
                    <w:t>9</w:t>
                  </w:r>
                  <w:r>
                    <w:rPr>
                      <w:szCs w:val="21"/>
                    </w:rPr>
                    <w:t>00-041-49</w:t>
                  </w:r>
                </w:p>
              </w:tc>
              <w:tc>
                <w:tcPr>
                  <w:tcW w:w="732" w:type="pct"/>
                  <w:vMerge w:val="restart"/>
                  <w:vAlign w:val="center"/>
                </w:tcPr>
                <w:p>
                  <w:pPr>
                    <w:jc w:val="center"/>
                    <w:rPr>
                      <w:szCs w:val="21"/>
                    </w:rPr>
                  </w:pPr>
                  <w:r>
                    <w:rPr>
                      <w:rFonts w:hint="eastAsia"/>
                      <w:szCs w:val="21"/>
                      <w:lang w:val="en-US" w:eastAsia="zh-CN"/>
                    </w:rPr>
                    <w:t>现有</w:t>
                  </w:r>
                  <w:r>
                    <w:rPr>
                      <w:rFonts w:hint="eastAsia"/>
                      <w:szCs w:val="21"/>
                    </w:rPr>
                    <w:t>危废间暂存</w:t>
                  </w:r>
                </w:p>
              </w:tc>
              <w:tc>
                <w:tcPr>
                  <w:tcW w:w="1208" w:type="pct"/>
                  <w:vMerge w:val="restart"/>
                  <w:vAlign w:val="center"/>
                </w:tcPr>
                <w:p>
                  <w:pPr>
                    <w:jc w:val="center"/>
                    <w:rPr>
                      <w:szCs w:val="21"/>
                    </w:rPr>
                  </w:pPr>
                  <w:r>
                    <w:rPr>
                      <w:rFonts w:hint="eastAsia"/>
                      <w:szCs w:val="21"/>
                    </w:rPr>
                    <w:t>定期委托有资质单位处置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06" w:type="pct"/>
                  <w:vMerge w:val="continue"/>
                  <w:vAlign w:val="center"/>
                </w:tcPr>
                <w:p>
                  <w:pPr>
                    <w:jc w:val="center"/>
                    <w:rPr>
                      <w:szCs w:val="21"/>
                    </w:rPr>
                  </w:pPr>
                </w:p>
              </w:tc>
              <w:tc>
                <w:tcPr>
                  <w:tcW w:w="824" w:type="pct"/>
                  <w:vAlign w:val="center"/>
                </w:tcPr>
                <w:p>
                  <w:pPr>
                    <w:jc w:val="center"/>
                    <w:rPr>
                      <w:szCs w:val="21"/>
                    </w:rPr>
                  </w:pPr>
                  <w:r>
                    <w:rPr>
                      <w:rFonts w:hint="eastAsia"/>
                      <w:szCs w:val="21"/>
                    </w:rPr>
                    <w:t>废活性炭</w:t>
                  </w:r>
                </w:p>
              </w:tc>
              <w:tc>
                <w:tcPr>
                  <w:tcW w:w="632" w:type="pct"/>
                  <w:vAlign w:val="center"/>
                </w:tcPr>
                <w:p>
                  <w:pPr>
                    <w:jc w:val="center"/>
                    <w:rPr>
                      <w:szCs w:val="21"/>
                    </w:rPr>
                  </w:pPr>
                  <w:r>
                    <w:rPr>
                      <w:rFonts w:hint="eastAsia"/>
                      <w:szCs w:val="21"/>
                      <w:lang w:val="en-US" w:eastAsia="zh-CN"/>
                    </w:rPr>
                    <w:t>5.46</w:t>
                  </w:r>
                  <w:r>
                    <w:rPr>
                      <w:szCs w:val="21"/>
                    </w:rPr>
                    <w:t>t/a</w:t>
                  </w:r>
                </w:p>
              </w:tc>
              <w:tc>
                <w:tcPr>
                  <w:tcW w:w="895" w:type="pct"/>
                  <w:vAlign w:val="center"/>
                </w:tcPr>
                <w:p>
                  <w:pPr>
                    <w:jc w:val="center"/>
                    <w:rPr>
                      <w:szCs w:val="21"/>
                    </w:rPr>
                  </w:pPr>
                  <w:r>
                    <w:rPr>
                      <w:rFonts w:hint="eastAsia"/>
                      <w:szCs w:val="21"/>
                    </w:rPr>
                    <w:t>9</w:t>
                  </w:r>
                  <w:r>
                    <w:rPr>
                      <w:szCs w:val="21"/>
                    </w:rPr>
                    <w:t>00-0</w:t>
                  </w:r>
                  <w:r>
                    <w:rPr>
                      <w:rFonts w:hint="eastAsia"/>
                      <w:szCs w:val="21"/>
                      <w:lang w:val="en-US" w:eastAsia="zh-CN"/>
                    </w:rPr>
                    <w:t>39</w:t>
                  </w:r>
                  <w:r>
                    <w:rPr>
                      <w:szCs w:val="21"/>
                    </w:rPr>
                    <w:t>-49</w:t>
                  </w:r>
                </w:p>
              </w:tc>
              <w:tc>
                <w:tcPr>
                  <w:tcW w:w="732" w:type="pct"/>
                  <w:vMerge w:val="continue"/>
                  <w:vAlign w:val="center"/>
                </w:tcPr>
                <w:p>
                  <w:pPr>
                    <w:jc w:val="center"/>
                    <w:rPr>
                      <w:szCs w:val="21"/>
                    </w:rPr>
                  </w:pPr>
                </w:p>
              </w:tc>
              <w:tc>
                <w:tcPr>
                  <w:tcW w:w="1208" w:type="pct"/>
                  <w:vMerge w:val="continue"/>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06" w:type="pct"/>
                  <w:vAlign w:val="center"/>
                </w:tcPr>
                <w:p>
                  <w:pPr>
                    <w:jc w:val="center"/>
                    <w:rPr>
                      <w:szCs w:val="21"/>
                    </w:rPr>
                  </w:pPr>
                  <w:r>
                    <w:rPr>
                      <w:rFonts w:hint="eastAsia"/>
                      <w:szCs w:val="21"/>
                    </w:rPr>
                    <w:t>员工生活</w:t>
                  </w:r>
                </w:p>
              </w:tc>
              <w:tc>
                <w:tcPr>
                  <w:tcW w:w="824" w:type="pct"/>
                  <w:vAlign w:val="center"/>
                </w:tcPr>
                <w:p>
                  <w:pPr>
                    <w:jc w:val="center"/>
                    <w:rPr>
                      <w:szCs w:val="21"/>
                    </w:rPr>
                  </w:pPr>
                  <w:r>
                    <w:rPr>
                      <w:rFonts w:hint="eastAsia"/>
                      <w:szCs w:val="21"/>
                    </w:rPr>
                    <w:t>生活垃圾</w:t>
                  </w:r>
                </w:p>
              </w:tc>
              <w:tc>
                <w:tcPr>
                  <w:tcW w:w="632" w:type="pct"/>
                  <w:vAlign w:val="center"/>
                </w:tcPr>
                <w:p>
                  <w:pPr>
                    <w:jc w:val="center"/>
                    <w:rPr>
                      <w:szCs w:val="21"/>
                    </w:rPr>
                  </w:pPr>
                  <w:r>
                    <w:rPr>
                      <w:szCs w:val="21"/>
                    </w:rPr>
                    <w:t>1</w:t>
                  </w:r>
                  <w:r>
                    <w:rPr>
                      <w:rFonts w:hint="eastAsia"/>
                      <w:szCs w:val="21"/>
                      <w:lang w:val="en-US" w:eastAsia="zh-CN"/>
                    </w:rPr>
                    <w:t>.5</w:t>
                  </w:r>
                  <w:r>
                    <w:rPr>
                      <w:szCs w:val="21"/>
                    </w:rPr>
                    <w:t>t/a</w:t>
                  </w:r>
                </w:p>
              </w:tc>
              <w:tc>
                <w:tcPr>
                  <w:tcW w:w="895" w:type="pct"/>
                  <w:vAlign w:val="center"/>
                </w:tcPr>
                <w:p>
                  <w:pPr>
                    <w:jc w:val="center"/>
                    <w:rPr>
                      <w:szCs w:val="21"/>
                    </w:rPr>
                  </w:pPr>
                  <w:r>
                    <w:rPr>
                      <w:szCs w:val="21"/>
                    </w:rPr>
                    <w:t>900-002-S64</w:t>
                  </w:r>
                </w:p>
              </w:tc>
              <w:tc>
                <w:tcPr>
                  <w:tcW w:w="732" w:type="pct"/>
                  <w:vAlign w:val="center"/>
                </w:tcPr>
                <w:p>
                  <w:pPr>
                    <w:jc w:val="center"/>
                    <w:rPr>
                      <w:szCs w:val="21"/>
                    </w:rPr>
                  </w:pPr>
                  <w:r>
                    <w:rPr>
                      <w:rFonts w:hint="eastAsia"/>
                      <w:szCs w:val="21"/>
                    </w:rPr>
                    <w:t>垃圾桶</w:t>
                  </w:r>
                </w:p>
              </w:tc>
              <w:tc>
                <w:tcPr>
                  <w:tcW w:w="1208" w:type="pct"/>
                  <w:vAlign w:val="center"/>
                </w:tcPr>
                <w:p>
                  <w:pPr>
                    <w:jc w:val="center"/>
                    <w:rPr>
                      <w:szCs w:val="21"/>
                    </w:rPr>
                  </w:pPr>
                  <w:r>
                    <w:rPr>
                      <w:rFonts w:hint="eastAsia"/>
                      <w:szCs w:val="21"/>
                      <w:lang w:val="en-US" w:eastAsia="zh-CN"/>
                    </w:rPr>
                    <w:t>由</w:t>
                  </w:r>
                  <w:r>
                    <w:rPr>
                      <w:rFonts w:hint="eastAsia"/>
                      <w:szCs w:val="21"/>
                    </w:rPr>
                    <w:t>环卫部门处理</w:t>
                  </w:r>
                </w:p>
              </w:tc>
            </w:tr>
            <w:bookmarkEnd w:id="31"/>
          </w:tbl>
          <w:p>
            <w:pPr>
              <w:spacing w:line="400" w:lineRule="exact"/>
              <w:jc w:val="center"/>
              <w:rPr>
                <w:rFonts w:hint="eastAsia" w:ascii="Times New Roman" w:hAnsi="Times New Roman" w:eastAsia="宋体" w:cs="Times New Roman"/>
                <w:b/>
                <w:szCs w:val="21"/>
              </w:rPr>
            </w:pPr>
            <w:r>
              <w:rPr>
                <w:rFonts w:hint="eastAsia" w:ascii="Times New Roman" w:hAnsi="Times New Roman" w:eastAsia="宋体" w:cs="Times New Roman"/>
                <w:b/>
                <w:szCs w:val="21"/>
              </w:rPr>
              <w:t>表4-</w:t>
            </w:r>
            <w:r>
              <w:rPr>
                <w:rFonts w:hint="eastAsia" w:ascii="Times New Roman" w:hAnsi="Times New Roman" w:eastAsia="宋体" w:cs="Times New Roman"/>
                <w:b/>
                <w:szCs w:val="21"/>
                <w:lang w:val="en-US" w:eastAsia="zh-CN"/>
              </w:rPr>
              <w:t>1</w:t>
            </w:r>
            <w:r>
              <w:rPr>
                <w:rFonts w:hint="eastAsia" w:cs="Times New Roman"/>
                <w:b/>
                <w:szCs w:val="21"/>
                <w:lang w:val="en-US" w:eastAsia="zh-CN"/>
              </w:rPr>
              <w:t>5</w:t>
            </w:r>
            <w:r>
              <w:rPr>
                <w:rFonts w:hint="eastAsia" w:ascii="Times New Roman" w:hAnsi="Times New Roman" w:eastAsia="宋体" w:cs="Times New Roman"/>
                <w:b/>
                <w:szCs w:val="21"/>
              </w:rPr>
              <w:t xml:space="preserve">   危险废物产生、处置及防治措施情况一览表</w:t>
            </w:r>
          </w:p>
          <w:tbl>
            <w:tblPr>
              <w:tblStyle w:val="90"/>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410"/>
              <w:gridCol w:w="787"/>
              <w:gridCol w:w="951"/>
              <w:gridCol w:w="1065"/>
              <w:gridCol w:w="516"/>
              <w:gridCol w:w="635"/>
              <w:gridCol w:w="305"/>
              <w:gridCol w:w="622"/>
              <w:gridCol w:w="706"/>
              <w:gridCol w:w="511"/>
              <w:gridCol w:w="494"/>
              <w:gridCol w:w="92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258" w:type="pct"/>
                  <w:tcBorders>
                    <w:top w:val="single" w:color="auto" w:sz="8" w:space="0"/>
                    <w:left w:val="single" w:color="auto" w:sz="8" w:space="0"/>
                  </w:tcBorders>
                  <w:noWrap w:val="0"/>
                  <w:vAlign w:val="center"/>
                </w:tcPr>
                <w:p>
                  <w:pPr>
                    <w:spacing w:line="0" w:lineRule="atLeast"/>
                    <w:jc w:val="center"/>
                    <w:rPr>
                      <w:rFonts w:ascii="Times New Roman" w:hAnsi="Times New Roman"/>
                      <w:b w:val="0"/>
                      <w:bCs w:val="0"/>
                      <w:color w:val="auto"/>
                    </w:rPr>
                  </w:pPr>
                  <w:r>
                    <w:rPr>
                      <w:rFonts w:hint="eastAsia" w:ascii="Times New Roman" w:hAnsi="Times New Roman"/>
                      <w:b w:val="0"/>
                      <w:bCs w:val="0"/>
                      <w:color w:val="auto"/>
                    </w:rPr>
                    <w:t>序号</w:t>
                  </w:r>
                </w:p>
              </w:tc>
              <w:tc>
                <w:tcPr>
                  <w:tcW w:w="496" w:type="pct"/>
                  <w:tcBorders>
                    <w:top w:val="single" w:color="auto" w:sz="8" w:space="0"/>
                  </w:tcBorders>
                  <w:noWrap w:val="0"/>
                  <w:vAlign w:val="center"/>
                </w:tcPr>
                <w:p>
                  <w:pPr>
                    <w:spacing w:line="0" w:lineRule="atLeast"/>
                    <w:jc w:val="center"/>
                    <w:rPr>
                      <w:rFonts w:ascii="Times New Roman" w:hAnsi="Times New Roman"/>
                      <w:b w:val="0"/>
                      <w:bCs w:val="0"/>
                      <w:color w:val="auto"/>
                    </w:rPr>
                  </w:pPr>
                  <w:r>
                    <w:rPr>
                      <w:rFonts w:hint="eastAsia" w:ascii="Times New Roman" w:hAnsi="Times New Roman"/>
                      <w:b w:val="0"/>
                      <w:bCs w:val="0"/>
                      <w:color w:val="auto"/>
                    </w:rPr>
                    <w:t>危险废物名称</w:t>
                  </w:r>
                </w:p>
              </w:tc>
              <w:tc>
                <w:tcPr>
                  <w:tcW w:w="599" w:type="pct"/>
                  <w:tcBorders>
                    <w:top w:val="single" w:color="auto" w:sz="8" w:space="0"/>
                  </w:tcBorders>
                  <w:noWrap w:val="0"/>
                  <w:vAlign w:val="center"/>
                </w:tcPr>
                <w:p>
                  <w:pPr>
                    <w:spacing w:line="0" w:lineRule="atLeast"/>
                    <w:jc w:val="center"/>
                    <w:rPr>
                      <w:rFonts w:ascii="Times New Roman" w:hAnsi="Times New Roman"/>
                      <w:b w:val="0"/>
                      <w:bCs w:val="0"/>
                      <w:color w:val="auto"/>
                    </w:rPr>
                  </w:pPr>
                  <w:r>
                    <w:rPr>
                      <w:rFonts w:hint="eastAsia" w:ascii="Times New Roman" w:hAnsi="Times New Roman"/>
                      <w:b w:val="0"/>
                      <w:bCs w:val="0"/>
                      <w:color w:val="auto"/>
                    </w:rPr>
                    <w:t>危险废物类别</w:t>
                  </w:r>
                </w:p>
              </w:tc>
              <w:tc>
                <w:tcPr>
                  <w:tcW w:w="671" w:type="pct"/>
                  <w:tcBorders>
                    <w:top w:val="single" w:color="auto" w:sz="8" w:space="0"/>
                  </w:tcBorders>
                  <w:noWrap w:val="0"/>
                  <w:vAlign w:val="center"/>
                </w:tcPr>
                <w:p>
                  <w:pPr>
                    <w:spacing w:line="0" w:lineRule="atLeast"/>
                    <w:jc w:val="center"/>
                    <w:rPr>
                      <w:rFonts w:hint="eastAsia" w:ascii="Times New Roman" w:hAnsi="Times New Roman"/>
                      <w:b w:val="0"/>
                      <w:bCs w:val="0"/>
                      <w:color w:val="auto"/>
                    </w:rPr>
                  </w:pPr>
                  <w:r>
                    <w:rPr>
                      <w:rFonts w:hint="eastAsia" w:ascii="Times New Roman" w:hAnsi="Times New Roman"/>
                      <w:b w:val="0"/>
                      <w:bCs w:val="0"/>
                      <w:color w:val="auto"/>
                    </w:rPr>
                    <w:t>危险废物</w:t>
                  </w:r>
                </w:p>
                <w:p>
                  <w:pPr>
                    <w:spacing w:line="0" w:lineRule="atLeast"/>
                    <w:jc w:val="center"/>
                    <w:rPr>
                      <w:rFonts w:ascii="Times New Roman" w:hAnsi="Times New Roman"/>
                      <w:b w:val="0"/>
                      <w:bCs w:val="0"/>
                      <w:color w:val="auto"/>
                    </w:rPr>
                  </w:pPr>
                  <w:r>
                    <w:rPr>
                      <w:rFonts w:hint="eastAsia" w:ascii="Times New Roman" w:hAnsi="Times New Roman"/>
                      <w:b w:val="0"/>
                      <w:bCs w:val="0"/>
                      <w:color w:val="auto"/>
                    </w:rPr>
                    <w:t>代码</w:t>
                  </w:r>
                </w:p>
              </w:tc>
              <w:tc>
                <w:tcPr>
                  <w:tcW w:w="325" w:type="pct"/>
                  <w:tcBorders>
                    <w:top w:val="single" w:color="auto" w:sz="8" w:space="0"/>
                  </w:tcBorders>
                  <w:noWrap w:val="0"/>
                  <w:vAlign w:val="center"/>
                </w:tcPr>
                <w:p>
                  <w:pPr>
                    <w:spacing w:line="0" w:lineRule="atLeast"/>
                    <w:jc w:val="center"/>
                    <w:rPr>
                      <w:rFonts w:hint="eastAsia" w:ascii="Times New Roman" w:hAnsi="Times New Roman"/>
                      <w:b w:val="0"/>
                      <w:bCs w:val="0"/>
                      <w:color w:val="auto"/>
                    </w:rPr>
                  </w:pPr>
                  <w:r>
                    <w:rPr>
                      <w:rFonts w:hint="eastAsia" w:ascii="Times New Roman" w:hAnsi="Times New Roman"/>
                      <w:b w:val="0"/>
                      <w:bCs w:val="0"/>
                      <w:color w:val="auto"/>
                    </w:rPr>
                    <w:t>产生量</w:t>
                  </w:r>
                </w:p>
                <w:p>
                  <w:pPr>
                    <w:spacing w:line="0" w:lineRule="atLeast"/>
                    <w:jc w:val="center"/>
                    <w:rPr>
                      <w:rFonts w:ascii="Times New Roman" w:hAnsi="Times New Roman"/>
                      <w:b w:val="0"/>
                      <w:bCs w:val="0"/>
                      <w:color w:val="auto"/>
                    </w:rPr>
                  </w:pPr>
                  <w:r>
                    <w:rPr>
                      <w:rFonts w:hint="eastAsia" w:ascii="Times New Roman" w:hAnsi="Times New Roman"/>
                      <w:b w:val="0"/>
                      <w:bCs w:val="0"/>
                      <w:color w:val="auto"/>
                    </w:rPr>
                    <w:t>(t/a)</w:t>
                  </w:r>
                </w:p>
              </w:tc>
              <w:tc>
                <w:tcPr>
                  <w:tcW w:w="400" w:type="pct"/>
                  <w:tcBorders>
                    <w:top w:val="single" w:color="auto" w:sz="8" w:space="0"/>
                  </w:tcBorders>
                  <w:noWrap w:val="0"/>
                  <w:vAlign w:val="center"/>
                </w:tcPr>
                <w:p>
                  <w:pPr>
                    <w:spacing w:line="0" w:lineRule="atLeast"/>
                    <w:jc w:val="center"/>
                    <w:rPr>
                      <w:rFonts w:ascii="Times New Roman" w:hAnsi="Times New Roman"/>
                      <w:b w:val="0"/>
                      <w:bCs w:val="0"/>
                      <w:color w:val="auto"/>
                    </w:rPr>
                  </w:pPr>
                  <w:r>
                    <w:rPr>
                      <w:rFonts w:hint="eastAsia" w:ascii="Times New Roman" w:hAnsi="Times New Roman"/>
                      <w:b w:val="0"/>
                      <w:bCs w:val="0"/>
                      <w:color w:val="auto"/>
                    </w:rPr>
                    <w:t>产生工序及装置</w:t>
                  </w:r>
                </w:p>
              </w:tc>
              <w:tc>
                <w:tcPr>
                  <w:tcW w:w="192" w:type="pct"/>
                  <w:tcBorders>
                    <w:top w:val="single" w:color="auto" w:sz="8" w:space="0"/>
                  </w:tcBorders>
                  <w:noWrap w:val="0"/>
                  <w:vAlign w:val="center"/>
                </w:tcPr>
                <w:p>
                  <w:pPr>
                    <w:spacing w:line="0" w:lineRule="atLeast"/>
                    <w:jc w:val="center"/>
                    <w:rPr>
                      <w:rFonts w:ascii="Times New Roman" w:hAnsi="Times New Roman"/>
                      <w:b w:val="0"/>
                      <w:bCs w:val="0"/>
                      <w:color w:val="auto"/>
                    </w:rPr>
                  </w:pPr>
                  <w:r>
                    <w:rPr>
                      <w:rFonts w:hint="eastAsia" w:ascii="Times New Roman" w:hAnsi="Times New Roman"/>
                      <w:b w:val="0"/>
                      <w:bCs w:val="0"/>
                      <w:color w:val="auto"/>
                    </w:rPr>
                    <w:t>形态</w:t>
                  </w:r>
                </w:p>
              </w:tc>
              <w:tc>
                <w:tcPr>
                  <w:tcW w:w="392" w:type="pct"/>
                  <w:tcBorders>
                    <w:top w:val="single" w:color="auto" w:sz="8" w:space="0"/>
                  </w:tcBorders>
                  <w:noWrap w:val="0"/>
                  <w:vAlign w:val="center"/>
                </w:tcPr>
                <w:p>
                  <w:pPr>
                    <w:spacing w:line="0" w:lineRule="atLeast"/>
                    <w:jc w:val="center"/>
                    <w:rPr>
                      <w:rFonts w:ascii="Times New Roman" w:hAnsi="Times New Roman"/>
                      <w:b w:val="0"/>
                      <w:bCs w:val="0"/>
                      <w:color w:val="auto"/>
                    </w:rPr>
                  </w:pPr>
                  <w:r>
                    <w:rPr>
                      <w:rFonts w:hint="eastAsia" w:ascii="Times New Roman" w:hAnsi="Times New Roman"/>
                      <w:b w:val="0"/>
                      <w:bCs w:val="0"/>
                      <w:color w:val="auto"/>
                    </w:rPr>
                    <w:t>主要</w:t>
                  </w:r>
                </w:p>
                <w:p>
                  <w:pPr>
                    <w:spacing w:line="0" w:lineRule="atLeast"/>
                    <w:jc w:val="center"/>
                    <w:rPr>
                      <w:rFonts w:ascii="Times New Roman" w:hAnsi="Times New Roman"/>
                      <w:b w:val="0"/>
                      <w:bCs w:val="0"/>
                      <w:color w:val="auto"/>
                    </w:rPr>
                  </w:pPr>
                  <w:r>
                    <w:rPr>
                      <w:rFonts w:hint="eastAsia" w:ascii="Times New Roman" w:hAnsi="Times New Roman"/>
                      <w:b w:val="0"/>
                      <w:bCs w:val="0"/>
                      <w:color w:val="auto"/>
                    </w:rPr>
                    <w:t>成分</w:t>
                  </w:r>
                </w:p>
              </w:tc>
              <w:tc>
                <w:tcPr>
                  <w:tcW w:w="445" w:type="pct"/>
                  <w:tcBorders>
                    <w:top w:val="single" w:color="auto" w:sz="8" w:space="0"/>
                  </w:tcBorders>
                  <w:noWrap w:val="0"/>
                  <w:vAlign w:val="center"/>
                </w:tcPr>
                <w:p>
                  <w:pPr>
                    <w:spacing w:line="0" w:lineRule="atLeast"/>
                    <w:jc w:val="center"/>
                    <w:rPr>
                      <w:rFonts w:hint="eastAsia" w:ascii="Times New Roman" w:hAnsi="Times New Roman"/>
                      <w:b w:val="0"/>
                      <w:bCs w:val="0"/>
                      <w:color w:val="auto"/>
                    </w:rPr>
                  </w:pPr>
                  <w:r>
                    <w:rPr>
                      <w:rFonts w:hint="eastAsia" w:ascii="Times New Roman" w:hAnsi="Times New Roman"/>
                      <w:b w:val="0"/>
                      <w:bCs w:val="0"/>
                      <w:color w:val="auto"/>
                    </w:rPr>
                    <w:t>有害</w:t>
                  </w:r>
                </w:p>
                <w:p>
                  <w:pPr>
                    <w:spacing w:line="0" w:lineRule="atLeast"/>
                    <w:jc w:val="center"/>
                    <w:rPr>
                      <w:rFonts w:ascii="Times New Roman" w:hAnsi="Times New Roman"/>
                      <w:b w:val="0"/>
                      <w:bCs w:val="0"/>
                      <w:color w:val="auto"/>
                    </w:rPr>
                  </w:pPr>
                  <w:r>
                    <w:rPr>
                      <w:rFonts w:hint="eastAsia" w:ascii="Times New Roman" w:hAnsi="Times New Roman"/>
                      <w:b w:val="0"/>
                      <w:bCs w:val="0"/>
                      <w:color w:val="auto"/>
                    </w:rPr>
                    <w:t>成分</w:t>
                  </w:r>
                </w:p>
              </w:tc>
              <w:tc>
                <w:tcPr>
                  <w:tcW w:w="322" w:type="pct"/>
                  <w:tcBorders>
                    <w:top w:val="single" w:color="auto" w:sz="8" w:space="0"/>
                  </w:tcBorders>
                  <w:noWrap w:val="0"/>
                  <w:vAlign w:val="center"/>
                </w:tcPr>
                <w:p>
                  <w:pPr>
                    <w:spacing w:line="0" w:lineRule="atLeast"/>
                    <w:jc w:val="center"/>
                    <w:rPr>
                      <w:rFonts w:ascii="Times New Roman" w:hAnsi="Times New Roman"/>
                      <w:b w:val="0"/>
                      <w:bCs w:val="0"/>
                      <w:color w:val="auto"/>
                    </w:rPr>
                  </w:pPr>
                  <w:r>
                    <w:rPr>
                      <w:rFonts w:hint="eastAsia" w:ascii="Times New Roman" w:hAnsi="Times New Roman"/>
                      <w:b w:val="0"/>
                      <w:bCs w:val="0"/>
                      <w:color w:val="auto"/>
                    </w:rPr>
                    <w:t>产废</w:t>
                  </w:r>
                </w:p>
                <w:p>
                  <w:pPr>
                    <w:spacing w:line="0" w:lineRule="atLeast"/>
                    <w:jc w:val="center"/>
                    <w:rPr>
                      <w:rFonts w:ascii="Times New Roman" w:hAnsi="Times New Roman"/>
                      <w:b w:val="0"/>
                      <w:bCs w:val="0"/>
                      <w:color w:val="auto"/>
                    </w:rPr>
                  </w:pPr>
                  <w:r>
                    <w:rPr>
                      <w:rFonts w:hint="eastAsia" w:ascii="Times New Roman" w:hAnsi="Times New Roman"/>
                      <w:b w:val="0"/>
                      <w:bCs w:val="0"/>
                      <w:color w:val="auto"/>
                    </w:rPr>
                    <w:t>周期</w:t>
                  </w:r>
                </w:p>
              </w:tc>
              <w:tc>
                <w:tcPr>
                  <w:tcW w:w="311" w:type="pct"/>
                  <w:tcBorders>
                    <w:top w:val="single" w:color="auto" w:sz="8" w:space="0"/>
                  </w:tcBorders>
                  <w:noWrap w:val="0"/>
                  <w:vAlign w:val="center"/>
                </w:tcPr>
                <w:p>
                  <w:pPr>
                    <w:spacing w:line="0" w:lineRule="atLeast"/>
                    <w:jc w:val="center"/>
                    <w:rPr>
                      <w:rFonts w:ascii="Times New Roman" w:hAnsi="Times New Roman"/>
                      <w:b w:val="0"/>
                      <w:bCs w:val="0"/>
                      <w:color w:val="auto"/>
                    </w:rPr>
                  </w:pPr>
                  <w:r>
                    <w:rPr>
                      <w:rFonts w:hint="eastAsia" w:ascii="Times New Roman" w:hAnsi="Times New Roman"/>
                      <w:b w:val="0"/>
                      <w:bCs w:val="0"/>
                      <w:color w:val="auto"/>
                    </w:rPr>
                    <w:t>危险</w:t>
                  </w:r>
                </w:p>
                <w:p>
                  <w:pPr>
                    <w:spacing w:line="0" w:lineRule="atLeast"/>
                    <w:jc w:val="center"/>
                    <w:rPr>
                      <w:rFonts w:ascii="Times New Roman" w:hAnsi="Times New Roman"/>
                      <w:b w:val="0"/>
                      <w:bCs w:val="0"/>
                      <w:color w:val="auto"/>
                    </w:rPr>
                  </w:pPr>
                  <w:r>
                    <w:rPr>
                      <w:rFonts w:hint="eastAsia" w:ascii="Times New Roman" w:hAnsi="Times New Roman"/>
                      <w:b w:val="0"/>
                      <w:bCs w:val="0"/>
                      <w:color w:val="auto"/>
                    </w:rPr>
                    <w:t>特性</w:t>
                  </w:r>
                </w:p>
              </w:tc>
              <w:tc>
                <w:tcPr>
                  <w:tcW w:w="582" w:type="pct"/>
                  <w:tcBorders>
                    <w:top w:val="single" w:color="auto" w:sz="8" w:space="0"/>
                    <w:right w:val="single" w:color="auto" w:sz="8" w:space="0"/>
                  </w:tcBorders>
                  <w:noWrap w:val="0"/>
                  <w:vAlign w:val="center"/>
                </w:tcPr>
                <w:p>
                  <w:pPr>
                    <w:spacing w:line="0" w:lineRule="atLeast"/>
                    <w:jc w:val="center"/>
                    <w:rPr>
                      <w:rFonts w:ascii="Times New Roman" w:hAnsi="Times New Roman"/>
                      <w:b w:val="0"/>
                      <w:bCs w:val="0"/>
                      <w:color w:val="auto"/>
                    </w:rPr>
                  </w:pPr>
                  <w:r>
                    <w:rPr>
                      <w:rFonts w:hint="eastAsia" w:ascii="Times New Roman" w:hAnsi="Times New Roman"/>
                      <w:b w:val="0"/>
                      <w:bCs w:val="0"/>
                      <w:color w:val="auto"/>
                    </w:rPr>
                    <w:t>污染</w:t>
                  </w:r>
                </w:p>
                <w:p>
                  <w:pPr>
                    <w:spacing w:line="0" w:lineRule="atLeast"/>
                    <w:jc w:val="center"/>
                    <w:rPr>
                      <w:rFonts w:ascii="Times New Roman" w:hAnsi="Times New Roman"/>
                      <w:b w:val="0"/>
                      <w:bCs w:val="0"/>
                      <w:color w:val="auto"/>
                    </w:rPr>
                  </w:pPr>
                  <w:r>
                    <w:rPr>
                      <w:rFonts w:hint="eastAsia" w:ascii="Times New Roman" w:hAnsi="Times New Roman"/>
                      <w:b w:val="0"/>
                      <w:bCs w:val="0"/>
                      <w:color w:val="auto"/>
                    </w:rPr>
                    <w:t>防治措施</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916" w:hRule="atLeast"/>
                <w:jc w:val="center"/>
              </w:trPr>
              <w:tc>
                <w:tcPr>
                  <w:tcW w:w="258" w:type="pct"/>
                  <w:tcBorders>
                    <w:left w:val="single" w:color="auto" w:sz="8" w:space="0"/>
                  </w:tcBorders>
                  <w:noWrap w:val="0"/>
                  <w:vAlign w:val="center"/>
                </w:tcPr>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1</w:t>
                  </w:r>
                </w:p>
              </w:tc>
              <w:tc>
                <w:tcPr>
                  <w:tcW w:w="496" w:type="pct"/>
                  <w:noWrap w:val="0"/>
                  <w:vAlign w:val="center"/>
                </w:tcPr>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废过滤棉</w:t>
                  </w:r>
                </w:p>
              </w:tc>
              <w:tc>
                <w:tcPr>
                  <w:tcW w:w="599" w:type="pct"/>
                  <w:noWrap w:val="0"/>
                  <w:vAlign w:val="center"/>
                </w:tcPr>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HW49</w:t>
                  </w:r>
                </w:p>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其他废物</w:t>
                  </w:r>
                </w:p>
              </w:tc>
              <w:tc>
                <w:tcPr>
                  <w:tcW w:w="671" w:type="pct"/>
                  <w:noWrap w:val="0"/>
                  <w:vAlign w:val="center"/>
                </w:tcPr>
                <w:p>
                  <w:pPr>
                    <w:spacing w:line="0" w:lineRule="atLeast"/>
                    <w:jc w:val="center"/>
                    <w:rPr>
                      <w:rFonts w:hint="eastAsia" w:ascii="Times New Roman" w:hAnsi="Times New Roman" w:cs="Times New Roman"/>
                      <w:color w:val="auto"/>
                    </w:rPr>
                  </w:pPr>
                  <w:r>
                    <w:rPr>
                      <w:rFonts w:hint="eastAsia"/>
                      <w:szCs w:val="21"/>
                    </w:rPr>
                    <w:t>9</w:t>
                  </w:r>
                  <w:r>
                    <w:rPr>
                      <w:szCs w:val="21"/>
                    </w:rPr>
                    <w:t>00-041-49</w:t>
                  </w:r>
                </w:p>
              </w:tc>
              <w:tc>
                <w:tcPr>
                  <w:tcW w:w="325" w:type="pct"/>
                  <w:noWrap w:val="0"/>
                  <w:vAlign w:val="center"/>
                </w:tcPr>
                <w:p>
                  <w:pPr>
                    <w:spacing w:line="0" w:lineRule="atLeast"/>
                    <w:jc w:val="center"/>
                    <w:rPr>
                      <w:rFonts w:hint="default" w:ascii="Times New Roman" w:hAnsi="Times New Roman" w:cs="Times New Roman"/>
                      <w:color w:val="auto"/>
                      <w:lang w:val="en-US" w:eastAsia="zh-CN"/>
                    </w:rPr>
                  </w:pPr>
                  <w:r>
                    <w:rPr>
                      <w:rFonts w:hint="eastAsia" w:ascii="Times New Roman" w:hAnsi="Times New Roman" w:cs="Times New Roman"/>
                      <w:color w:val="auto"/>
                      <w:lang w:val="en-US" w:eastAsia="zh-CN"/>
                    </w:rPr>
                    <w:t>0.5</w:t>
                  </w:r>
                </w:p>
              </w:tc>
              <w:tc>
                <w:tcPr>
                  <w:tcW w:w="400" w:type="pct"/>
                  <w:vMerge w:val="restart"/>
                  <w:noWrap w:val="0"/>
                  <w:vAlign w:val="center"/>
                </w:tcPr>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活性炭吸附装置</w:t>
                  </w:r>
                </w:p>
              </w:tc>
              <w:tc>
                <w:tcPr>
                  <w:tcW w:w="192" w:type="pct"/>
                  <w:noWrap w:val="0"/>
                  <w:vAlign w:val="center"/>
                </w:tcPr>
                <w:p>
                  <w:pPr>
                    <w:spacing w:line="0" w:lineRule="atLeast"/>
                    <w:jc w:val="center"/>
                    <w:rPr>
                      <w:rFonts w:hint="eastAsia" w:ascii="Times New Roman" w:hAnsi="Times New Roman" w:eastAsia="宋体" w:cs="Times New Roman"/>
                      <w:color w:val="auto"/>
                      <w:lang w:val="en-US" w:eastAsia="zh-CN"/>
                    </w:rPr>
                  </w:pPr>
                  <w:r>
                    <w:rPr>
                      <w:rFonts w:hint="eastAsia" w:ascii="Times New Roman" w:hAnsi="Times New Roman" w:cs="Times New Roman"/>
                      <w:color w:val="auto"/>
                      <w:lang w:val="en-US" w:eastAsia="zh-CN"/>
                    </w:rPr>
                    <w:t>固态</w:t>
                  </w:r>
                </w:p>
              </w:tc>
              <w:tc>
                <w:tcPr>
                  <w:tcW w:w="392" w:type="pct"/>
                  <w:noWrap w:val="0"/>
                  <w:vAlign w:val="center"/>
                </w:tcPr>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有机物等</w:t>
                  </w:r>
                </w:p>
              </w:tc>
              <w:tc>
                <w:tcPr>
                  <w:tcW w:w="445" w:type="pct"/>
                  <w:noWrap w:val="0"/>
                  <w:vAlign w:val="center"/>
                </w:tcPr>
                <w:p>
                  <w:pPr>
                    <w:spacing w:line="0" w:lineRule="atLeast"/>
                    <w:jc w:val="center"/>
                    <w:rPr>
                      <w:rFonts w:hint="default" w:ascii="Times New Roman" w:hAnsi="Times New Roman" w:eastAsia="宋体" w:cs="Times New Roman"/>
                      <w:color w:val="auto"/>
                      <w:lang w:val="en-US" w:eastAsia="zh-CN"/>
                    </w:rPr>
                  </w:pPr>
                  <w:r>
                    <w:rPr>
                      <w:rFonts w:hint="eastAsia" w:ascii="Times New Roman" w:hAnsi="Times New Roman" w:cs="Times New Roman"/>
                      <w:color w:val="auto"/>
                      <w:lang w:val="en-US" w:eastAsia="zh-CN"/>
                    </w:rPr>
                    <w:t>有机物等</w:t>
                  </w:r>
                </w:p>
              </w:tc>
              <w:tc>
                <w:tcPr>
                  <w:tcW w:w="322" w:type="pct"/>
                  <w:noWrap w:val="0"/>
                  <w:vAlign w:val="center"/>
                </w:tcPr>
                <w:p>
                  <w:pPr>
                    <w:spacing w:line="0" w:lineRule="atLeast"/>
                    <w:jc w:val="center"/>
                    <w:rPr>
                      <w:rFonts w:hint="eastAsia" w:ascii="Times New Roman" w:hAnsi="Times New Roman" w:eastAsia="宋体" w:cs="Times New Roman"/>
                      <w:color w:val="auto"/>
                      <w:lang w:val="en-US" w:eastAsia="zh-CN"/>
                    </w:rPr>
                  </w:pPr>
                  <w:r>
                    <w:rPr>
                      <w:rFonts w:hint="eastAsia" w:ascii="Times New Roman" w:hAnsi="Times New Roman" w:cs="Times New Roman"/>
                      <w:color w:val="auto"/>
                      <w:lang w:val="en-US" w:eastAsia="zh-CN"/>
                    </w:rPr>
                    <w:t>年</w:t>
                  </w:r>
                </w:p>
              </w:tc>
              <w:tc>
                <w:tcPr>
                  <w:tcW w:w="311" w:type="pct"/>
                  <w:noWrap w:val="0"/>
                  <w:vAlign w:val="center"/>
                </w:tcPr>
                <w:p>
                  <w:pPr>
                    <w:spacing w:line="0" w:lineRule="atLeast"/>
                    <w:jc w:val="center"/>
                    <w:rPr>
                      <w:rFonts w:hint="default" w:ascii="Times New Roman" w:hAnsi="Times New Roman" w:eastAsia="宋体" w:cs="Times New Roman"/>
                      <w:color w:val="auto"/>
                      <w:lang w:val="en-US" w:eastAsia="zh-CN"/>
                    </w:rPr>
                  </w:pPr>
                  <w:r>
                    <w:rPr>
                      <w:rFonts w:hint="eastAsia" w:ascii="Times New Roman" w:hAnsi="Times New Roman" w:cs="Times New Roman"/>
                      <w:color w:val="auto"/>
                      <w:lang w:val="en-US" w:eastAsia="zh-CN"/>
                    </w:rPr>
                    <w:t>T/In</w:t>
                  </w:r>
                </w:p>
              </w:tc>
              <w:tc>
                <w:tcPr>
                  <w:tcW w:w="582" w:type="pct"/>
                  <w:vMerge w:val="restart"/>
                  <w:tcBorders>
                    <w:right w:val="single" w:color="auto" w:sz="8" w:space="0"/>
                  </w:tcBorders>
                  <w:noWrap w:val="0"/>
                  <w:vAlign w:val="center"/>
                </w:tcPr>
                <w:p>
                  <w:pPr>
                    <w:spacing w:line="0" w:lineRule="atLeast"/>
                    <w:jc w:val="center"/>
                    <w:rPr>
                      <w:rFonts w:ascii="Times New Roman" w:hAnsi="Times New Roman"/>
                      <w:color w:val="auto"/>
                    </w:rPr>
                  </w:pPr>
                  <w:r>
                    <w:rPr>
                      <w:rFonts w:hint="eastAsia" w:ascii="Times New Roman" w:hAnsi="Times New Roman" w:cs="Times New Roman"/>
                      <w:color w:val="auto"/>
                      <w:lang w:val="en-US" w:eastAsia="zh-CN"/>
                    </w:rPr>
                    <w:t>现有</w:t>
                  </w:r>
                  <w:r>
                    <w:rPr>
                      <w:rFonts w:hint="eastAsia" w:ascii="Times New Roman" w:hAnsi="Times New Roman" w:cs="Times New Roman"/>
                      <w:color w:val="auto"/>
                    </w:rPr>
                    <w:t>危废暂存间内</w:t>
                  </w:r>
                  <w:r>
                    <w:rPr>
                      <w:rFonts w:hint="eastAsia" w:ascii="Times New Roman" w:hAnsi="Times New Roman" w:cs="Times New Roman"/>
                      <w:color w:val="auto"/>
                      <w:lang w:val="en-US" w:eastAsia="zh-CN"/>
                    </w:rPr>
                    <w:t>暂存</w:t>
                  </w:r>
                  <w:r>
                    <w:rPr>
                      <w:rFonts w:hint="eastAsia" w:ascii="Times New Roman" w:hAnsi="Times New Roman" w:cs="Times New Roman"/>
                      <w:color w:val="auto"/>
                    </w:rPr>
                    <w:t>，</w:t>
                  </w:r>
                  <w:r>
                    <w:rPr>
                      <w:rFonts w:hint="eastAsia"/>
                      <w:szCs w:val="21"/>
                    </w:rPr>
                    <w:t>定期委托有资质单位处置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916" w:hRule="atLeast"/>
                <w:jc w:val="center"/>
              </w:trPr>
              <w:tc>
                <w:tcPr>
                  <w:tcW w:w="258" w:type="pct"/>
                  <w:tcBorders>
                    <w:left w:val="single" w:color="auto" w:sz="8" w:space="0"/>
                  </w:tcBorders>
                  <w:noWrap w:val="0"/>
                  <w:vAlign w:val="center"/>
                </w:tcPr>
                <w:p>
                  <w:pPr>
                    <w:spacing w:line="0" w:lineRule="atLeast"/>
                    <w:jc w:val="center"/>
                    <w:rPr>
                      <w:rFonts w:hint="eastAsia" w:ascii="Times New Roman" w:hAnsi="Times New Roman" w:eastAsia="宋体" w:cs="Times New Roman"/>
                      <w:color w:val="auto"/>
                      <w:lang w:val="en-US" w:eastAsia="zh-CN"/>
                    </w:rPr>
                  </w:pPr>
                  <w:r>
                    <w:rPr>
                      <w:rFonts w:hint="eastAsia" w:ascii="Times New Roman" w:hAnsi="Times New Roman" w:cs="Times New Roman"/>
                      <w:color w:val="auto"/>
                      <w:lang w:val="en-US" w:eastAsia="zh-CN"/>
                    </w:rPr>
                    <w:t>2</w:t>
                  </w:r>
                </w:p>
              </w:tc>
              <w:tc>
                <w:tcPr>
                  <w:tcW w:w="496" w:type="pct"/>
                  <w:noWrap w:val="0"/>
                  <w:vAlign w:val="center"/>
                </w:tcPr>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废活性炭</w:t>
                  </w:r>
                </w:p>
              </w:tc>
              <w:tc>
                <w:tcPr>
                  <w:tcW w:w="599" w:type="pct"/>
                  <w:noWrap w:val="0"/>
                  <w:vAlign w:val="center"/>
                </w:tcPr>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HW49</w:t>
                  </w:r>
                </w:p>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其他废物</w:t>
                  </w:r>
                </w:p>
              </w:tc>
              <w:tc>
                <w:tcPr>
                  <w:tcW w:w="671" w:type="pct"/>
                  <w:noWrap w:val="0"/>
                  <w:vAlign w:val="center"/>
                </w:tcPr>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900-039-49</w:t>
                  </w:r>
                </w:p>
              </w:tc>
              <w:tc>
                <w:tcPr>
                  <w:tcW w:w="325" w:type="pct"/>
                  <w:noWrap w:val="0"/>
                  <w:vAlign w:val="center"/>
                </w:tcPr>
                <w:p>
                  <w:pPr>
                    <w:spacing w:line="0" w:lineRule="atLeast"/>
                    <w:jc w:val="center"/>
                    <w:rPr>
                      <w:rFonts w:hint="default" w:ascii="Times New Roman" w:hAnsi="Times New Roman" w:eastAsia="宋体" w:cs="Times New Roman"/>
                      <w:color w:val="auto"/>
                      <w:lang w:val="en-US" w:eastAsia="zh-CN"/>
                    </w:rPr>
                  </w:pPr>
                  <w:r>
                    <w:rPr>
                      <w:rFonts w:hint="eastAsia" w:ascii="Times New Roman" w:hAnsi="Times New Roman" w:cs="Times New Roman"/>
                      <w:color w:val="auto"/>
                      <w:lang w:val="en-US" w:eastAsia="zh-CN"/>
                    </w:rPr>
                    <w:t>5.46</w:t>
                  </w:r>
                </w:p>
              </w:tc>
              <w:tc>
                <w:tcPr>
                  <w:tcW w:w="400" w:type="pct"/>
                  <w:vMerge w:val="continue"/>
                  <w:noWrap w:val="0"/>
                  <w:vAlign w:val="center"/>
                </w:tcPr>
                <w:p>
                  <w:pPr>
                    <w:spacing w:line="0" w:lineRule="atLeast"/>
                    <w:jc w:val="center"/>
                    <w:rPr>
                      <w:rFonts w:hint="eastAsia" w:ascii="Times New Roman" w:hAnsi="Times New Roman" w:cs="Times New Roman"/>
                      <w:color w:val="auto"/>
                    </w:rPr>
                  </w:pPr>
                </w:p>
              </w:tc>
              <w:tc>
                <w:tcPr>
                  <w:tcW w:w="192" w:type="pct"/>
                  <w:noWrap w:val="0"/>
                  <w:vAlign w:val="center"/>
                </w:tcPr>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固态</w:t>
                  </w:r>
                </w:p>
              </w:tc>
              <w:tc>
                <w:tcPr>
                  <w:tcW w:w="392" w:type="pct"/>
                  <w:noWrap w:val="0"/>
                  <w:vAlign w:val="center"/>
                </w:tcPr>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有机物等</w:t>
                  </w:r>
                </w:p>
              </w:tc>
              <w:tc>
                <w:tcPr>
                  <w:tcW w:w="445" w:type="pct"/>
                  <w:noWrap w:val="0"/>
                  <w:vAlign w:val="center"/>
                </w:tcPr>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有机物等</w:t>
                  </w:r>
                </w:p>
              </w:tc>
              <w:tc>
                <w:tcPr>
                  <w:tcW w:w="322" w:type="pct"/>
                  <w:noWrap w:val="0"/>
                  <w:vAlign w:val="center"/>
                </w:tcPr>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年</w:t>
                  </w:r>
                </w:p>
              </w:tc>
              <w:tc>
                <w:tcPr>
                  <w:tcW w:w="311" w:type="pct"/>
                  <w:noWrap w:val="0"/>
                  <w:vAlign w:val="center"/>
                </w:tcPr>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T</w:t>
                  </w:r>
                </w:p>
              </w:tc>
              <w:tc>
                <w:tcPr>
                  <w:tcW w:w="582" w:type="pct"/>
                  <w:vMerge w:val="continue"/>
                  <w:tcBorders>
                    <w:right w:val="single" w:color="auto" w:sz="8" w:space="0"/>
                  </w:tcBorders>
                  <w:noWrap w:val="0"/>
                  <w:vAlign w:val="center"/>
                </w:tcPr>
                <w:p>
                  <w:pPr>
                    <w:spacing w:line="0" w:lineRule="atLeast"/>
                    <w:jc w:val="center"/>
                    <w:rPr>
                      <w:rFonts w:ascii="Times New Roman" w:hAnsi="Times New Roman"/>
                      <w:color w:val="auto"/>
                    </w:rPr>
                  </w:pPr>
                </w:p>
              </w:tc>
            </w:tr>
          </w:tbl>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危险废物暂存间基本情况如下。</w:t>
            </w:r>
          </w:p>
          <w:p>
            <w:pPr>
              <w:spacing w:line="400" w:lineRule="exact"/>
              <w:jc w:val="center"/>
              <w:rPr>
                <w:rFonts w:hint="eastAsia" w:ascii="Times New Roman" w:hAnsi="Times New Roman" w:eastAsia="宋体" w:cs="Times New Roman"/>
                <w:b/>
                <w:szCs w:val="21"/>
              </w:rPr>
            </w:pPr>
            <w:r>
              <w:rPr>
                <w:rFonts w:hint="eastAsia" w:ascii="Times New Roman" w:hAnsi="Times New Roman" w:eastAsia="宋体" w:cs="Times New Roman"/>
                <w:b/>
                <w:szCs w:val="21"/>
              </w:rPr>
              <w:t>表4-</w:t>
            </w:r>
            <w:r>
              <w:rPr>
                <w:rFonts w:hint="eastAsia" w:ascii="Times New Roman" w:hAnsi="Times New Roman" w:eastAsia="宋体" w:cs="Times New Roman"/>
                <w:b/>
                <w:szCs w:val="21"/>
                <w:lang w:val="en-US" w:eastAsia="zh-CN"/>
              </w:rPr>
              <w:t>1</w:t>
            </w:r>
            <w:r>
              <w:rPr>
                <w:rFonts w:hint="eastAsia" w:cs="Times New Roman"/>
                <w:b/>
                <w:szCs w:val="21"/>
                <w:lang w:val="en-US" w:eastAsia="zh-CN"/>
              </w:rPr>
              <w:t>6</w:t>
            </w:r>
            <w:r>
              <w:rPr>
                <w:rFonts w:hint="eastAsia" w:ascii="Times New Roman" w:hAnsi="Times New Roman" w:eastAsia="宋体" w:cs="Times New Roman"/>
                <w:b/>
                <w:szCs w:val="21"/>
              </w:rPr>
              <w:t xml:space="preserve">   危险废物贮存场所(设施)情况一览表</w:t>
            </w:r>
          </w:p>
          <w:tbl>
            <w:tblPr>
              <w:tblStyle w:val="90"/>
              <w:tblW w:w="4998" w:type="pct"/>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360"/>
              <w:gridCol w:w="931"/>
              <w:gridCol w:w="930"/>
              <w:gridCol w:w="934"/>
              <w:gridCol w:w="1167"/>
              <w:gridCol w:w="668"/>
              <w:gridCol w:w="750"/>
              <w:gridCol w:w="899"/>
              <w:gridCol w:w="723"/>
              <w:gridCol w:w="56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trPr>
              <w:tc>
                <w:tcPr>
                  <w:tcW w:w="227" w:type="pct"/>
                  <w:tcBorders>
                    <w:top w:val="single" w:color="auto" w:sz="8" w:space="0"/>
                    <w:left w:val="single" w:color="auto" w:sz="8" w:space="0"/>
                    <w:bottom w:val="single" w:color="auto" w:sz="8" w:space="0"/>
                  </w:tcBorders>
                  <w:noWrap w:val="0"/>
                  <w:vAlign w:val="center"/>
                </w:tcPr>
                <w:p>
                  <w:pPr>
                    <w:spacing w:line="0" w:lineRule="atLeast"/>
                    <w:jc w:val="center"/>
                    <w:rPr>
                      <w:rFonts w:hint="eastAsia" w:ascii="Times New Roman" w:hAnsi="Times New Roman"/>
                      <w:b/>
                      <w:bCs/>
                      <w:color w:val="auto"/>
                    </w:rPr>
                  </w:pPr>
                  <w:r>
                    <w:rPr>
                      <w:rFonts w:hint="eastAsia" w:ascii="Times New Roman" w:hAnsi="Times New Roman"/>
                      <w:b/>
                      <w:bCs/>
                      <w:color w:val="auto"/>
                    </w:rPr>
                    <w:t>序</w:t>
                  </w:r>
                </w:p>
                <w:p>
                  <w:pPr>
                    <w:spacing w:line="0" w:lineRule="atLeast"/>
                    <w:jc w:val="center"/>
                    <w:rPr>
                      <w:rFonts w:ascii="Times New Roman" w:hAnsi="Times New Roman"/>
                      <w:b/>
                      <w:bCs/>
                      <w:color w:val="auto"/>
                    </w:rPr>
                  </w:pPr>
                  <w:r>
                    <w:rPr>
                      <w:rFonts w:hint="eastAsia" w:ascii="Times New Roman" w:hAnsi="Times New Roman"/>
                      <w:b/>
                      <w:bCs/>
                      <w:color w:val="auto"/>
                    </w:rPr>
                    <w:t>号</w:t>
                  </w:r>
                </w:p>
              </w:tc>
              <w:tc>
                <w:tcPr>
                  <w:tcW w:w="587" w:type="pct"/>
                  <w:tcBorders>
                    <w:top w:val="single" w:color="auto" w:sz="8" w:space="0"/>
                    <w:bottom w:val="single" w:color="auto" w:sz="8" w:space="0"/>
                  </w:tcBorders>
                  <w:noWrap w:val="0"/>
                  <w:vAlign w:val="center"/>
                </w:tcPr>
                <w:p>
                  <w:pPr>
                    <w:spacing w:line="0" w:lineRule="atLeast"/>
                    <w:jc w:val="center"/>
                    <w:rPr>
                      <w:rFonts w:hint="eastAsia" w:ascii="Times New Roman" w:hAnsi="Times New Roman"/>
                      <w:b/>
                      <w:bCs/>
                      <w:color w:val="auto"/>
                    </w:rPr>
                  </w:pPr>
                  <w:r>
                    <w:rPr>
                      <w:rFonts w:hint="eastAsia" w:ascii="Times New Roman" w:hAnsi="Times New Roman"/>
                      <w:b/>
                      <w:bCs/>
                      <w:color w:val="auto"/>
                    </w:rPr>
                    <w:t>储存</w:t>
                  </w:r>
                </w:p>
                <w:p>
                  <w:pPr>
                    <w:spacing w:line="0" w:lineRule="atLeast"/>
                    <w:jc w:val="center"/>
                    <w:rPr>
                      <w:rFonts w:hint="eastAsia" w:ascii="Times New Roman" w:hAnsi="Times New Roman"/>
                      <w:b/>
                      <w:bCs/>
                      <w:color w:val="auto"/>
                    </w:rPr>
                  </w:pPr>
                  <w:r>
                    <w:rPr>
                      <w:rFonts w:hint="eastAsia" w:ascii="Times New Roman" w:hAnsi="Times New Roman"/>
                      <w:b/>
                      <w:bCs/>
                      <w:color w:val="auto"/>
                    </w:rPr>
                    <w:t>场所</w:t>
                  </w:r>
                </w:p>
                <w:p>
                  <w:pPr>
                    <w:spacing w:line="0" w:lineRule="atLeast"/>
                    <w:jc w:val="center"/>
                    <w:rPr>
                      <w:rFonts w:ascii="Times New Roman" w:hAnsi="Times New Roman"/>
                      <w:b/>
                      <w:bCs/>
                      <w:color w:val="auto"/>
                    </w:rPr>
                  </w:pPr>
                  <w:r>
                    <w:rPr>
                      <w:rFonts w:hint="eastAsia" w:ascii="Times New Roman" w:hAnsi="Times New Roman"/>
                      <w:b/>
                      <w:bCs/>
                      <w:color w:val="auto"/>
                    </w:rPr>
                    <w:t>名称</w:t>
                  </w:r>
                </w:p>
              </w:tc>
              <w:tc>
                <w:tcPr>
                  <w:tcW w:w="586" w:type="pct"/>
                  <w:tcBorders>
                    <w:top w:val="single" w:color="auto" w:sz="8" w:space="0"/>
                    <w:bottom w:val="single" w:color="auto" w:sz="8" w:space="0"/>
                  </w:tcBorders>
                  <w:noWrap w:val="0"/>
                  <w:vAlign w:val="center"/>
                </w:tcPr>
                <w:p>
                  <w:pPr>
                    <w:spacing w:line="0" w:lineRule="atLeast"/>
                    <w:jc w:val="center"/>
                    <w:rPr>
                      <w:rFonts w:ascii="Times New Roman" w:hAnsi="Times New Roman"/>
                      <w:b/>
                      <w:bCs/>
                      <w:color w:val="auto"/>
                    </w:rPr>
                  </w:pPr>
                  <w:r>
                    <w:rPr>
                      <w:rFonts w:hint="eastAsia" w:ascii="Times New Roman" w:hAnsi="Times New Roman"/>
                      <w:b/>
                      <w:bCs/>
                      <w:color w:val="auto"/>
                    </w:rPr>
                    <w:t>危险废物名称</w:t>
                  </w:r>
                </w:p>
              </w:tc>
              <w:tc>
                <w:tcPr>
                  <w:tcW w:w="589" w:type="pct"/>
                  <w:tcBorders>
                    <w:top w:val="single" w:color="auto" w:sz="8" w:space="0"/>
                    <w:bottom w:val="single" w:color="auto" w:sz="8" w:space="0"/>
                  </w:tcBorders>
                  <w:noWrap w:val="0"/>
                  <w:vAlign w:val="center"/>
                </w:tcPr>
                <w:p>
                  <w:pPr>
                    <w:spacing w:line="0" w:lineRule="atLeast"/>
                    <w:jc w:val="center"/>
                    <w:rPr>
                      <w:rFonts w:hint="eastAsia" w:ascii="Times New Roman" w:hAnsi="Times New Roman"/>
                      <w:b/>
                      <w:bCs/>
                      <w:color w:val="auto"/>
                    </w:rPr>
                  </w:pPr>
                  <w:r>
                    <w:rPr>
                      <w:rFonts w:hint="eastAsia" w:ascii="Times New Roman" w:hAnsi="Times New Roman"/>
                      <w:b/>
                      <w:bCs/>
                      <w:color w:val="auto"/>
                    </w:rPr>
                    <w:t>危险废物</w:t>
                  </w:r>
                </w:p>
                <w:p>
                  <w:pPr>
                    <w:spacing w:line="0" w:lineRule="atLeast"/>
                    <w:jc w:val="center"/>
                    <w:rPr>
                      <w:rFonts w:ascii="Times New Roman" w:hAnsi="Times New Roman"/>
                      <w:b/>
                      <w:bCs/>
                      <w:color w:val="auto"/>
                    </w:rPr>
                  </w:pPr>
                  <w:r>
                    <w:rPr>
                      <w:rFonts w:hint="eastAsia" w:ascii="Times New Roman" w:hAnsi="Times New Roman"/>
                      <w:b/>
                      <w:bCs/>
                      <w:color w:val="auto"/>
                    </w:rPr>
                    <w:t>类别</w:t>
                  </w:r>
                </w:p>
              </w:tc>
              <w:tc>
                <w:tcPr>
                  <w:tcW w:w="736" w:type="pct"/>
                  <w:tcBorders>
                    <w:top w:val="single" w:color="auto" w:sz="8" w:space="0"/>
                    <w:bottom w:val="single" w:color="auto" w:sz="8" w:space="0"/>
                  </w:tcBorders>
                  <w:noWrap w:val="0"/>
                  <w:vAlign w:val="center"/>
                </w:tcPr>
                <w:p>
                  <w:pPr>
                    <w:spacing w:line="0" w:lineRule="atLeast"/>
                    <w:jc w:val="center"/>
                    <w:rPr>
                      <w:rFonts w:hint="eastAsia" w:ascii="Times New Roman" w:hAnsi="Times New Roman"/>
                      <w:b/>
                      <w:bCs/>
                      <w:color w:val="auto"/>
                    </w:rPr>
                  </w:pPr>
                  <w:r>
                    <w:rPr>
                      <w:rFonts w:hint="eastAsia" w:ascii="Times New Roman" w:hAnsi="Times New Roman"/>
                      <w:b/>
                      <w:bCs/>
                      <w:color w:val="auto"/>
                    </w:rPr>
                    <w:t>危险废物</w:t>
                  </w:r>
                </w:p>
                <w:p>
                  <w:pPr>
                    <w:spacing w:line="0" w:lineRule="atLeast"/>
                    <w:jc w:val="center"/>
                    <w:rPr>
                      <w:rFonts w:ascii="Times New Roman" w:hAnsi="Times New Roman"/>
                      <w:b/>
                      <w:bCs/>
                      <w:color w:val="auto"/>
                    </w:rPr>
                  </w:pPr>
                  <w:r>
                    <w:rPr>
                      <w:rFonts w:hint="eastAsia" w:ascii="Times New Roman" w:hAnsi="Times New Roman"/>
                      <w:b/>
                      <w:bCs/>
                      <w:color w:val="auto"/>
                    </w:rPr>
                    <w:t>代码</w:t>
                  </w:r>
                </w:p>
              </w:tc>
              <w:tc>
                <w:tcPr>
                  <w:tcW w:w="421" w:type="pct"/>
                  <w:tcBorders>
                    <w:top w:val="single" w:color="auto" w:sz="8" w:space="0"/>
                    <w:bottom w:val="single" w:color="auto" w:sz="8" w:space="0"/>
                  </w:tcBorders>
                  <w:noWrap w:val="0"/>
                  <w:vAlign w:val="center"/>
                </w:tcPr>
                <w:p>
                  <w:pPr>
                    <w:spacing w:line="0" w:lineRule="atLeast"/>
                    <w:jc w:val="center"/>
                    <w:rPr>
                      <w:rFonts w:ascii="Times New Roman" w:hAnsi="Times New Roman"/>
                      <w:b/>
                      <w:bCs/>
                      <w:color w:val="auto"/>
                    </w:rPr>
                  </w:pPr>
                  <w:r>
                    <w:rPr>
                      <w:rFonts w:hint="eastAsia" w:ascii="Times New Roman" w:hAnsi="Times New Roman"/>
                      <w:b/>
                      <w:bCs/>
                      <w:color w:val="auto"/>
                    </w:rPr>
                    <w:t>位置</w:t>
                  </w:r>
                </w:p>
              </w:tc>
              <w:tc>
                <w:tcPr>
                  <w:tcW w:w="473" w:type="pct"/>
                  <w:tcBorders>
                    <w:top w:val="single" w:color="auto" w:sz="8" w:space="0"/>
                    <w:bottom w:val="single" w:color="auto" w:sz="8" w:space="0"/>
                  </w:tcBorders>
                  <w:noWrap w:val="0"/>
                  <w:vAlign w:val="center"/>
                </w:tcPr>
                <w:p>
                  <w:pPr>
                    <w:spacing w:line="0" w:lineRule="atLeast"/>
                    <w:jc w:val="center"/>
                    <w:rPr>
                      <w:rFonts w:hint="eastAsia" w:ascii="Times New Roman" w:hAnsi="Times New Roman"/>
                      <w:b/>
                      <w:bCs/>
                      <w:color w:val="auto"/>
                    </w:rPr>
                  </w:pPr>
                  <w:r>
                    <w:rPr>
                      <w:rFonts w:hint="eastAsia" w:ascii="Times New Roman" w:hAnsi="Times New Roman"/>
                      <w:b/>
                      <w:bCs/>
                      <w:color w:val="auto"/>
                    </w:rPr>
                    <w:t>占地</w:t>
                  </w:r>
                </w:p>
                <w:p>
                  <w:pPr>
                    <w:spacing w:line="0" w:lineRule="atLeast"/>
                    <w:jc w:val="center"/>
                    <w:rPr>
                      <w:rFonts w:ascii="Times New Roman" w:hAnsi="Times New Roman"/>
                      <w:b/>
                      <w:bCs/>
                      <w:color w:val="auto"/>
                    </w:rPr>
                  </w:pPr>
                  <w:r>
                    <w:rPr>
                      <w:rFonts w:hint="eastAsia" w:ascii="Times New Roman" w:hAnsi="Times New Roman"/>
                      <w:b/>
                      <w:bCs/>
                      <w:color w:val="auto"/>
                    </w:rPr>
                    <w:t>面积(m</w:t>
                  </w:r>
                  <w:r>
                    <w:rPr>
                      <w:rFonts w:hint="eastAsia" w:ascii="Times New Roman" w:hAnsi="Times New Roman"/>
                      <w:b/>
                      <w:bCs/>
                      <w:color w:val="auto"/>
                      <w:vertAlign w:val="superscript"/>
                    </w:rPr>
                    <w:t>2</w:t>
                  </w:r>
                  <w:r>
                    <w:rPr>
                      <w:rFonts w:hint="eastAsia" w:ascii="Times New Roman" w:hAnsi="Times New Roman"/>
                      <w:b/>
                      <w:bCs/>
                      <w:color w:val="auto"/>
                    </w:rPr>
                    <w:t>)</w:t>
                  </w:r>
                </w:p>
              </w:tc>
              <w:tc>
                <w:tcPr>
                  <w:tcW w:w="567" w:type="pct"/>
                  <w:tcBorders>
                    <w:top w:val="single" w:color="auto" w:sz="8" w:space="0"/>
                    <w:bottom w:val="single" w:color="auto" w:sz="8" w:space="0"/>
                  </w:tcBorders>
                  <w:noWrap w:val="0"/>
                  <w:vAlign w:val="center"/>
                </w:tcPr>
                <w:p>
                  <w:pPr>
                    <w:spacing w:line="0" w:lineRule="atLeast"/>
                    <w:jc w:val="center"/>
                    <w:rPr>
                      <w:rFonts w:hint="eastAsia" w:ascii="Times New Roman" w:hAnsi="Times New Roman"/>
                      <w:b/>
                      <w:bCs/>
                      <w:color w:val="auto"/>
                    </w:rPr>
                  </w:pPr>
                  <w:r>
                    <w:rPr>
                      <w:rFonts w:hint="eastAsia" w:ascii="Times New Roman" w:hAnsi="Times New Roman"/>
                      <w:b/>
                      <w:bCs/>
                      <w:color w:val="auto"/>
                    </w:rPr>
                    <w:t>储存方式</w:t>
                  </w:r>
                </w:p>
              </w:tc>
              <w:tc>
                <w:tcPr>
                  <w:tcW w:w="456" w:type="pct"/>
                  <w:tcBorders>
                    <w:top w:val="single" w:color="auto" w:sz="8" w:space="0"/>
                    <w:bottom w:val="single" w:color="auto" w:sz="8" w:space="0"/>
                  </w:tcBorders>
                  <w:noWrap w:val="0"/>
                  <w:vAlign w:val="center"/>
                </w:tcPr>
                <w:p>
                  <w:pPr>
                    <w:spacing w:line="0" w:lineRule="atLeast"/>
                    <w:jc w:val="center"/>
                    <w:rPr>
                      <w:rFonts w:hint="eastAsia" w:ascii="Times New Roman" w:hAnsi="Times New Roman"/>
                      <w:b/>
                      <w:bCs/>
                      <w:color w:val="auto"/>
                    </w:rPr>
                  </w:pPr>
                  <w:r>
                    <w:rPr>
                      <w:rFonts w:hint="eastAsia" w:ascii="Times New Roman" w:hAnsi="Times New Roman"/>
                      <w:b/>
                      <w:bCs/>
                      <w:color w:val="auto"/>
                    </w:rPr>
                    <w:t>储存</w:t>
                  </w:r>
                </w:p>
                <w:p>
                  <w:pPr>
                    <w:spacing w:line="0" w:lineRule="atLeast"/>
                    <w:jc w:val="center"/>
                    <w:rPr>
                      <w:rFonts w:hint="eastAsia" w:ascii="Times New Roman" w:hAnsi="Times New Roman" w:eastAsia="宋体"/>
                      <w:b/>
                      <w:bCs/>
                      <w:color w:val="auto"/>
                      <w:lang w:eastAsia="zh-CN"/>
                    </w:rPr>
                  </w:pPr>
                  <w:r>
                    <w:rPr>
                      <w:rFonts w:hint="eastAsia" w:ascii="Times New Roman" w:hAnsi="Times New Roman"/>
                      <w:b/>
                      <w:bCs/>
                      <w:color w:val="auto"/>
                    </w:rPr>
                    <w:t>能力</w:t>
                  </w:r>
                  <w:r>
                    <w:rPr>
                      <w:rFonts w:hint="eastAsia" w:ascii="Times New Roman" w:hAnsi="Times New Roman"/>
                      <w:b/>
                      <w:bCs/>
                      <w:color w:val="auto"/>
                      <w:lang w:eastAsia="zh-CN"/>
                    </w:rPr>
                    <w:t>（</w:t>
                  </w:r>
                  <w:r>
                    <w:rPr>
                      <w:rFonts w:hint="eastAsia" w:ascii="Times New Roman" w:hAnsi="Times New Roman"/>
                      <w:b/>
                      <w:bCs/>
                      <w:color w:val="auto"/>
                      <w:lang w:val="en-US" w:eastAsia="zh-CN"/>
                    </w:rPr>
                    <w:t>t</w:t>
                  </w:r>
                  <w:r>
                    <w:rPr>
                      <w:rFonts w:hint="eastAsia" w:ascii="Times New Roman" w:hAnsi="Times New Roman"/>
                      <w:b/>
                      <w:bCs/>
                      <w:color w:val="auto"/>
                      <w:lang w:eastAsia="zh-CN"/>
                    </w:rPr>
                    <w:t>）</w:t>
                  </w:r>
                </w:p>
              </w:tc>
              <w:tc>
                <w:tcPr>
                  <w:tcW w:w="354" w:type="pct"/>
                  <w:tcBorders>
                    <w:top w:val="single" w:color="auto" w:sz="8" w:space="0"/>
                    <w:bottom w:val="single" w:color="auto" w:sz="8" w:space="0"/>
                    <w:right w:val="single" w:color="auto" w:sz="8" w:space="0"/>
                  </w:tcBorders>
                  <w:noWrap w:val="0"/>
                  <w:vAlign w:val="center"/>
                </w:tcPr>
                <w:p>
                  <w:pPr>
                    <w:spacing w:line="0" w:lineRule="atLeast"/>
                    <w:jc w:val="center"/>
                    <w:rPr>
                      <w:rFonts w:ascii="Times New Roman" w:hAnsi="Times New Roman"/>
                      <w:b/>
                      <w:bCs/>
                      <w:color w:val="auto"/>
                    </w:rPr>
                  </w:pPr>
                  <w:r>
                    <w:rPr>
                      <w:rFonts w:hint="eastAsia" w:ascii="Times New Roman" w:hAnsi="Times New Roman"/>
                      <w:b/>
                      <w:bCs/>
                      <w:color w:val="auto"/>
                    </w:rPr>
                    <w:t>暂存周期</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4" w:hRule="atLeast"/>
              </w:trPr>
              <w:tc>
                <w:tcPr>
                  <w:tcW w:w="227" w:type="pct"/>
                  <w:tcBorders>
                    <w:top w:val="single" w:color="auto" w:sz="8" w:space="0"/>
                    <w:left w:val="single" w:color="auto" w:sz="8" w:space="0"/>
                    <w:bottom w:val="single" w:color="auto" w:sz="8" w:space="0"/>
                  </w:tcBorders>
                  <w:noWrap w:val="0"/>
                  <w:vAlign w:val="center"/>
                </w:tcPr>
                <w:p>
                  <w:pPr>
                    <w:widowControl/>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1</w:t>
                  </w:r>
                </w:p>
              </w:tc>
              <w:tc>
                <w:tcPr>
                  <w:tcW w:w="587" w:type="pct"/>
                  <w:vMerge w:val="restart"/>
                  <w:tcBorders>
                    <w:top w:val="single" w:color="auto" w:sz="8" w:space="0"/>
                  </w:tcBorders>
                  <w:noWrap w:val="0"/>
                  <w:vAlign w:val="center"/>
                </w:tcPr>
                <w:p>
                  <w:pPr>
                    <w:widowControl/>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危废暂存间</w:t>
                  </w:r>
                </w:p>
              </w:tc>
              <w:tc>
                <w:tcPr>
                  <w:tcW w:w="586" w:type="pct"/>
                  <w:tcBorders>
                    <w:top w:val="single" w:color="auto" w:sz="8" w:space="0"/>
                    <w:bottom w:val="single" w:color="auto" w:sz="8" w:space="0"/>
                  </w:tcBorders>
                  <w:noWrap w:val="0"/>
                  <w:vAlign w:val="center"/>
                </w:tcPr>
                <w:p>
                  <w:pPr>
                    <w:widowControl/>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废活性炭</w:t>
                  </w:r>
                </w:p>
              </w:tc>
              <w:tc>
                <w:tcPr>
                  <w:tcW w:w="589" w:type="pct"/>
                  <w:tcBorders>
                    <w:top w:val="single" w:color="auto" w:sz="8" w:space="0"/>
                    <w:bottom w:val="single" w:color="auto" w:sz="8" w:space="0"/>
                  </w:tcBorders>
                  <w:noWrap w:val="0"/>
                  <w:vAlign w:val="center"/>
                </w:tcPr>
                <w:p>
                  <w:pPr>
                    <w:widowControl/>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HW49</w:t>
                  </w:r>
                </w:p>
                <w:p>
                  <w:pPr>
                    <w:widowControl/>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其他废物</w:t>
                  </w:r>
                </w:p>
              </w:tc>
              <w:tc>
                <w:tcPr>
                  <w:tcW w:w="736" w:type="pct"/>
                  <w:tcBorders>
                    <w:top w:val="single" w:color="auto" w:sz="8" w:space="0"/>
                    <w:bottom w:val="single" w:color="auto" w:sz="8" w:space="0"/>
                  </w:tcBorders>
                  <w:noWrap w:val="0"/>
                  <w:vAlign w:val="center"/>
                </w:tcPr>
                <w:p>
                  <w:pPr>
                    <w:widowControl/>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900-039-49</w:t>
                  </w:r>
                </w:p>
              </w:tc>
              <w:tc>
                <w:tcPr>
                  <w:tcW w:w="421" w:type="pct"/>
                  <w:vMerge w:val="restart"/>
                  <w:tcBorders>
                    <w:top w:val="single" w:color="auto" w:sz="8" w:space="0"/>
                  </w:tcBorders>
                  <w:noWrap w:val="0"/>
                  <w:vAlign w:val="center"/>
                </w:tcPr>
                <w:p>
                  <w:pPr>
                    <w:widowControl/>
                    <w:spacing w:line="0" w:lineRule="atLeast"/>
                    <w:jc w:val="center"/>
                    <w:rPr>
                      <w:rFonts w:hint="default" w:ascii="Times New Roman" w:hAnsi="Times New Roman" w:eastAsia="宋体" w:cs="Times New Roman"/>
                      <w:color w:val="auto"/>
                      <w:lang w:val="en-US" w:eastAsia="zh-CN"/>
                    </w:rPr>
                  </w:pPr>
                  <w:r>
                    <w:rPr>
                      <w:rFonts w:hint="eastAsia" w:cs="Times New Roman"/>
                      <w:color w:val="auto"/>
                      <w:lang w:val="en-US" w:eastAsia="zh-CN"/>
                    </w:rPr>
                    <w:t>厂区南侧</w:t>
                  </w:r>
                </w:p>
              </w:tc>
              <w:tc>
                <w:tcPr>
                  <w:tcW w:w="473" w:type="pct"/>
                  <w:vMerge w:val="restart"/>
                  <w:tcBorders>
                    <w:top w:val="single" w:color="auto" w:sz="8" w:space="0"/>
                  </w:tcBorders>
                  <w:noWrap w:val="0"/>
                  <w:vAlign w:val="center"/>
                </w:tcPr>
                <w:p>
                  <w:pPr>
                    <w:widowControl/>
                    <w:spacing w:line="0" w:lineRule="atLeast"/>
                    <w:jc w:val="center"/>
                    <w:rPr>
                      <w:rFonts w:hint="default" w:ascii="Times New Roman" w:hAnsi="Times New Roman" w:eastAsia="宋体" w:cs="Times New Roman"/>
                      <w:color w:val="auto"/>
                      <w:lang w:val="en-US" w:eastAsia="zh-CN"/>
                    </w:rPr>
                  </w:pPr>
                  <w:r>
                    <w:rPr>
                      <w:rFonts w:hint="eastAsia" w:ascii="Times New Roman" w:hAnsi="Times New Roman" w:cs="Times New Roman"/>
                      <w:color w:val="auto"/>
                      <w:lang w:val="en-US" w:eastAsia="zh-CN"/>
                    </w:rPr>
                    <w:t>15</w:t>
                  </w:r>
                </w:p>
              </w:tc>
              <w:tc>
                <w:tcPr>
                  <w:tcW w:w="567" w:type="pct"/>
                  <w:tcBorders>
                    <w:top w:val="single" w:color="auto" w:sz="8" w:space="0"/>
                    <w:bottom w:val="single" w:color="auto" w:sz="8" w:space="0"/>
                  </w:tcBorders>
                  <w:noWrap w:val="0"/>
                  <w:vAlign w:val="center"/>
                </w:tcPr>
                <w:p>
                  <w:pPr>
                    <w:widowControl/>
                    <w:spacing w:line="0" w:lineRule="atLeast"/>
                    <w:jc w:val="center"/>
                    <w:rPr>
                      <w:rFonts w:hint="eastAsia" w:ascii="Times New Roman" w:hAnsi="Times New Roman" w:cs="Times New Roman"/>
                      <w:color w:val="auto"/>
                    </w:rPr>
                  </w:pPr>
                  <w:r>
                    <w:rPr>
                      <w:rFonts w:hint="eastAsia"/>
                      <w:color w:val="auto"/>
                      <w:lang w:val="en-US" w:eastAsia="zh-CN"/>
                    </w:rPr>
                    <w:t>加盖密闭容器包装</w:t>
                  </w:r>
                </w:p>
              </w:tc>
              <w:tc>
                <w:tcPr>
                  <w:tcW w:w="456" w:type="pct"/>
                  <w:tcBorders>
                    <w:top w:val="single" w:color="auto" w:sz="8" w:space="0"/>
                    <w:bottom w:val="single" w:color="auto" w:sz="8" w:space="0"/>
                  </w:tcBorders>
                  <w:noWrap w:val="0"/>
                  <w:vAlign w:val="center"/>
                </w:tcPr>
                <w:p>
                  <w:pPr>
                    <w:widowControl/>
                    <w:spacing w:line="0" w:lineRule="atLeast"/>
                    <w:jc w:val="center"/>
                    <w:rPr>
                      <w:rFonts w:hint="eastAsia" w:ascii="Times New Roman" w:hAnsi="Times New Roman" w:eastAsia="宋体" w:cs="Times New Roman"/>
                      <w:color w:val="auto"/>
                      <w:lang w:eastAsia="zh-CN"/>
                    </w:rPr>
                  </w:pPr>
                  <w:r>
                    <w:rPr>
                      <w:rFonts w:hint="eastAsia" w:ascii="Times New Roman" w:hAnsi="Times New Roman" w:cs="Times New Roman"/>
                      <w:color w:val="auto"/>
                      <w:lang w:val="en-US" w:eastAsia="zh-CN"/>
                    </w:rPr>
                    <w:t>9</w:t>
                  </w:r>
                </w:p>
              </w:tc>
              <w:tc>
                <w:tcPr>
                  <w:tcW w:w="354" w:type="pct"/>
                  <w:tcBorders>
                    <w:top w:val="single" w:color="auto" w:sz="8" w:space="0"/>
                    <w:bottom w:val="single" w:color="auto" w:sz="8" w:space="0"/>
                    <w:right w:val="single" w:color="auto" w:sz="8" w:space="0"/>
                  </w:tcBorders>
                  <w:noWrap w:val="0"/>
                  <w:vAlign w:val="center"/>
                </w:tcPr>
                <w:p>
                  <w:pPr>
                    <w:widowControl/>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1次/年</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4" w:hRule="atLeast"/>
              </w:trPr>
              <w:tc>
                <w:tcPr>
                  <w:tcW w:w="227" w:type="pct"/>
                  <w:tcBorders>
                    <w:top w:val="single" w:color="auto" w:sz="8" w:space="0"/>
                    <w:left w:val="single" w:color="auto" w:sz="8" w:space="0"/>
                    <w:bottom w:val="single" w:color="auto" w:sz="8" w:space="0"/>
                  </w:tcBorders>
                  <w:noWrap w:val="0"/>
                  <w:vAlign w:val="center"/>
                </w:tcPr>
                <w:p>
                  <w:pPr>
                    <w:widowControl/>
                    <w:spacing w:line="0" w:lineRule="atLeast"/>
                    <w:jc w:val="center"/>
                    <w:rPr>
                      <w:rFonts w:hint="eastAsia" w:ascii="Times New Roman" w:hAnsi="Times New Roman" w:eastAsia="宋体" w:cs="Times New Roman"/>
                      <w:color w:val="auto"/>
                      <w:lang w:val="en-US" w:eastAsia="zh-CN"/>
                    </w:rPr>
                  </w:pPr>
                  <w:r>
                    <w:rPr>
                      <w:rFonts w:hint="eastAsia" w:ascii="Times New Roman" w:hAnsi="Times New Roman" w:cs="Times New Roman"/>
                      <w:color w:val="auto"/>
                      <w:lang w:val="en-US" w:eastAsia="zh-CN"/>
                    </w:rPr>
                    <w:t>2</w:t>
                  </w:r>
                </w:p>
              </w:tc>
              <w:tc>
                <w:tcPr>
                  <w:tcW w:w="587" w:type="pct"/>
                  <w:vMerge w:val="continue"/>
                  <w:noWrap w:val="0"/>
                  <w:vAlign w:val="center"/>
                </w:tcPr>
                <w:p>
                  <w:pPr>
                    <w:widowControl/>
                    <w:spacing w:line="0" w:lineRule="atLeast"/>
                    <w:jc w:val="center"/>
                    <w:rPr>
                      <w:rFonts w:hint="eastAsia" w:ascii="Times New Roman" w:hAnsi="Times New Roman" w:cs="Times New Roman"/>
                      <w:color w:val="auto"/>
                    </w:rPr>
                  </w:pPr>
                </w:p>
              </w:tc>
              <w:tc>
                <w:tcPr>
                  <w:tcW w:w="586" w:type="pct"/>
                  <w:tcBorders>
                    <w:top w:val="single" w:color="auto" w:sz="8" w:space="0"/>
                    <w:bottom w:val="single" w:color="auto" w:sz="8" w:space="0"/>
                  </w:tcBorders>
                  <w:noWrap w:val="0"/>
                  <w:vAlign w:val="center"/>
                </w:tcPr>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废过滤棉</w:t>
                  </w:r>
                </w:p>
              </w:tc>
              <w:tc>
                <w:tcPr>
                  <w:tcW w:w="589" w:type="pct"/>
                  <w:tcBorders>
                    <w:top w:val="single" w:color="auto" w:sz="8" w:space="0"/>
                    <w:bottom w:val="single" w:color="auto" w:sz="8" w:space="0"/>
                  </w:tcBorders>
                  <w:noWrap w:val="0"/>
                  <w:vAlign w:val="center"/>
                </w:tcPr>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HW49</w:t>
                  </w:r>
                </w:p>
                <w:p>
                  <w:pPr>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其他废物</w:t>
                  </w:r>
                </w:p>
              </w:tc>
              <w:tc>
                <w:tcPr>
                  <w:tcW w:w="736" w:type="pct"/>
                  <w:tcBorders>
                    <w:top w:val="single" w:color="auto" w:sz="8" w:space="0"/>
                    <w:bottom w:val="single" w:color="auto" w:sz="8" w:space="0"/>
                  </w:tcBorders>
                  <w:noWrap w:val="0"/>
                  <w:vAlign w:val="center"/>
                </w:tcPr>
                <w:p>
                  <w:pPr>
                    <w:spacing w:line="0" w:lineRule="atLeast"/>
                    <w:jc w:val="center"/>
                    <w:rPr>
                      <w:rFonts w:hint="eastAsia" w:ascii="Times New Roman" w:hAnsi="Times New Roman" w:cs="Times New Roman"/>
                      <w:color w:val="auto"/>
                    </w:rPr>
                  </w:pPr>
                  <w:r>
                    <w:rPr>
                      <w:rFonts w:hint="eastAsia"/>
                      <w:szCs w:val="21"/>
                    </w:rPr>
                    <w:t>9</w:t>
                  </w:r>
                  <w:r>
                    <w:rPr>
                      <w:szCs w:val="21"/>
                    </w:rPr>
                    <w:t>00-041-49</w:t>
                  </w:r>
                </w:p>
              </w:tc>
              <w:tc>
                <w:tcPr>
                  <w:tcW w:w="421" w:type="pct"/>
                  <w:vMerge w:val="continue"/>
                  <w:noWrap w:val="0"/>
                  <w:vAlign w:val="center"/>
                </w:tcPr>
                <w:p>
                  <w:pPr>
                    <w:widowControl/>
                    <w:spacing w:line="0" w:lineRule="atLeast"/>
                    <w:jc w:val="center"/>
                    <w:rPr>
                      <w:rFonts w:hint="eastAsia" w:ascii="Times New Roman" w:hAnsi="Times New Roman" w:cs="Times New Roman"/>
                      <w:color w:val="auto"/>
                      <w:lang w:val="en-US" w:eastAsia="zh-CN"/>
                    </w:rPr>
                  </w:pPr>
                </w:p>
              </w:tc>
              <w:tc>
                <w:tcPr>
                  <w:tcW w:w="473" w:type="pct"/>
                  <w:vMerge w:val="continue"/>
                  <w:noWrap w:val="0"/>
                  <w:vAlign w:val="center"/>
                </w:tcPr>
                <w:p>
                  <w:pPr>
                    <w:widowControl/>
                    <w:spacing w:line="0" w:lineRule="atLeast"/>
                    <w:jc w:val="center"/>
                    <w:rPr>
                      <w:rFonts w:hint="eastAsia" w:ascii="Times New Roman" w:hAnsi="Times New Roman" w:cs="Times New Roman"/>
                      <w:color w:val="auto"/>
                      <w:lang w:val="en-US" w:eastAsia="zh-CN"/>
                    </w:rPr>
                  </w:pPr>
                </w:p>
              </w:tc>
              <w:tc>
                <w:tcPr>
                  <w:tcW w:w="567" w:type="pct"/>
                  <w:tcBorders>
                    <w:top w:val="single" w:color="auto" w:sz="8" w:space="0"/>
                    <w:bottom w:val="single" w:color="auto" w:sz="8" w:space="0"/>
                  </w:tcBorders>
                  <w:noWrap w:val="0"/>
                  <w:vAlign w:val="center"/>
                </w:tcPr>
                <w:p>
                  <w:pPr>
                    <w:widowControl/>
                    <w:spacing w:line="0" w:lineRule="atLeast"/>
                    <w:jc w:val="center"/>
                    <w:rPr>
                      <w:rFonts w:hint="eastAsia"/>
                      <w:color w:val="auto"/>
                      <w:lang w:val="en-US" w:eastAsia="zh-CN"/>
                    </w:rPr>
                  </w:pPr>
                  <w:r>
                    <w:rPr>
                      <w:rFonts w:hint="eastAsia"/>
                      <w:color w:val="auto"/>
                      <w:lang w:val="en-US" w:eastAsia="zh-CN"/>
                    </w:rPr>
                    <w:t>加盖密闭容器包装</w:t>
                  </w:r>
                </w:p>
              </w:tc>
              <w:tc>
                <w:tcPr>
                  <w:tcW w:w="456" w:type="pct"/>
                  <w:tcBorders>
                    <w:top w:val="single" w:color="auto" w:sz="8" w:space="0"/>
                  </w:tcBorders>
                  <w:noWrap w:val="0"/>
                  <w:vAlign w:val="center"/>
                </w:tcPr>
                <w:p>
                  <w:pPr>
                    <w:widowControl/>
                    <w:spacing w:line="0" w:lineRule="atLeast"/>
                    <w:jc w:val="center"/>
                    <w:rPr>
                      <w:rFonts w:hint="eastAsia" w:ascii="Times New Roman" w:hAnsi="Times New Roman" w:eastAsia="宋体" w:cs="Times New Roman"/>
                      <w:color w:val="auto"/>
                      <w:lang w:val="en-US" w:eastAsia="zh-CN"/>
                    </w:rPr>
                  </w:pPr>
                  <w:r>
                    <w:rPr>
                      <w:rFonts w:hint="eastAsia" w:ascii="Times New Roman" w:hAnsi="Times New Roman" w:cs="Times New Roman"/>
                      <w:color w:val="auto"/>
                      <w:lang w:val="en-US" w:eastAsia="zh-CN"/>
                    </w:rPr>
                    <w:t>1</w:t>
                  </w:r>
                </w:p>
              </w:tc>
              <w:tc>
                <w:tcPr>
                  <w:tcW w:w="354" w:type="pct"/>
                  <w:tcBorders>
                    <w:top w:val="single" w:color="auto" w:sz="8" w:space="0"/>
                    <w:bottom w:val="single" w:color="auto" w:sz="8" w:space="0"/>
                    <w:right w:val="single" w:color="auto" w:sz="8" w:space="0"/>
                  </w:tcBorders>
                  <w:noWrap w:val="0"/>
                  <w:vAlign w:val="center"/>
                </w:tcPr>
                <w:p>
                  <w:pPr>
                    <w:widowControl/>
                    <w:spacing w:line="0" w:lineRule="atLeast"/>
                    <w:jc w:val="center"/>
                    <w:rPr>
                      <w:rFonts w:hint="eastAsia" w:ascii="Times New Roman" w:hAnsi="Times New Roman" w:cs="Times New Roman"/>
                      <w:color w:val="auto"/>
                    </w:rPr>
                  </w:pPr>
                  <w:r>
                    <w:rPr>
                      <w:rFonts w:hint="eastAsia" w:ascii="Times New Roman" w:hAnsi="Times New Roman" w:cs="Times New Roman"/>
                      <w:color w:val="auto"/>
                    </w:rPr>
                    <w:t>1次/年</w:t>
                  </w:r>
                </w:p>
              </w:tc>
            </w:tr>
          </w:tbl>
          <w:p>
            <w:pPr>
              <w:adjustRightInd w:val="0"/>
              <w:snapToGrid w:val="0"/>
              <w:spacing w:line="400" w:lineRule="exact"/>
              <w:ind w:firstLine="422" w:firstLineChars="200"/>
              <w:rPr>
                <w:b/>
                <w:szCs w:val="21"/>
              </w:rPr>
            </w:pPr>
            <w:bookmarkStart w:id="32" w:name="_Hlk112163155"/>
            <w:r>
              <w:rPr>
                <w:rFonts w:hint="eastAsia"/>
                <w:b/>
                <w:szCs w:val="21"/>
                <w:lang w:val="en-US" w:eastAsia="zh-CN"/>
              </w:rPr>
              <w:t>2、</w:t>
            </w:r>
            <w:r>
              <w:rPr>
                <w:rFonts w:hint="eastAsia"/>
                <w:b/>
                <w:szCs w:val="21"/>
              </w:rPr>
              <w:t>危险废物贮存场所环境影响分析</w:t>
            </w:r>
          </w:p>
          <w:p>
            <w:pPr>
              <w:adjustRightInd w:val="0"/>
              <w:snapToGrid w:val="0"/>
              <w:spacing w:line="400" w:lineRule="exact"/>
              <w:ind w:firstLine="420" w:firstLineChars="200"/>
              <w:rPr>
                <w:rFonts w:hint="eastAsia"/>
                <w:bCs/>
                <w:szCs w:val="21"/>
              </w:rPr>
            </w:pPr>
            <w:r>
              <w:rPr>
                <w:rFonts w:hint="eastAsia"/>
                <w:bCs/>
                <w:szCs w:val="21"/>
              </w:rPr>
              <w:t>①危险废物贮存场所依托可行性分析</w:t>
            </w:r>
          </w:p>
          <w:p>
            <w:pPr>
              <w:adjustRightInd w:val="0"/>
              <w:snapToGrid w:val="0"/>
              <w:spacing w:line="400" w:lineRule="exact"/>
              <w:ind w:firstLine="420" w:firstLineChars="200"/>
              <w:rPr>
                <w:rFonts w:hint="eastAsia"/>
                <w:bCs/>
                <w:szCs w:val="21"/>
              </w:rPr>
            </w:pPr>
            <w:r>
              <w:rPr>
                <w:rFonts w:hint="eastAsia"/>
                <w:bCs/>
                <w:szCs w:val="21"/>
              </w:rPr>
              <w:t>现有工程已建设一座占地面积为15m</w:t>
            </w:r>
            <w:r>
              <w:rPr>
                <w:rFonts w:hint="eastAsia"/>
                <w:bCs/>
                <w:szCs w:val="21"/>
                <w:vertAlign w:val="superscript"/>
              </w:rPr>
              <w:t>2</w:t>
            </w:r>
            <w:r>
              <w:rPr>
                <w:rFonts w:hint="eastAsia"/>
                <w:bCs/>
                <w:szCs w:val="21"/>
              </w:rPr>
              <w:t>的危险废物暂存间，储存能力10t，企业现有工程包装纸箱生产线目前已停产，生产设备已拆除，已无危险废物产生，本技改项目建设完成后即为全厂，本项目需暂存的危险废物有：废过滤棉0.5t/a，废活性炭</w:t>
            </w:r>
            <w:r>
              <w:rPr>
                <w:rFonts w:hint="eastAsia"/>
                <w:bCs/>
                <w:szCs w:val="21"/>
                <w:lang w:eastAsia="zh-CN"/>
              </w:rPr>
              <w:t>5.46</w:t>
            </w:r>
            <w:r>
              <w:rPr>
                <w:rFonts w:hint="eastAsia"/>
                <w:bCs/>
                <w:szCs w:val="21"/>
              </w:rPr>
              <w:t>t/a。危废间贮存能力能够满足本项目的暂存需求，危废储存于现有危险废物暂存间可行。</w:t>
            </w:r>
          </w:p>
          <w:p>
            <w:pPr>
              <w:adjustRightInd w:val="0"/>
              <w:snapToGrid w:val="0"/>
              <w:spacing w:line="400" w:lineRule="exact"/>
              <w:ind w:firstLine="420" w:firstLineChars="200"/>
              <w:rPr>
                <w:snapToGrid w:val="0"/>
                <w:kern w:val="0"/>
                <w:szCs w:val="21"/>
                <w:lang w:val="zh-CN"/>
              </w:rPr>
            </w:pPr>
            <w:r>
              <w:rPr>
                <w:rFonts w:hint="eastAsia"/>
                <w:bCs/>
                <w:szCs w:val="21"/>
              </w:rPr>
              <w:t>危险废物暂存间已按照《危险废物贮存污染控制标准》（GB18597-2023）的要求进行分区、防风、防雨、防晒、防渗漏等措施；危废采用专用容器放置，并标有明显标识标明具体物质名称；设置危险废物警示标志；建立巡回检查制度，对装有危废的容器定期检查，发现问题及时解决。</w:t>
            </w:r>
          </w:p>
          <w:p>
            <w:pPr>
              <w:adjustRightInd w:val="0"/>
              <w:snapToGrid w:val="0"/>
              <w:spacing w:line="400" w:lineRule="exact"/>
              <w:ind w:firstLine="420" w:firstLineChars="200"/>
              <w:rPr>
                <w:bCs/>
                <w:szCs w:val="21"/>
              </w:rPr>
            </w:pPr>
            <w:r>
              <w:rPr>
                <w:rFonts w:hint="eastAsia"/>
                <w:bCs/>
                <w:szCs w:val="21"/>
              </w:rPr>
              <w:t>②贮存过程的环境影响</w:t>
            </w:r>
          </w:p>
          <w:p>
            <w:pPr>
              <w:adjustRightInd w:val="0"/>
              <w:snapToGrid w:val="0"/>
              <w:spacing w:line="400" w:lineRule="exact"/>
              <w:ind w:firstLine="420" w:firstLineChars="200"/>
              <w:rPr>
                <w:bCs/>
                <w:szCs w:val="21"/>
              </w:rPr>
            </w:pPr>
            <w:r>
              <w:rPr>
                <w:rFonts w:hint="eastAsia"/>
                <w:bCs/>
                <w:szCs w:val="21"/>
              </w:rPr>
              <w:t>危废</w:t>
            </w:r>
            <w:r>
              <w:rPr>
                <w:rFonts w:hint="eastAsia"/>
                <w:bCs/>
                <w:szCs w:val="21"/>
                <w:lang w:val="en-US" w:eastAsia="zh-CN"/>
              </w:rPr>
              <w:t>加盖</w:t>
            </w:r>
            <w:r>
              <w:rPr>
                <w:rFonts w:hint="eastAsia"/>
                <w:bCs/>
                <w:szCs w:val="21"/>
              </w:rPr>
              <w:t>密闭存放，对周边大气环境影响不大，且项目距离环境空气敏感点较远，可以满足要求。地面</w:t>
            </w:r>
            <w:r>
              <w:rPr>
                <w:rFonts w:hint="eastAsia"/>
                <w:bCs/>
                <w:szCs w:val="21"/>
                <w:lang w:val="en-US" w:eastAsia="zh-CN"/>
              </w:rPr>
              <w:t>已</w:t>
            </w:r>
            <w:r>
              <w:rPr>
                <w:rFonts w:hint="eastAsia"/>
                <w:bCs/>
                <w:szCs w:val="21"/>
              </w:rPr>
              <w:t>按照《危险废物贮存污染控制标准》(GB18597-20</w:t>
            </w:r>
            <w:r>
              <w:rPr>
                <w:bCs/>
                <w:szCs w:val="21"/>
              </w:rPr>
              <w:t>23</w:t>
            </w:r>
            <w:r>
              <w:rPr>
                <w:rFonts w:hint="eastAsia"/>
                <w:bCs/>
                <w:szCs w:val="21"/>
              </w:rPr>
              <w:t>)建设，可以将对土壤及地下水的污染风险降到最低。</w:t>
            </w:r>
          </w:p>
          <w:p>
            <w:pPr>
              <w:adjustRightInd w:val="0"/>
              <w:snapToGrid w:val="0"/>
              <w:spacing w:line="400" w:lineRule="exact"/>
              <w:ind w:firstLine="420" w:firstLineChars="200"/>
              <w:rPr>
                <w:bCs/>
                <w:szCs w:val="21"/>
              </w:rPr>
            </w:pPr>
            <w:bookmarkStart w:id="33" w:name="_Hlk122103456"/>
            <w:r>
              <w:rPr>
                <w:rFonts w:hint="eastAsia"/>
                <w:bCs/>
                <w:szCs w:val="21"/>
              </w:rPr>
              <w:t>③运输过程的环境影响</w:t>
            </w:r>
          </w:p>
          <w:p>
            <w:pPr>
              <w:adjustRightInd w:val="0"/>
              <w:snapToGrid w:val="0"/>
              <w:spacing w:line="400" w:lineRule="exact"/>
              <w:ind w:firstLine="420" w:firstLineChars="200"/>
              <w:rPr>
                <w:bCs/>
                <w:szCs w:val="21"/>
              </w:rPr>
            </w:pPr>
            <w:r>
              <w:rPr>
                <w:rFonts w:hint="eastAsia"/>
                <w:bCs/>
                <w:szCs w:val="21"/>
              </w:rPr>
              <w:t>项目危废产生后立即</w:t>
            </w:r>
            <w:r>
              <w:rPr>
                <w:rFonts w:hint="eastAsia"/>
                <w:bCs/>
                <w:szCs w:val="21"/>
                <w:lang w:val="en-US" w:eastAsia="zh-CN"/>
              </w:rPr>
              <w:t>加盖</w:t>
            </w:r>
            <w:r>
              <w:rPr>
                <w:rFonts w:hint="eastAsia"/>
                <w:bCs/>
                <w:szCs w:val="21"/>
              </w:rPr>
              <w:t>密闭</w:t>
            </w:r>
            <w:r>
              <w:rPr>
                <w:rFonts w:hint="eastAsia"/>
                <w:bCs/>
                <w:szCs w:val="21"/>
                <w:lang w:val="en-US" w:eastAsia="zh-CN"/>
              </w:rPr>
              <w:t>容器包装</w:t>
            </w:r>
            <w:r>
              <w:rPr>
                <w:rFonts w:hint="eastAsia"/>
                <w:bCs/>
                <w:szCs w:val="21"/>
              </w:rPr>
              <w:t>，运送至危废间。厂区内运输道路平整，在运输过程按照要求操作，避免遗撒，并配备泄漏处理应急物资和其他保障措施；外运有资质单位时的运输由处置单位提供运输车辆，同时按照《危险废物收集贮存运输技术规范》(HJ2025-2012)中的相关要求作业。</w:t>
            </w:r>
          </w:p>
          <w:bookmarkEnd w:id="33"/>
          <w:p>
            <w:pPr>
              <w:adjustRightInd w:val="0"/>
              <w:snapToGrid w:val="0"/>
              <w:spacing w:line="400" w:lineRule="exact"/>
              <w:ind w:firstLine="422" w:firstLineChars="200"/>
              <w:rPr>
                <w:b/>
                <w:szCs w:val="21"/>
              </w:rPr>
            </w:pPr>
            <w:r>
              <w:rPr>
                <w:rFonts w:hint="eastAsia"/>
                <w:b/>
                <w:szCs w:val="21"/>
                <w:lang w:val="en-US" w:eastAsia="zh-CN"/>
              </w:rPr>
              <w:t>3、</w:t>
            </w:r>
            <w:r>
              <w:rPr>
                <w:rFonts w:hint="eastAsia"/>
                <w:b/>
                <w:szCs w:val="21"/>
              </w:rPr>
              <w:t>日常管理要求</w:t>
            </w:r>
          </w:p>
          <w:p>
            <w:pPr>
              <w:adjustRightInd w:val="0"/>
              <w:snapToGrid w:val="0"/>
              <w:spacing w:line="400" w:lineRule="exact"/>
              <w:ind w:firstLine="420" w:firstLineChars="200"/>
              <w:rPr>
                <w:bCs/>
                <w:szCs w:val="21"/>
              </w:rPr>
            </w:pPr>
            <w:r>
              <w:rPr>
                <w:rFonts w:hint="eastAsia"/>
                <w:bCs/>
                <w:szCs w:val="21"/>
              </w:rPr>
              <w:t>按照《中华人民共和国</w:t>
            </w:r>
            <w:r>
              <w:rPr>
                <w:rFonts w:hint="eastAsia"/>
                <w:bCs/>
                <w:szCs w:val="21"/>
                <w:lang w:eastAsia="zh-CN"/>
              </w:rPr>
              <w:t>固体废物污染环境防治法</w:t>
            </w:r>
            <w:r>
              <w:rPr>
                <w:rFonts w:hint="eastAsia"/>
                <w:bCs/>
                <w:szCs w:val="21"/>
              </w:rPr>
              <w:t>》（2020.4.29修订）要求，按照“减量化、资源化和无害化”的原则，应当及时依法及时公开固体废物污染环境防治信息，主动接受社会监督，同时建立健全工业固体废物产生、收集、贮存、运输、利用和处置全过程污染环境防治责任制度，建立工业固体废物管理台账，如实记录产生工业固体废物的种类、数量、流向、贮存、利用、处置等信息，实现工业固体废物可追溯、可查询，并采取防治工业固体废物污染环境的措施。并且禁止向生活垃圾中投放工业固体废物。</w:t>
            </w:r>
          </w:p>
          <w:p>
            <w:pPr>
              <w:adjustRightInd w:val="0"/>
              <w:snapToGrid w:val="0"/>
              <w:spacing w:line="400" w:lineRule="exact"/>
              <w:ind w:firstLine="420" w:firstLineChars="200"/>
              <w:rPr>
                <w:bCs/>
                <w:szCs w:val="21"/>
              </w:rPr>
            </w:pPr>
            <w:r>
              <w:rPr>
                <w:rFonts w:hint="eastAsia"/>
                <w:bCs/>
                <w:szCs w:val="21"/>
              </w:rPr>
              <w:t>同时按照《一般工业固体废物管理台账制定指南》（试行）《危险废物管理计划和管理台账制定技术导则（HJ 1259</w:t>
            </w:r>
            <w:r>
              <w:rPr>
                <w:rFonts w:hint="eastAsia"/>
                <w:bCs/>
                <w:szCs w:val="21"/>
                <w:lang w:eastAsia="zh-CN"/>
              </w:rPr>
              <w:t>-</w:t>
            </w:r>
            <w:r>
              <w:rPr>
                <w:rFonts w:hint="eastAsia"/>
                <w:bCs/>
                <w:szCs w:val="21"/>
              </w:rPr>
              <w:t>2022）》的相关要求，如实记录工业固体废物的种类、数量、流向、贮存、利用、处置等信息，可以实现工业固体废物可追溯、可查询的目的，推动企业提升固体废物管理水平。</w:t>
            </w:r>
          </w:p>
          <w:p>
            <w:pPr>
              <w:adjustRightInd w:val="0"/>
              <w:snapToGrid w:val="0"/>
              <w:spacing w:line="400" w:lineRule="exact"/>
              <w:ind w:firstLine="420" w:firstLineChars="200"/>
              <w:rPr>
                <w:bCs/>
                <w:szCs w:val="21"/>
              </w:rPr>
            </w:pPr>
            <w:r>
              <w:rPr>
                <w:rFonts w:hint="eastAsia"/>
                <w:bCs/>
                <w:szCs w:val="21"/>
              </w:rPr>
              <w:t>综上，本项目固体废物对环境的影响很小。</w:t>
            </w:r>
          </w:p>
          <w:bookmarkEnd w:id="32"/>
          <w:p>
            <w:pPr>
              <w:adjustRightInd w:val="0"/>
              <w:snapToGrid w:val="0"/>
              <w:spacing w:line="400" w:lineRule="exact"/>
              <w:ind w:firstLine="422" w:firstLineChars="200"/>
              <w:rPr>
                <w:b/>
                <w:szCs w:val="21"/>
              </w:rPr>
            </w:pPr>
            <w:r>
              <w:rPr>
                <w:rFonts w:hint="eastAsia"/>
                <w:b/>
                <w:szCs w:val="21"/>
              </w:rPr>
              <w:t>五</w:t>
            </w:r>
            <w:r>
              <w:rPr>
                <w:b/>
                <w:szCs w:val="21"/>
              </w:rPr>
              <w:t>、地下水和土壤</w:t>
            </w:r>
          </w:p>
          <w:p>
            <w:pPr>
              <w:adjustRightInd w:val="0"/>
              <w:snapToGrid w:val="0"/>
              <w:spacing w:line="400" w:lineRule="exact"/>
              <w:ind w:firstLine="420" w:firstLineChars="200"/>
              <w:rPr>
                <w:rFonts w:hint="eastAsia"/>
                <w:bCs/>
                <w:szCs w:val="21"/>
              </w:rPr>
            </w:pPr>
            <w:r>
              <w:rPr>
                <w:rFonts w:hint="eastAsia"/>
                <w:bCs/>
                <w:szCs w:val="21"/>
              </w:rPr>
              <w:t>本项目用水主要为冷却水，循环冷却水循环使用，不外排；危险废物主要为</w:t>
            </w:r>
            <w:r>
              <w:rPr>
                <w:rFonts w:hint="eastAsia"/>
                <w:bCs/>
                <w:szCs w:val="21"/>
                <w:lang w:val="en-US" w:eastAsia="zh-CN"/>
              </w:rPr>
              <w:t>废过滤棉、</w:t>
            </w:r>
            <w:r>
              <w:rPr>
                <w:rFonts w:hint="eastAsia"/>
                <w:bCs/>
                <w:szCs w:val="21"/>
              </w:rPr>
              <w:t>废活性炭，使用加盖密闭容器包装，暂存于</w:t>
            </w:r>
            <w:r>
              <w:rPr>
                <w:rFonts w:hint="eastAsia"/>
                <w:bCs/>
                <w:szCs w:val="21"/>
                <w:lang w:val="en-US" w:eastAsia="zh-CN"/>
              </w:rPr>
              <w:t>现有</w:t>
            </w:r>
            <w:r>
              <w:rPr>
                <w:rFonts w:hint="eastAsia"/>
                <w:bCs/>
                <w:szCs w:val="21"/>
              </w:rPr>
              <w:t>危废暂存间，</w:t>
            </w:r>
            <w:r>
              <w:rPr>
                <w:rFonts w:hint="eastAsia"/>
                <w:szCs w:val="21"/>
              </w:rPr>
              <w:t>定期委托有资质单位处置</w:t>
            </w:r>
            <w:r>
              <w:rPr>
                <w:rFonts w:hint="eastAsia"/>
                <w:bCs/>
                <w:szCs w:val="21"/>
              </w:rPr>
              <w:t>。</w:t>
            </w:r>
          </w:p>
          <w:p>
            <w:pPr>
              <w:adjustRightInd w:val="0"/>
              <w:snapToGrid w:val="0"/>
              <w:spacing w:line="400" w:lineRule="exact"/>
              <w:ind w:firstLine="420" w:firstLineChars="200"/>
              <w:rPr>
                <w:bCs/>
                <w:szCs w:val="21"/>
              </w:rPr>
            </w:pPr>
            <w:r>
              <w:rPr>
                <w:rFonts w:hint="eastAsia"/>
                <w:bCs/>
                <w:szCs w:val="21"/>
              </w:rPr>
              <w:t>为防止项目建设对地下水、土壤环境的影响，厂区应采取分区防渗措施，项目采取的具体防渗措施如下。</w:t>
            </w:r>
          </w:p>
          <w:p>
            <w:pPr>
              <w:spacing w:line="400" w:lineRule="exact"/>
              <w:jc w:val="center"/>
              <w:rPr>
                <w:b/>
                <w:szCs w:val="21"/>
              </w:rPr>
            </w:pPr>
            <w:r>
              <w:rPr>
                <w:rFonts w:hint="eastAsia"/>
                <w:b/>
                <w:szCs w:val="21"/>
              </w:rPr>
              <w:t>表</w:t>
            </w:r>
            <w:r>
              <w:rPr>
                <w:b/>
                <w:szCs w:val="21"/>
              </w:rPr>
              <w:t>4-</w:t>
            </w:r>
            <w:r>
              <w:rPr>
                <w:rFonts w:hint="eastAsia"/>
                <w:b/>
                <w:szCs w:val="21"/>
                <w:lang w:val="en-US" w:eastAsia="zh-CN"/>
              </w:rPr>
              <w:t>17</w:t>
            </w:r>
            <w:r>
              <w:rPr>
                <w:b/>
                <w:szCs w:val="21"/>
              </w:rPr>
              <w:t xml:space="preserve"> </w:t>
            </w:r>
            <w:r>
              <w:rPr>
                <w:rFonts w:hint="eastAsia"/>
                <w:b/>
                <w:szCs w:val="21"/>
              </w:rPr>
              <w:t>分区防渗设置要求</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44"/>
              <w:gridCol w:w="3382"/>
              <w:gridCol w:w="2061"/>
              <w:gridCol w:w="15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84" w:hRule="atLeast"/>
                <w:tblHeader/>
                <w:jc w:val="center"/>
              </w:trPr>
              <w:tc>
                <w:tcPr>
                  <w:tcW w:w="594" w:type="pct"/>
                  <w:vAlign w:val="center"/>
                </w:tcPr>
                <w:p>
                  <w:pPr>
                    <w:adjustRightInd w:val="0"/>
                    <w:snapToGrid w:val="0"/>
                    <w:jc w:val="center"/>
                    <w:rPr>
                      <w:szCs w:val="21"/>
                      <w:lang w:val="zh-CN" w:eastAsia="zh-CN"/>
                    </w:rPr>
                  </w:pPr>
                  <w:r>
                    <w:rPr>
                      <w:szCs w:val="21"/>
                      <w:lang w:val="zh-CN" w:eastAsia="zh-CN"/>
                    </w:rPr>
                    <w:t>污染防治区类别</w:t>
                  </w:r>
                </w:p>
              </w:tc>
              <w:tc>
                <w:tcPr>
                  <w:tcW w:w="2130" w:type="pct"/>
                  <w:vAlign w:val="center"/>
                </w:tcPr>
                <w:p>
                  <w:pPr>
                    <w:adjustRightInd w:val="0"/>
                    <w:snapToGrid w:val="0"/>
                    <w:jc w:val="center"/>
                    <w:rPr>
                      <w:szCs w:val="21"/>
                      <w:lang w:val="zh-CN" w:eastAsia="zh-CN"/>
                    </w:rPr>
                  </w:pPr>
                  <w:r>
                    <w:rPr>
                      <w:szCs w:val="21"/>
                      <w:lang w:val="zh-CN" w:eastAsia="zh-CN"/>
                    </w:rPr>
                    <w:t>防渗性能要求</w:t>
                  </w:r>
                </w:p>
              </w:tc>
              <w:tc>
                <w:tcPr>
                  <w:tcW w:w="1298" w:type="pct"/>
                  <w:vAlign w:val="center"/>
                </w:tcPr>
                <w:p>
                  <w:pPr>
                    <w:adjustRightInd w:val="0"/>
                    <w:snapToGrid w:val="0"/>
                    <w:jc w:val="center"/>
                    <w:rPr>
                      <w:szCs w:val="21"/>
                      <w:lang w:val="zh-CN" w:eastAsia="zh-CN"/>
                    </w:rPr>
                  </w:pPr>
                  <w:r>
                    <w:rPr>
                      <w:szCs w:val="21"/>
                      <w:lang w:val="zh-CN" w:eastAsia="zh-CN"/>
                    </w:rPr>
                    <w:t>装置、单元名称</w:t>
                  </w:r>
                </w:p>
              </w:tc>
              <w:tc>
                <w:tcPr>
                  <w:tcW w:w="975" w:type="pct"/>
                  <w:vAlign w:val="center"/>
                </w:tcPr>
                <w:p>
                  <w:pPr>
                    <w:adjustRightInd w:val="0"/>
                    <w:snapToGrid w:val="0"/>
                    <w:jc w:val="center"/>
                    <w:rPr>
                      <w:szCs w:val="21"/>
                      <w:lang w:val="zh-CN" w:eastAsia="zh-CN"/>
                    </w:rPr>
                  </w:pPr>
                  <w:r>
                    <w:rPr>
                      <w:szCs w:val="21"/>
                      <w:lang w:val="zh-CN" w:eastAsia="zh-CN"/>
                    </w:rPr>
                    <w:t>污染防治区域或部位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84" w:hRule="atLeast"/>
                <w:jc w:val="center"/>
              </w:trPr>
              <w:tc>
                <w:tcPr>
                  <w:tcW w:w="594" w:type="pct"/>
                  <w:vMerge w:val="restart"/>
                  <w:vAlign w:val="center"/>
                </w:tcPr>
                <w:p>
                  <w:pPr>
                    <w:adjustRightInd w:val="0"/>
                    <w:snapToGrid w:val="0"/>
                    <w:jc w:val="center"/>
                    <w:rPr>
                      <w:szCs w:val="21"/>
                      <w:lang w:val="zh-CN" w:eastAsia="zh-CN"/>
                    </w:rPr>
                  </w:pPr>
                  <w:r>
                    <w:rPr>
                      <w:szCs w:val="21"/>
                      <w:lang w:val="zh-CN" w:eastAsia="zh-CN"/>
                    </w:rPr>
                    <w:t>重点</w:t>
                  </w:r>
                  <w:r>
                    <w:rPr>
                      <w:rFonts w:hint="eastAsia"/>
                      <w:szCs w:val="21"/>
                      <w:lang w:val="zh-CN"/>
                    </w:rPr>
                    <w:t>防渗</w:t>
                  </w:r>
                  <w:r>
                    <w:rPr>
                      <w:szCs w:val="21"/>
                      <w:lang w:val="zh-CN" w:eastAsia="zh-CN"/>
                    </w:rPr>
                    <w:t>区</w:t>
                  </w:r>
                </w:p>
              </w:tc>
              <w:tc>
                <w:tcPr>
                  <w:tcW w:w="2130" w:type="pct"/>
                  <w:vMerge w:val="restart"/>
                  <w:vAlign w:val="center"/>
                </w:tcPr>
                <w:p>
                  <w:pPr>
                    <w:adjustRightInd w:val="0"/>
                    <w:snapToGrid w:val="0"/>
                    <w:jc w:val="center"/>
                    <w:rPr>
                      <w:szCs w:val="21"/>
                      <w:lang w:val="zh-CN" w:eastAsia="zh-CN"/>
                    </w:rPr>
                  </w:pPr>
                  <w:r>
                    <w:rPr>
                      <w:rFonts w:hint="eastAsia"/>
                      <w:szCs w:val="21"/>
                      <w:lang w:val="zh-CN" w:eastAsia="zh-CN"/>
                    </w:rPr>
                    <w:t>参照GB18598执行，防渗层为至少1m厚粘土层，或2mm厚高密度聚乙烯，或采取其他防渗措施，使防渗效果等效粘土防渗层Mb≥6.0m，K≤1×10</w:t>
                  </w:r>
                  <w:r>
                    <w:rPr>
                      <w:rFonts w:hint="eastAsia"/>
                      <w:szCs w:val="21"/>
                      <w:vertAlign w:val="superscript"/>
                      <w:lang w:val="zh-CN" w:eastAsia="zh-CN"/>
                    </w:rPr>
                    <w:t>-10</w:t>
                  </w:r>
                  <w:r>
                    <w:rPr>
                      <w:rFonts w:hint="eastAsia"/>
                      <w:szCs w:val="21"/>
                      <w:lang w:val="zh-CN" w:eastAsia="zh-CN"/>
                    </w:rPr>
                    <w:t>cm/s</w:t>
                  </w:r>
                  <w:r>
                    <w:rPr>
                      <w:rFonts w:hint="eastAsia"/>
                      <w:szCs w:val="21"/>
                      <w:lang w:val="zh-CN"/>
                    </w:rPr>
                    <w:t>，表面进行防腐处理</w:t>
                  </w:r>
                </w:p>
              </w:tc>
              <w:tc>
                <w:tcPr>
                  <w:tcW w:w="1298" w:type="pct"/>
                  <w:vAlign w:val="center"/>
                </w:tcPr>
                <w:p>
                  <w:pPr>
                    <w:adjustRightInd w:val="0"/>
                    <w:snapToGrid w:val="0"/>
                    <w:jc w:val="center"/>
                    <w:rPr>
                      <w:szCs w:val="21"/>
                      <w:lang w:val="zh-CN" w:eastAsia="zh-CN"/>
                    </w:rPr>
                  </w:pPr>
                  <w:r>
                    <w:rPr>
                      <w:rFonts w:hint="eastAsia"/>
                      <w:szCs w:val="21"/>
                      <w:lang w:val="zh-CN" w:eastAsia="zh-CN"/>
                    </w:rPr>
                    <w:t>甲醇暂存区</w:t>
                  </w:r>
                </w:p>
              </w:tc>
              <w:tc>
                <w:tcPr>
                  <w:tcW w:w="975" w:type="pct"/>
                  <w:vAlign w:val="center"/>
                </w:tcPr>
                <w:p>
                  <w:pPr>
                    <w:adjustRightInd w:val="0"/>
                    <w:snapToGrid w:val="0"/>
                    <w:jc w:val="center"/>
                    <w:rPr>
                      <w:szCs w:val="21"/>
                      <w:lang w:val="zh-CN" w:eastAsia="zh-CN"/>
                    </w:rPr>
                  </w:pPr>
                  <w:r>
                    <w:rPr>
                      <w:rFonts w:hint="eastAsia"/>
                      <w:szCs w:val="21"/>
                      <w:lang w:val="zh-CN"/>
                    </w:rPr>
                    <w:t>暂存区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84" w:hRule="atLeast"/>
                <w:jc w:val="center"/>
              </w:trPr>
              <w:tc>
                <w:tcPr>
                  <w:tcW w:w="594" w:type="pct"/>
                  <w:vMerge w:val="continue"/>
                  <w:vAlign w:val="center"/>
                </w:tcPr>
                <w:p>
                  <w:pPr>
                    <w:adjustRightInd w:val="0"/>
                    <w:snapToGrid w:val="0"/>
                    <w:jc w:val="center"/>
                    <w:rPr>
                      <w:szCs w:val="21"/>
                      <w:lang w:val="zh-CN" w:eastAsia="zh-CN"/>
                    </w:rPr>
                  </w:pPr>
                </w:p>
              </w:tc>
              <w:tc>
                <w:tcPr>
                  <w:tcW w:w="2130" w:type="pct"/>
                  <w:vMerge w:val="continue"/>
                  <w:vAlign w:val="center"/>
                </w:tcPr>
                <w:p>
                  <w:pPr>
                    <w:adjustRightInd w:val="0"/>
                    <w:snapToGrid w:val="0"/>
                    <w:jc w:val="center"/>
                    <w:rPr>
                      <w:szCs w:val="21"/>
                      <w:lang w:val="zh-CN" w:eastAsia="zh-CN"/>
                    </w:rPr>
                  </w:pPr>
                </w:p>
              </w:tc>
              <w:tc>
                <w:tcPr>
                  <w:tcW w:w="1298" w:type="pct"/>
                  <w:vAlign w:val="center"/>
                </w:tcPr>
                <w:p>
                  <w:pPr>
                    <w:widowControl/>
                    <w:adjustRightInd w:val="0"/>
                    <w:snapToGrid w:val="0"/>
                    <w:jc w:val="center"/>
                    <w:rPr>
                      <w:rFonts w:hAnsi="宋体"/>
                      <w:snapToGrid w:val="0"/>
                      <w:kern w:val="0"/>
                      <w:szCs w:val="21"/>
                    </w:rPr>
                  </w:pPr>
                  <w:r>
                    <w:rPr>
                      <w:rFonts w:hint="eastAsia" w:hAnsi="宋体"/>
                      <w:kern w:val="0"/>
                      <w:szCs w:val="21"/>
                      <w:lang w:val="zh-CN"/>
                    </w:rPr>
                    <w:t>危废间</w:t>
                  </w:r>
                </w:p>
              </w:tc>
              <w:tc>
                <w:tcPr>
                  <w:tcW w:w="975" w:type="pct"/>
                  <w:vAlign w:val="center"/>
                </w:tcPr>
                <w:p>
                  <w:pPr>
                    <w:adjustRightInd w:val="0"/>
                    <w:snapToGrid w:val="0"/>
                    <w:jc w:val="center"/>
                    <w:rPr>
                      <w:szCs w:val="21"/>
                      <w:lang w:val="zh-CN" w:eastAsia="zh-CN"/>
                    </w:rPr>
                  </w:pPr>
                  <w:r>
                    <w:rPr>
                      <w:szCs w:val="21"/>
                      <w:lang w:val="zh-CN" w:eastAsia="zh-CN"/>
                    </w:rPr>
                    <w:t>地面</w:t>
                  </w:r>
                  <w:r>
                    <w:rPr>
                      <w:rFonts w:hint="eastAsia"/>
                      <w:szCs w:val="21"/>
                      <w:lang w:val="zh-CN"/>
                    </w:rPr>
                    <w:t>，</w:t>
                  </w:r>
                  <w:r>
                    <w:rPr>
                      <w:szCs w:val="21"/>
                      <w:lang w:val="zh-CN" w:eastAsia="zh-CN"/>
                    </w:rPr>
                    <w:t>墙裙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84" w:hRule="atLeast"/>
                <w:jc w:val="center"/>
              </w:trPr>
              <w:tc>
                <w:tcPr>
                  <w:tcW w:w="594" w:type="pct"/>
                  <w:vAlign w:val="center"/>
                </w:tcPr>
                <w:p>
                  <w:pPr>
                    <w:adjustRightInd w:val="0"/>
                    <w:snapToGrid w:val="0"/>
                    <w:jc w:val="center"/>
                    <w:rPr>
                      <w:rFonts w:hint="default" w:eastAsia="宋体"/>
                      <w:szCs w:val="21"/>
                      <w:lang w:val="en-US" w:eastAsia="zh-CN"/>
                    </w:rPr>
                  </w:pPr>
                  <w:r>
                    <w:rPr>
                      <w:rFonts w:hint="eastAsia"/>
                      <w:szCs w:val="21"/>
                      <w:lang w:val="en-US" w:eastAsia="zh-CN"/>
                    </w:rPr>
                    <w:t>一般防渗区</w:t>
                  </w:r>
                </w:p>
              </w:tc>
              <w:tc>
                <w:tcPr>
                  <w:tcW w:w="2130" w:type="pct"/>
                  <w:vAlign w:val="center"/>
                </w:tcPr>
                <w:p>
                  <w:pPr>
                    <w:adjustRightInd w:val="0"/>
                    <w:snapToGrid w:val="0"/>
                    <w:jc w:val="center"/>
                    <w:rPr>
                      <w:rFonts w:hint="eastAsia"/>
                      <w:szCs w:val="21"/>
                      <w:lang w:val="zh-CN"/>
                    </w:rPr>
                  </w:pPr>
                  <w:r>
                    <w:rPr>
                      <w:rFonts w:hint="eastAsia"/>
                      <w:szCs w:val="21"/>
                      <w:lang w:val="zh-CN" w:eastAsia="zh-CN"/>
                    </w:rPr>
                    <w:t>参照GB18598执行，</w:t>
                  </w:r>
                  <w:r>
                    <w:rPr>
                      <w:rFonts w:hint="eastAsia"/>
                      <w:szCs w:val="21"/>
                      <w:lang w:val="zh-CN"/>
                    </w:rPr>
                    <w:t>防渗层渗透系数小于1×10</w:t>
                  </w:r>
                  <w:r>
                    <w:rPr>
                      <w:rFonts w:hint="eastAsia"/>
                      <w:szCs w:val="21"/>
                      <w:vertAlign w:val="superscript"/>
                      <w:lang w:val="zh-CN"/>
                    </w:rPr>
                    <w:t>-7</w:t>
                  </w:r>
                  <w:r>
                    <w:rPr>
                      <w:rFonts w:hint="eastAsia"/>
                      <w:szCs w:val="21"/>
                      <w:lang w:val="zh-CN"/>
                    </w:rPr>
                    <w:t>cm/s，等效粘土防渗层Mb≥1.5m</w:t>
                  </w:r>
                </w:p>
              </w:tc>
              <w:tc>
                <w:tcPr>
                  <w:tcW w:w="1298" w:type="pct"/>
                  <w:vAlign w:val="center"/>
                </w:tcPr>
                <w:p>
                  <w:pPr>
                    <w:adjustRightInd w:val="0"/>
                    <w:snapToGrid w:val="0"/>
                    <w:jc w:val="center"/>
                    <w:rPr>
                      <w:rFonts w:hint="default" w:eastAsia="宋体"/>
                      <w:szCs w:val="21"/>
                      <w:lang w:val="en-US" w:eastAsia="zh-CN"/>
                    </w:rPr>
                  </w:pPr>
                  <w:r>
                    <w:rPr>
                      <w:rFonts w:hint="eastAsia"/>
                      <w:szCs w:val="21"/>
                      <w:lang w:val="en-US" w:eastAsia="zh-CN"/>
                    </w:rPr>
                    <w:t>生产车间、库房、办公室等</w:t>
                  </w:r>
                </w:p>
              </w:tc>
              <w:tc>
                <w:tcPr>
                  <w:tcW w:w="975" w:type="pct"/>
                  <w:vAlign w:val="center"/>
                </w:tcPr>
                <w:p>
                  <w:pPr>
                    <w:adjustRightInd w:val="0"/>
                    <w:snapToGrid w:val="0"/>
                    <w:jc w:val="center"/>
                    <w:rPr>
                      <w:rFonts w:hint="eastAsia" w:eastAsia="宋体"/>
                      <w:szCs w:val="21"/>
                      <w:lang w:val="en-US" w:eastAsia="zh-CN"/>
                    </w:rPr>
                  </w:pPr>
                  <w:r>
                    <w:rPr>
                      <w:rFonts w:hint="eastAsia"/>
                      <w:szCs w:val="21"/>
                      <w:lang w:val="en-US" w:eastAsia="zh-CN"/>
                    </w:rPr>
                    <w:t>地面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84" w:hRule="atLeast"/>
                <w:jc w:val="center"/>
              </w:trPr>
              <w:tc>
                <w:tcPr>
                  <w:tcW w:w="594" w:type="pct"/>
                  <w:vAlign w:val="center"/>
                </w:tcPr>
                <w:p>
                  <w:pPr>
                    <w:adjustRightInd w:val="0"/>
                    <w:snapToGrid w:val="0"/>
                    <w:jc w:val="center"/>
                    <w:rPr>
                      <w:szCs w:val="21"/>
                      <w:lang w:val="zh-CN" w:eastAsia="zh-CN"/>
                    </w:rPr>
                  </w:pPr>
                  <w:r>
                    <w:rPr>
                      <w:rFonts w:hint="eastAsia"/>
                      <w:szCs w:val="21"/>
                      <w:lang w:val="zh-CN"/>
                    </w:rPr>
                    <w:t>简单防渗</w:t>
                  </w:r>
                  <w:r>
                    <w:rPr>
                      <w:szCs w:val="21"/>
                      <w:lang w:val="zh-CN" w:eastAsia="zh-CN"/>
                    </w:rPr>
                    <w:t>区</w:t>
                  </w:r>
                </w:p>
              </w:tc>
              <w:tc>
                <w:tcPr>
                  <w:tcW w:w="2130" w:type="pct"/>
                  <w:vAlign w:val="center"/>
                </w:tcPr>
                <w:p>
                  <w:pPr>
                    <w:adjustRightInd w:val="0"/>
                    <w:snapToGrid w:val="0"/>
                    <w:jc w:val="center"/>
                    <w:rPr>
                      <w:szCs w:val="21"/>
                      <w:lang w:val="zh-CN"/>
                    </w:rPr>
                  </w:pPr>
                  <w:r>
                    <w:rPr>
                      <w:rFonts w:hint="eastAsia"/>
                      <w:szCs w:val="21"/>
                      <w:lang w:val="zh-CN"/>
                    </w:rPr>
                    <w:t>水泥</w:t>
                  </w:r>
                  <w:r>
                    <w:rPr>
                      <w:rFonts w:hint="eastAsia"/>
                      <w:szCs w:val="21"/>
                      <w:lang w:val="en-US" w:eastAsia="zh-CN"/>
                    </w:rPr>
                    <w:t>硬化</w:t>
                  </w:r>
                  <w:r>
                    <w:rPr>
                      <w:rFonts w:hint="eastAsia"/>
                      <w:szCs w:val="21"/>
                      <w:lang w:val="zh-CN"/>
                    </w:rPr>
                    <w:t>防渗</w:t>
                  </w:r>
                </w:p>
              </w:tc>
              <w:tc>
                <w:tcPr>
                  <w:tcW w:w="1298" w:type="pct"/>
                  <w:vAlign w:val="center"/>
                </w:tcPr>
                <w:p>
                  <w:pPr>
                    <w:adjustRightInd w:val="0"/>
                    <w:snapToGrid w:val="0"/>
                    <w:jc w:val="center"/>
                    <w:rPr>
                      <w:rFonts w:hint="default" w:eastAsia="宋体"/>
                      <w:szCs w:val="21"/>
                      <w:lang w:val="en-US" w:eastAsia="zh-CN"/>
                    </w:rPr>
                  </w:pPr>
                  <w:r>
                    <w:rPr>
                      <w:rFonts w:hint="default" w:eastAsia="宋体"/>
                      <w:szCs w:val="21"/>
                      <w:lang w:val="en-US" w:eastAsia="zh-CN"/>
                    </w:rPr>
                    <w:t>厂区地面</w:t>
                  </w:r>
                  <w:r>
                    <w:rPr>
                      <w:rFonts w:hint="eastAsia"/>
                      <w:szCs w:val="21"/>
                      <w:lang w:val="en-US" w:eastAsia="zh-CN"/>
                    </w:rPr>
                    <w:t>等其他区域</w:t>
                  </w:r>
                </w:p>
              </w:tc>
              <w:tc>
                <w:tcPr>
                  <w:tcW w:w="975" w:type="pct"/>
                  <w:vAlign w:val="center"/>
                </w:tcPr>
                <w:p>
                  <w:pPr>
                    <w:adjustRightInd w:val="0"/>
                    <w:snapToGrid w:val="0"/>
                    <w:jc w:val="center"/>
                    <w:rPr>
                      <w:szCs w:val="21"/>
                      <w:lang w:val="zh-CN" w:eastAsia="zh-CN"/>
                    </w:rPr>
                  </w:pPr>
                  <w:r>
                    <w:rPr>
                      <w:rFonts w:hint="eastAsia"/>
                      <w:szCs w:val="21"/>
                      <w:lang w:val="zh-CN"/>
                    </w:rPr>
                    <w:t>地面</w:t>
                  </w:r>
                </w:p>
              </w:tc>
            </w:tr>
          </w:tbl>
          <w:p>
            <w:pPr>
              <w:adjustRightInd w:val="0"/>
              <w:snapToGrid w:val="0"/>
              <w:spacing w:line="400" w:lineRule="exact"/>
              <w:ind w:firstLine="420" w:firstLineChars="200"/>
              <w:rPr>
                <w:rFonts w:hint="eastAsia" w:ascii="Times New Roman" w:hAnsi="Times New Roman" w:eastAsia="宋体" w:cs="Times New Roman"/>
                <w:bCs/>
                <w:szCs w:val="21"/>
              </w:rPr>
            </w:pPr>
            <w:r>
              <w:rPr>
                <w:rFonts w:hint="eastAsia" w:ascii="Times New Roman" w:hAnsi="Times New Roman" w:eastAsia="宋体" w:cs="Times New Roman"/>
                <w:bCs/>
                <w:szCs w:val="21"/>
              </w:rPr>
              <w:t>在严格落实防渗措施后，本项目不存在地下水和土壤污染的途径，并且采取上述措施后，不考虑对厂区地下水、土壤环境造成的影响。</w:t>
            </w:r>
          </w:p>
          <w:p>
            <w:pPr>
              <w:adjustRightInd w:val="0"/>
              <w:snapToGrid w:val="0"/>
              <w:spacing w:line="400" w:lineRule="exact"/>
              <w:ind w:firstLine="422" w:firstLineChars="200"/>
              <w:rPr>
                <w:rFonts w:hint="eastAsia" w:eastAsia="宋体"/>
                <w:b/>
                <w:szCs w:val="21"/>
                <w:lang w:val="en-US" w:eastAsia="zh-CN"/>
              </w:rPr>
            </w:pPr>
            <w:r>
              <w:rPr>
                <w:rFonts w:hint="eastAsia"/>
                <w:b/>
                <w:szCs w:val="21"/>
              </w:rPr>
              <w:t>六</w:t>
            </w:r>
            <w:r>
              <w:rPr>
                <w:b/>
                <w:szCs w:val="21"/>
              </w:rPr>
              <w:t>、生态</w:t>
            </w:r>
            <w:r>
              <w:rPr>
                <w:rFonts w:hint="eastAsia"/>
                <w:b/>
                <w:szCs w:val="21"/>
                <w:lang w:val="en-US" w:eastAsia="zh-CN"/>
              </w:rPr>
              <w:t>环境</w:t>
            </w:r>
          </w:p>
          <w:p>
            <w:pPr>
              <w:adjustRightInd w:val="0"/>
              <w:snapToGrid w:val="0"/>
              <w:spacing w:line="400" w:lineRule="exact"/>
              <w:ind w:firstLine="420" w:firstLineChars="200"/>
              <w:rPr>
                <w:rFonts w:hint="eastAsia" w:eastAsia="宋体"/>
                <w:bCs/>
                <w:szCs w:val="21"/>
                <w:lang w:eastAsia="zh-CN"/>
              </w:rPr>
            </w:pPr>
            <w:r>
              <w:rPr>
                <w:rFonts w:hint="eastAsia"/>
                <w:bCs/>
                <w:szCs w:val="21"/>
              </w:rPr>
              <w:t>本项目在现有厂区建设，不新增占地，项目用地范围内无自然保护区、世界文化遗产、自然遗产等特殊生态敏感区和风景名胜区、森林公园、地质公园、重要湿地、原始天然林、珍稀濒危野生动植物天然集中分布区等重要生态敏感区等生态环境保护目标。项目</w:t>
            </w:r>
            <w:r>
              <w:rPr>
                <w:rFonts w:hint="eastAsia"/>
                <w:bCs/>
                <w:szCs w:val="21"/>
                <w:lang w:val="en-US" w:eastAsia="zh-CN"/>
              </w:rPr>
              <w:t>建设</w:t>
            </w:r>
            <w:r>
              <w:rPr>
                <w:rFonts w:hint="eastAsia"/>
                <w:bCs/>
                <w:szCs w:val="21"/>
              </w:rPr>
              <w:t>对周围生态环境影响较小</w:t>
            </w:r>
            <w:r>
              <w:rPr>
                <w:rFonts w:hint="eastAsia"/>
                <w:bCs/>
                <w:szCs w:val="21"/>
                <w:lang w:eastAsia="zh-CN"/>
              </w:rPr>
              <w:t>。</w:t>
            </w:r>
            <w:bookmarkStart w:id="40" w:name="_GoBack"/>
            <w:bookmarkEnd w:id="40"/>
          </w:p>
          <w:p>
            <w:pPr>
              <w:adjustRightInd w:val="0"/>
              <w:snapToGrid w:val="0"/>
              <w:spacing w:line="400" w:lineRule="exact"/>
              <w:ind w:firstLine="422" w:firstLineChars="200"/>
              <w:rPr>
                <w:b/>
                <w:szCs w:val="21"/>
              </w:rPr>
            </w:pPr>
            <w:r>
              <w:rPr>
                <w:rFonts w:hint="eastAsia"/>
                <w:b/>
                <w:szCs w:val="21"/>
              </w:rPr>
              <w:t>七</w:t>
            </w:r>
            <w:r>
              <w:rPr>
                <w:b/>
                <w:szCs w:val="21"/>
              </w:rPr>
              <w:t>、环境风险</w:t>
            </w:r>
          </w:p>
          <w:p>
            <w:pPr>
              <w:adjustRightInd w:val="0"/>
              <w:snapToGrid w:val="0"/>
              <w:spacing w:line="400" w:lineRule="exact"/>
              <w:ind w:firstLine="420" w:firstLineChars="200"/>
              <w:rPr>
                <w:bCs/>
                <w:szCs w:val="21"/>
              </w:rPr>
            </w:pPr>
            <w:r>
              <w:rPr>
                <w:rFonts w:hint="eastAsia"/>
                <w:bCs/>
                <w:szCs w:val="21"/>
              </w:rPr>
              <w:t>（1）风险调查</w:t>
            </w:r>
          </w:p>
          <w:p>
            <w:pPr>
              <w:adjustRightInd w:val="0"/>
              <w:snapToGrid w:val="0"/>
              <w:spacing w:line="400" w:lineRule="exact"/>
              <w:ind w:firstLine="420" w:firstLineChars="200"/>
              <w:rPr>
                <w:bCs/>
                <w:szCs w:val="21"/>
              </w:rPr>
            </w:pPr>
            <w:r>
              <w:rPr>
                <w:rFonts w:hint="eastAsia"/>
                <w:bCs/>
                <w:szCs w:val="21"/>
              </w:rPr>
              <w:t>本项目涉及的主要化学物质为</w:t>
            </w:r>
            <w:r>
              <w:rPr>
                <w:rFonts w:hint="eastAsia"/>
                <w:bCs/>
                <w:szCs w:val="21"/>
                <w:lang w:val="en-US" w:eastAsia="zh-CN"/>
              </w:rPr>
              <w:t>甲醇</w:t>
            </w:r>
            <w:r>
              <w:rPr>
                <w:rFonts w:hint="eastAsia"/>
                <w:bCs/>
                <w:szCs w:val="21"/>
              </w:rPr>
              <w:t>，以及危险废物，本次评价参照《建设项目环境风险评价技术导则》（H</w:t>
            </w:r>
            <w:r>
              <w:rPr>
                <w:bCs/>
                <w:szCs w:val="21"/>
              </w:rPr>
              <w:t>J169-2018</w:t>
            </w:r>
            <w:r>
              <w:rPr>
                <w:rFonts w:hint="eastAsia"/>
                <w:bCs/>
                <w:szCs w:val="21"/>
              </w:rPr>
              <w:t>）表B</w:t>
            </w:r>
            <w:r>
              <w:rPr>
                <w:bCs/>
                <w:szCs w:val="21"/>
              </w:rPr>
              <w:t>.2</w:t>
            </w:r>
            <w:r>
              <w:rPr>
                <w:rFonts w:hint="eastAsia"/>
                <w:bCs/>
                <w:szCs w:val="21"/>
              </w:rPr>
              <w:t>中健康危险毒性物质进行分析，如下：</w:t>
            </w:r>
          </w:p>
          <w:p>
            <w:pPr>
              <w:spacing w:line="400" w:lineRule="exact"/>
              <w:jc w:val="center"/>
              <w:rPr>
                <w:b/>
                <w:szCs w:val="21"/>
              </w:rPr>
            </w:pPr>
            <w:r>
              <w:rPr>
                <w:rFonts w:hint="eastAsia"/>
                <w:b/>
                <w:szCs w:val="21"/>
              </w:rPr>
              <w:t>表</w:t>
            </w:r>
            <w:r>
              <w:rPr>
                <w:b/>
                <w:szCs w:val="21"/>
              </w:rPr>
              <w:t>4-</w:t>
            </w:r>
            <w:r>
              <w:rPr>
                <w:rFonts w:hint="eastAsia"/>
                <w:b/>
                <w:szCs w:val="21"/>
                <w:lang w:val="en-US" w:eastAsia="zh-CN"/>
              </w:rPr>
              <w:t>18</w:t>
            </w:r>
            <w:r>
              <w:rPr>
                <w:b/>
                <w:szCs w:val="21"/>
              </w:rPr>
              <w:t xml:space="preserve">  </w:t>
            </w:r>
            <w:r>
              <w:rPr>
                <w:rFonts w:hint="eastAsia"/>
                <w:b/>
                <w:szCs w:val="21"/>
              </w:rPr>
              <w:t xml:space="preserve"> 风险物质数量、分布及Q值计算</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0"/>
              <w:gridCol w:w="1509"/>
              <w:gridCol w:w="1324"/>
              <w:gridCol w:w="1322"/>
              <w:gridCol w:w="1322"/>
              <w:gridCol w:w="13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18" w:type="pct"/>
                  <w:shd w:val="clear" w:color="auto" w:fill="auto"/>
                  <w:vAlign w:val="center"/>
                </w:tcPr>
                <w:p>
                  <w:pPr>
                    <w:adjustRightInd w:val="0"/>
                    <w:snapToGrid w:val="0"/>
                    <w:jc w:val="center"/>
                    <w:rPr>
                      <w:bCs/>
                      <w:szCs w:val="21"/>
                    </w:rPr>
                  </w:pPr>
                  <w:r>
                    <w:rPr>
                      <w:rFonts w:hint="eastAsia"/>
                      <w:bCs/>
                      <w:szCs w:val="21"/>
                    </w:rPr>
                    <w:t>序号</w:t>
                  </w:r>
                </w:p>
              </w:tc>
              <w:tc>
                <w:tcPr>
                  <w:tcW w:w="950" w:type="pct"/>
                  <w:shd w:val="clear" w:color="auto" w:fill="auto"/>
                  <w:vAlign w:val="center"/>
                </w:tcPr>
                <w:p>
                  <w:pPr>
                    <w:adjustRightInd w:val="0"/>
                    <w:snapToGrid w:val="0"/>
                    <w:jc w:val="center"/>
                    <w:rPr>
                      <w:bCs/>
                      <w:szCs w:val="21"/>
                    </w:rPr>
                  </w:pPr>
                  <w:r>
                    <w:rPr>
                      <w:rFonts w:hint="eastAsia"/>
                      <w:bCs/>
                      <w:szCs w:val="21"/>
                    </w:rPr>
                    <w:t>风险物质</w:t>
                  </w:r>
                </w:p>
              </w:tc>
              <w:tc>
                <w:tcPr>
                  <w:tcW w:w="834" w:type="pct"/>
                  <w:shd w:val="clear" w:color="auto" w:fill="auto"/>
                  <w:vAlign w:val="center"/>
                </w:tcPr>
                <w:p>
                  <w:pPr>
                    <w:adjustRightInd w:val="0"/>
                    <w:snapToGrid w:val="0"/>
                    <w:jc w:val="center"/>
                    <w:rPr>
                      <w:bCs/>
                      <w:szCs w:val="21"/>
                    </w:rPr>
                  </w:pPr>
                  <w:r>
                    <w:rPr>
                      <w:rFonts w:hint="eastAsia"/>
                      <w:bCs/>
                      <w:szCs w:val="21"/>
                    </w:rPr>
                    <w:t>最大存量</w:t>
                  </w:r>
                </w:p>
              </w:tc>
              <w:tc>
                <w:tcPr>
                  <w:tcW w:w="832" w:type="pct"/>
                  <w:vAlign w:val="center"/>
                </w:tcPr>
                <w:p>
                  <w:pPr>
                    <w:adjustRightInd w:val="0"/>
                    <w:snapToGrid w:val="0"/>
                    <w:jc w:val="center"/>
                    <w:rPr>
                      <w:bCs/>
                      <w:szCs w:val="21"/>
                    </w:rPr>
                  </w:pPr>
                  <w:r>
                    <w:rPr>
                      <w:rFonts w:hint="eastAsia"/>
                      <w:bCs/>
                      <w:szCs w:val="21"/>
                    </w:rPr>
                    <w:t>临界量</w:t>
                  </w:r>
                </w:p>
              </w:tc>
              <w:tc>
                <w:tcPr>
                  <w:tcW w:w="832" w:type="pct"/>
                  <w:vAlign w:val="center"/>
                </w:tcPr>
                <w:p>
                  <w:pPr>
                    <w:adjustRightInd w:val="0"/>
                    <w:snapToGrid w:val="0"/>
                    <w:jc w:val="center"/>
                    <w:rPr>
                      <w:bCs/>
                      <w:szCs w:val="21"/>
                    </w:rPr>
                  </w:pPr>
                  <w:r>
                    <w:rPr>
                      <w:rFonts w:hint="eastAsia"/>
                      <w:bCs/>
                      <w:szCs w:val="21"/>
                    </w:rPr>
                    <w:t>Q</w:t>
                  </w:r>
                </w:p>
              </w:tc>
              <w:tc>
                <w:tcPr>
                  <w:tcW w:w="831" w:type="pct"/>
                  <w:shd w:val="clear" w:color="auto" w:fill="auto"/>
                  <w:vAlign w:val="center"/>
                </w:tcPr>
                <w:p>
                  <w:pPr>
                    <w:adjustRightInd w:val="0"/>
                    <w:snapToGrid w:val="0"/>
                    <w:jc w:val="center"/>
                    <w:rPr>
                      <w:bCs/>
                      <w:szCs w:val="21"/>
                    </w:rPr>
                  </w:pPr>
                  <w:r>
                    <w:rPr>
                      <w:rFonts w:hint="eastAsia"/>
                      <w:bCs/>
                      <w:szCs w:val="21"/>
                    </w:rPr>
                    <w:t>分布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18" w:type="pct"/>
                  <w:shd w:val="clear" w:color="auto" w:fill="auto"/>
                  <w:vAlign w:val="center"/>
                </w:tcPr>
                <w:p>
                  <w:pPr>
                    <w:adjustRightInd w:val="0"/>
                    <w:snapToGrid w:val="0"/>
                    <w:jc w:val="center"/>
                    <w:rPr>
                      <w:bCs/>
                      <w:szCs w:val="21"/>
                    </w:rPr>
                  </w:pPr>
                  <w:r>
                    <w:rPr>
                      <w:rFonts w:hint="eastAsia"/>
                      <w:bCs/>
                      <w:szCs w:val="21"/>
                    </w:rPr>
                    <w:t>1</w:t>
                  </w:r>
                </w:p>
              </w:tc>
              <w:tc>
                <w:tcPr>
                  <w:tcW w:w="950" w:type="pct"/>
                  <w:shd w:val="clear" w:color="auto" w:fill="auto"/>
                  <w:vAlign w:val="center"/>
                </w:tcPr>
                <w:p>
                  <w:pPr>
                    <w:snapToGrid w:val="0"/>
                    <w:jc w:val="center"/>
                    <w:rPr>
                      <w:rFonts w:hint="default" w:eastAsia="宋体"/>
                      <w:szCs w:val="21"/>
                      <w:lang w:val="en-US" w:eastAsia="zh-CN"/>
                    </w:rPr>
                  </w:pPr>
                  <w:r>
                    <w:rPr>
                      <w:rFonts w:hint="eastAsia"/>
                      <w:szCs w:val="21"/>
                      <w:lang w:val="en-US" w:eastAsia="zh-CN"/>
                    </w:rPr>
                    <w:t>甲醇</w:t>
                  </w:r>
                </w:p>
              </w:tc>
              <w:tc>
                <w:tcPr>
                  <w:tcW w:w="834" w:type="pct"/>
                  <w:shd w:val="clear" w:color="auto" w:fill="auto"/>
                  <w:vAlign w:val="center"/>
                </w:tcPr>
                <w:p>
                  <w:pPr>
                    <w:snapToGrid w:val="0"/>
                    <w:jc w:val="center"/>
                    <w:rPr>
                      <w:szCs w:val="21"/>
                    </w:rPr>
                  </w:pPr>
                  <w:r>
                    <w:rPr>
                      <w:rFonts w:hint="eastAsia"/>
                      <w:szCs w:val="21"/>
                      <w:lang w:val="en-US" w:eastAsia="zh-CN"/>
                    </w:rPr>
                    <w:t>0.2</w:t>
                  </w:r>
                  <w:r>
                    <w:rPr>
                      <w:szCs w:val="21"/>
                    </w:rPr>
                    <w:t>t</w:t>
                  </w:r>
                </w:p>
              </w:tc>
              <w:tc>
                <w:tcPr>
                  <w:tcW w:w="832" w:type="pct"/>
                  <w:vAlign w:val="center"/>
                </w:tcPr>
                <w:p>
                  <w:pPr>
                    <w:adjustRightInd w:val="0"/>
                    <w:snapToGrid w:val="0"/>
                    <w:jc w:val="center"/>
                    <w:rPr>
                      <w:bCs/>
                      <w:szCs w:val="21"/>
                    </w:rPr>
                  </w:pPr>
                  <w:r>
                    <w:rPr>
                      <w:rFonts w:hint="eastAsia"/>
                      <w:bCs/>
                      <w:szCs w:val="21"/>
                      <w:lang w:val="en-US" w:eastAsia="zh-CN"/>
                    </w:rPr>
                    <w:t>10</w:t>
                  </w:r>
                  <w:r>
                    <w:rPr>
                      <w:szCs w:val="21"/>
                    </w:rPr>
                    <w:t>t</w:t>
                  </w:r>
                </w:p>
              </w:tc>
              <w:tc>
                <w:tcPr>
                  <w:tcW w:w="1322" w:type="dxa"/>
                  <w:vAlign w:val="center"/>
                </w:tcPr>
                <w:p>
                  <w:pPr>
                    <w:keepNext w:val="0"/>
                    <w:keepLines w:val="0"/>
                    <w:widowControl/>
                    <w:suppressLineNumbers w:val="0"/>
                    <w:jc w:val="center"/>
                    <w:textAlignment w:val="top"/>
                    <w:rPr>
                      <w:bCs/>
                      <w:szCs w:val="21"/>
                    </w:rPr>
                  </w:pPr>
                  <w:r>
                    <w:rPr>
                      <w:rFonts w:hint="default" w:ascii="Times New Roman" w:hAnsi="Times New Roman" w:eastAsia="宋体" w:cs="Times New Roman"/>
                      <w:i w:val="0"/>
                      <w:iCs w:val="0"/>
                      <w:color w:val="000000"/>
                      <w:kern w:val="0"/>
                      <w:sz w:val="21"/>
                      <w:szCs w:val="21"/>
                      <w:u w:val="none"/>
                      <w:lang w:val="en-US" w:eastAsia="zh-CN" w:bidi="ar"/>
                    </w:rPr>
                    <w:t>0.02</w:t>
                  </w:r>
                </w:p>
              </w:tc>
              <w:tc>
                <w:tcPr>
                  <w:tcW w:w="831" w:type="pct"/>
                  <w:shd w:val="clear" w:color="auto" w:fill="auto"/>
                  <w:vAlign w:val="center"/>
                </w:tcPr>
                <w:p>
                  <w:pPr>
                    <w:adjustRightInd w:val="0"/>
                    <w:snapToGrid w:val="0"/>
                    <w:jc w:val="center"/>
                    <w:rPr>
                      <w:bCs/>
                      <w:szCs w:val="21"/>
                    </w:rPr>
                  </w:pPr>
                  <w:r>
                    <w:rPr>
                      <w:rFonts w:hint="eastAsia"/>
                      <w:bCs/>
                      <w:szCs w:val="21"/>
                      <w:lang w:val="en-US" w:eastAsia="zh-CN"/>
                    </w:rPr>
                    <w:t>预涂膜车间南侧库房及生产车间内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18" w:type="pct"/>
                  <w:shd w:val="clear" w:color="auto" w:fill="auto"/>
                  <w:vAlign w:val="center"/>
                </w:tcPr>
                <w:p>
                  <w:pPr>
                    <w:adjustRightInd w:val="0"/>
                    <w:snapToGrid w:val="0"/>
                    <w:jc w:val="center"/>
                    <w:rPr>
                      <w:bCs/>
                      <w:szCs w:val="21"/>
                    </w:rPr>
                  </w:pPr>
                  <w:r>
                    <w:rPr>
                      <w:rFonts w:hint="eastAsia"/>
                      <w:bCs/>
                      <w:szCs w:val="21"/>
                    </w:rPr>
                    <w:t>2</w:t>
                  </w:r>
                </w:p>
              </w:tc>
              <w:tc>
                <w:tcPr>
                  <w:tcW w:w="950" w:type="pct"/>
                  <w:shd w:val="clear" w:color="auto" w:fill="auto"/>
                  <w:vAlign w:val="center"/>
                </w:tcPr>
                <w:p>
                  <w:pPr>
                    <w:snapToGrid w:val="0"/>
                    <w:jc w:val="center"/>
                    <w:rPr>
                      <w:szCs w:val="21"/>
                    </w:rPr>
                  </w:pPr>
                  <w:r>
                    <w:rPr>
                      <w:rFonts w:hint="eastAsia"/>
                      <w:szCs w:val="21"/>
                    </w:rPr>
                    <w:t>废过滤棉</w:t>
                  </w:r>
                </w:p>
              </w:tc>
              <w:tc>
                <w:tcPr>
                  <w:tcW w:w="834" w:type="pct"/>
                  <w:shd w:val="clear" w:color="auto" w:fill="auto"/>
                  <w:vAlign w:val="center"/>
                </w:tcPr>
                <w:p>
                  <w:pPr>
                    <w:spacing w:line="0" w:lineRule="atLeast"/>
                    <w:jc w:val="center"/>
                    <w:rPr>
                      <w:szCs w:val="21"/>
                    </w:rPr>
                  </w:pPr>
                  <w:r>
                    <w:rPr>
                      <w:rFonts w:hint="eastAsia" w:ascii="Times New Roman" w:hAnsi="Times New Roman" w:cs="Times New Roman"/>
                      <w:color w:val="auto"/>
                      <w:lang w:val="en-US" w:eastAsia="zh-CN"/>
                    </w:rPr>
                    <w:t>0.5</w:t>
                  </w:r>
                  <w:r>
                    <w:rPr>
                      <w:szCs w:val="21"/>
                    </w:rPr>
                    <w:t>t</w:t>
                  </w:r>
                </w:p>
              </w:tc>
              <w:tc>
                <w:tcPr>
                  <w:tcW w:w="832" w:type="pct"/>
                  <w:vAlign w:val="center"/>
                </w:tcPr>
                <w:p>
                  <w:pPr>
                    <w:adjustRightInd w:val="0"/>
                    <w:snapToGrid w:val="0"/>
                    <w:jc w:val="center"/>
                    <w:rPr>
                      <w:bCs/>
                      <w:szCs w:val="21"/>
                    </w:rPr>
                  </w:pPr>
                  <w:r>
                    <w:rPr>
                      <w:rFonts w:hint="eastAsia"/>
                      <w:bCs/>
                      <w:szCs w:val="21"/>
                    </w:rPr>
                    <w:t>5</w:t>
                  </w:r>
                  <w:r>
                    <w:rPr>
                      <w:bCs/>
                      <w:szCs w:val="21"/>
                    </w:rPr>
                    <w:t>0</w:t>
                  </w:r>
                  <w:r>
                    <w:rPr>
                      <w:szCs w:val="21"/>
                    </w:rPr>
                    <w:t xml:space="preserve"> t</w:t>
                  </w:r>
                </w:p>
              </w:tc>
              <w:tc>
                <w:tcPr>
                  <w:tcW w:w="1322" w:type="dxa"/>
                  <w:vAlign w:val="center"/>
                </w:tcPr>
                <w:p>
                  <w:pPr>
                    <w:keepNext w:val="0"/>
                    <w:keepLines w:val="0"/>
                    <w:widowControl/>
                    <w:suppressLineNumbers w:val="0"/>
                    <w:jc w:val="center"/>
                    <w:textAlignment w:val="top"/>
                    <w:rPr>
                      <w:bCs/>
                      <w:szCs w:val="21"/>
                    </w:rPr>
                  </w:pPr>
                  <w:r>
                    <w:rPr>
                      <w:rFonts w:hint="default" w:ascii="Times New Roman" w:hAnsi="Times New Roman" w:eastAsia="宋体" w:cs="Times New Roman"/>
                      <w:i w:val="0"/>
                      <w:iCs w:val="0"/>
                      <w:color w:val="000000"/>
                      <w:kern w:val="0"/>
                      <w:sz w:val="21"/>
                      <w:szCs w:val="21"/>
                      <w:u w:val="none"/>
                      <w:lang w:val="en-US" w:eastAsia="zh-CN" w:bidi="ar"/>
                    </w:rPr>
                    <w:t>0.01</w:t>
                  </w:r>
                </w:p>
              </w:tc>
              <w:tc>
                <w:tcPr>
                  <w:tcW w:w="831" w:type="pct"/>
                  <w:vMerge w:val="restart"/>
                  <w:shd w:val="clear" w:color="auto" w:fill="auto"/>
                  <w:vAlign w:val="center"/>
                </w:tcPr>
                <w:p>
                  <w:pPr>
                    <w:adjustRightInd w:val="0"/>
                    <w:snapToGrid w:val="0"/>
                    <w:jc w:val="center"/>
                    <w:rPr>
                      <w:bCs/>
                      <w:szCs w:val="21"/>
                    </w:rPr>
                  </w:pPr>
                  <w:r>
                    <w:rPr>
                      <w:rFonts w:hint="eastAsia"/>
                      <w:bCs/>
                      <w:szCs w:val="21"/>
                    </w:rPr>
                    <w:t>危废间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18" w:type="pct"/>
                  <w:shd w:val="clear" w:color="auto" w:fill="auto"/>
                  <w:vAlign w:val="center"/>
                </w:tcPr>
                <w:p>
                  <w:pPr>
                    <w:adjustRightInd w:val="0"/>
                    <w:snapToGrid w:val="0"/>
                    <w:jc w:val="center"/>
                    <w:rPr>
                      <w:bCs/>
                      <w:szCs w:val="21"/>
                    </w:rPr>
                  </w:pPr>
                  <w:r>
                    <w:rPr>
                      <w:bCs/>
                      <w:szCs w:val="21"/>
                    </w:rPr>
                    <w:t>3</w:t>
                  </w:r>
                </w:p>
              </w:tc>
              <w:tc>
                <w:tcPr>
                  <w:tcW w:w="950" w:type="pct"/>
                  <w:shd w:val="clear" w:color="auto" w:fill="auto"/>
                  <w:vAlign w:val="center"/>
                </w:tcPr>
                <w:p>
                  <w:pPr>
                    <w:snapToGrid w:val="0"/>
                    <w:jc w:val="center"/>
                    <w:rPr>
                      <w:szCs w:val="21"/>
                    </w:rPr>
                  </w:pPr>
                  <w:r>
                    <w:rPr>
                      <w:rFonts w:hint="eastAsia"/>
                      <w:szCs w:val="21"/>
                    </w:rPr>
                    <w:t>废活性炭</w:t>
                  </w:r>
                </w:p>
              </w:tc>
              <w:tc>
                <w:tcPr>
                  <w:tcW w:w="834" w:type="pct"/>
                  <w:shd w:val="clear" w:color="auto" w:fill="auto"/>
                  <w:vAlign w:val="center"/>
                </w:tcPr>
                <w:p>
                  <w:pPr>
                    <w:spacing w:line="0" w:lineRule="atLeast"/>
                    <w:jc w:val="center"/>
                    <w:rPr>
                      <w:szCs w:val="21"/>
                    </w:rPr>
                  </w:pPr>
                  <w:r>
                    <w:rPr>
                      <w:rFonts w:hint="eastAsia" w:ascii="Times New Roman" w:hAnsi="Times New Roman" w:cs="Times New Roman"/>
                      <w:color w:val="auto"/>
                      <w:lang w:val="en-US" w:eastAsia="zh-CN"/>
                    </w:rPr>
                    <w:t>5.46</w:t>
                  </w:r>
                  <w:r>
                    <w:rPr>
                      <w:szCs w:val="21"/>
                    </w:rPr>
                    <w:t>t</w:t>
                  </w:r>
                </w:p>
              </w:tc>
              <w:tc>
                <w:tcPr>
                  <w:tcW w:w="832" w:type="pct"/>
                  <w:vAlign w:val="center"/>
                </w:tcPr>
                <w:p>
                  <w:pPr>
                    <w:adjustRightInd w:val="0"/>
                    <w:snapToGrid w:val="0"/>
                    <w:jc w:val="center"/>
                    <w:rPr>
                      <w:bCs/>
                      <w:szCs w:val="21"/>
                    </w:rPr>
                  </w:pPr>
                  <w:r>
                    <w:rPr>
                      <w:rFonts w:hint="eastAsia"/>
                      <w:bCs/>
                      <w:szCs w:val="21"/>
                    </w:rPr>
                    <w:t>5</w:t>
                  </w:r>
                  <w:r>
                    <w:rPr>
                      <w:bCs/>
                      <w:szCs w:val="21"/>
                    </w:rPr>
                    <w:t>0</w:t>
                  </w:r>
                  <w:r>
                    <w:rPr>
                      <w:szCs w:val="21"/>
                    </w:rPr>
                    <w:t xml:space="preserve"> t</w:t>
                  </w:r>
                </w:p>
              </w:tc>
              <w:tc>
                <w:tcPr>
                  <w:tcW w:w="1322" w:type="dxa"/>
                  <w:vAlign w:val="center"/>
                </w:tcPr>
                <w:p>
                  <w:pPr>
                    <w:keepNext w:val="0"/>
                    <w:keepLines w:val="0"/>
                    <w:widowControl/>
                    <w:suppressLineNumbers w:val="0"/>
                    <w:jc w:val="center"/>
                    <w:textAlignment w:val="top"/>
                    <w:rPr>
                      <w:rFonts w:hint="default"/>
                      <w:bCs/>
                      <w:szCs w:val="21"/>
                      <w:lang w:val="en-US"/>
                    </w:rPr>
                  </w:pPr>
                  <w:r>
                    <w:rPr>
                      <w:rFonts w:hint="default" w:ascii="Times New Roman" w:hAnsi="Times New Roman" w:eastAsia="宋体" w:cs="Times New Roman"/>
                      <w:i w:val="0"/>
                      <w:iCs w:val="0"/>
                      <w:color w:val="000000"/>
                      <w:kern w:val="0"/>
                      <w:sz w:val="21"/>
                      <w:szCs w:val="21"/>
                      <w:u w:val="none"/>
                      <w:lang w:val="en-US" w:eastAsia="zh-CN" w:bidi="ar"/>
                    </w:rPr>
                    <w:t>0.10</w:t>
                  </w:r>
                  <w:r>
                    <w:rPr>
                      <w:rFonts w:hint="eastAsia" w:ascii="Times New Roman" w:hAnsi="Times New Roman" w:eastAsia="宋体" w:cs="Times New Roman"/>
                      <w:i w:val="0"/>
                      <w:iCs w:val="0"/>
                      <w:color w:val="000000"/>
                      <w:kern w:val="0"/>
                      <w:sz w:val="21"/>
                      <w:szCs w:val="21"/>
                      <w:u w:val="none"/>
                      <w:lang w:val="en-US" w:eastAsia="zh-CN" w:bidi="ar"/>
                    </w:rPr>
                    <w:t>92</w:t>
                  </w:r>
                </w:p>
              </w:tc>
              <w:tc>
                <w:tcPr>
                  <w:tcW w:w="831" w:type="pct"/>
                  <w:vMerge w:val="continue"/>
                  <w:shd w:val="clear" w:color="auto" w:fill="auto"/>
                  <w:vAlign w:val="center"/>
                </w:tcPr>
                <w:p>
                  <w:pPr>
                    <w:adjustRightInd w:val="0"/>
                    <w:snapToGrid w:val="0"/>
                    <w:jc w:val="center"/>
                    <w:rPr>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18" w:type="pct"/>
                  <w:shd w:val="clear" w:color="auto" w:fill="auto"/>
                  <w:vAlign w:val="center"/>
                </w:tcPr>
                <w:p>
                  <w:pPr>
                    <w:adjustRightInd w:val="0"/>
                    <w:snapToGrid w:val="0"/>
                    <w:jc w:val="center"/>
                    <w:rPr>
                      <w:bCs/>
                      <w:szCs w:val="21"/>
                    </w:rPr>
                  </w:pPr>
                  <w:r>
                    <w:rPr>
                      <w:bCs/>
                      <w:szCs w:val="21"/>
                    </w:rPr>
                    <w:t>/</w:t>
                  </w:r>
                </w:p>
              </w:tc>
              <w:tc>
                <w:tcPr>
                  <w:tcW w:w="950" w:type="pct"/>
                  <w:shd w:val="clear" w:color="auto" w:fill="auto"/>
                  <w:vAlign w:val="center"/>
                </w:tcPr>
                <w:p>
                  <w:pPr>
                    <w:snapToGrid w:val="0"/>
                    <w:jc w:val="center"/>
                    <w:rPr>
                      <w:szCs w:val="21"/>
                    </w:rPr>
                  </w:pPr>
                  <w:r>
                    <w:rPr>
                      <w:rFonts w:hint="eastAsia"/>
                      <w:szCs w:val="21"/>
                    </w:rPr>
                    <w:t>合计</w:t>
                  </w:r>
                </w:p>
              </w:tc>
              <w:tc>
                <w:tcPr>
                  <w:tcW w:w="834" w:type="pct"/>
                  <w:shd w:val="clear" w:color="auto" w:fill="auto"/>
                  <w:vAlign w:val="center"/>
                </w:tcPr>
                <w:p>
                  <w:pPr>
                    <w:snapToGrid w:val="0"/>
                    <w:jc w:val="center"/>
                    <w:rPr>
                      <w:szCs w:val="21"/>
                    </w:rPr>
                  </w:pPr>
                  <w:r>
                    <w:rPr>
                      <w:rFonts w:hint="eastAsia"/>
                      <w:szCs w:val="21"/>
                    </w:rPr>
                    <w:t>/</w:t>
                  </w:r>
                </w:p>
              </w:tc>
              <w:tc>
                <w:tcPr>
                  <w:tcW w:w="832" w:type="pct"/>
                  <w:vAlign w:val="center"/>
                </w:tcPr>
                <w:p>
                  <w:pPr>
                    <w:adjustRightInd w:val="0"/>
                    <w:snapToGrid w:val="0"/>
                    <w:jc w:val="center"/>
                    <w:rPr>
                      <w:bCs/>
                      <w:szCs w:val="21"/>
                    </w:rPr>
                  </w:pPr>
                  <w:r>
                    <w:rPr>
                      <w:rFonts w:hint="eastAsia"/>
                      <w:bCs/>
                      <w:szCs w:val="21"/>
                    </w:rPr>
                    <w:t>/</w:t>
                  </w:r>
                </w:p>
              </w:tc>
              <w:tc>
                <w:tcPr>
                  <w:tcW w:w="1322" w:type="dxa"/>
                  <w:vAlign w:val="center"/>
                </w:tcPr>
                <w:p>
                  <w:pPr>
                    <w:keepNext w:val="0"/>
                    <w:keepLines w:val="0"/>
                    <w:widowControl/>
                    <w:suppressLineNumbers w:val="0"/>
                    <w:jc w:val="center"/>
                    <w:textAlignment w:val="top"/>
                    <w:rPr>
                      <w:rFonts w:hint="default" w:eastAsia="等线"/>
                      <w:color w:val="000000"/>
                      <w:kern w:val="0"/>
                      <w:szCs w:val="21"/>
                      <w:lang w:val="en-US"/>
                    </w:rPr>
                  </w:pPr>
                  <w:r>
                    <w:rPr>
                      <w:rFonts w:hint="default" w:ascii="Times New Roman" w:hAnsi="Times New Roman" w:eastAsia="宋体" w:cs="Times New Roman"/>
                      <w:i w:val="0"/>
                      <w:iCs w:val="0"/>
                      <w:color w:val="000000"/>
                      <w:kern w:val="0"/>
                      <w:sz w:val="21"/>
                      <w:szCs w:val="21"/>
                      <w:u w:val="none"/>
                      <w:lang w:val="en-US" w:eastAsia="zh-CN" w:bidi="ar"/>
                    </w:rPr>
                    <w:t>0.13</w:t>
                  </w:r>
                  <w:r>
                    <w:rPr>
                      <w:rFonts w:hint="eastAsia" w:ascii="Times New Roman" w:hAnsi="Times New Roman" w:eastAsia="宋体" w:cs="Times New Roman"/>
                      <w:i w:val="0"/>
                      <w:iCs w:val="0"/>
                      <w:color w:val="000000"/>
                      <w:kern w:val="0"/>
                      <w:sz w:val="21"/>
                      <w:szCs w:val="21"/>
                      <w:u w:val="none"/>
                      <w:lang w:val="en-US" w:eastAsia="zh-CN" w:bidi="ar"/>
                    </w:rPr>
                    <w:t>92</w:t>
                  </w:r>
                </w:p>
              </w:tc>
              <w:tc>
                <w:tcPr>
                  <w:tcW w:w="831" w:type="pct"/>
                  <w:shd w:val="clear" w:color="auto" w:fill="auto"/>
                  <w:vAlign w:val="center"/>
                </w:tcPr>
                <w:p>
                  <w:pPr>
                    <w:adjustRightInd w:val="0"/>
                    <w:snapToGrid w:val="0"/>
                    <w:jc w:val="center"/>
                    <w:rPr>
                      <w:bCs/>
                      <w:szCs w:val="21"/>
                    </w:rPr>
                  </w:pPr>
                  <w:r>
                    <w:rPr>
                      <w:rFonts w:hint="eastAsia"/>
                      <w:bCs/>
                      <w:szCs w:val="21"/>
                    </w:rPr>
                    <w:t>/</w:t>
                  </w:r>
                </w:p>
              </w:tc>
            </w:tr>
          </w:tbl>
          <w:p>
            <w:pPr>
              <w:adjustRightInd w:val="0"/>
              <w:snapToGrid w:val="0"/>
              <w:spacing w:line="400" w:lineRule="exact"/>
              <w:ind w:firstLine="420" w:firstLineChars="200"/>
              <w:rPr>
                <w:bCs/>
                <w:szCs w:val="21"/>
              </w:rPr>
            </w:pPr>
            <w:r>
              <w:rPr>
                <w:rFonts w:hint="eastAsia"/>
                <w:bCs/>
                <w:szCs w:val="21"/>
              </w:rPr>
              <w:t>由上可知，本项目危险物质临界量比值Q＜1，该项目风险潜势为Ⅰ，可开展简单分析</w:t>
            </w:r>
            <w:r>
              <w:rPr>
                <w:rFonts w:hint="eastAsia"/>
                <w:bCs/>
                <w:szCs w:val="21"/>
                <w:lang w:eastAsia="zh-CN"/>
              </w:rPr>
              <w:t>。根据《建设项目环境影响报告表编制技术指南（污染影响类）》，</w:t>
            </w:r>
            <w:r>
              <w:rPr>
                <w:rFonts w:hint="eastAsia"/>
                <w:bCs/>
                <w:szCs w:val="21"/>
              </w:rPr>
              <w:t>无需进行专项评价</w:t>
            </w:r>
            <w:r>
              <w:rPr>
                <w:bCs/>
                <w:szCs w:val="21"/>
              </w:rPr>
              <w:t>。</w:t>
            </w:r>
          </w:p>
          <w:p>
            <w:pPr>
              <w:adjustRightInd w:val="0"/>
              <w:snapToGrid w:val="0"/>
              <w:spacing w:line="400" w:lineRule="exact"/>
              <w:ind w:firstLine="420" w:firstLineChars="200"/>
              <w:rPr>
                <w:bCs/>
                <w:szCs w:val="21"/>
              </w:rPr>
            </w:pPr>
            <w:r>
              <w:rPr>
                <w:rFonts w:hint="eastAsia"/>
                <w:bCs/>
                <w:szCs w:val="21"/>
              </w:rPr>
              <w:t>（</w:t>
            </w:r>
            <w:r>
              <w:rPr>
                <w:bCs/>
                <w:szCs w:val="21"/>
              </w:rPr>
              <w:t>2</w:t>
            </w:r>
            <w:r>
              <w:rPr>
                <w:rFonts w:hint="eastAsia"/>
                <w:bCs/>
                <w:szCs w:val="21"/>
              </w:rPr>
              <w:t>）风险分析</w:t>
            </w:r>
          </w:p>
          <w:p>
            <w:pPr>
              <w:adjustRightInd w:val="0"/>
              <w:snapToGrid w:val="0"/>
              <w:spacing w:line="400" w:lineRule="exact"/>
              <w:ind w:firstLine="420" w:firstLineChars="200"/>
              <w:rPr>
                <w:bCs/>
                <w:szCs w:val="21"/>
              </w:rPr>
            </w:pPr>
            <w:r>
              <w:rPr>
                <w:rFonts w:hint="eastAsia"/>
                <w:bCs/>
                <w:szCs w:val="21"/>
              </w:rPr>
              <w:t>本项目主要</w:t>
            </w:r>
            <w:r>
              <w:rPr>
                <w:rFonts w:hint="eastAsia"/>
                <w:bCs/>
                <w:szCs w:val="21"/>
                <w:lang w:val="en-US" w:eastAsia="zh-CN"/>
              </w:rPr>
              <w:t>为甲醇</w:t>
            </w:r>
            <w:r>
              <w:rPr>
                <w:rFonts w:hint="eastAsia"/>
                <w:bCs/>
                <w:szCs w:val="21"/>
              </w:rPr>
              <w:t>在</w:t>
            </w:r>
            <w:r>
              <w:rPr>
                <w:rFonts w:hint="eastAsia"/>
                <w:bCs/>
                <w:szCs w:val="21"/>
                <w:lang w:val="en-US" w:eastAsia="zh-CN"/>
              </w:rPr>
              <w:t>预涂膜车间南侧库房及生产车间内</w:t>
            </w:r>
            <w:r>
              <w:rPr>
                <w:rFonts w:hint="eastAsia"/>
                <w:bCs/>
                <w:szCs w:val="21"/>
              </w:rPr>
              <w:t>存放，以及废活性炭、废过滤棉等，因上述物质中含有危险成分，考虑高温或明火可能引发火灾，继而产伴生/生次生污染物排放。</w:t>
            </w:r>
          </w:p>
          <w:p>
            <w:pPr>
              <w:spacing w:line="400" w:lineRule="exact"/>
              <w:jc w:val="center"/>
              <w:rPr>
                <w:b/>
                <w:szCs w:val="21"/>
              </w:rPr>
            </w:pPr>
            <w:r>
              <w:rPr>
                <w:rFonts w:hint="eastAsia"/>
                <w:b/>
                <w:szCs w:val="21"/>
              </w:rPr>
              <w:t>表</w:t>
            </w:r>
            <w:r>
              <w:rPr>
                <w:b/>
                <w:szCs w:val="21"/>
              </w:rPr>
              <w:t>4-</w:t>
            </w:r>
            <w:r>
              <w:rPr>
                <w:rFonts w:hint="eastAsia"/>
                <w:b/>
                <w:szCs w:val="21"/>
                <w:lang w:val="en-US" w:eastAsia="zh-CN"/>
              </w:rPr>
              <w:t>19</w:t>
            </w:r>
            <w:r>
              <w:rPr>
                <w:b/>
                <w:szCs w:val="21"/>
              </w:rPr>
              <w:t xml:space="preserve">  </w:t>
            </w:r>
            <w:r>
              <w:rPr>
                <w:rFonts w:hint="eastAsia"/>
                <w:b/>
                <w:szCs w:val="21"/>
              </w:rPr>
              <w:t xml:space="preserve"> 事故情形分析</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6"/>
              <w:gridCol w:w="851"/>
              <w:gridCol w:w="2806"/>
              <w:gridCol w:w="1663"/>
              <w:gridCol w:w="11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936" w:type="pct"/>
                  <w:shd w:val="clear" w:color="auto" w:fill="auto"/>
                  <w:vAlign w:val="center"/>
                </w:tcPr>
                <w:p>
                  <w:pPr>
                    <w:adjustRightInd w:val="0"/>
                    <w:snapToGrid w:val="0"/>
                    <w:jc w:val="center"/>
                    <w:rPr>
                      <w:bCs/>
                      <w:szCs w:val="21"/>
                    </w:rPr>
                  </w:pPr>
                  <w:r>
                    <w:rPr>
                      <w:rFonts w:hint="eastAsia"/>
                      <w:bCs/>
                      <w:szCs w:val="21"/>
                    </w:rPr>
                    <w:t>风险物质</w:t>
                  </w:r>
                </w:p>
              </w:tc>
              <w:tc>
                <w:tcPr>
                  <w:tcW w:w="536" w:type="pct"/>
                  <w:shd w:val="clear" w:color="auto" w:fill="auto"/>
                  <w:vAlign w:val="center"/>
                </w:tcPr>
                <w:p>
                  <w:pPr>
                    <w:adjustRightInd w:val="0"/>
                    <w:snapToGrid w:val="0"/>
                    <w:jc w:val="center"/>
                    <w:rPr>
                      <w:bCs/>
                      <w:szCs w:val="21"/>
                    </w:rPr>
                  </w:pPr>
                  <w:r>
                    <w:rPr>
                      <w:rFonts w:hint="eastAsia"/>
                      <w:bCs/>
                      <w:szCs w:val="21"/>
                    </w:rPr>
                    <w:t>分布</w:t>
                  </w:r>
                </w:p>
              </w:tc>
              <w:tc>
                <w:tcPr>
                  <w:tcW w:w="1767" w:type="pct"/>
                  <w:vAlign w:val="center"/>
                </w:tcPr>
                <w:p>
                  <w:pPr>
                    <w:adjustRightInd w:val="0"/>
                    <w:snapToGrid w:val="0"/>
                    <w:jc w:val="center"/>
                    <w:rPr>
                      <w:bCs/>
                      <w:szCs w:val="21"/>
                    </w:rPr>
                  </w:pPr>
                  <w:r>
                    <w:rPr>
                      <w:rFonts w:hint="eastAsia"/>
                      <w:bCs/>
                      <w:szCs w:val="21"/>
                    </w:rPr>
                    <w:t>事故触发因素</w:t>
                  </w:r>
                </w:p>
              </w:tc>
              <w:tc>
                <w:tcPr>
                  <w:tcW w:w="1047" w:type="pct"/>
                  <w:vAlign w:val="center"/>
                </w:tcPr>
                <w:p>
                  <w:pPr>
                    <w:adjustRightInd w:val="0"/>
                    <w:snapToGrid w:val="0"/>
                    <w:jc w:val="center"/>
                    <w:rPr>
                      <w:bCs/>
                      <w:szCs w:val="21"/>
                    </w:rPr>
                  </w:pPr>
                  <w:r>
                    <w:rPr>
                      <w:rFonts w:hint="eastAsia"/>
                      <w:bCs/>
                      <w:szCs w:val="21"/>
                    </w:rPr>
                    <w:t>事故类型</w:t>
                  </w:r>
                </w:p>
              </w:tc>
              <w:tc>
                <w:tcPr>
                  <w:tcW w:w="711" w:type="pct"/>
                  <w:vAlign w:val="center"/>
                </w:tcPr>
                <w:p>
                  <w:pPr>
                    <w:adjustRightInd w:val="0"/>
                    <w:snapToGrid w:val="0"/>
                    <w:jc w:val="center"/>
                    <w:rPr>
                      <w:bCs/>
                      <w:szCs w:val="21"/>
                    </w:rPr>
                  </w:pPr>
                  <w:r>
                    <w:rPr>
                      <w:rFonts w:hint="eastAsia"/>
                      <w:bCs/>
                      <w:szCs w:val="21"/>
                    </w:rPr>
                    <w:t>影响途径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36" w:type="pct"/>
                  <w:vMerge w:val="restart"/>
                  <w:tcBorders>
                    <w:bottom w:val="single" w:color="auto" w:sz="4" w:space="0"/>
                  </w:tcBorders>
                  <w:shd w:val="clear" w:color="auto" w:fill="auto"/>
                  <w:vAlign w:val="center"/>
                </w:tcPr>
                <w:p>
                  <w:pPr>
                    <w:snapToGrid w:val="0"/>
                    <w:jc w:val="center"/>
                    <w:rPr>
                      <w:rFonts w:hint="eastAsia" w:eastAsia="宋体"/>
                      <w:szCs w:val="21"/>
                      <w:lang w:eastAsia="zh-CN"/>
                    </w:rPr>
                  </w:pPr>
                  <w:r>
                    <w:rPr>
                      <w:rFonts w:hint="eastAsia"/>
                      <w:szCs w:val="21"/>
                      <w:lang w:val="en-US" w:eastAsia="zh-CN"/>
                    </w:rPr>
                    <w:t>甲醇</w:t>
                  </w:r>
                </w:p>
              </w:tc>
              <w:tc>
                <w:tcPr>
                  <w:tcW w:w="536" w:type="pct"/>
                  <w:vMerge w:val="restart"/>
                  <w:shd w:val="clear" w:color="auto" w:fill="auto"/>
                  <w:vAlign w:val="center"/>
                </w:tcPr>
                <w:p>
                  <w:pPr>
                    <w:adjustRightInd w:val="0"/>
                    <w:snapToGrid w:val="0"/>
                    <w:jc w:val="center"/>
                    <w:rPr>
                      <w:bCs/>
                      <w:szCs w:val="21"/>
                    </w:rPr>
                  </w:pPr>
                  <w:r>
                    <w:rPr>
                      <w:rFonts w:hint="eastAsia"/>
                      <w:bCs/>
                      <w:szCs w:val="21"/>
                      <w:lang w:val="en-US" w:eastAsia="zh-CN"/>
                    </w:rPr>
                    <w:t>预涂膜车间南侧库房及生产车间内</w:t>
                  </w:r>
                </w:p>
              </w:tc>
              <w:tc>
                <w:tcPr>
                  <w:tcW w:w="1767" w:type="pct"/>
                  <w:tcBorders>
                    <w:bottom w:val="single" w:color="auto" w:sz="4" w:space="0"/>
                  </w:tcBorders>
                  <w:vAlign w:val="center"/>
                </w:tcPr>
                <w:p>
                  <w:pPr>
                    <w:adjustRightInd w:val="0"/>
                    <w:snapToGrid w:val="0"/>
                    <w:jc w:val="center"/>
                    <w:rPr>
                      <w:bCs/>
                      <w:szCs w:val="21"/>
                    </w:rPr>
                  </w:pPr>
                  <w:r>
                    <w:rPr>
                      <w:rFonts w:hint="eastAsia"/>
                      <w:bCs/>
                      <w:szCs w:val="21"/>
                    </w:rPr>
                    <w:t>人为或意外造成容器、设备破损，物料转移过程遗撒</w:t>
                  </w:r>
                </w:p>
              </w:tc>
              <w:tc>
                <w:tcPr>
                  <w:tcW w:w="1047" w:type="pct"/>
                  <w:tcBorders>
                    <w:bottom w:val="single" w:color="auto" w:sz="4" w:space="0"/>
                  </w:tcBorders>
                  <w:vAlign w:val="center"/>
                </w:tcPr>
                <w:p>
                  <w:pPr>
                    <w:adjustRightInd w:val="0"/>
                    <w:snapToGrid w:val="0"/>
                    <w:jc w:val="center"/>
                    <w:rPr>
                      <w:bCs/>
                      <w:szCs w:val="21"/>
                    </w:rPr>
                  </w:pPr>
                  <w:r>
                    <w:rPr>
                      <w:rFonts w:hint="eastAsia"/>
                      <w:bCs/>
                      <w:szCs w:val="21"/>
                    </w:rPr>
                    <w:t>泄露</w:t>
                  </w:r>
                </w:p>
              </w:tc>
              <w:tc>
                <w:tcPr>
                  <w:tcW w:w="711" w:type="pct"/>
                  <w:tcBorders>
                    <w:bottom w:val="single" w:color="auto" w:sz="4" w:space="0"/>
                  </w:tcBorders>
                  <w:vAlign w:val="center"/>
                </w:tcPr>
                <w:p>
                  <w:pPr>
                    <w:adjustRightInd w:val="0"/>
                    <w:snapToGrid w:val="0"/>
                    <w:jc w:val="center"/>
                    <w:rPr>
                      <w:bCs/>
                      <w:szCs w:val="21"/>
                    </w:rPr>
                  </w:pPr>
                  <w:r>
                    <w:rPr>
                      <w:rFonts w:hint="eastAsia"/>
                      <w:bCs/>
                      <w:szCs w:val="21"/>
                    </w:rPr>
                    <w:t>土壤入渗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936" w:type="pct"/>
                  <w:vMerge w:val="continue"/>
                  <w:shd w:val="clear" w:color="auto" w:fill="auto"/>
                  <w:vAlign w:val="center"/>
                </w:tcPr>
                <w:p>
                  <w:pPr>
                    <w:snapToGrid w:val="0"/>
                    <w:jc w:val="center"/>
                    <w:rPr>
                      <w:szCs w:val="21"/>
                    </w:rPr>
                  </w:pPr>
                </w:p>
              </w:tc>
              <w:tc>
                <w:tcPr>
                  <w:tcW w:w="536" w:type="pct"/>
                  <w:vMerge w:val="continue"/>
                  <w:shd w:val="clear" w:color="auto" w:fill="auto"/>
                  <w:vAlign w:val="center"/>
                </w:tcPr>
                <w:p>
                  <w:pPr>
                    <w:adjustRightInd w:val="0"/>
                    <w:snapToGrid w:val="0"/>
                    <w:jc w:val="center"/>
                    <w:rPr>
                      <w:bCs/>
                      <w:szCs w:val="21"/>
                    </w:rPr>
                  </w:pPr>
                </w:p>
              </w:tc>
              <w:tc>
                <w:tcPr>
                  <w:tcW w:w="1767" w:type="pct"/>
                  <w:vAlign w:val="center"/>
                </w:tcPr>
                <w:p>
                  <w:pPr>
                    <w:adjustRightInd w:val="0"/>
                    <w:snapToGrid w:val="0"/>
                    <w:jc w:val="center"/>
                    <w:rPr>
                      <w:bCs/>
                      <w:szCs w:val="21"/>
                    </w:rPr>
                  </w:pPr>
                  <w:r>
                    <w:rPr>
                      <w:rFonts w:hint="eastAsia"/>
                      <w:bCs/>
                      <w:szCs w:val="21"/>
                    </w:rPr>
                    <w:t>泄露后遇高温或明火引发火灾</w:t>
                  </w:r>
                </w:p>
              </w:tc>
              <w:tc>
                <w:tcPr>
                  <w:tcW w:w="1047" w:type="pct"/>
                  <w:vAlign w:val="center"/>
                </w:tcPr>
                <w:p>
                  <w:pPr>
                    <w:adjustRightInd w:val="0"/>
                    <w:snapToGrid w:val="0"/>
                    <w:jc w:val="center"/>
                    <w:rPr>
                      <w:bCs/>
                      <w:szCs w:val="21"/>
                    </w:rPr>
                  </w:pPr>
                  <w:r>
                    <w:rPr>
                      <w:rFonts w:hint="eastAsia"/>
                      <w:bCs/>
                      <w:szCs w:val="21"/>
                    </w:rPr>
                    <w:t>火灾造成的次生污染物排放</w:t>
                  </w:r>
                </w:p>
              </w:tc>
              <w:tc>
                <w:tcPr>
                  <w:tcW w:w="711" w:type="pct"/>
                  <w:vAlign w:val="center"/>
                </w:tcPr>
                <w:p>
                  <w:pPr>
                    <w:adjustRightInd w:val="0"/>
                    <w:snapToGrid w:val="0"/>
                    <w:jc w:val="center"/>
                    <w:rPr>
                      <w:bCs/>
                      <w:szCs w:val="21"/>
                    </w:rPr>
                  </w:pPr>
                  <w:r>
                    <w:rPr>
                      <w:rFonts w:hint="eastAsia"/>
                      <w:bCs/>
                      <w:szCs w:val="21"/>
                    </w:rPr>
                    <w:t>大气扩散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36" w:type="pct"/>
                  <w:vMerge w:val="restart"/>
                  <w:tcBorders>
                    <w:bottom w:val="single" w:color="auto" w:sz="4" w:space="0"/>
                  </w:tcBorders>
                  <w:shd w:val="clear" w:color="auto" w:fill="auto"/>
                  <w:vAlign w:val="center"/>
                </w:tcPr>
                <w:p>
                  <w:pPr>
                    <w:snapToGrid w:val="0"/>
                    <w:jc w:val="center"/>
                    <w:rPr>
                      <w:szCs w:val="21"/>
                    </w:rPr>
                  </w:pPr>
                  <w:r>
                    <w:rPr>
                      <w:rFonts w:hint="eastAsia"/>
                      <w:szCs w:val="21"/>
                    </w:rPr>
                    <w:t>废活性炭、废过滤棉</w:t>
                  </w:r>
                </w:p>
              </w:tc>
              <w:tc>
                <w:tcPr>
                  <w:tcW w:w="536" w:type="pct"/>
                  <w:vMerge w:val="restart"/>
                  <w:tcBorders>
                    <w:bottom w:val="single" w:color="auto" w:sz="4" w:space="0"/>
                  </w:tcBorders>
                  <w:shd w:val="clear" w:color="auto" w:fill="auto"/>
                  <w:vAlign w:val="center"/>
                </w:tcPr>
                <w:p>
                  <w:pPr>
                    <w:adjustRightInd w:val="0"/>
                    <w:snapToGrid w:val="0"/>
                    <w:jc w:val="center"/>
                    <w:rPr>
                      <w:bCs/>
                      <w:szCs w:val="21"/>
                    </w:rPr>
                  </w:pPr>
                  <w:r>
                    <w:rPr>
                      <w:rFonts w:hint="eastAsia"/>
                      <w:bCs/>
                      <w:szCs w:val="21"/>
                    </w:rPr>
                    <w:t>危废间</w:t>
                  </w:r>
                </w:p>
              </w:tc>
              <w:tc>
                <w:tcPr>
                  <w:tcW w:w="1767" w:type="pct"/>
                  <w:tcBorders>
                    <w:bottom w:val="single" w:color="auto" w:sz="4" w:space="0"/>
                  </w:tcBorders>
                  <w:vAlign w:val="center"/>
                </w:tcPr>
                <w:p>
                  <w:pPr>
                    <w:adjustRightInd w:val="0"/>
                    <w:snapToGrid w:val="0"/>
                    <w:jc w:val="center"/>
                    <w:rPr>
                      <w:bCs/>
                      <w:szCs w:val="21"/>
                    </w:rPr>
                  </w:pPr>
                  <w:r>
                    <w:rPr>
                      <w:rFonts w:hint="eastAsia"/>
                      <w:bCs/>
                      <w:szCs w:val="21"/>
                    </w:rPr>
                    <w:t>人为或意外造成容器、设备破损，物料转移过程遗撒</w:t>
                  </w:r>
                </w:p>
              </w:tc>
              <w:tc>
                <w:tcPr>
                  <w:tcW w:w="1047" w:type="pct"/>
                  <w:tcBorders>
                    <w:bottom w:val="single" w:color="auto" w:sz="4" w:space="0"/>
                  </w:tcBorders>
                  <w:vAlign w:val="center"/>
                </w:tcPr>
                <w:p>
                  <w:pPr>
                    <w:adjustRightInd w:val="0"/>
                    <w:snapToGrid w:val="0"/>
                    <w:jc w:val="center"/>
                    <w:rPr>
                      <w:bCs/>
                      <w:szCs w:val="21"/>
                    </w:rPr>
                  </w:pPr>
                  <w:r>
                    <w:rPr>
                      <w:rFonts w:hint="eastAsia"/>
                      <w:bCs/>
                      <w:szCs w:val="21"/>
                    </w:rPr>
                    <w:t>泄露</w:t>
                  </w:r>
                </w:p>
              </w:tc>
              <w:tc>
                <w:tcPr>
                  <w:tcW w:w="711" w:type="pct"/>
                  <w:tcBorders>
                    <w:bottom w:val="single" w:color="auto" w:sz="4" w:space="0"/>
                  </w:tcBorders>
                  <w:vAlign w:val="center"/>
                </w:tcPr>
                <w:p>
                  <w:pPr>
                    <w:adjustRightInd w:val="0"/>
                    <w:snapToGrid w:val="0"/>
                    <w:jc w:val="center"/>
                    <w:rPr>
                      <w:bCs/>
                      <w:szCs w:val="21"/>
                    </w:rPr>
                  </w:pPr>
                  <w:r>
                    <w:rPr>
                      <w:rFonts w:hint="eastAsia"/>
                      <w:bCs/>
                      <w:szCs w:val="21"/>
                    </w:rPr>
                    <w:t>土壤入渗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936" w:type="pct"/>
                  <w:vMerge w:val="continue"/>
                  <w:shd w:val="clear" w:color="auto" w:fill="auto"/>
                  <w:vAlign w:val="center"/>
                </w:tcPr>
                <w:p>
                  <w:pPr>
                    <w:snapToGrid w:val="0"/>
                    <w:jc w:val="center"/>
                    <w:rPr>
                      <w:szCs w:val="21"/>
                    </w:rPr>
                  </w:pPr>
                </w:p>
              </w:tc>
              <w:tc>
                <w:tcPr>
                  <w:tcW w:w="536" w:type="pct"/>
                  <w:vMerge w:val="continue"/>
                  <w:shd w:val="clear" w:color="auto" w:fill="auto"/>
                  <w:vAlign w:val="center"/>
                </w:tcPr>
                <w:p>
                  <w:pPr>
                    <w:adjustRightInd w:val="0"/>
                    <w:snapToGrid w:val="0"/>
                    <w:jc w:val="center"/>
                    <w:rPr>
                      <w:bCs/>
                      <w:szCs w:val="21"/>
                    </w:rPr>
                  </w:pPr>
                </w:p>
              </w:tc>
              <w:tc>
                <w:tcPr>
                  <w:tcW w:w="1767" w:type="pct"/>
                  <w:vAlign w:val="center"/>
                </w:tcPr>
                <w:p>
                  <w:pPr>
                    <w:adjustRightInd w:val="0"/>
                    <w:snapToGrid w:val="0"/>
                    <w:jc w:val="center"/>
                    <w:rPr>
                      <w:bCs/>
                      <w:szCs w:val="21"/>
                    </w:rPr>
                  </w:pPr>
                  <w:r>
                    <w:rPr>
                      <w:rFonts w:hint="eastAsia"/>
                      <w:bCs/>
                      <w:szCs w:val="21"/>
                    </w:rPr>
                    <w:t>泄露后遇高温或明火引发火灾</w:t>
                  </w:r>
                </w:p>
              </w:tc>
              <w:tc>
                <w:tcPr>
                  <w:tcW w:w="1047" w:type="pct"/>
                  <w:vAlign w:val="center"/>
                </w:tcPr>
                <w:p>
                  <w:pPr>
                    <w:adjustRightInd w:val="0"/>
                    <w:snapToGrid w:val="0"/>
                    <w:jc w:val="center"/>
                    <w:rPr>
                      <w:bCs/>
                      <w:szCs w:val="21"/>
                    </w:rPr>
                  </w:pPr>
                  <w:r>
                    <w:rPr>
                      <w:rFonts w:hint="eastAsia"/>
                      <w:bCs/>
                      <w:szCs w:val="21"/>
                    </w:rPr>
                    <w:t>火灾造成的次生污染物排放</w:t>
                  </w:r>
                </w:p>
              </w:tc>
              <w:tc>
                <w:tcPr>
                  <w:tcW w:w="711" w:type="pct"/>
                  <w:vAlign w:val="center"/>
                </w:tcPr>
                <w:p>
                  <w:pPr>
                    <w:adjustRightInd w:val="0"/>
                    <w:snapToGrid w:val="0"/>
                    <w:jc w:val="center"/>
                    <w:rPr>
                      <w:bCs/>
                      <w:szCs w:val="21"/>
                    </w:rPr>
                  </w:pPr>
                  <w:r>
                    <w:rPr>
                      <w:rFonts w:hint="eastAsia"/>
                      <w:bCs/>
                      <w:szCs w:val="21"/>
                    </w:rPr>
                    <w:t>大气扩散</w:t>
                  </w:r>
                </w:p>
              </w:tc>
            </w:tr>
          </w:tbl>
          <w:p>
            <w:pPr>
              <w:adjustRightInd w:val="0"/>
              <w:snapToGrid w:val="0"/>
              <w:spacing w:line="400" w:lineRule="exact"/>
              <w:ind w:firstLine="420" w:firstLineChars="200"/>
              <w:rPr>
                <w:bCs/>
                <w:szCs w:val="21"/>
              </w:rPr>
            </w:pPr>
            <w:r>
              <w:rPr>
                <w:rFonts w:hint="eastAsia"/>
                <w:bCs/>
                <w:szCs w:val="21"/>
              </w:rPr>
              <w:t>（</w:t>
            </w:r>
            <w:r>
              <w:rPr>
                <w:bCs/>
                <w:szCs w:val="21"/>
              </w:rPr>
              <w:t>3</w:t>
            </w:r>
            <w:r>
              <w:rPr>
                <w:rFonts w:hint="eastAsia"/>
                <w:bCs/>
                <w:szCs w:val="21"/>
              </w:rPr>
              <w:t>）风险防范措施</w:t>
            </w:r>
          </w:p>
          <w:p>
            <w:pPr>
              <w:adjustRightInd w:val="0"/>
              <w:snapToGrid w:val="0"/>
              <w:spacing w:line="400" w:lineRule="exact"/>
              <w:ind w:firstLine="420" w:firstLineChars="200"/>
              <w:rPr>
                <w:bCs/>
                <w:szCs w:val="21"/>
              </w:rPr>
            </w:pPr>
            <w:r>
              <w:rPr>
                <w:rFonts w:hint="eastAsia"/>
                <w:bCs/>
                <w:szCs w:val="21"/>
              </w:rPr>
              <w:t xml:space="preserve">本次评价根据主要风险物质和风险源的分布，可能影响的途径，提出相应环境风险防范措施，具体如下： </w:t>
            </w:r>
          </w:p>
          <w:p>
            <w:pPr>
              <w:spacing w:line="400" w:lineRule="exact"/>
              <w:jc w:val="center"/>
              <w:rPr>
                <w:b/>
                <w:szCs w:val="21"/>
              </w:rPr>
            </w:pPr>
            <w:r>
              <w:rPr>
                <w:rFonts w:hint="eastAsia"/>
                <w:b/>
                <w:szCs w:val="21"/>
              </w:rPr>
              <w:t>表</w:t>
            </w:r>
            <w:r>
              <w:rPr>
                <w:b/>
                <w:szCs w:val="21"/>
              </w:rPr>
              <w:t>4-2</w:t>
            </w:r>
            <w:r>
              <w:rPr>
                <w:rFonts w:hint="eastAsia"/>
                <w:b/>
                <w:szCs w:val="21"/>
                <w:lang w:val="en-US" w:eastAsia="zh-CN"/>
              </w:rPr>
              <w:t>0</w:t>
            </w:r>
            <w:r>
              <w:rPr>
                <w:b/>
                <w:szCs w:val="21"/>
              </w:rPr>
              <w:t xml:space="preserve">  </w:t>
            </w:r>
            <w:r>
              <w:rPr>
                <w:rFonts w:hint="eastAsia"/>
                <w:b/>
                <w:szCs w:val="21"/>
              </w:rPr>
              <w:t>主要风险物质、风险源的分布、可能影响的途径及防范措施一览表</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9"/>
              <w:gridCol w:w="904"/>
              <w:gridCol w:w="1559"/>
              <w:gridCol w:w="4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812" w:type="pct"/>
                  <w:shd w:val="clear" w:color="auto" w:fill="auto"/>
                  <w:vAlign w:val="center"/>
                </w:tcPr>
                <w:p>
                  <w:pPr>
                    <w:adjustRightInd w:val="0"/>
                    <w:snapToGrid w:val="0"/>
                    <w:jc w:val="center"/>
                    <w:rPr>
                      <w:bCs/>
                      <w:szCs w:val="21"/>
                    </w:rPr>
                  </w:pPr>
                  <w:r>
                    <w:rPr>
                      <w:rFonts w:hint="eastAsia"/>
                      <w:bCs/>
                      <w:szCs w:val="21"/>
                    </w:rPr>
                    <w:t>风险物质</w:t>
                  </w:r>
                </w:p>
              </w:tc>
              <w:tc>
                <w:tcPr>
                  <w:tcW w:w="569" w:type="pct"/>
                  <w:shd w:val="clear" w:color="auto" w:fill="auto"/>
                  <w:vAlign w:val="center"/>
                </w:tcPr>
                <w:p>
                  <w:pPr>
                    <w:adjustRightInd w:val="0"/>
                    <w:snapToGrid w:val="0"/>
                    <w:jc w:val="center"/>
                    <w:rPr>
                      <w:bCs/>
                      <w:szCs w:val="21"/>
                    </w:rPr>
                  </w:pPr>
                  <w:r>
                    <w:rPr>
                      <w:rFonts w:hint="eastAsia"/>
                      <w:bCs/>
                      <w:szCs w:val="21"/>
                    </w:rPr>
                    <w:t>分布</w:t>
                  </w:r>
                </w:p>
              </w:tc>
              <w:tc>
                <w:tcPr>
                  <w:tcW w:w="982" w:type="pct"/>
                  <w:vAlign w:val="center"/>
                </w:tcPr>
                <w:p>
                  <w:pPr>
                    <w:adjustRightInd w:val="0"/>
                    <w:snapToGrid w:val="0"/>
                    <w:jc w:val="center"/>
                    <w:rPr>
                      <w:bCs/>
                      <w:szCs w:val="21"/>
                    </w:rPr>
                  </w:pPr>
                  <w:r>
                    <w:rPr>
                      <w:rFonts w:hint="eastAsia"/>
                      <w:bCs/>
                      <w:szCs w:val="21"/>
                    </w:rPr>
                    <w:t>事故类型</w:t>
                  </w:r>
                </w:p>
              </w:tc>
              <w:tc>
                <w:tcPr>
                  <w:tcW w:w="2636" w:type="pct"/>
                  <w:vAlign w:val="center"/>
                </w:tcPr>
                <w:p>
                  <w:pPr>
                    <w:adjustRightInd w:val="0"/>
                    <w:snapToGrid w:val="0"/>
                    <w:jc w:val="center"/>
                    <w:rPr>
                      <w:bCs/>
                      <w:szCs w:val="21"/>
                    </w:rPr>
                  </w:pPr>
                  <w:r>
                    <w:rPr>
                      <w:rFonts w:hint="eastAsia"/>
                      <w:bCs/>
                      <w:szCs w:val="21"/>
                    </w:rPr>
                    <w:t>采取的措施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812" w:type="pct"/>
                  <w:shd w:val="clear" w:color="auto" w:fill="auto"/>
                  <w:vAlign w:val="center"/>
                </w:tcPr>
                <w:p>
                  <w:pPr>
                    <w:snapToGrid w:val="0"/>
                    <w:jc w:val="center"/>
                    <w:rPr>
                      <w:rFonts w:hint="eastAsia" w:eastAsia="宋体"/>
                      <w:szCs w:val="21"/>
                      <w:lang w:eastAsia="zh-CN"/>
                    </w:rPr>
                  </w:pPr>
                  <w:r>
                    <w:rPr>
                      <w:rFonts w:hint="eastAsia"/>
                      <w:szCs w:val="21"/>
                      <w:lang w:val="en-US" w:eastAsia="zh-CN"/>
                    </w:rPr>
                    <w:t>甲醇</w:t>
                  </w:r>
                </w:p>
              </w:tc>
              <w:tc>
                <w:tcPr>
                  <w:tcW w:w="569" w:type="pct"/>
                  <w:shd w:val="clear" w:color="auto" w:fill="auto"/>
                  <w:vAlign w:val="center"/>
                </w:tcPr>
                <w:p>
                  <w:pPr>
                    <w:adjustRightInd w:val="0"/>
                    <w:snapToGrid w:val="0"/>
                    <w:jc w:val="center"/>
                    <w:rPr>
                      <w:bCs/>
                      <w:szCs w:val="21"/>
                    </w:rPr>
                  </w:pPr>
                  <w:r>
                    <w:rPr>
                      <w:rFonts w:hint="eastAsia"/>
                      <w:bCs/>
                      <w:szCs w:val="21"/>
                      <w:lang w:val="en-US" w:eastAsia="zh-CN"/>
                    </w:rPr>
                    <w:t>预涂膜车间南侧库房及生产车间内</w:t>
                  </w:r>
                </w:p>
              </w:tc>
              <w:tc>
                <w:tcPr>
                  <w:tcW w:w="982" w:type="pct"/>
                  <w:vAlign w:val="center"/>
                </w:tcPr>
                <w:p>
                  <w:pPr>
                    <w:adjustRightInd w:val="0"/>
                    <w:snapToGrid w:val="0"/>
                    <w:jc w:val="center"/>
                    <w:rPr>
                      <w:bCs/>
                      <w:szCs w:val="21"/>
                    </w:rPr>
                  </w:pPr>
                  <w:r>
                    <w:rPr>
                      <w:rFonts w:hint="eastAsia"/>
                      <w:bCs/>
                      <w:szCs w:val="21"/>
                    </w:rPr>
                    <w:t>泄露、火灾造成的次生污染物排放</w:t>
                  </w:r>
                </w:p>
              </w:tc>
              <w:tc>
                <w:tcPr>
                  <w:tcW w:w="2636" w:type="pct"/>
                  <w:vAlign w:val="center"/>
                </w:tcPr>
                <w:p>
                  <w:pPr>
                    <w:adjustRightInd w:val="0"/>
                    <w:snapToGrid w:val="0"/>
                    <w:jc w:val="center"/>
                    <w:rPr>
                      <w:bCs/>
                      <w:szCs w:val="21"/>
                    </w:rPr>
                  </w:pPr>
                  <w:r>
                    <w:rPr>
                      <w:rFonts w:hint="eastAsia"/>
                      <w:bCs/>
                      <w:szCs w:val="21"/>
                    </w:rPr>
                    <w:t>贮存、使用按照操作规程进行，生产设施底部、贮存设施处，设置围堰或防渗托盘；</w:t>
                  </w:r>
                </w:p>
                <w:p>
                  <w:pPr>
                    <w:adjustRightInd w:val="0"/>
                    <w:snapToGrid w:val="0"/>
                    <w:jc w:val="center"/>
                    <w:rPr>
                      <w:bCs/>
                      <w:szCs w:val="21"/>
                    </w:rPr>
                  </w:pPr>
                  <w:r>
                    <w:rPr>
                      <w:rFonts w:hint="eastAsia"/>
                      <w:bCs/>
                      <w:szCs w:val="21"/>
                    </w:rPr>
                    <w:t>加强日常管理；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812" w:type="pct"/>
                  <w:vMerge w:val="restart"/>
                  <w:tcBorders>
                    <w:bottom w:val="single" w:color="auto" w:sz="4" w:space="0"/>
                  </w:tcBorders>
                  <w:shd w:val="clear" w:color="auto" w:fill="auto"/>
                  <w:vAlign w:val="center"/>
                </w:tcPr>
                <w:p>
                  <w:pPr>
                    <w:snapToGrid w:val="0"/>
                    <w:jc w:val="center"/>
                    <w:rPr>
                      <w:szCs w:val="21"/>
                    </w:rPr>
                  </w:pPr>
                  <w:r>
                    <w:rPr>
                      <w:rFonts w:hint="eastAsia"/>
                      <w:szCs w:val="21"/>
                    </w:rPr>
                    <w:t>废活性炭、废过滤棉</w:t>
                  </w:r>
                </w:p>
              </w:tc>
              <w:tc>
                <w:tcPr>
                  <w:tcW w:w="569" w:type="pct"/>
                  <w:vMerge w:val="restart"/>
                  <w:tcBorders>
                    <w:bottom w:val="single" w:color="auto" w:sz="4" w:space="0"/>
                  </w:tcBorders>
                  <w:shd w:val="clear" w:color="auto" w:fill="auto"/>
                  <w:vAlign w:val="center"/>
                </w:tcPr>
                <w:p>
                  <w:pPr>
                    <w:adjustRightInd w:val="0"/>
                    <w:snapToGrid w:val="0"/>
                    <w:jc w:val="center"/>
                    <w:rPr>
                      <w:bCs/>
                      <w:szCs w:val="21"/>
                    </w:rPr>
                  </w:pPr>
                  <w:r>
                    <w:rPr>
                      <w:rFonts w:hint="eastAsia"/>
                      <w:bCs/>
                      <w:szCs w:val="21"/>
                    </w:rPr>
                    <w:t>危废间</w:t>
                  </w:r>
                </w:p>
              </w:tc>
              <w:tc>
                <w:tcPr>
                  <w:tcW w:w="982" w:type="pct"/>
                  <w:tcBorders>
                    <w:bottom w:val="single" w:color="auto" w:sz="4" w:space="0"/>
                  </w:tcBorders>
                  <w:vAlign w:val="center"/>
                </w:tcPr>
                <w:p>
                  <w:pPr>
                    <w:adjustRightInd w:val="0"/>
                    <w:snapToGrid w:val="0"/>
                    <w:jc w:val="center"/>
                    <w:rPr>
                      <w:bCs/>
                      <w:szCs w:val="21"/>
                    </w:rPr>
                  </w:pPr>
                  <w:r>
                    <w:rPr>
                      <w:rFonts w:hint="eastAsia"/>
                      <w:bCs/>
                      <w:szCs w:val="21"/>
                    </w:rPr>
                    <w:t>泄露</w:t>
                  </w:r>
                </w:p>
              </w:tc>
              <w:tc>
                <w:tcPr>
                  <w:tcW w:w="2636" w:type="pct"/>
                  <w:tcBorders>
                    <w:bottom w:val="single" w:color="auto" w:sz="4" w:space="0"/>
                  </w:tcBorders>
                  <w:vAlign w:val="center"/>
                </w:tcPr>
                <w:p>
                  <w:pPr>
                    <w:adjustRightInd w:val="0"/>
                    <w:snapToGrid w:val="0"/>
                    <w:jc w:val="center"/>
                    <w:rPr>
                      <w:bCs/>
                      <w:szCs w:val="21"/>
                    </w:rPr>
                  </w:pPr>
                  <w:r>
                    <w:rPr>
                      <w:rFonts w:hint="eastAsia"/>
                      <w:bCs/>
                      <w:szCs w:val="21"/>
                    </w:rPr>
                    <w:t>危废间严格按照</w:t>
                  </w:r>
                  <w:r>
                    <w:rPr>
                      <w:bCs/>
                      <w:szCs w:val="21"/>
                    </w:rPr>
                    <w:t>《危险废物贮存污染控制标准》(GB18597-2023)相关要求</w:t>
                  </w:r>
                  <w:r>
                    <w:rPr>
                      <w:rFonts w:hint="eastAsia"/>
                      <w:bCs/>
                      <w:szCs w:val="21"/>
                    </w:rPr>
                    <w:t>建设，做好防渗措施；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812" w:type="pct"/>
                  <w:vMerge w:val="continue"/>
                  <w:shd w:val="clear" w:color="auto" w:fill="auto"/>
                  <w:vAlign w:val="center"/>
                </w:tcPr>
                <w:p>
                  <w:pPr>
                    <w:snapToGrid w:val="0"/>
                    <w:jc w:val="center"/>
                    <w:rPr>
                      <w:szCs w:val="21"/>
                    </w:rPr>
                  </w:pPr>
                </w:p>
              </w:tc>
              <w:tc>
                <w:tcPr>
                  <w:tcW w:w="569" w:type="pct"/>
                  <w:vMerge w:val="continue"/>
                  <w:shd w:val="clear" w:color="auto" w:fill="auto"/>
                  <w:vAlign w:val="center"/>
                </w:tcPr>
                <w:p>
                  <w:pPr>
                    <w:adjustRightInd w:val="0"/>
                    <w:snapToGrid w:val="0"/>
                    <w:jc w:val="center"/>
                    <w:rPr>
                      <w:bCs/>
                      <w:szCs w:val="21"/>
                    </w:rPr>
                  </w:pPr>
                </w:p>
              </w:tc>
              <w:tc>
                <w:tcPr>
                  <w:tcW w:w="982" w:type="pct"/>
                  <w:vAlign w:val="center"/>
                </w:tcPr>
                <w:p>
                  <w:pPr>
                    <w:adjustRightInd w:val="0"/>
                    <w:snapToGrid w:val="0"/>
                    <w:jc w:val="center"/>
                    <w:rPr>
                      <w:bCs/>
                      <w:szCs w:val="21"/>
                    </w:rPr>
                  </w:pPr>
                  <w:r>
                    <w:rPr>
                      <w:rFonts w:hint="eastAsia"/>
                      <w:bCs/>
                      <w:szCs w:val="21"/>
                    </w:rPr>
                    <w:t>火灾造成的次生污染物排放</w:t>
                  </w:r>
                </w:p>
              </w:tc>
              <w:tc>
                <w:tcPr>
                  <w:tcW w:w="2636" w:type="pct"/>
                  <w:vAlign w:val="center"/>
                </w:tcPr>
                <w:p>
                  <w:pPr>
                    <w:adjustRightInd w:val="0"/>
                    <w:snapToGrid w:val="0"/>
                    <w:jc w:val="center"/>
                    <w:rPr>
                      <w:bCs/>
                      <w:szCs w:val="21"/>
                    </w:rPr>
                  </w:pPr>
                  <w:r>
                    <w:rPr>
                      <w:rFonts w:hint="eastAsia"/>
                      <w:bCs/>
                      <w:szCs w:val="21"/>
                    </w:rPr>
                    <w:t>按照消防相关要求设置建筑物间防火间距、配备相应消防设施，加强日常管理</w:t>
                  </w:r>
                </w:p>
              </w:tc>
            </w:tr>
          </w:tbl>
          <w:p>
            <w:pPr>
              <w:adjustRightInd w:val="0"/>
              <w:snapToGrid w:val="0"/>
              <w:spacing w:line="400" w:lineRule="exact"/>
              <w:ind w:firstLine="420" w:firstLineChars="200"/>
              <w:rPr>
                <w:bCs/>
                <w:szCs w:val="21"/>
              </w:rPr>
            </w:pPr>
            <w:r>
              <w:rPr>
                <w:rFonts w:hint="eastAsia"/>
                <w:bCs/>
                <w:szCs w:val="21"/>
              </w:rPr>
              <w:t>（</w:t>
            </w:r>
            <w:r>
              <w:rPr>
                <w:bCs/>
                <w:szCs w:val="21"/>
              </w:rPr>
              <w:t>4</w:t>
            </w:r>
            <w:r>
              <w:rPr>
                <w:rFonts w:hint="eastAsia"/>
                <w:bCs/>
                <w:szCs w:val="21"/>
              </w:rPr>
              <w:t>）应急要求</w:t>
            </w:r>
          </w:p>
          <w:p>
            <w:pPr>
              <w:adjustRightInd w:val="0"/>
              <w:snapToGrid w:val="0"/>
              <w:spacing w:line="400" w:lineRule="exact"/>
              <w:ind w:firstLine="420" w:firstLineChars="200"/>
              <w:rPr>
                <w:bCs/>
                <w:szCs w:val="21"/>
              </w:rPr>
            </w:pPr>
            <w:r>
              <w:rPr>
                <w:rFonts w:hint="eastAsia"/>
                <w:bCs/>
                <w:szCs w:val="21"/>
              </w:rPr>
              <w:t>项目生产车间配备应急器材和个人防护用品，用于泄漏紧急抢险；设备定期检查和维修；操作人员要定时巡回检查，如有异常情况立即处理，另外，企业需按相关要求编制突发环境应急预案，并配备相应物质、制度，严格进行应急演练，加强日常管理的情况下，本项目建设的环境风险很小</w:t>
            </w:r>
            <w:r>
              <w:rPr>
                <w:bCs/>
                <w:szCs w:val="21"/>
              </w:rPr>
              <w:t>。</w:t>
            </w:r>
          </w:p>
          <w:p>
            <w:pPr>
              <w:adjustRightInd w:val="0"/>
              <w:snapToGrid w:val="0"/>
              <w:spacing w:line="400" w:lineRule="exact"/>
              <w:ind w:firstLine="422" w:firstLineChars="200"/>
              <w:rPr>
                <w:b/>
                <w:szCs w:val="21"/>
              </w:rPr>
            </w:pPr>
            <w:r>
              <w:rPr>
                <w:rFonts w:hint="eastAsia"/>
                <w:b/>
                <w:szCs w:val="21"/>
              </w:rPr>
              <w:t>八、碳排放</w:t>
            </w:r>
          </w:p>
          <w:p>
            <w:pPr>
              <w:adjustRightInd w:val="0"/>
              <w:snapToGrid w:val="0"/>
              <w:spacing w:line="400" w:lineRule="exact"/>
              <w:ind w:firstLine="420" w:firstLineChars="200"/>
              <w:rPr>
                <w:bCs/>
                <w:szCs w:val="21"/>
              </w:rPr>
            </w:pPr>
            <w:r>
              <w:rPr>
                <w:rFonts w:hint="eastAsia"/>
                <w:bCs/>
                <w:szCs w:val="21"/>
              </w:rPr>
              <w:t>根据《关于做好2022年企业温室气体排放报告管理相关重点工作的通知》（环办气候函〔2022〕111号）、《关于做好2022年企业温室气体排放报告管理相关重点工作的通知》（环办气候函〔2022〕111号）、《关于做好2</w:t>
            </w:r>
            <w:r>
              <w:rPr>
                <w:bCs/>
                <w:szCs w:val="21"/>
              </w:rPr>
              <w:t>023</w:t>
            </w:r>
            <w:r>
              <w:rPr>
                <w:rFonts w:hint="eastAsia"/>
                <w:bCs/>
                <w:szCs w:val="21"/>
              </w:rPr>
              <w:t>~</w:t>
            </w:r>
            <w:r>
              <w:rPr>
                <w:bCs/>
                <w:szCs w:val="21"/>
              </w:rPr>
              <w:t>2025</w:t>
            </w:r>
            <w:r>
              <w:rPr>
                <w:rFonts w:hint="eastAsia"/>
                <w:bCs/>
                <w:szCs w:val="21"/>
              </w:rPr>
              <w:t>年发电行业企业温室气体排放报告管理有关工作的通知》（环办气候函【2</w:t>
            </w:r>
            <w:r>
              <w:rPr>
                <w:bCs/>
                <w:szCs w:val="21"/>
              </w:rPr>
              <w:t>023</w:t>
            </w:r>
            <w:r>
              <w:rPr>
                <w:rFonts w:hint="eastAsia"/>
                <w:bCs/>
                <w:szCs w:val="21"/>
              </w:rPr>
              <w:t>】4</w:t>
            </w:r>
            <w:r>
              <w:rPr>
                <w:bCs/>
                <w:szCs w:val="21"/>
              </w:rPr>
              <w:t>3</w:t>
            </w:r>
            <w:r>
              <w:rPr>
                <w:rFonts w:hint="eastAsia"/>
                <w:bCs/>
                <w:szCs w:val="21"/>
              </w:rPr>
              <w:t>号）、以及《秦皇岛市深入打好污染防治攻坚战实施方案》（秦传（2022）6号），进行了本项目碳排放评价，如下：</w:t>
            </w:r>
          </w:p>
          <w:p>
            <w:pPr>
              <w:adjustRightInd w:val="0"/>
              <w:snapToGrid w:val="0"/>
              <w:spacing w:line="400" w:lineRule="exact"/>
              <w:ind w:firstLine="422" w:firstLineChars="200"/>
              <w:rPr>
                <w:b/>
                <w:szCs w:val="21"/>
              </w:rPr>
            </w:pPr>
            <w:r>
              <w:rPr>
                <w:rFonts w:hint="eastAsia"/>
                <w:b/>
                <w:szCs w:val="21"/>
              </w:rPr>
              <w:t>（1）政策符合性分析</w:t>
            </w:r>
          </w:p>
          <w:p>
            <w:pPr>
              <w:adjustRightInd w:val="0"/>
              <w:snapToGrid w:val="0"/>
              <w:spacing w:line="400" w:lineRule="exact"/>
              <w:ind w:firstLine="420" w:firstLineChars="200"/>
              <w:rPr>
                <w:bCs/>
                <w:szCs w:val="21"/>
              </w:rPr>
            </w:pPr>
            <w:r>
              <w:rPr>
                <w:rFonts w:hint="eastAsia"/>
                <w:bCs/>
                <w:szCs w:val="21"/>
              </w:rPr>
              <w:t>本项目不属于碳排放相关要求中提到的“重点行业”，但为响应国家和地方政策要求，参照《重点行业建设项目碳排放环境影响评价试点技术指南（试行）》进行本次评价，符合政策要求。</w:t>
            </w:r>
          </w:p>
          <w:p>
            <w:pPr>
              <w:adjustRightInd w:val="0"/>
              <w:snapToGrid w:val="0"/>
              <w:spacing w:line="400" w:lineRule="exact"/>
              <w:ind w:firstLine="422" w:firstLineChars="200"/>
              <w:rPr>
                <w:b/>
                <w:szCs w:val="21"/>
              </w:rPr>
            </w:pPr>
            <w:r>
              <w:rPr>
                <w:rFonts w:hint="eastAsia"/>
                <w:b/>
                <w:szCs w:val="21"/>
              </w:rPr>
              <w:t>（2）工程分析</w:t>
            </w:r>
          </w:p>
          <w:p>
            <w:pPr>
              <w:adjustRightInd w:val="0"/>
              <w:snapToGrid w:val="0"/>
              <w:spacing w:line="400" w:lineRule="exact"/>
              <w:ind w:firstLine="420" w:firstLineChars="200"/>
              <w:rPr>
                <w:bCs/>
                <w:szCs w:val="21"/>
              </w:rPr>
            </w:pPr>
            <w:r>
              <w:rPr>
                <w:rFonts w:hint="eastAsia"/>
                <w:bCs/>
                <w:szCs w:val="21"/>
              </w:rPr>
              <w:t>根据前述工程分析，识别本项目的碳排放节点为净购入电力。</w:t>
            </w:r>
          </w:p>
          <w:p>
            <w:pPr>
              <w:adjustRightInd w:val="0"/>
              <w:snapToGrid w:val="0"/>
              <w:spacing w:line="400" w:lineRule="exact"/>
              <w:ind w:firstLine="422" w:firstLineChars="200"/>
              <w:rPr>
                <w:b/>
                <w:szCs w:val="21"/>
              </w:rPr>
            </w:pPr>
            <w:r>
              <w:rPr>
                <w:rFonts w:hint="eastAsia"/>
                <w:b/>
                <w:szCs w:val="21"/>
              </w:rPr>
              <w:t>（3）核算边界</w:t>
            </w:r>
          </w:p>
          <w:p>
            <w:pPr>
              <w:adjustRightInd w:val="0"/>
              <w:snapToGrid w:val="0"/>
              <w:spacing w:line="400" w:lineRule="exact"/>
              <w:ind w:firstLine="420" w:firstLineChars="200"/>
              <w:rPr>
                <w:bCs/>
                <w:szCs w:val="21"/>
              </w:rPr>
            </w:pPr>
            <w:r>
              <w:rPr>
                <w:rFonts w:hint="eastAsia"/>
                <w:bCs/>
                <w:szCs w:val="21"/>
              </w:rPr>
              <w:t>本次核算边界定位本项目自身，温室气体排放源为净购入电力。</w:t>
            </w:r>
          </w:p>
          <w:p>
            <w:pPr>
              <w:adjustRightInd w:val="0"/>
              <w:snapToGrid w:val="0"/>
              <w:spacing w:line="400" w:lineRule="exact"/>
              <w:ind w:firstLine="422" w:firstLineChars="200"/>
              <w:rPr>
                <w:b/>
                <w:szCs w:val="21"/>
              </w:rPr>
            </w:pPr>
            <w:r>
              <w:rPr>
                <w:rFonts w:hint="eastAsia"/>
                <w:b/>
                <w:szCs w:val="21"/>
              </w:rPr>
              <w:t>（4）碳排放绩效核算</w:t>
            </w:r>
          </w:p>
          <w:p>
            <w:pPr>
              <w:adjustRightInd w:val="0"/>
              <w:snapToGrid w:val="0"/>
              <w:spacing w:line="400" w:lineRule="exact"/>
              <w:ind w:firstLine="420" w:firstLineChars="200"/>
              <w:rPr>
                <w:bCs/>
                <w:szCs w:val="21"/>
              </w:rPr>
            </w:pPr>
            <w:r>
              <w:rPr>
                <w:rFonts w:hint="eastAsia"/>
                <w:bCs/>
                <w:szCs w:val="21"/>
              </w:rPr>
              <w:t>①净购入电力</w:t>
            </w:r>
          </w:p>
          <w:p>
            <w:pPr>
              <w:adjustRightInd w:val="0"/>
              <w:snapToGrid w:val="0"/>
              <w:spacing w:line="400" w:lineRule="exact"/>
              <w:ind w:firstLine="420" w:firstLineChars="200"/>
              <w:rPr>
                <w:bCs/>
                <w:szCs w:val="21"/>
              </w:rPr>
            </w:pPr>
            <w:r>
              <w:rPr>
                <w:rFonts w:hint="eastAsia"/>
                <w:bCs/>
                <w:szCs w:val="21"/>
              </w:rPr>
              <w:t>核算边界内，净购入电力所对应的碳排放，核算公式如下：</w:t>
            </w:r>
          </w:p>
          <w:p>
            <w:pPr>
              <w:adjustRightInd w:val="0"/>
              <w:snapToGrid w:val="0"/>
              <w:spacing w:line="360" w:lineRule="auto"/>
              <w:ind w:firstLine="420" w:firstLineChars="200"/>
              <w:rPr>
                <w:bCs/>
                <w:szCs w:val="21"/>
              </w:rPr>
            </w:pPr>
            <m:oMathPara>
              <m:oMath>
                <m:sSub>
                  <m:sSubPr>
                    <m:ctrlPr>
                      <w:rPr>
                        <w:rFonts w:ascii="Cambria Math" w:hAnsi="Cambria Math"/>
                        <w:bCs/>
                        <w:i/>
                        <w:szCs w:val="21"/>
                      </w:rPr>
                    </m:ctrlPr>
                  </m:sSubPr>
                  <m:e>
                    <m:r>
                      <w:rPr>
                        <w:rFonts w:ascii="Cambria Math" w:hAnsi="Cambria Math"/>
                        <w:szCs w:val="21"/>
                      </w:rPr>
                      <m:t>E</m:t>
                    </m:r>
                    <m:ctrlPr>
                      <w:rPr>
                        <w:rFonts w:ascii="Cambria Math" w:hAnsi="Cambria Math"/>
                        <w:bCs/>
                        <w:i/>
                        <w:szCs w:val="21"/>
                      </w:rPr>
                    </m:ctrlPr>
                  </m:e>
                  <m:sub>
                    <m:r>
                      <w:rPr>
                        <w:rFonts w:hint="eastAsia" w:ascii="Cambria Math" w:hAnsi="Cambria Math"/>
                        <w:szCs w:val="21"/>
                      </w:rPr>
                      <m:t>购入电</m:t>
                    </m:r>
                    <m:ctrlPr>
                      <w:rPr>
                        <w:rFonts w:ascii="Cambria Math" w:hAnsi="Cambria Math"/>
                        <w:bCs/>
                        <w:i/>
                        <w:szCs w:val="21"/>
                      </w:rPr>
                    </m:ctrlPr>
                  </m:sub>
                </m:sSub>
                <m:r>
                  <w:rPr>
                    <w:rFonts w:hint="eastAsia" w:ascii="Cambria Math" w:hAnsi="Cambria Math"/>
                    <w:szCs w:val="21"/>
                  </w:rPr>
                  <m:t>=</m:t>
                </m:r>
                <m:sSub>
                  <m:sSubPr>
                    <m:ctrlPr>
                      <w:rPr>
                        <w:rFonts w:ascii="Cambria Math" w:hAnsi="Cambria Math"/>
                        <w:bCs/>
                        <w:i/>
                        <w:szCs w:val="21"/>
                      </w:rPr>
                    </m:ctrlPr>
                  </m:sSubPr>
                  <m:e>
                    <m:r>
                      <w:rPr>
                        <w:rFonts w:ascii="Cambria Math" w:hAnsi="Cambria Math"/>
                        <w:szCs w:val="21"/>
                      </w:rPr>
                      <m:t>AD</m:t>
                    </m:r>
                    <m:ctrlPr>
                      <w:rPr>
                        <w:rFonts w:ascii="Cambria Math" w:hAnsi="Cambria Math"/>
                        <w:bCs/>
                        <w:i/>
                        <w:szCs w:val="21"/>
                      </w:rPr>
                    </m:ctrlPr>
                  </m:e>
                  <m:sub>
                    <m:r>
                      <w:rPr>
                        <w:rFonts w:hint="eastAsia" w:ascii="Cambria Math" w:hAnsi="Cambria Math"/>
                        <w:szCs w:val="21"/>
                      </w:rPr>
                      <m:t>购入电</m:t>
                    </m:r>
                    <m:ctrlPr>
                      <w:rPr>
                        <w:rFonts w:ascii="Cambria Math" w:hAnsi="Cambria Math"/>
                        <w:bCs/>
                        <w:i/>
                        <w:szCs w:val="21"/>
                      </w:rPr>
                    </m:ctrlPr>
                  </m:sub>
                </m:sSub>
                <m:r>
                  <w:rPr>
                    <w:rFonts w:ascii="Cambria Math" w:hAnsi="Cambria Math"/>
                    <w:szCs w:val="21"/>
                  </w:rPr>
                  <m:t>×</m:t>
                </m:r>
                <m:sSub>
                  <m:sSubPr>
                    <m:ctrlPr>
                      <w:rPr>
                        <w:rFonts w:ascii="Cambria Math" w:hAnsi="Cambria Math"/>
                        <w:bCs/>
                        <w:i/>
                        <w:szCs w:val="21"/>
                      </w:rPr>
                    </m:ctrlPr>
                  </m:sSubPr>
                  <m:e>
                    <m:r>
                      <w:rPr>
                        <w:rFonts w:ascii="Cambria Math" w:hAnsi="Cambria Math"/>
                        <w:szCs w:val="21"/>
                      </w:rPr>
                      <m:t>EF</m:t>
                    </m:r>
                    <m:ctrlPr>
                      <w:rPr>
                        <w:rFonts w:ascii="Cambria Math" w:hAnsi="Cambria Math"/>
                        <w:bCs/>
                        <w:i/>
                        <w:szCs w:val="21"/>
                      </w:rPr>
                    </m:ctrlPr>
                  </m:e>
                  <m:sub>
                    <m:r>
                      <w:rPr>
                        <w:rFonts w:hint="eastAsia" w:ascii="Cambria Math" w:hAnsi="Cambria Math"/>
                        <w:szCs w:val="21"/>
                      </w:rPr>
                      <m:t>电</m:t>
                    </m:r>
                    <m:ctrlPr>
                      <w:rPr>
                        <w:rFonts w:ascii="Cambria Math" w:hAnsi="Cambria Math"/>
                        <w:bCs/>
                        <w:i/>
                        <w:szCs w:val="21"/>
                      </w:rPr>
                    </m:ctrlPr>
                  </m:sub>
                </m:sSub>
              </m:oMath>
            </m:oMathPara>
          </w:p>
          <w:p>
            <w:pPr>
              <w:adjustRightInd w:val="0"/>
              <w:snapToGrid w:val="0"/>
              <w:spacing w:line="360" w:lineRule="auto"/>
              <w:ind w:firstLine="420" w:firstLineChars="200"/>
              <w:rPr>
                <w:bCs/>
                <w:szCs w:val="21"/>
              </w:rPr>
            </w:pPr>
            <m:oMath>
              <m:sSub>
                <m:sSubPr>
                  <m:ctrlPr>
                    <w:rPr>
                      <w:rFonts w:ascii="Cambria Math" w:hAnsi="Cambria Math"/>
                      <w:bCs/>
                      <w:i/>
                      <w:szCs w:val="21"/>
                    </w:rPr>
                  </m:ctrlPr>
                </m:sSubPr>
                <m:e>
                  <m:r>
                    <w:rPr>
                      <w:rFonts w:ascii="Cambria Math" w:hAnsi="Cambria Math"/>
                      <w:szCs w:val="21"/>
                    </w:rPr>
                    <m:t>E</m:t>
                  </m:r>
                  <m:ctrlPr>
                    <w:rPr>
                      <w:rFonts w:ascii="Cambria Math" w:hAnsi="Cambria Math"/>
                      <w:bCs/>
                      <w:i/>
                      <w:szCs w:val="21"/>
                    </w:rPr>
                  </m:ctrlPr>
                </m:e>
                <m:sub>
                  <m:r>
                    <w:rPr>
                      <w:rFonts w:hint="eastAsia" w:ascii="Cambria Math" w:hAnsi="Cambria Math"/>
                      <w:szCs w:val="21"/>
                    </w:rPr>
                    <m:t>购入电</m:t>
                  </m:r>
                  <m:ctrlPr>
                    <w:rPr>
                      <w:rFonts w:ascii="Cambria Math" w:hAnsi="Cambria Math"/>
                      <w:bCs/>
                      <w:i/>
                      <w:szCs w:val="21"/>
                    </w:rPr>
                  </m:ctrlPr>
                </m:sub>
              </m:sSub>
            </m:oMath>
            <w:r>
              <w:rPr>
                <w:rFonts w:hint="eastAsia"/>
                <w:bCs/>
                <w:szCs w:val="21"/>
              </w:rPr>
              <w:t>——购入的电力所产生的二氧化碳排放，单位为吨二氧化碳（t</w:t>
            </w:r>
            <w:r>
              <w:rPr>
                <w:bCs/>
                <w:szCs w:val="21"/>
              </w:rPr>
              <w:t>CO</w:t>
            </w:r>
            <w:r>
              <w:rPr>
                <w:bCs/>
                <w:szCs w:val="21"/>
                <w:vertAlign w:val="subscript"/>
              </w:rPr>
              <w:t>2</w:t>
            </w:r>
            <w:r>
              <w:rPr>
                <w:rFonts w:hint="eastAsia"/>
                <w:bCs/>
                <w:szCs w:val="21"/>
              </w:rPr>
              <w:t>）</w:t>
            </w:r>
          </w:p>
          <w:p>
            <w:pPr>
              <w:adjustRightInd w:val="0"/>
              <w:snapToGrid w:val="0"/>
              <w:spacing w:line="360" w:lineRule="auto"/>
              <w:ind w:firstLine="420" w:firstLineChars="200"/>
              <w:rPr>
                <w:bCs/>
                <w:szCs w:val="21"/>
              </w:rPr>
            </w:pPr>
            <m:oMath>
              <m:sSub>
                <m:sSubPr>
                  <m:ctrlPr>
                    <w:rPr>
                      <w:rFonts w:ascii="Cambria Math" w:hAnsi="Cambria Math"/>
                      <w:bCs/>
                      <w:i/>
                      <w:szCs w:val="21"/>
                    </w:rPr>
                  </m:ctrlPr>
                </m:sSubPr>
                <m:e>
                  <m:r>
                    <w:rPr>
                      <w:rFonts w:ascii="Cambria Math" w:hAnsi="Cambria Math"/>
                      <w:szCs w:val="21"/>
                    </w:rPr>
                    <m:t>AD</m:t>
                  </m:r>
                  <m:ctrlPr>
                    <w:rPr>
                      <w:rFonts w:ascii="Cambria Math" w:hAnsi="Cambria Math"/>
                      <w:bCs/>
                      <w:i/>
                      <w:szCs w:val="21"/>
                    </w:rPr>
                  </m:ctrlPr>
                </m:e>
                <m:sub>
                  <m:r>
                    <w:rPr>
                      <w:rFonts w:hint="eastAsia" w:ascii="Cambria Math" w:hAnsi="Cambria Math"/>
                      <w:szCs w:val="21"/>
                    </w:rPr>
                    <m:t>购入电</m:t>
                  </m:r>
                  <m:ctrlPr>
                    <w:rPr>
                      <w:rFonts w:ascii="Cambria Math" w:hAnsi="Cambria Math"/>
                      <w:bCs/>
                      <w:i/>
                      <w:szCs w:val="21"/>
                    </w:rPr>
                  </m:ctrlPr>
                </m:sub>
              </m:sSub>
            </m:oMath>
            <w:r>
              <w:rPr>
                <w:rFonts w:hint="eastAsia"/>
                <w:bCs/>
                <w:szCs w:val="21"/>
              </w:rPr>
              <w:t>——购入的电力量，单位为兆瓦时（M</w:t>
            </w:r>
            <w:r>
              <w:rPr>
                <w:bCs/>
                <w:szCs w:val="21"/>
              </w:rPr>
              <w:t>Wh</w:t>
            </w:r>
            <w:r>
              <w:rPr>
                <w:rFonts w:hint="eastAsia"/>
                <w:bCs/>
                <w:szCs w:val="21"/>
              </w:rPr>
              <w:t>）；</w:t>
            </w:r>
          </w:p>
          <w:p>
            <w:pPr>
              <w:adjustRightInd w:val="0"/>
              <w:snapToGrid w:val="0"/>
              <w:spacing w:line="360" w:lineRule="auto"/>
              <w:ind w:firstLine="420" w:firstLineChars="200"/>
              <w:rPr>
                <w:bCs/>
                <w:szCs w:val="21"/>
              </w:rPr>
            </w:pPr>
            <m:oMath>
              <m:sSub>
                <m:sSubPr>
                  <m:ctrlPr>
                    <w:rPr>
                      <w:rFonts w:ascii="Cambria Math" w:hAnsi="Cambria Math"/>
                      <w:bCs/>
                      <w:i/>
                      <w:szCs w:val="21"/>
                    </w:rPr>
                  </m:ctrlPr>
                </m:sSubPr>
                <m:e>
                  <m:r>
                    <w:rPr>
                      <w:rFonts w:ascii="Cambria Math" w:hAnsi="Cambria Math"/>
                      <w:szCs w:val="21"/>
                    </w:rPr>
                    <m:t>EF</m:t>
                  </m:r>
                  <m:ctrlPr>
                    <w:rPr>
                      <w:rFonts w:ascii="Cambria Math" w:hAnsi="Cambria Math"/>
                      <w:bCs/>
                      <w:i/>
                      <w:szCs w:val="21"/>
                    </w:rPr>
                  </m:ctrlPr>
                </m:e>
                <m:sub>
                  <m:r>
                    <w:rPr>
                      <w:rFonts w:hint="eastAsia" w:ascii="Cambria Math" w:hAnsi="Cambria Math"/>
                      <w:szCs w:val="21"/>
                    </w:rPr>
                    <m:t>电</m:t>
                  </m:r>
                  <m:ctrlPr>
                    <w:rPr>
                      <w:rFonts w:ascii="Cambria Math" w:hAnsi="Cambria Math"/>
                      <w:bCs/>
                      <w:i/>
                      <w:szCs w:val="21"/>
                    </w:rPr>
                  </m:ctrlPr>
                </m:sub>
              </m:sSub>
            </m:oMath>
            <w:r>
              <w:rPr>
                <w:rFonts w:hint="eastAsia"/>
                <w:bCs/>
                <w:szCs w:val="21"/>
              </w:rPr>
              <w:t>——电力生产排放因子，单位为吨二氧化碳每兆瓦时（t</w:t>
            </w:r>
            <w:r>
              <w:rPr>
                <w:bCs/>
                <w:szCs w:val="21"/>
              </w:rPr>
              <w:t>CO</w:t>
            </w:r>
            <w:r>
              <w:rPr>
                <w:bCs/>
                <w:szCs w:val="21"/>
                <w:vertAlign w:val="subscript"/>
              </w:rPr>
              <w:t>2</w:t>
            </w:r>
            <w:r>
              <w:rPr>
                <w:bCs/>
                <w:szCs w:val="21"/>
              </w:rPr>
              <w:t>/</w:t>
            </w:r>
            <w:r>
              <w:rPr>
                <w:rFonts w:hint="eastAsia"/>
                <w:bCs/>
                <w:szCs w:val="21"/>
              </w:rPr>
              <w:t xml:space="preserve"> M</w:t>
            </w:r>
            <w:r>
              <w:rPr>
                <w:bCs/>
                <w:szCs w:val="21"/>
              </w:rPr>
              <w:t>Wh</w:t>
            </w:r>
            <w:r>
              <w:rPr>
                <w:rFonts w:hint="eastAsia"/>
                <w:bCs/>
                <w:szCs w:val="21"/>
              </w:rPr>
              <w:t>）</w:t>
            </w:r>
          </w:p>
          <w:p>
            <w:pPr>
              <w:adjustRightInd w:val="0"/>
              <w:snapToGrid w:val="0"/>
              <w:spacing w:line="400" w:lineRule="exact"/>
              <w:ind w:firstLine="420" w:firstLineChars="200"/>
              <w:rPr>
                <w:bCs/>
                <w:szCs w:val="21"/>
              </w:rPr>
            </w:pPr>
            <w:r>
              <w:rPr>
                <w:rFonts w:hint="eastAsia"/>
                <w:bCs/>
                <w:szCs w:val="21"/>
              </w:rPr>
              <w:t>项目则年净购入电力为</w:t>
            </w:r>
            <w:r>
              <w:rPr>
                <w:rFonts w:hint="eastAsia"/>
                <w:bCs/>
                <w:szCs w:val="21"/>
                <w:lang w:val="en-US" w:eastAsia="zh-CN"/>
              </w:rPr>
              <w:t>80</w:t>
            </w:r>
            <w:r>
              <w:rPr>
                <w:rFonts w:hint="eastAsia"/>
                <w:bCs/>
                <w:szCs w:val="21"/>
              </w:rPr>
              <w:t xml:space="preserve"> M</w:t>
            </w:r>
            <w:r>
              <w:rPr>
                <w:bCs/>
                <w:szCs w:val="21"/>
              </w:rPr>
              <w:t>Wh</w:t>
            </w:r>
            <w:r>
              <w:rPr>
                <w:rFonts w:hint="eastAsia"/>
                <w:bCs/>
                <w:szCs w:val="21"/>
              </w:rPr>
              <w:t>，</w:t>
            </w:r>
            <m:oMath>
              <m:sSub>
                <m:sSubPr>
                  <m:ctrlPr>
                    <w:rPr>
                      <w:rFonts w:ascii="Cambria Math" w:hAnsi="Cambria Math"/>
                      <w:bCs/>
                      <w:szCs w:val="21"/>
                    </w:rPr>
                  </m:ctrlPr>
                </m:sSubPr>
                <m:e>
                  <m:r>
                    <w:rPr>
                      <w:rFonts w:ascii="Cambria Math" w:hAnsi="Cambria Math"/>
                      <w:szCs w:val="21"/>
                    </w:rPr>
                    <m:t>EF</m:t>
                  </m:r>
                  <m:ctrlPr>
                    <w:rPr>
                      <w:rFonts w:ascii="Cambria Math" w:hAnsi="Cambria Math"/>
                      <w:bCs/>
                      <w:szCs w:val="21"/>
                    </w:rPr>
                  </m:ctrlPr>
                </m:e>
                <m:sub>
                  <m:r>
                    <m:rPr>
                      <m:sty m:val="p"/>
                    </m:rPr>
                    <w:rPr>
                      <w:rFonts w:hint="eastAsia" w:ascii="Cambria Math" w:hAnsi="Cambria Math"/>
                      <w:szCs w:val="21"/>
                    </w:rPr>
                    <m:t>电</m:t>
                  </m:r>
                  <m:ctrlPr>
                    <w:rPr>
                      <w:rFonts w:ascii="Cambria Math" w:hAnsi="Cambria Math"/>
                      <w:bCs/>
                      <w:szCs w:val="21"/>
                    </w:rPr>
                  </m:ctrlPr>
                </m:sub>
              </m:sSub>
            </m:oMath>
            <w:r>
              <w:rPr>
                <w:rFonts w:hint="eastAsia"/>
                <w:bCs/>
                <w:szCs w:val="21"/>
              </w:rPr>
              <w:t>取0</w:t>
            </w:r>
            <w:r>
              <w:rPr>
                <w:bCs/>
                <w:szCs w:val="21"/>
              </w:rPr>
              <w:t>.5703 kg/kW</w:t>
            </w:r>
            <w:r>
              <w:rPr>
                <w:rFonts w:hint="eastAsia"/>
                <w:bCs/>
                <w:szCs w:val="21"/>
              </w:rPr>
              <w:t>h（即</w:t>
            </w:r>
            <w:r>
              <w:rPr>
                <w:bCs/>
                <w:szCs w:val="21"/>
              </w:rPr>
              <w:t>0.5703 t/MW</w:t>
            </w:r>
            <w:r>
              <w:rPr>
                <w:rFonts w:hint="eastAsia"/>
                <w:bCs/>
                <w:szCs w:val="21"/>
              </w:rPr>
              <w:t>h）。净购入电力对应的碳排放量=</w:t>
            </w:r>
            <w:r>
              <w:rPr>
                <w:rFonts w:hint="eastAsia"/>
                <w:bCs/>
                <w:szCs w:val="21"/>
                <w:lang w:val="en-US" w:eastAsia="zh-CN"/>
              </w:rPr>
              <w:t>8</w:t>
            </w:r>
            <w:r>
              <w:rPr>
                <w:bCs/>
                <w:szCs w:val="21"/>
              </w:rPr>
              <w:t xml:space="preserve">0 </w:t>
            </w:r>
            <m:oMath>
              <m:r>
                <m:rPr>
                  <m:sty m:val="p"/>
                </m:rPr>
                <w:rPr>
                  <w:rFonts w:hint="eastAsia" w:ascii="Cambria Math" w:hAnsi="Cambria Math"/>
                  <w:szCs w:val="21"/>
                </w:rPr>
                <m:t>M</m:t>
              </m:r>
              <m:r>
                <m:rPr>
                  <m:sty m:val="p"/>
                </m:rPr>
                <w:rPr>
                  <w:rFonts w:ascii="Cambria Math" w:hAnsi="Cambria Math"/>
                  <w:szCs w:val="21"/>
                </w:rPr>
                <m:t>Wh</m:t>
              </m:r>
              <m:r>
                <w:rPr>
                  <w:rFonts w:ascii="Cambria Math" w:hAnsi="Cambria Math"/>
                  <w:szCs w:val="21"/>
                </w:rPr>
                <m:t>×</m:t>
              </m:r>
            </m:oMath>
            <w:r>
              <w:rPr>
                <w:bCs/>
                <w:szCs w:val="21"/>
              </w:rPr>
              <w:t>0.5703 t/MW</w:t>
            </w:r>
            <w:r>
              <w:rPr>
                <w:rFonts w:hint="eastAsia"/>
                <w:bCs/>
                <w:szCs w:val="21"/>
              </w:rPr>
              <w:t>h =</w:t>
            </w:r>
            <w:r>
              <w:rPr>
                <w:rFonts w:hint="eastAsia"/>
                <w:bCs/>
                <w:szCs w:val="21"/>
                <w:lang w:val="en-US" w:eastAsia="zh-CN"/>
              </w:rPr>
              <w:t>45.624</w:t>
            </w:r>
            <w:r>
              <w:rPr>
                <w:rFonts w:hint="eastAsia"/>
                <w:bCs/>
                <w:szCs w:val="21"/>
              </w:rPr>
              <w:t>t</w:t>
            </w:r>
            <w:r>
              <w:rPr>
                <w:bCs/>
                <w:szCs w:val="21"/>
              </w:rPr>
              <w:t>CO</w:t>
            </w:r>
            <w:r>
              <w:rPr>
                <w:bCs/>
                <w:szCs w:val="21"/>
                <w:vertAlign w:val="subscript"/>
              </w:rPr>
              <w:t>2</w:t>
            </w:r>
            <w:r>
              <w:rPr>
                <w:rFonts w:hint="eastAsia"/>
                <w:bCs/>
                <w:szCs w:val="21"/>
              </w:rPr>
              <w:t>。</w:t>
            </w:r>
          </w:p>
          <w:p>
            <w:pPr>
              <w:adjustRightInd w:val="0"/>
              <w:snapToGrid w:val="0"/>
              <w:spacing w:line="400" w:lineRule="exact"/>
              <w:ind w:firstLine="420" w:firstLineChars="200"/>
              <w:rPr>
                <w:bCs/>
                <w:szCs w:val="21"/>
              </w:rPr>
            </w:pPr>
            <w:r>
              <w:rPr>
                <w:rFonts w:hint="eastAsia"/>
                <w:bCs/>
                <w:szCs w:val="21"/>
              </w:rPr>
              <w:t>综上，项目碳排放量为</w:t>
            </w:r>
            <w:r>
              <w:rPr>
                <w:rFonts w:hint="eastAsia"/>
                <w:bCs/>
                <w:szCs w:val="21"/>
                <w:lang w:val="en-US" w:eastAsia="zh-CN"/>
              </w:rPr>
              <w:t>45.624</w:t>
            </w:r>
            <w:r>
              <w:rPr>
                <w:rFonts w:hint="eastAsia"/>
                <w:bCs/>
                <w:szCs w:val="21"/>
              </w:rPr>
              <w:t>t</w:t>
            </w:r>
            <w:r>
              <w:rPr>
                <w:bCs/>
                <w:szCs w:val="21"/>
              </w:rPr>
              <w:t>CO</w:t>
            </w:r>
            <w:r>
              <w:rPr>
                <w:bCs/>
                <w:szCs w:val="21"/>
                <w:vertAlign w:val="subscript"/>
              </w:rPr>
              <w:t>2</w:t>
            </w:r>
            <w:r>
              <w:rPr>
                <w:rFonts w:hint="eastAsia"/>
                <w:bCs/>
                <w:szCs w:val="21"/>
              </w:rPr>
              <w:t>。</w:t>
            </w:r>
          </w:p>
          <w:p>
            <w:pPr>
              <w:adjustRightInd w:val="0"/>
              <w:snapToGrid w:val="0"/>
              <w:spacing w:line="400" w:lineRule="exact"/>
              <w:ind w:firstLine="422" w:firstLineChars="200"/>
              <w:rPr>
                <w:b/>
                <w:szCs w:val="21"/>
              </w:rPr>
            </w:pPr>
            <w:r>
              <w:rPr>
                <w:rFonts w:hint="eastAsia"/>
                <w:b/>
                <w:szCs w:val="21"/>
              </w:rPr>
              <w:t>（5）碳排放管理与监测计划</w:t>
            </w:r>
          </w:p>
          <w:p>
            <w:pPr>
              <w:adjustRightInd w:val="0"/>
              <w:snapToGrid w:val="0"/>
              <w:spacing w:line="400" w:lineRule="exact"/>
              <w:ind w:firstLine="420" w:firstLineChars="200"/>
              <w:rPr>
                <w:bCs/>
                <w:szCs w:val="21"/>
              </w:rPr>
            </w:pPr>
            <w:r>
              <w:rPr>
                <w:rFonts w:hint="eastAsia"/>
                <w:bCs/>
                <w:szCs w:val="21"/>
              </w:rPr>
              <w:t>本项目主要通过设备选型，加强设备日常维护，并按班次记录产量、用电量、耗油量等参数的监测计划，作为生产绩效考核指标，严格日常管理，使其保存良好使用状态等管理方式进行减排。</w:t>
            </w:r>
          </w:p>
          <w:p>
            <w:pPr>
              <w:adjustRightInd w:val="0"/>
              <w:snapToGrid w:val="0"/>
              <w:spacing w:line="400" w:lineRule="exact"/>
              <w:ind w:firstLine="422" w:firstLineChars="200"/>
              <w:rPr>
                <w:b/>
                <w:szCs w:val="21"/>
              </w:rPr>
            </w:pPr>
            <w:r>
              <w:rPr>
                <w:rFonts w:hint="eastAsia"/>
                <w:b/>
                <w:szCs w:val="21"/>
              </w:rPr>
              <w:t>（6）碳排放环境影响评价结论</w:t>
            </w:r>
          </w:p>
          <w:p>
            <w:pPr>
              <w:adjustRightInd w:val="0"/>
              <w:snapToGrid w:val="0"/>
              <w:spacing w:line="400" w:lineRule="exact"/>
              <w:ind w:firstLine="420" w:firstLineChars="200"/>
              <w:rPr>
                <w:bCs/>
                <w:szCs w:val="21"/>
              </w:rPr>
            </w:pPr>
            <w:r>
              <w:rPr>
                <w:rFonts w:hint="eastAsia"/>
                <w:bCs/>
                <w:szCs w:val="21"/>
              </w:rPr>
              <w:t>项目建设符合碳排放相关政策要求，在设备选型等方面落实减排理念，并通过日常原料、电力消耗与产能等指标作为绩效考核要求，加强日常管理，逐步降低碳排放水平。</w:t>
            </w:r>
          </w:p>
          <w:p>
            <w:pPr>
              <w:adjustRightInd w:val="0"/>
              <w:snapToGrid w:val="0"/>
              <w:spacing w:line="400" w:lineRule="exact"/>
              <w:ind w:firstLine="420" w:firstLineChars="200"/>
              <w:rPr>
                <w:bCs/>
                <w:szCs w:val="21"/>
              </w:rPr>
            </w:pPr>
            <w:r>
              <w:rPr>
                <w:rFonts w:hint="eastAsia"/>
                <w:bCs/>
                <w:szCs w:val="21"/>
              </w:rPr>
              <w:t>综合分析，项目建设符合碳排放管理要求。</w:t>
            </w:r>
          </w:p>
          <w:p>
            <w:pPr>
              <w:adjustRightInd w:val="0"/>
              <w:snapToGrid w:val="0"/>
              <w:spacing w:line="400" w:lineRule="exact"/>
              <w:ind w:firstLine="422" w:firstLineChars="200"/>
              <w:rPr>
                <w:b/>
                <w:szCs w:val="21"/>
              </w:rPr>
            </w:pPr>
            <w:bookmarkStart w:id="34" w:name="_Hlk112163433"/>
            <w:r>
              <w:rPr>
                <w:rFonts w:hint="eastAsia"/>
                <w:b/>
                <w:szCs w:val="21"/>
              </w:rPr>
              <w:t>九</w:t>
            </w:r>
            <w:r>
              <w:rPr>
                <w:b/>
                <w:szCs w:val="21"/>
              </w:rPr>
              <w:t>、排污口规范化</w:t>
            </w:r>
          </w:p>
          <w:p>
            <w:pPr>
              <w:adjustRightInd w:val="0"/>
              <w:snapToGrid w:val="0"/>
              <w:spacing w:line="400" w:lineRule="exact"/>
              <w:ind w:firstLine="420" w:firstLineChars="200"/>
              <w:rPr>
                <w:bCs/>
                <w:szCs w:val="21"/>
              </w:rPr>
            </w:pPr>
            <w:r>
              <w:rPr>
                <w:rFonts w:hint="eastAsia"/>
                <w:bCs/>
                <w:szCs w:val="21"/>
              </w:rPr>
              <w:t>本项目废气、噪声排污口、固体废物贮存处应设置明显标志。</w:t>
            </w:r>
          </w:p>
          <w:p>
            <w:pPr>
              <w:adjustRightInd w:val="0"/>
              <w:snapToGrid w:val="0"/>
              <w:spacing w:line="400" w:lineRule="exact"/>
              <w:ind w:firstLine="420" w:firstLineChars="200"/>
              <w:rPr>
                <w:bCs/>
                <w:szCs w:val="21"/>
              </w:rPr>
            </w:pPr>
            <w:r>
              <w:rPr>
                <w:rFonts w:hint="eastAsia"/>
                <w:bCs/>
                <w:szCs w:val="21"/>
              </w:rPr>
              <w:t>标志的设置执行《环境保护图形标志排放口（源）》（GB15562.1-1995）及《环境保护图形标志固体废物贮存（处置）场》（GB15562.2-1995）、《危险废物识别标志设置技术规范》(HJ1276-2022)有关规定和国家环保总局《排污口规范化整治要求（试行）》的技术要求。污染物排放口的环保图形标志牌应设置在靠近采样点且醒目处，标志牌设置高度为其上边缘距离地面约2m。一般排污单位的污染物排放口，可根据情况设置立式或平面固定式标志牌。废气排放口、废水排放口、噪声排放源、固体废物贮存处置场图形符号分为提示图形符号和警告图形符号两种，图形符号的设置按GB15562.1-1995、GB15562.2-1995 和HJ1276-2022 执行。根据拟建项目废气排放特征，各排气筒还应设置、注明以下内容：标准编号、污染源名称及型号；排放高度、出口直径；排气量、最大允许排放浓度；排放大气污染物的名称、最大允许排放量。具体要求如下：</w:t>
            </w:r>
          </w:p>
          <w:p>
            <w:pPr>
              <w:adjustRightInd w:val="0"/>
              <w:snapToGrid w:val="0"/>
              <w:spacing w:line="400" w:lineRule="exact"/>
              <w:ind w:firstLine="420" w:firstLineChars="200"/>
              <w:rPr>
                <w:szCs w:val="21"/>
              </w:rPr>
            </w:pPr>
            <w:r>
              <w:rPr>
                <w:bCs/>
                <w:szCs w:val="21"/>
              </w:rPr>
              <w:t>（1）</w:t>
            </w:r>
            <w:r>
              <w:rPr>
                <w:szCs w:val="21"/>
              </w:rPr>
              <w:t>污染源排放口应设置采样平台，平台设置要遵循便于采集样品、便于监测计量、便于日常监督管理的原则，严格按排放口规范化整治要求进行。</w:t>
            </w:r>
          </w:p>
          <w:p>
            <w:pPr>
              <w:adjustRightInd w:val="0"/>
              <w:snapToGrid w:val="0"/>
              <w:spacing w:line="400" w:lineRule="exact"/>
              <w:ind w:firstLine="420" w:firstLineChars="200"/>
              <w:rPr>
                <w:bCs/>
                <w:szCs w:val="21"/>
              </w:rPr>
            </w:pPr>
            <w:r>
              <w:rPr>
                <w:bCs/>
                <w:szCs w:val="21"/>
              </w:rPr>
              <w:t>（2）污染源排放口必须按照国家颁布的有关污染物强制性排放标准的要求，监测点位处设置监测平台，设置排放口标志牌。</w:t>
            </w:r>
          </w:p>
          <w:p>
            <w:pPr>
              <w:adjustRightInd w:val="0"/>
              <w:snapToGrid w:val="0"/>
              <w:spacing w:line="400" w:lineRule="exact"/>
              <w:ind w:firstLine="420" w:firstLineChars="200"/>
              <w:rPr>
                <w:bCs/>
                <w:szCs w:val="21"/>
              </w:rPr>
            </w:pPr>
            <w:r>
              <w:rPr>
                <w:bCs/>
                <w:szCs w:val="21"/>
              </w:rPr>
              <w:t>（3）建立规范化排污口档案，内容包括排污单位名称，排污口性质及编号，排污口的地理位置（GPS定位经纬度），排污口所排放的主要污染物种类、数量、浓度及排放去向，</w:t>
            </w:r>
            <w:r>
              <w:rPr>
                <w:rFonts w:hint="eastAsia"/>
                <w:bCs/>
                <w:szCs w:val="21"/>
              </w:rPr>
              <w:t>立</w:t>
            </w:r>
            <w:r>
              <w:rPr>
                <w:bCs/>
                <w:szCs w:val="21"/>
              </w:rPr>
              <w:t>标情况，设施运行及日常现场监督检查记录等有关资料和记录，同时上报开发区分局建档以便统一管理。</w:t>
            </w:r>
          </w:p>
          <w:p>
            <w:pPr>
              <w:adjustRightInd w:val="0"/>
              <w:snapToGrid w:val="0"/>
              <w:spacing w:line="400" w:lineRule="exact"/>
              <w:ind w:firstLine="420" w:firstLineChars="200"/>
              <w:rPr>
                <w:bCs/>
                <w:szCs w:val="21"/>
              </w:rPr>
            </w:pPr>
            <w:r>
              <w:rPr>
                <w:rFonts w:hint="eastAsia"/>
                <w:bCs/>
                <w:szCs w:val="21"/>
              </w:rPr>
              <w:t>（4）</w:t>
            </w:r>
            <w:r>
              <w:rPr>
                <w:bCs/>
                <w:szCs w:val="21"/>
              </w:rPr>
              <w:t>各排放口设置标志牌如下：</w:t>
            </w:r>
          </w:p>
          <w:p>
            <w:pPr>
              <w:spacing w:line="400" w:lineRule="exact"/>
              <w:jc w:val="center"/>
              <w:rPr>
                <w:b/>
                <w:szCs w:val="21"/>
              </w:rPr>
            </w:pPr>
            <w:r>
              <w:rPr>
                <w:b/>
                <w:szCs w:val="21"/>
              </w:rPr>
              <w:t>表4-2</w:t>
            </w:r>
            <w:r>
              <w:rPr>
                <w:rFonts w:hint="eastAsia"/>
                <w:b/>
                <w:szCs w:val="21"/>
                <w:lang w:val="en-US" w:eastAsia="zh-CN"/>
              </w:rPr>
              <w:t>1</w:t>
            </w:r>
            <w:r>
              <w:rPr>
                <w:b/>
                <w:szCs w:val="21"/>
              </w:rPr>
              <w:t xml:space="preserve">  排放口标志牌示例</w:t>
            </w:r>
          </w:p>
          <w:tbl>
            <w:tblPr>
              <w:tblStyle w:val="9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14"/>
              <w:gridCol w:w="2860"/>
              <w:gridCol w:w="20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99" w:type="pct"/>
                  <w:shd w:val="clear" w:color="auto" w:fill="auto"/>
                  <w:vAlign w:val="center"/>
                </w:tcPr>
                <w:p>
                  <w:pPr>
                    <w:adjustRightInd w:val="0"/>
                    <w:snapToGrid w:val="0"/>
                    <w:jc w:val="center"/>
                    <w:rPr>
                      <w:bCs/>
                      <w:szCs w:val="21"/>
                    </w:rPr>
                  </w:pPr>
                  <w:r>
                    <w:rPr>
                      <w:rFonts w:hint="eastAsia"/>
                      <w:bCs/>
                      <w:szCs w:val="21"/>
                    </w:rPr>
                    <w:t>提示图形符号</w:t>
                  </w:r>
                </w:p>
              </w:tc>
              <w:tc>
                <w:tcPr>
                  <w:tcW w:w="1802" w:type="pct"/>
                  <w:shd w:val="clear" w:color="auto" w:fill="auto"/>
                  <w:vAlign w:val="center"/>
                </w:tcPr>
                <w:p>
                  <w:pPr>
                    <w:adjustRightInd w:val="0"/>
                    <w:snapToGrid w:val="0"/>
                    <w:jc w:val="center"/>
                    <w:rPr>
                      <w:bCs/>
                      <w:szCs w:val="21"/>
                    </w:rPr>
                  </w:pPr>
                  <w:r>
                    <w:rPr>
                      <w:rFonts w:hint="eastAsia"/>
                      <w:bCs/>
                      <w:szCs w:val="21"/>
                    </w:rPr>
                    <w:t>警告图形符号</w:t>
                  </w:r>
                </w:p>
              </w:tc>
              <w:tc>
                <w:tcPr>
                  <w:tcW w:w="1299" w:type="pct"/>
                  <w:shd w:val="clear" w:color="auto" w:fill="auto"/>
                  <w:vAlign w:val="center"/>
                </w:tcPr>
                <w:p>
                  <w:pPr>
                    <w:adjustRightInd w:val="0"/>
                    <w:snapToGrid w:val="0"/>
                    <w:jc w:val="center"/>
                    <w:rPr>
                      <w:bCs/>
                      <w:szCs w:val="21"/>
                    </w:rPr>
                  </w:pPr>
                  <w:r>
                    <w:rPr>
                      <w:rFonts w:hint="eastAsia"/>
                      <w:bCs/>
                      <w:szCs w:val="21"/>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99" w:type="pct"/>
                  <w:shd w:val="clear" w:color="auto" w:fill="auto"/>
                  <w:vAlign w:val="center"/>
                </w:tcPr>
                <w:p>
                  <w:pPr>
                    <w:adjustRightInd w:val="0"/>
                    <w:snapToGrid w:val="0"/>
                    <w:jc w:val="center"/>
                    <w:rPr>
                      <w:bCs/>
                      <w:szCs w:val="21"/>
                    </w:rPr>
                  </w:pPr>
                  <w:r>
                    <w:drawing>
                      <wp:inline distT="0" distB="0" distL="0" distR="0">
                        <wp:extent cx="885825" cy="885825"/>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885825" cy="885825"/>
                                </a:xfrm>
                                <a:prstGeom prst="rect">
                                  <a:avLst/>
                                </a:prstGeom>
                                <a:noFill/>
                                <a:ln>
                                  <a:noFill/>
                                </a:ln>
                              </pic:spPr>
                            </pic:pic>
                          </a:graphicData>
                        </a:graphic>
                      </wp:inline>
                    </w:drawing>
                  </w:r>
                </w:p>
              </w:tc>
              <w:tc>
                <w:tcPr>
                  <w:tcW w:w="1802" w:type="pct"/>
                  <w:shd w:val="clear" w:color="auto" w:fill="auto"/>
                  <w:vAlign w:val="center"/>
                </w:tcPr>
                <w:p>
                  <w:pPr>
                    <w:adjustRightInd w:val="0"/>
                    <w:snapToGrid w:val="0"/>
                    <w:jc w:val="center"/>
                    <w:rPr>
                      <w:bCs/>
                      <w:szCs w:val="21"/>
                    </w:rPr>
                  </w:pPr>
                  <w:r>
                    <w:drawing>
                      <wp:inline distT="0" distB="0" distL="0" distR="0">
                        <wp:extent cx="952500" cy="790575"/>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952500" cy="790575"/>
                                </a:xfrm>
                                <a:prstGeom prst="rect">
                                  <a:avLst/>
                                </a:prstGeom>
                                <a:noFill/>
                                <a:ln>
                                  <a:noFill/>
                                </a:ln>
                              </pic:spPr>
                            </pic:pic>
                          </a:graphicData>
                        </a:graphic>
                      </wp:inline>
                    </w:drawing>
                  </w:r>
                </w:p>
              </w:tc>
              <w:tc>
                <w:tcPr>
                  <w:tcW w:w="1299" w:type="pct"/>
                  <w:shd w:val="clear" w:color="auto" w:fill="auto"/>
                  <w:vAlign w:val="center"/>
                </w:tcPr>
                <w:p>
                  <w:pPr>
                    <w:adjustRightInd w:val="0"/>
                    <w:snapToGrid w:val="0"/>
                    <w:jc w:val="center"/>
                    <w:rPr>
                      <w:bCs/>
                      <w:szCs w:val="21"/>
                    </w:rPr>
                  </w:pPr>
                  <w:r>
                    <w:rPr>
                      <w:rFonts w:hint="eastAsia"/>
                      <w:bCs/>
                      <w:szCs w:val="21"/>
                    </w:rPr>
                    <w:t>废气排放口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99" w:type="pct"/>
                  <w:shd w:val="clear" w:color="auto" w:fill="auto"/>
                  <w:vAlign w:val="center"/>
                </w:tcPr>
                <w:p>
                  <w:pPr>
                    <w:adjustRightInd w:val="0"/>
                    <w:snapToGrid w:val="0"/>
                    <w:jc w:val="center"/>
                    <w:rPr>
                      <w:bCs/>
                      <w:szCs w:val="21"/>
                    </w:rPr>
                  </w:pPr>
                  <w:r>
                    <w:rPr>
                      <w:rFonts w:hint="eastAsia"/>
                      <w:bCs/>
                      <w:szCs w:val="21"/>
                    </w:rPr>
                    <w:t>/</w:t>
                  </w:r>
                </w:p>
              </w:tc>
              <w:tc>
                <w:tcPr>
                  <w:tcW w:w="1802" w:type="pct"/>
                  <w:shd w:val="clear" w:color="auto" w:fill="auto"/>
                  <w:vAlign w:val="center"/>
                </w:tcPr>
                <w:p>
                  <w:pPr>
                    <w:adjustRightInd w:val="0"/>
                    <w:snapToGrid w:val="0"/>
                    <w:jc w:val="center"/>
                    <w:rPr>
                      <w:bCs/>
                      <w:szCs w:val="21"/>
                    </w:rPr>
                  </w:pPr>
                  <w:r>
                    <w:drawing>
                      <wp:inline distT="0" distB="0" distL="0" distR="0">
                        <wp:extent cx="962025" cy="828675"/>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962025" cy="828675"/>
                                </a:xfrm>
                                <a:prstGeom prst="rect">
                                  <a:avLst/>
                                </a:prstGeom>
                                <a:noFill/>
                                <a:ln>
                                  <a:noFill/>
                                </a:ln>
                              </pic:spPr>
                            </pic:pic>
                          </a:graphicData>
                        </a:graphic>
                      </wp:inline>
                    </w:drawing>
                  </w:r>
                </w:p>
              </w:tc>
              <w:tc>
                <w:tcPr>
                  <w:tcW w:w="1299" w:type="pct"/>
                  <w:shd w:val="clear" w:color="auto" w:fill="auto"/>
                  <w:vAlign w:val="center"/>
                </w:tcPr>
                <w:p>
                  <w:pPr>
                    <w:adjustRightInd w:val="0"/>
                    <w:snapToGrid w:val="0"/>
                    <w:jc w:val="center"/>
                    <w:rPr>
                      <w:bCs/>
                      <w:szCs w:val="21"/>
                    </w:rPr>
                  </w:pPr>
                  <w:r>
                    <w:rPr>
                      <w:rFonts w:hint="eastAsia"/>
                      <w:bCs/>
                      <w:szCs w:val="21"/>
                    </w:rPr>
                    <w:t>危险废物暂存间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99" w:type="pct"/>
                  <w:shd w:val="clear" w:color="auto" w:fill="auto"/>
                  <w:vAlign w:val="center"/>
                </w:tcPr>
                <w:p>
                  <w:pPr>
                    <w:adjustRightInd w:val="0"/>
                    <w:snapToGrid w:val="0"/>
                    <w:jc w:val="center"/>
                    <w:rPr>
                      <w:bCs/>
                      <w:szCs w:val="21"/>
                    </w:rPr>
                  </w:pPr>
                  <w:r>
                    <w:drawing>
                      <wp:inline distT="0" distB="0" distL="0" distR="0">
                        <wp:extent cx="1038225" cy="942975"/>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21">
                                  <a:extLst>
                                    <a:ext uri="{28A0092B-C50C-407E-A947-70E740481C1C}">
                                      <a14:useLocalDpi xmlns:a14="http://schemas.microsoft.com/office/drawing/2010/main" val="0"/>
                                    </a:ext>
                                  </a:extLst>
                                </a:blip>
                                <a:srcRect b="4202"/>
                                <a:stretch>
                                  <a:fillRect/>
                                </a:stretch>
                              </pic:blipFill>
                              <pic:spPr>
                                <a:xfrm>
                                  <a:off x="0" y="0"/>
                                  <a:ext cx="1038225" cy="942975"/>
                                </a:xfrm>
                                <a:prstGeom prst="rect">
                                  <a:avLst/>
                                </a:prstGeom>
                                <a:noFill/>
                                <a:ln>
                                  <a:noFill/>
                                </a:ln>
                              </pic:spPr>
                            </pic:pic>
                          </a:graphicData>
                        </a:graphic>
                      </wp:inline>
                    </w:drawing>
                  </w:r>
                </w:p>
              </w:tc>
              <w:tc>
                <w:tcPr>
                  <w:tcW w:w="1802" w:type="pct"/>
                  <w:shd w:val="clear" w:color="auto" w:fill="auto"/>
                  <w:vAlign w:val="center"/>
                </w:tcPr>
                <w:p>
                  <w:pPr>
                    <w:adjustRightInd w:val="0"/>
                    <w:snapToGrid w:val="0"/>
                    <w:jc w:val="center"/>
                    <w:rPr>
                      <w:bCs/>
                      <w:szCs w:val="21"/>
                    </w:rPr>
                  </w:pPr>
                  <w:r>
                    <w:drawing>
                      <wp:inline distT="0" distB="0" distL="0" distR="0">
                        <wp:extent cx="1123950" cy="99060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1123950" cy="990600"/>
                                </a:xfrm>
                                <a:prstGeom prst="rect">
                                  <a:avLst/>
                                </a:prstGeom>
                                <a:noFill/>
                                <a:ln>
                                  <a:noFill/>
                                </a:ln>
                              </pic:spPr>
                            </pic:pic>
                          </a:graphicData>
                        </a:graphic>
                      </wp:inline>
                    </w:drawing>
                  </w:r>
                </w:p>
              </w:tc>
              <w:tc>
                <w:tcPr>
                  <w:tcW w:w="1299" w:type="pct"/>
                  <w:shd w:val="clear" w:color="auto" w:fill="auto"/>
                  <w:vAlign w:val="center"/>
                </w:tcPr>
                <w:p>
                  <w:pPr>
                    <w:adjustRightInd w:val="0"/>
                    <w:snapToGrid w:val="0"/>
                    <w:jc w:val="center"/>
                    <w:rPr>
                      <w:bCs/>
                      <w:szCs w:val="21"/>
                    </w:rPr>
                  </w:pPr>
                  <w:r>
                    <w:rPr>
                      <w:rFonts w:hint="eastAsia"/>
                      <w:bCs/>
                      <w:szCs w:val="21"/>
                    </w:rPr>
                    <w:t>噪声排放源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99" w:type="pct"/>
                  <w:shd w:val="clear" w:color="auto" w:fill="auto"/>
                  <w:vAlign w:val="center"/>
                </w:tcPr>
                <w:p>
                  <w:pPr>
                    <w:adjustRightInd w:val="0"/>
                    <w:snapToGrid w:val="0"/>
                    <w:jc w:val="center"/>
                    <w:rPr>
                      <w:bCs/>
                      <w:szCs w:val="21"/>
                    </w:rPr>
                  </w:pPr>
                  <w:r>
                    <w:drawing>
                      <wp:inline distT="0" distB="0" distL="0" distR="0">
                        <wp:extent cx="1219200" cy="95631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222001" cy="958931"/>
                                </a:xfrm>
                                <a:prstGeom prst="rect">
                                  <a:avLst/>
                                </a:prstGeom>
                                <a:noFill/>
                                <a:ln>
                                  <a:noFill/>
                                </a:ln>
                              </pic:spPr>
                            </pic:pic>
                          </a:graphicData>
                        </a:graphic>
                      </wp:inline>
                    </w:drawing>
                  </w:r>
                </w:p>
              </w:tc>
              <w:tc>
                <w:tcPr>
                  <w:tcW w:w="1802" w:type="pct"/>
                  <w:shd w:val="clear" w:color="auto" w:fill="auto"/>
                  <w:vAlign w:val="center"/>
                </w:tcPr>
                <w:p>
                  <w:pPr>
                    <w:adjustRightInd w:val="0"/>
                    <w:snapToGrid w:val="0"/>
                    <w:jc w:val="center"/>
                    <w:rPr>
                      <w:bCs/>
                      <w:szCs w:val="21"/>
                    </w:rPr>
                  </w:pPr>
                  <w:r>
                    <w:drawing>
                      <wp:inline distT="0" distB="0" distL="0" distR="0">
                        <wp:extent cx="1285875" cy="1038225"/>
                        <wp:effectExtent l="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1285875" cy="1038225"/>
                                </a:xfrm>
                                <a:prstGeom prst="rect">
                                  <a:avLst/>
                                </a:prstGeom>
                                <a:noFill/>
                                <a:ln>
                                  <a:noFill/>
                                </a:ln>
                              </pic:spPr>
                            </pic:pic>
                          </a:graphicData>
                        </a:graphic>
                      </wp:inline>
                    </w:drawing>
                  </w:r>
                </w:p>
              </w:tc>
              <w:tc>
                <w:tcPr>
                  <w:tcW w:w="1299" w:type="pct"/>
                  <w:shd w:val="clear" w:color="auto" w:fill="auto"/>
                  <w:vAlign w:val="center"/>
                </w:tcPr>
                <w:p>
                  <w:pPr>
                    <w:adjustRightInd w:val="0"/>
                    <w:snapToGrid w:val="0"/>
                    <w:jc w:val="center"/>
                    <w:rPr>
                      <w:bCs/>
                      <w:szCs w:val="21"/>
                    </w:rPr>
                  </w:pPr>
                  <w:r>
                    <w:rPr>
                      <w:rFonts w:hint="eastAsia"/>
                      <w:bCs/>
                      <w:szCs w:val="21"/>
                    </w:rPr>
                    <w:t>一般工业固体废物暂存间</w:t>
                  </w:r>
                </w:p>
              </w:tc>
            </w:tr>
          </w:tbl>
          <w:p>
            <w:pPr>
              <w:adjustRightInd w:val="0"/>
              <w:snapToGrid w:val="0"/>
              <w:spacing w:line="400" w:lineRule="exact"/>
              <w:ind w:firstLine="420" w:firstLineChars="200"/>
              <w:rPr>
                <w:bCs/>
                <w:szCs w:val="21"/>
              </w:rPr>
            </w:pPr>
            <w:r>
              <w:rPr>
                <w:bCs/>
                <w:szCs w:val="21"/>
              </w:rPr>
              <w:t>（5）</w:t>
            </w:r>
            <w:r>
              <w:rPr>
                <w:rFonts w:hint="eastAsia"/>
                <w:bCs/>
                <w:szCs w:val="21"/>
              </w:rPr>
              <w:t>危废间</w:t>
            </w:r>
            <w:r>
              <w:rPr>
                <w:bCs/>
                <w:szCs w:val="21"/>
              </w:rPr>
              <w:t>标识要求</w:t>
            </w:r>
          </w:p>
          <w:p>
            <w:pPr>
              <w:adjustRightInd w:val="0"/>
              <w:snapToGrid w:val="0"/>
              <w:spacing w:line="400" w:lineRule="exact"/>
              <w:ind w:firstLine="420" w:firstLineChars="200"/>
              <w:rPr>
                <w:bCs/>
                <w:szCs w:val="21"/>
              </w:rPr>
            </w:pPr>
            <w:r>
              <w:rPr>
                <w:rFonts w:hint="eastAsia"/>
                <w:bCs/>
                <w:szCs w:val="21"/>
              </w:rPr>
              <w:t>危废间</w:t>
            </w:r>
            <w:r>
              <w:rPr>
                <w:rFonts w:hint="eastAsia"/>
                <w:bCs/>
                <w:szCs w:val="21"/>
                <w:lang w:val="en-US" w:eastAsia="zh-CN"/>
              </w:rPr>
              <w:t>已</w:t>
            </w:r>
            <w:r>
              <w:rPr>
                <w:rFonts w:hint="eastAsia"/>
                <w:bCs/>
                <w:szCs w:val="21"/>
              </w:rPr>
              <w:t>按照《危险废物识别标志设置技术规范》（H</w:t>
            </w:r>
            <w:r>
              <w:rPr>
                <w:bCs/>
                <w:szCs w:val="21"/>
              </w:rPr>
              <w:t>J1276-2022</w:t>
            </w:r>
            <w:r>
              <w:rPr>
                <w:rFonts w:hint="eastAsia"/>
                <w:bCs/>
                <w:szCs w:val="21"/>
              </w:rPr>
              <w:t>）</w:t>
            </w:r>
            <w:r>
              <w:rPr>
                <w:bCs/>
                <w:szCs w:val="21"/>
              </w:rPr>
              <w:t>，具体如下：</w:t>
            </w:r>
          </w:p>
          <w:p>
            <w:pPr>
              <w:spacing w:line="400" w:lineRule="exact"/>
              <w:jc w:val="center"/>
              <w:rPr>
                <w:b/>
                <w:szCs w:val="21"/>
              </w:rPr>
            </w:pPr>
            <w:r>
              <w:rPr>
                <w:b/>
                <w:szCs w:val="21"/>
              </w:rPr>
              <w:t>表4-2</w:t>
            </w:r>
            <w:r>
              <w:rPr>
                <w:rFonts w:hint="eastAsia"/>
                <w:b/>
                <w:szCs w:val="21"/>
                <w:lang w:val="en-US" w:eastAsia="zh-CN"/>
              </w:rPr>
              <w:t>2</w:t>
            </w:r>
            <w:r>
              <w:rPr>
                <w:b/>
                <w:szCs w:val="21"/>
              </w:rPr>
              <w:t xml:space="preserve">   危险间及储存容器标签示例</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2286"/>
              <w:gridCol w:w="46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642" w:type="pct"/>
                  <w:vAlign w:val="center"/>
                </w:tcPr>
                <w:p>
                  <w:pPr>
                    <w:pStyle w:val="132"/>
                    <w:rPr>
                      <w:bCs/>
                      <w:szCs w:val="21"/>
                    </w:rPr>
                  </w:pPr>
                  <w:r>
                    <w:rPr>
                      <w:bCs/>
                      <w:szCs w:val="21"/>
                    </w:rPr>
                    <w:t>场合</w:t>
                  </w:r>
                </w:p>
              </w:tc>
              <w:tc>
                <w:tcPr>
                  <w:tcW w:w="1440" w:type="pct"/>
                  <w:vAlign w:val="center"/>
                </w:tcPr>
                <w:p>
                  <w:pPr>
                    <w:pStyle w:val="132"/>
                    <w:rPr>
                      <w:bCs/>
                      <w:szCs w:val="21"/>
                    </w:rPr>
                  </w:pPr>
                  <w:r>
                    <w:rPr>
                      <w:bCs/>
                      <w:szCs w:val="21"/>
                    </w:rPr>
                    <w:t>样式</w:t>
                  </w:r>
                </w:p>
              </w:tc>
              <w:tc>
                <w:tcPr>
                  <w:tcW w:w="2918" w:type="pct"/>
                  <w:vAlign w:val="center"/>
                </w:tcPr>
                <w:p>
                  <w:pPr>
                    <w:pStyle w:val="132"/>
                    <w:rPr>
                      <w:bCs/>
                      <w:szCs w:val="21"/>
                    </w:rPr>
                  </w:pPr>
                  <w:r>
                    <w:rPr>
                      <w:bCs/>
                      <w:szCs w:val="21"/>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2" w:type="pct"/>
                  <w:vAlign w:val="center"/>
                </w:tcPr>
                <w:p>
                  <w:pPr>
                    <w:pStyle w:val="132"/>
                    <w:rPr>
                      <w:bCs/>
                      <w:szCs w:val="21"/>
                    </w:rPr>
                  </w:pPr>
                  <w:r>
                    <w:rPr>
                      <w:bCs/>
                      <w:szCs w:val="21"/>
                    </w:rPr>
                    <w:t>室外</w:t>
                  </w:r>
                </w:p>
                <w:p>
                  <w:pPr>
                    <w:pStyle w:val="132"/>
                    <w:rPr>
                      <w:bCs/>
                      <w:szCs w:val="21"/>
                    </w:rPr>
                  </w:pPr>
                  <w:r>
                    <w:rPr>
                      <w:bCs/>
                      <w:szCs w:val="21"/>
                    </w:rPr>
                    <w:t>（粘贴于门上或悬挂）</w:t>
                  </w:r>
                </w:p>
              </w:tc>
              <w:tc>
                <w:tcPr>
                  <w:tcW w:w="1440" w:type="pct"/>
                  <w:vAlign w:val="center"/>
                </w:tcPr>
                <w:p>
                  <w:pPr>
                    <w:pStyle w:val="132"/>
                    <w:jc w:val="both"/>
                    <w:rPr>
                      <w:bCs/>
                    </w:rPr>
                  </w:pPr>
                  <w:r>
                    <w:drawing>
                      <wp:inline distT="0" distB="0" distL="0" distR="0">
                        <wp:extent cx="1309370" cy="826770"/>
                        <wp:effectExtent l="0" t="0" r="5080"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1309370" cy="826770"/>
                                </a:xfrm>
                                <a:prstGeom prst="rect">
                                  <a:avLst/>
                                </a:prstGeom>
                                <a:noFill/>
                                <a:ln>
                                  <a:noFill/>
                                </a:ln>
                              </pic:spPr>
                            </pic:pic>
                          </a:graphicData>
                        </a:graphic>
                      </wp:inline>
                    </w:drawing>
                  </w:r>
                </w:p>
              </w:tc>
              <w:tc>
                <w:tcPr>
                  <w:tcW w:w="2918" w:type="pct"/>
                  <w:vAlign w:val="center"/>
                </w:tcPr>
                <w:p>
                  <w:pPr>
                    <w:pStyle w:val="132"/>
                    <w:ind w:firstLine="420" w:firstLineChars="200"/>
                    <w:jc w:val="both"/>
                    <w:rPr>
                      <w:bCs/>
                    </w:rPr>
                  </w:pPr>
                  <w:r>
                    <w:rPr>
                      <w:rFonts w:hint="eastAsia"/>
                      <w:bCs/>
                    </w:rPr>
                    <w:t>1、危险废物设施标志背景颜色为黄色，RGB 颜色值为（255, 255, 0）。字体和边框颜色为黑色，RGB颜色值为（0, 0, 0）。</w:t>
                  </w:r>
                </w:p>
                <w:p>
                  <w:pPr>
                    <w:ind w:firstLine="420" w:firstLineChars="200"/>
                  </w:pPr>
                  <w:r>
                    <w:rPr>
                      <w:rFonts w:hint="eastAsia"/>
                    </w:rPr>
                    <w:t>2、危险废物设施标志字体应采用黑体字，其中危险废物设施类型的字样应加粗放大并居中显示</w:t>
                  </w:r>
                </w:p>
                <w:p>
                  <w:pPr>
                    <w:autoSpaceDE w:val="0"/>
                    <w:autoSpaceDN w:val="0"/>
                    <w:adjustRightInd w:val="0"/>
                    <w:ind w:firstLine="420" w:firstLineChars="200"/>
                    <w:rPr>
                      <w:rFonts w:ascii="宋体" w:cs="宋体"/>
                      <w:kern w:val="0"/>
                      <w:szCs w:val="21"/>
                    </w:rPr>
                  </w:pPr>
                  <w:r>
                    <w:rPr>
                      <w:rFonts w:hint="eastAsia"/>
                    </w:rPr>
                    <w:t>3、</w:t>
                  </w:r>
                  <w:r>
                    <w:rPr>
                      <w:rFonts w:hint="eastAsia" w:ascii="宋体" w:cs="宋体"/>
                      <w:kern w:val="0"/>
                      <w:szCs w:val="21"/>
                    </w:rPr>
                    <w:t>危险废物贮存、利用、处置设施标志的尺寸宜根据其设置位置和对应的观察距离按照下表中的要求设置：</w:t>
                  </w:r>
                </w:p>
                <w:p>
                  <w:pPr>
                    <w:pStyle w:val="132"/>
                    <w:ind w:firstLine="420" w:firstLineChars="200"/>
                    <w:jc w:val="both"/>
                  </w:pPr>
                  <w:r>
                    <w:rPr>
                      <w:rFonts w:hint="eastAsia"/>
                    </w:rPr>
                    <w:t>4</w:t>
                  </w:r>
                  <w:r>
                    <w:rPr>
                      <w:rFonts w:hint="eastAsia"/>
                      <w:bCs/>
                    </w:rPr>
                    <w:t>、危险废物贮存、利用、处置设施标志的图形和文字应清晰、完整，保证在足够的观察距离条件下也不影响阅读。三角形警告性图形与其他信息间宜加黑色分界线区分，分界线的宽度宜不小于</w:t>
                  </w:r>
                  <w:r>
                    <w:rPr>
                      <w:bCs/>
                    </w:rPr>
                    <w:t>3 mm</w:t>
                  </w:r>
                  <w:r>
                    <w:rPr>
                      <w:rFonts w:hint="eastAsia"/>
                      <w:bCs/>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2" w:type="pct"/>
                  <w:vAlign w:val="center"/>
                </w:tcPr>
                <w:p>
                  <w:pPr>
                    <w:pStyle w:val="132"/>
                    <w:rPr>
                      <w:bCs/>
                      <w:szCs w:val="21"/>
                    </w:rPr>
                  </w:pPr>
                  <w:r>
                    <w:rPr>
                      <w:bCs/>
                      <w:szCs w:val="21"/>
                    </w:rPr>
                    <w:t>粘贴于危险废物储存容器</w:t>
                  </w:r>
                </w:p>
              </w:tc>
              <w:tc>
                <w:tcPr>
                  <w:tcW w:w="1440" w:type="pct"/>
                  <w:vAlign w:val="center"/>
                </w:tcPr>
                <w:p>
                  <w:pPr>
                    <w:pStyle w:val="132"/>
                  </w:pPr>
                  <w:r>
                    <w:drawing>
                      <wp:inline distT="0" distB="0" distL="0" distR="0">
                        <wp:extent cx="1309370" cy="1309370"/>
                        <wp:effectExtent l="0" t="0" r="5080" b="508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1309370" cy="1309370"/>
                                </a:xfrm>
                                <a:prstGeom prst="rect">
                                  <a:avLst/>
                                </a:prstGeom>
                                <a:noFill/>
                                <a:ln>
                                  <a:noFill/>
                                </a:ln>
                              </pic:spPr>
                            </pic:pic>
                          </a:graphicData>
                        </a:graphic>
                      </wp:inline>
                    </w:drawing>
                  </w:r>
                </w:p>
              </w:tc>
              <w:tc>
                <w:tcPr>
                  <w:tcW w:w="2918" w:type="pct"/>
                  <w:vAlign w:val="center"/>
                </w:tcPr>
                <w:p>
                  <w:pPr>
                    <w:pStyle w:val="132"/>
                    <w:ind w:firstLine="420" w:firstLineChars="200"/>
                    <w:jc w:val="both"/>
                    <w:rPr>
                      <w:bCs/>
                    </w:rPr>
                  </w:pPr>
                  <w:r>
                    <w:rPr>
                      <w:rFonts w:hint="eastAsia"/>
                      <w:bCs/>
                    </w:rPr>
                    <w:t>1、危险废物标签背景色应采用醒目的橘黄色，RGB 颜色值为（255, 150, 0）。标签边框和字体颜色为黑色，RGB 颜色值为（0, 0, 0）；</w:t>
                  </w:r>
                </w:p>
                <w:p>
                  <w:pPr>
                    <w:pStyle w:val="132"/>
                    <w:ind w:firstLine="420" w:firstLineChars="200"/>
                    <w:jc w:val="both"/>
                    <w:rPr>
                      <w:bCs/>
                    </w:rPr>
                  </w:pPr>
                  <w:r>
                    <w:rPr>
                      <w:rFonts w:hint="eastAsia"/>
                      <w:bCs/>
                    </w:rPr>
                    <w:t>2、危险废物标签字体宜采用黑体字，其中“危险废物”字样应加粗放大；</w:t>
                  </w:r>
                </w:p>
                <w:p>
                  <w:pPr>
                    <w:pStyle w:val="132"/>
                    <w:ind w:firstLine="420" w:firstLineChars="200"/>
                    <w:jc w:val="both"/>
                    <w:rPr>
                      <w:bCs/>
                    </w:rPr>
                  </w:pPr>
                  <w:r>
                    <w:rPr>
                      <w:rFonts w:hint="eastAsia"/>
                      <w:bCs/>
                    </w:rPr>
                    <w:t>3、危险废物标签的尺寸宜根据容器或包装物的容积按照表1 中的要求设置</w:t>
                  </w:r>
                </w:p>
                <w:p>
                  <w:pPr>
                    <w:pStyle w:val="132"/>
                    <w:ind w:firstLine="420" w:firstLineChars="200"/>
                    <w:jc w:val="both"/>
                  </w:pPr>
                  <w:r>
                    <w:rPr>
                      <w:rFonts w:hint="eastAsia"/>
                      <w:bCs/>
                    </w:rPr>
                    <w:t>4、危险废物标签印刷的油墨应均匀，图案和文字应清晰、完整。危险废物标签的文字边缘宜加黑色边框，边框宽度不小于1 mm，边框外宜留不小于3 mm 的空白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2" w:type="pct"/>
                  <w:vAlign w:val="center"/>
                </w:tcPr>
                <w:p>
                  <w:pPr>
                    <w:pStyle w:val="132"/>
                    <w:rPr>
                      <w:bCs/>
                      <w:szCs w:val="21"/>
                    </w:rPr>
                  </w:pPr>
                  <w:r>
                    <w:rPr>
                      <w:bCs/>
                      <w:szCs w:val="21"/>
                    </w:rPr>
                    <w:t>危险废物贮存分区标志</w:t>
                  </w:r>
                </w:p>
              </w:tc>
              <w:tc>
                <w:tcPr>
                  <w:tcW w:w="1440" w:type="pct"/>
                  <w:vAlign w:val="center"/>
                </w:tcPr>
                <w:p>
                  <w:pPr>
                    <w:pStyle w:val="132"/>
                  </w:pPr>
                  <w:r>
                    <w:drawing>
                      <wp:inline distT="0" distB="0" distL="0" distR="0">
                        <wp:extent cx="1499870" cy="1236345"/>
                        <wp:effectExtent l="0" t="0" r="5080" b="1905"/>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a:xfrm>
                                  <a:off x="0" y="0"/>
                                  <a:ext cx="1499870" cy="1236345"/>
                                </a:xfrm>
                                <a:prstGeom prst="rect">
                                  <a:avLst/>
                                </a:prstGeom>
                                <a:noFill/>
                                <a:ln>
                                  <a:noFill/>
                                </a:ln>
                              </pic:spPr>
                            </pic:pic>
                          </a:graphicData>
                        </a:graphic>
                      </wp:inline>
                    </w:drawing>
                  </w:r>
                </w:p>
                <w:p>
                  <w:pPr>
                    <w:pStyle w:val="132"/>
                  </w:pPr>
                  <w:r>
                    <w:t>（仅为举例示意样式）</w:t>
                  </w:r>
                </w:p>
              </w:tc>
              <w:tc>
                <w:tcPr>
                  <w:tcW w:w="2918" w:type="pct"/>
                  <w:vAlign w:val="center"/>
                </w:tcPr>
                <w:p>
                  <w:pPr>
                    <w:pStyle w:val="132"/>
                    <w:ind w:firstLine="420" w:firstLineChars="200"/>
                    <w:jc w:val="both"/>
                    <w:rPr>
                      <w:bCs/>
                      <w:szCs w:val="21"/>
                    </w:rPr>
                  </w:pPr>
                  <w:r>
                    <w:rPr>
                      <w:bCs/>
                      <w:szCs w:val="21"/>
                    </w:rPr>
                    <w:t>1、宜在危险废物贮存设施内的每一个贮存分区处设置危险废物贮存分区标志，危险废物贮存分区标志宜设置在该贮存分区前的通道位置或墙壁、栏杆等易于观察的位置。</w:t>
                  </w:r>
                </w:p>
                <w:p>
                  <w:pPr>
                    <w:pStyle w:val="132"/>
                    <w:ind w:firstLine="420" w:firstLineChars="200"/>
                    <w:jc w:val="both"/>
                    <w:rPr>
                      <w:bCs/>
                      <w:szCs w:val="21"/>
                    </w:rPr>
                  </w:pPr>
                  <w:r>
                    <w:rPr>
                      <w:bCs/>
                      <w:szCs w:val="21"/>
                    </w:rPr>
                    <w:t>2、危险废物分区标志背景色应采用黄色，RGB 颜色值为（255, 255, 0）。废物种类信息应采用醒目的橘黄色，RGB 颜色值为（255, 150, 0）。字体颜色为黑色，RGB 颜色值为（0, 0, 0）；</w:t>
                  </w:r>
                </w:p>
                <w:p>
                  <w:pPr>
                    <w:pStyle w:val="132"/>
                    <w:ind w:firstLine="420" w:firstLineChars="200"/>
                    <w:jc w:val="left"/>
                    <w:rPr>
                      <w:bCs/>
                      <w:szCs w:val="21"/>
                    </w:rPr>
                  </w:pPr>
                  <w:r>
                    <w:rPr>
                      <w:bCs/>
                      <w:szCs w:val="21"/>
                    </w:rPr>
                    <w:t>3、危险废物分区标志的字体宜采用黑体字，其中“危险废物贮存分区标志”字样应加粗放大并居中显示。</w:t>
                  </w:r>
                </w:p>
                <w:p>
                  <w:pPr>
                    <w:pStyle w:val="132"/>
                    <w:ind w:firstLine="420" w:firstLineChars="200"/>
                    <w:jc w:val="both"/>
                    <w:rPr>
                      <w:bCs/>
                      <w:szCs w:val="21"/>
                    </w:rPr>
                  </w:pPr>
                  <w:r>
                    <w:rPr>
                      <w:bCs/>
                      <w:szCs w:val="21"/>
                    </w:rPr>
                    <w:t>4、危险废物贮存分区标志的尺寸宜根据对应的观察距离按照表4-35 中的要求设置。</w:t>
                  </w:r>
                </w:p>
                <w:p>
                  <w:pPr>
                    <w:pStyle w:val="132"/>
                    <w:ind w:firstLine="420" w:firstLineChars="200"/>
                    <w:jc w:val="both"/>
                    <w:rPr>
                      <w:bCs/>
                    </w:rPr>
                  </w:pPr>
                  <w:r>
                    <w:rPr>
                      <w:bCs/>
                      <w:szCs w:val="21"/>
                    </w:rPr>
                    <w:t>5、危险废物贮存分区标志的图形和文字应清晰、完整，保证在足够的观察距离条件下不影响阅读。“危险废物贮存分区标志”字样与其他信息宜加黑色分界线区分，分界线的宽度不小于 2 mm。</w:t>
                  </w:r>
                </w:p>
              </w:tc>
            </w:tr>
          </w:tbl>
          <w:p>
            <w:pPr>
              <w:spacing w:line="400" w:lineRule="exact"/>
              <w:jc w:val="center"/>
              <w:rPr>
                <w:b/>
                <w:szCs w:val="21"/>
              </w:rPr>
            </w:pPr>
            <w:r>
              <w:rPr>
                <w:rFonts w:hint="eastAsia"/>
                <w:b/>
                <w:szCs w:val="21"/>
              </w:rPr>
              <w:t>表4</w:t>
            </w:r>
            <w:r>
              <w:rPr>
                <w:b/>
                <w:szCs w:val="21"/>
              </w:rPr>
              <w:t>-2</w:t>
            </w:r>
            <w:r>
              <w:rPr>
                <w:rFonts w:hint="eastAsia"/>
                <w:b/>
                <w:szCs w:val="21"/>
                <w:lang w:val="en-US" w:eastAsia="zh-CN"/>
              </w:rPr>
              <w:t>3</w:t>
            </w:r>
            <w:r>
              <w:rPr>
                <w:b/>
                <w:szCs w:val="21"/>
              </w:rPr>
              <w:t xml:space="preserve">  室外</w:t>
            </w:r>
            <w:r>
              <w:rPr>
                <w:rFonts w:hint="eastAsia"/>
                <w:b/>
                <w:szCs w:val="21"/>
              </w:rPr>
              <w:t>标识尺寸设置要求</w:t>
            </w:r>
          </w:p>
          <w:tbl>
            <w:tblPr>
              <w:tblStyle w:val="9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3"/>
              <w:gridCol w:w="1151"/>
              <w:gridCol w:w="1090"/>
              <w:gridCol w:w="935"/>
              <w:gridCol w:w="935"/>
              <w:gridCol w:w="1079"/>
              <w:gridCol w:w="917"/>
              <w:gridCol w:w="7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pct"/>
                  <w:vMerge w:val="restart"/>
                  <w:shd w:val="clear" w:color="auto" w:fill="auto"/>
                  <w:vAlign w:val="center"/>
                </w:tcPr>
                <w:p>
                  <w:pPr>
                    <w:jc w:val="center"/>
                  </w:pPr>
                  <w:r>
                    <w:rPr>
                      <w:rFonts w:hint="eastAsia"/>
                    </w:rPr>
                    <w:t>位置</w:t>
                  </w:r>
                </w:p>
              </w:tc>
              <w:tc>
                <w:tcPr>
                  <w:tcW w:w="725" w:type="pct"/>
                  <w:vMerge w:val="restart"/>
                  <w:shd w:val="clear" w:color="auto" w:fill="auto"/>
                  <w:vAlign w:val="center"/>
                </w:tcPr>
                <w:p>
                  <w:pPr>
                    <w:jc w:val="center"/>
                  </w:pPr>
                  <w:r>
                    <w:rPr>
                      <w:rFonts w:hint="eastAsia"/>
                    </w:rPr>
                    <w:t>观察距离L（m）</w:t>
                  </w:r>
                </w:p>
              </w:tc>
              <w:tc>
                <w:tcPr>
                  <w:tcW w:w="687" w:type="pct"/>
                  <w:vMerge w:val="restart"/>
                  <w:shd w:val="clear" w:color="auto" w:fill="auto"/>
                  <w:vAlign w:val="center"/>
                </w:tcPr>
                <w:p>
                  <w:pPr>
                    <w:jc w:val="center"/>
                  </w:pPr>
                  <w:r>
                    <w:rPr>
                      <w:rFonts w:hint="eastAsia"/>
                    </w:rPr>
                    <w:t>标志牌整体外形最小尺寸（m</w:t>
                  </w:r>
                  <w:r>
                    <w:t>m</w:t>
                  </w:r>
                  <w:r>
                    <w:rPr>
                      <w:rFonts w:hint="eastAsia"/>
                    </w:rPr>
                    <w:t>）</w:t>
                  </w:r>
                </w:p>
              </w:tc>
              <w:tc>
                <w:tcPr>
                  <w:tcW w:w="1857" w:type="pct"/>
                  <w:gridSpan w:val="3"/>
                  <w:shd w:val="clear" w:color="auto" w:fill="auto"/>
                  <w:vAlign w:val="center"/>
                </w:tcPr>
                <w:p>
                  <w:pPr>
                    <w:jc w:val="center"/>
                  </w:pPr>
                  <w:r>
                    <w:rPr>
                      <w:rFonts w:hint="eastAsia"/>
                    </w:rPr>
                    <w:t>三角形警告性标志（m</w:t>
                  </w:r>
                  <w:r>
                    <w:t>m</w:t>
                  </w:r>
                  <w:r>
                    <w:rPr>
                      <w:rFonts w:hint="eastAsia"/>
                    </w:rPr>
                    <w:t>）</w:t>
                  </w:r>
                </w:p>
              </w:tc>
              <w:tc>
                <w:tcPr>
                  <w:tcW w:w="1030" w:type="pct"/>
                  <w:gridSpan w:val="2"/>
                  <w:shd w:val="clear" w:color="auto" w:fill="auto"/>
                  <w:vAlign w:val="center"/>
                </w:tcPr>
                <w:p>
                  <w:pPr>
                    <w:jc w:val="center"/>
                  </w:pPr>
                  <w:r>
                    <w:rPr>
                      <w:rFonts w:hint="eastAsia"/>
                    </w:rPr>
                    <w:t>最低文字高度（m</w:t>
                  </w:r>
                  <w:r>
                    <w:t>m</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pct"/>
                  <w:vMerge w:val="continue"/>
                  <w:shd w:val="clear" w:color="auto" w:fill="auto"/>
                  <w:vAlign w:val="center"/>
                </w:tcPr>
                <w:p>
                  <w:pPr>
                    <w:jc w:val="center"/>
                  </w:pPr>
                </w:p>
              </w:tc>
              <w:tc>
                <w:tcPr>
                  <w:tcW w:w="725" w:type="pct"/>
                  <w:vMerge w:val="continue"/>
                  <w:shd w:val="clear" w:color="auto" w:fill="auto"/>
                  <w:vAlign w:val="center"/>
                </w:tcPr>
                <w:p>
                  <w:pPr>
                    <w:jc w:val="center"/>
                  </w:pPr>
                </w:p>
              </w:tc>
              <w:tc>
                <w:tcPr>
                  <w:tcW w:w="687" w:type="pct"/>
                  <w:vMerge w:val="continue"/>
                  <w:shd w:val="clear" w:color="auto" w:fill="auto"/>
                  <w:vAlign w:val="center"/>
                </w:tcPr>
                <w:p>
                  <w:pPr>
                    <w:jc w:val="center"/>
                  </w:pPr>
                </w:p>
              </w:tc>
              <w:tc>
                <w:tcPr>
                  <w:tcW w:w="589" w:type="pct"/>
                  <w:shd w:val="clear" w:color="auto" w:fill="auto"/>
                  <w:vAlign w:val="center"/>
                </w:tcPr>
                <w:p>
                  <w:pPr>
                    <w:jc w:val="center"/>
                  </w:pPr>
                  <w:r>
                    <w:rPr>
                      <w:rFonts w:hint="eastAsia"/>
                    </w:rPr>
                    <w:t>三角形外变长</w:t>
                  </w:r>
                </w:p>
              </w:tc>
              <w:tc>
                <w:tcPr>
                  <w:tcW w:w="589" w:type="pct"/>
                  <w:shd w:val="clear" w:color="auto" w:fill="auto"/>
                  <w:vAlign w:val="center"/>
                </w:tcPr>
                <w:p>
                  <w:pPr>
                    <w:jc w:val="center"/>
                  </w:pPr>
                  <w:r>
                    <w:rPr>
                      <w:rFonts w:hint="eastAsia"/>
                    </w:rPr>
                    <w:t>三角形外边长</w:t>
                  </w:r>
                </w:p>
              </w:tc>
              <w:tc>
                <w:tcPr>
                  <w:tcW w:w="680" w:type="pct"/>
                  <w:shd w:val="clear" w:color="auto" w:fill="auto"/>
                  <w:vAlign w:val="center"/>
                </w:tcPr>
                <w:p>
                  <w:pPr>
                    <w:jc w:val="center"/>
                  </w:pPr>
                  <w:r>
                    <w:rPr>
                      <w:rFonts w:hint="eastAsia"/>
                    </w:rPr>
                    <w:t>边框外角圆弧半径</w:t>
                  </w:r>
                </w:p>
              </w:tc>
              <w:tc>
                <w:tcPr>
                  <w:tcW w:w="578" w:type="pct"/>
                  <w:shd w:val="clear" w:color="auto" w:fill="auto"/>
                  <w:vAlign w:val="center"/>
                </w:tcPr>
                <w:p>
                  <w:pPr>
                    <w:jc w:val="center"/>
                  </w:pPr>
                  <w:r>
                    <w:rPr>
                      <w:rFonts w:hint="eastAsia"/>
                    </w:rPr>
                    <w:t>设施类型名称</w:t>
                  </w:r>
                </w:p>
              </w:tc>
              <w:tc>
                <w:tcPr>
                  <w:tcW w:w="452" w:type="pct"/>
                  <w:shd w:val="clear" w:color="auto" w:fill="auto"/>
                  <w:vAlign w:val="center"/>
                </w:tcPr>
                <w:p>
                  <w:pPr>
                    <w:jc w:val="center"/>
                  </w:pPr>
                  <w:r>
                    <w:rPr>
                      <w:rFonts w:hint="eastAsia"/>
                    </w:rPr>
                    <w:t>其他文字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pct"/>
                  <w:shd w:val="clear" w:color="auto" w:fill="auto"/>
                  <w:vAlign w:val="center"/>
                </w:tcPr>
                <w:p>
                  <w:pPr>
                    <w:jc w:val="center"/>
                  </w:pPr>
                  <w:r>
                    <w:rPr>
                      <w:rFonts w:hint="eastAsia"/>
                    </w:rPr>
                    <w:t>室外入口</w:t>
                  </w:r>
                </w:p>
              </w:tc>
              <w:tc>
                <w:tcPr>
                  <w:tcW w:w="725" w:type="pct"/>
                  <w:shd w:val="clear" w:color="auto" w:fill="auto"/>
                  <w:vAlign w:val="center"/>
                </w:tcPr>
                <w:p>
                  <w:pPr>
                    <w:jc w:val="center"/>
                  </w:pPr>
                  <w:r>
                    <w:rPr>
                      <w:rFonts w:hint="eastAsia"/>
                    </w:rPr>
                    <w:t>＞1</w:t>
                  </w:r>
                  <w:r>
                    <w:t>0</w:t>
                  </w:r>
                </w:p>
              </w:tc>
              <w:tc>
                <w:tcPr>
                  <w:tcW w:w="687" w:type="pct"/>
                  <w:shd w:val="clear" w:color="auto" w:fill="auto"/>
                  <w:vAlign w:val="center"/>
                </w:tcPr>
                <w:p>
                  <w:pPr>
                    <w:jc w:val="center"/>
                  </w:pPr>
                  <w:r>
                    <w:rPr>
                      <w:rFonts w:hint="eastAsia"/>
                    </w:rPr>
                    <w:t>9</w:t>
                  </w:r>
                  <w:r>
                    <w:t>00</w:t>
                  </w:r>
                  <w:r>
                    <w:rPr>
                      <w:bCs/>
                    </w:rPr>
                    <w:t>×558</w:t>
                  </w:r>
                </w:p>
              </w:tc>
              <w:tc>
                <w:tcPr>
                  <w:tcW w:w="589" w:type="pct"/>
                  <w:shd w:val="clear" w:color="auto" w:fill="auto"/>
                  <w:vAlign w:val="center"/>
                </w:tcPr>
                <w:p>
                  <w:pPr>
                    <w:jc w:val="center"/>
                  </w:pPr>
                  <w:r>
                    <w:rPr>
                      <w:rFonts w:hint="eastAsia"/>
                    </w:rPr>
                    <w:t>5</w:t>
                  </w:r>
                  <w:r>
                    <w:t>00</w:t>
                  </w:r>
                </w:p>
              </w:tc>
              <w:tc>
                <w:tcPr>
                  <w:tcW w:w="589" w:type="pct"/>
                  <w:shd w:val="clear" w:color="auto" w:fill="auto"/>
                  <w:vAlign w:val="center"/>
                </w:tcPr>
                <w:p>
                  <w:pPr>
                    <w:jc w:val="center"/>
                  </w:pPr>
                  <w:r>
                    <w:rPr>
                      <w:rFonts w:hint="eastAsia"/>
                    </w:rPr>
                    <w:t>3</w:t>
                  </w:r>
                  <w:r>
                    <w:t>75</w:t>
                  </w:r>
                </w:p>
              </w:tc>
              <w:tc>
                <w:tcPr>
                  <w:tcW w:w="680" w:type="pct"/>
                  <w:shd w:val="clear" w:color="auto" w:fill="auto"/>
                  <w:vAlign w:val="center"/>
                </w:tcPr>
                <w:p>
                  <w:pPr>
                    <w:jc w:val="center"/>
                  </w:pPr>
                  <w:r>
                    <w:rPr>
                      <w:rFonts w:hint="eastAsia"/>
                    </w:rPr>
                    <w:t>3</w:t>
                  </w:r>
                  <w:r>
                    <w:t>0</w:t>
                  </w:r>
                </w:p>
              </w:tc>
              <w:tc>
                <w:tcPr>
                  <w:tcW w:w="578" w:type="pct"/>
                  <w:shd w:val="clear" w:color="auto" w:fill="auto"/>
                  <w:vAlign w:val="center"/>
                </w:tcPr>
                <w:p>
                  <w:pPr>
                    <w:jc w:val="center"/>
                  </w:pPr>
                  <w:r>
                    <w:rPr>
                      <w:rFonts w:hint="eastAsia"/>
                    </w:rPr>
                    <w:t>4</w:t>
                  </w:r>
                  <w:r>
                    <w:t>8</w:t>
                  </w:r>
                </w:p>
              </w:tc>
              <w:tc>
                <w:tcPr>
                  <w:tcW w:w="452" w:type="pct"/>
                  <w:shd w:val="clear" w:color="auto" w:fill="auto"/>
                  <w:vAlign w:val="center"/>
                </w:tcPr>
                <w:p>
                  <w:pPr>
                    <w:jc w:val="center"/>
                  </w:pPr>
                  <w:r>
                    <w:rPr>
                      <w:rFonts w:hint="eastAsia"/>
                    </w:rPr>
                    <w:t>2</w:t>
                  </w:r>
                  <w: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pct"/>
                  <w:shd w:val="clear" w:color="auto" w:fill="auto"/>
                  <w:vAlign w:val="center"/>
                </w:tcPr>
                <w:p>
                  <w:pPr>
                    <w:jc w:val="center"/>
                  </w:pPr>
                  <w:r>
                    <w:rPr>
                      <w:rFonts w:hint="eastAsia"/>
                    </w:rPr>
                    <w:t>室内</w:t>
                  </w:r>
                </w:p>
              </w:tc>
              <w:tc>
                <w:tcPr>
                  <w:tcW w:w="725" w:type="pct"/>
                  <w:shd w:val="clear" w:color="auto" w:fill="auto"/>
                  <w:vAlign w:val="center"/>
                </w:tcPr>
                <w:p>
                  <w:pPr>
                    <w:jc w:val="center"/>
                  </w:pPr>
                  <w:r>
                    <w:rPr>
                      <w:rFonts w:hint="eastAsia"/>
                    </w:rPr>
                    <w:t>4＜L≤</w:t>
                  </w:r>
                  <w:r>
                    <w:t>10</w:t>
                  </w:r>
                </w:p>
              </w:tc>
              <w:tc>
                <w:tcPr>
                  <w:tcW w:w="687" w:type="pct"/>
                  <w:shd w:val="clear" w:color="auto" w:fill="auto"/>
                  <w:vAlign w:val="center"/>
                </w:tcPr>
                <w:p>
                  <w:pPr>
                    <w:jc w:val="center"/>
                  </w:pPr>
                  <w:r>
                    <w:rPr>
                      <w:rFonts w:hint="eastAsia"/>
                    </w:rPr>
                    <w:t>6</w:t>
                  </w:r>
                  <w:r>
                    <w:t>00</w:t>
                  </w:r>
                  <w:r>
                    <w:rPr>
                      <w:bCs/>
                    </w:rPr>
                    <w:t>×372</w:t>
                  </w:r>
                </w:p>
              </w:tc>
              <w:tc>
                <w:tcPr>
                  <w:tcW w:w="589" w:type="pct"/>
                  <w:shd w:val="clear" w:color="auto" w:fill="auto"/>
                  <w:vAlign w:val="center"/>
                </w:tcPr>
                <w:p>
                  <w:pPr>
                    <w:jc w:val="center"/>
                  </w:pPr>
                  <w:r>
                    <w:rPr>
                      <w:rFonts w:hint="eastAsia"/>
                    </w:rPr>
                    <w:t>3</w:t>
                  </w:r>
                  <w:r>
                    <w:t>00</w:t>
                  </w:r>
                </w:p>
              </w:tc>
              <w:tc>
                <w:tcPr>
                  <w:tcW w:w="589" w:type="pct"/>
                  <w:shd w:val="clear" w:color="auto" w:fill="auto"/>
                  <w:vAlign w:val="center"/>
                </w:tcPr>
                <w:p>
                  <w:pPr>
                    <w:jc w:val="center"/>
                  </w:pPr>
                  <w:r>
                    <w:rPr>
                      <w:rFonts w:hint="eastAsia"/>
                    </w:rPr>
                    <w:t>2</w:t>
                  </w:r>
                  <w:r>
                    <w:t>25</w:t>
                  </w:r>
                </w:p>
              </w:tc>
              <w:tc>
                <w:tcPr>
                  <w:tcW w:w="680" w:type="pct"/>
                  <w:shd w:val="clear" w:color="auto" w:fill="auto"/>
                  <w:vAlign w:val="center"/>
                </w:tcPr>
                <w:p>
                  <w:pPr>
                    <w:jc w:val="center"/>
                  </w:pPr>
                  <w:r>
                    <w:rPr>
                      <w:rFonts w:hint="eastAsia"/>
                    </w:rPr>
                    <w:t>1</w:t>
                  </w:r>
                  <w:r>
                    <w:t>8</w:t>
                  </w:r>
                </w:p>
              </w:tc>
              <w:tc>
                <w:tcPr>
                  <w:tcW w:w="578" w:type="pct"/>
                  <w:shd w:val="clear" w:color="auto" w:fill="auto"/>
                  <w:vAlign w:val="center"/>
                </w:tcPr>
                <w:p>
                  <w:pPr>
                    <w:jc w:val="center"/>
                  </w:pPr>
                  <w:r>
                    <w:rPr>
                      <w:rFonts w:hint="eastAsia"/>
                    </w:rPr>
                    <w:t>3</w:t>
                  </w:r>
                  <w:r>
                    <w:t>2</w:t>
                  </w:r>
                </w:p>
              </w:tc>
              <w:tc>
                <w:tcPr>
                  <w:tcW w:w="452" w:type="pct"/>
                  <w:shd w:val="clear" w:color="auto" w:fill="auto"/>
                  <w:vAlign w:val="center"/>
                </w:tcPr>
                <w:p>
                  <w:pPr>
                    <w:jc w:val="center"/>
                  </w:pPr>
                  <w:r>
                    <w:rPr>
                      <w:rFonts w:hint="eastAsia"/>
                    </w:rPr>
                    <w:t>1</w:t>
                  </w:r>
                  <w: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1" w:type="pct"/>
                  <w:shd w:val="clear" w:color="auto" w:fill="auto"/>
                  <w:vAlign w:val="center"/>
                </w:tcPr>
                <w:p>
                  <w:pPr>
                    <w:jc w:val="center"/>
                  </w:pPr>
                  <w:r>
                    <w:rPr>
                      <w:rFonts w:hint="eastAsia"/>
                    </w:rPr>
                    <w:t>室内</w:t>
                  </w:r>
                </w:p>
              </w:tc>
              <w:tc>
                <w:tcPr>
                  <w:tcW w:w="725" w:type="pct"/>
                  <w:shd w:val="clear" w:color="auto" w:fill="auto"/>
                  <w:vAlign w:val="center"/>
                </w:tcPr>
                <w:p>
                  <w:pPr>
                    <w:jc w:val="center"/>
                  </w:pPr>
                  <w:r>
                    <w:rPr>
                      <w:rFonts w:hint="eastAsia"/>
                    </w:rPr>
                    <w:t>≤</w:t>
                  </w:r>
                  <w:r>
                    <w:t>4</w:t>
                  </w:r>
                </w:p>
              </w:tc>
              <w:tc>
                <w:tcPr>
                  <w:tcW w:w="687" w:type="pct"/>
                  <w:shd w:val="clear" w:color="auto" w:fill="auto"/>
                  <w:vAlign w:val="center"/>
                </w:tcPr>
                <w:p>
                  <w:pPr>
                    <w:jc w:val="center"/>
                  </w:pPr>
                  <w:r>
                    <w:rPr>
                      <w:rFonts w:hint="eastAsia"/>
                    </w:rPr>
                    <w:t>3</w:t>
                  </w:r>
                  <w:r>
                    <w:t>00</w:t>
                  </w:r>
                  <w:r>
                    <w:rPr>
                      <w:bCs/>
                    </w:rPr>
                    <w:t>×186</w:t>
                  </w:r>
                </w:p>
              </w:tc>
              <w:tc>
                <w:tcPr>
                  <w:tcW w:w="589" w:type="pct"/>
                  <w:shd w:val="clear" w:color="auto" w:fill="auto"/>
                  <w:vAlign w:val="center"/>
                </w:tcPr>
                <w:p>
                  <w:pPr>
                    <w:jc w:val="center"/>
                  </w:pPr>
                  <w:r>
                    <w:rPr>
                      <w:rFonts w:hint="eastAsia"/>
                    </w:rPr>
                    <w:t>1</w:t>
                  </w:r>
                  <w:r>
                    <w:t>40</w:t>
                  </w:r>
                </w:p>
              </w:tc>
              <w:tc>
                <w:tcPr>
                  <w:tcW w:w="589" w:type="pct"/>
                  <w:shd w:val="clear" w:color="auto" w:fill="auto"/>
                  <w:vAlign w:val="center"/>
                </w:tcPr>
                <w:p>
                  <w:pPr>
                    <w:jc w:val="center"/>
                  </w:pPr>
                  <w:r>
                    <w:rPr>
                      <w:rFonts w:hint="eastAsia"/>
                    </w:rPr>
                    <w:t>1</w:t>
                  </w:r>
                  <w:r>
                    <w:t>05</w:t>
                  </w:r>
                </w:p>
              </w:tc>
              <w:tc>
                <w:tcPr>
                  <w:tcW w:w="680" w:type="pct"/>
                  <w:shd w:val="clear" w:color="auto" w:fill="auto"/>
                  <w:vAlign w:val="center"/>
                </w:tcPr>
                <w:p>
                  <w:pPr>
                    <w:jc w:val="center"/>
                  </w:pPr>
                  <w:r>
                    <w:rPr>
                      <w:rFonts w:hint="eastAsia"/>
                    </w:rPr>
                    <w:t>8</w:t>
                  </w:r>
                  <w:r>
                    <w:t>.4</w:t>
                  </w:r>
                </w:p>
              </w:tc>
              <w:tc>
                <w:tcPr>
                  <w:tcW w:w="578" w:type="pct"/>
                  <w:shd w:val="clear" w:color="auto" w:fill="auto"/>
                  <w:vAlign w:val="center"/>
                </w:tcPr>
                <w:p>
                  <w:pPr>
                    <w:jc w:val="center"/>
                  </w:pPr>
                  <w:r>
                    <w:rPr>
                      <w:rFonts w:hint="eastAsia"/>
                    </w:rPr>
                    <w:t>1</w:t>
                  </w:r>
                  <w:r>
                    <w:t>6</w:t>
                  </w:r>
                </w:p>
              </w:tc>
              <w:tc>
                <w:tcPr>
                  <w:tcW w:w="452" w:type="pct"/>
                  <w:shd w:val="clear" w:color="auto" w:fill="auto"/>
                  <w:vAlign w:val="center"/>
                </w:tcPr>
                <w:p>
                  <w:pPr>
                    <w:jc w:val="center"/>
                  </w:pPr>
                  <w:r>
                    <w:rPr>
                      <w:rFonts w:hint="eastAsia"/>
                    </w:rPr>
                    <w:t>8</w:t>
                  </w:r>
                </w:p>
              </w:tc>
            </w:tr>
          </w:tbl>
          <w:p>
            <w:pPr>
              <w:spacing w:line="400" w:lineRule="exact"/>
              <w:jc w:val="center"/>
              <w:rPr>
                <w:b/>
                <w:szCs w:val="21"/>
              </w:rPr>
            </w:pPr>
            <w:r>
              <w:rPr>
                <w:rFonts w:hint="eastAsia"/>
                <w:b/>
                <w:szCs w:val="21"/>
              </w:rPr>
              <w:t>表4</w:t>
            </w:r>
            <w:r>
              <w:rPr>
                <w:b/>
                <w:szCs w:val="21"/>
              </w:rPr>
              <w:t>-2</w:t>
            </w:r>
            <w:r>
              <w:rPr>
                <w:rFonts w:hint="eastAsia"/>
                <w:b/>
                <w:szCs w:val="21"/>
                <w:lang w:val="en-US" w:eastAsia="zh-CN"/>
              </w:rPr>
              <w:t>4</w:t>
            </w:r>
            <w:r>
              <w:rPr>
                <w:b/>
                <w:szCs w:val="21"/>
              </w:rPr>
              <w:t xml:space="preserve">  室</w:t>
            </w:r>
            <w:r>
              <w:rPr>
                <w:rFonts w:hint="eastAsia"/>
                <w:b/>
                <w:szCs w:val="21"/>
              </w:rPr>
              <w:t>内容器或包装标识尺寸设置要求</w:t>
            </w:r>
          </w:p>
          <w:tbl>
            <w:tblPr>
              <w:tblStyle w:val="9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09"/>
              <w:gridCol w:w="2968"/>
              <w:gridCol w:w="24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pct"/>
                  <w:shd w:val="clear" w:color="auto" w:fill="auto"/>
                  <w:vAlign w:val="center"/>
                </w:tcPr>
                <w:p>
                  <w:pPr>
                    <w:jc w:val="center"/>
                  </w:pPr>
                  <w:r>
                    <w:rPr>
                      <w:rFonts w:hint="eastAsia"/>
                    </w:rPr>
                    <w:t>容器或包装物容积（L）</w:t>
                  </w:r>
                </w:p>
              </w:tc>
              <w:tc>
                <w:tcPr>
                  <w:tcW w:w="1870" w:type="pct"/>
                  <w:shd w:val="clear" w:color="auto" w:fill="auto"/>
                  <w:vAlign w:val="center"/>
                </w:tcPr>
                <w:p>
                  <w:pPr>
                    <w:jc w:val="center"/>
                  </w:pPr>
                  <w:r>
                    <w:rPr>
                      <w:rFonts w:hint="eastAsia"/>
                    </w:rPr>
                    <w:t>标签最小尺寸（m</w:t>
                  </w:r>
                  <w:r>
                    <w:t>m</w:t>
                  </w:r>
                  <w:r>
                    <w:rPr>
                      <w:bCs/>
                    </w:rPr>
                    <w:t>×mm</w:t>
                  </w:r>
                  <w:r>
                    <w:rPr>
                      <w:rFonts w:hint="eastAsia"/>
                    </w:rPr>
                    <w:t>）</w:t>
                  </w:r>
                </w:p>
              </w:tc>
              <w:tc>
                <w:tcPr>
                  <w:tcW w:w="1549" w:type="pct"/>
                  <w:shd w:val="clear" w:color="auto" w:fill="auto"/>
                  <w:vAlign w:val="center"/>
                </w:tcPr>
                <w:p>
                  <w:pPr>
                    <w:jc w:val="center"/>
                  </w:pPr>
                  <w:r>
                    <w:rPr>
                      <w:rFonts w:hint="eastAsia"/>
                    </w:rPr>
                    <w:t>最低文字高度（m</w:t>
                  </w:r>
                  <w:r>
                    <w:t>m</w:t>
                  </w: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pct"/>
                  <w:shd w:val="clear" w:color="auto" w:fill="auto"/>
                  <w:vAlign w:val="center"/>
                </w:tcPr>
                <w:p>
                  <w:pPr>
                    <w:jc w:val="center"/>
                  </w:pPr>
                  <w:r>
                    <w:rPr>
                      <w:rFonts w:hint="eastAsia"/>
                    </w:rPr>
                    <w:t>≤5</w:t>
                  </w:r>
                  <w:r>
                    <w:t>0</w:t>
                  </w:r>
                </w:p>
              </w:tc>
              <w:tc>
                <w:tcPr>
                  <w:tcW w:w="1870" w:type="pct"/>
                  <w:shd w:val="clear" w:color="auto" w:fill="auto"/>
                  <w:vAlign w:val="center"/>
                </w:tcPr>
                <w:p>
                  <w:pPr>
                    <w:jc w:val="center"/>
                  </w:pPr>
                  <w:r>
                    <w:rPr>
                      <w:rFonts w:hint="eastAsia"/>
                    </w:rPr>
                    <w:t>1</w:t>
                  </w:r>
                  <w:r>
                    <w:t>00</w:t>
                  </w:r>
                  <w:r>
                    <w:rPr>
                      <w:bCs/>
                    </w:rPr>
                    <w:t>×100</w:t>
                  </w:r>
                </w:p>
              </w:tc>
              <w:tc>
                <w:tcPr>
                  <w:tcW w:w="1549" w:type="pct"/>
                  <w:shd w:val="clear" w:color="auto" w:fill="auto"/>
                  <w:vAlign w:val="center"/>
                </w:tcPr>
                <w:p>
                  <w:pPr>
                    <w:jc w:val="center"/>
                  </w:pPr>
                  <w:r>
                    <w:rPr>
                      <w:rFonts w:hint="eastAsia"/>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pct"/>
                  <w:shd w:val="clear" w:color="auto" w:fill="auto"/>
                  <w:vAlign w:val="center"/>
                </w:tcPr>
                <w:p>
                  <w:pPr>
                    <w:jc w:val="center"/>
                  </w:pPr>
                  <w:r>
                    <w:rPr>
                      <w:rFonts w:hint="eastAsia"/>
                    </w:rPr>
                    <w:t>＞5</w:t>
                  </w:r>
                  <w:r>
                    <w:t>0</w:t>
                  </w:r>
                  <w:r>
                    <w:rPr>
                      <w:rFonts w:hint="eastAsia"/>
                    </w:rPr>
                    <w:t>~≤</w:t>
                  </w:r>
                  <w:r>
                    <w:t>450</w:t>
                  </w:r>
                </w:p>
              </w:tc>
              <w:tc>
                <w:tcPr>
                  <w:tcW w:w="1870" w:type="pct"/>
                  <w:shd w:val="clear" w:color="auto" w:fill="auto"/>
                  <w:vAlign w:val="center"/>
                </w:tcPr>
                <w:p>
                  <w:pPr>
                    <w:jc w:val="center"/>
                  </w:pPr>
                  <w:r>
                    <w:rPr>
                      <w:rFonts w:hint="eastAsia"/>
                    </w:rPr>
                    <w:t>1</w:t>
                  </w:r>
                  <w:r>
                    <w:t>50</w:t>
                  </w:r>
                  <w:r>
                    <w:rPr>
                      <w:bCs/>
                    </w:rPr>
                    <w:t>×150</w:t>
                  </w:r>
                </w:p>
              </w:tc>
              <w:tc>
                <w:tcPr>
                  <w:tcW w:w="1549" w:type="pct"/>
                  <w:shd w:val="clear" w:color="auto" w:fill="auto"/>
                  <w:vAlign w:val="center"/>
                </w:tcPr>
                <w:p>
                  <w:pPr>
                    <w:jc w:val="center"/>
                  </w:pPr>
                  <w:r>
                    <w:rPr>
                      <w:rFonts w:hint="eastAsia"/>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1" w:type="pct"/>
                  <w:shd w:val="clear" w:color="auto" w:fill="auto"/>
                  <w:vAlign w:val="center"/>
                </w:tcPr>
                <w:p>
                  <w:pPr>
                    <w:jc w:val="center"/>
                  </w:pPr>
                  <w:r>
                    <w:rPr>
                      <w:rFonts w:hint="eastAsia"/>
                    </w:rPr>
                    <w:t>＞4</w:t>
                  </w:r>
                  <w:r>
                    <w:t>50</w:t>
                  </w:r>
                </w:p>
              </w:tc>
              <w:tc>
                <w:tcPr>
                  <w:tcW w:w="1870" w:type="pct"/>
                  <w:shd w:val="clear" w:color="auto" w:fill="auto"/>
                  <w:vAlign w:val="center"/>
                </w:tcPr>
                <w:p>
                  <w:pPr>
                    <w:jc w:val="center"/>
                  </w:pPr>
                  <w:r>
                    <w:rPr>
                      <w:rFonts w:hint="eastAsia"/>
                    </w:rPr>
                    <w:t>2</w:t>
                  </w:r>
                  <w:r>
                    <w:t>00</w:t>
                  </w:r>
                  <w:r>
                    <w:rPr>
                      <w:bCs/>
                    </w:rPr>
                    <w:t>×200</w:t>
                  </w:r>
                </w:p>
              </w:tc>
              <w:tc>
                <w:tcPr>
                  <w:tcW w:w="1549" w:type="pct"/>
                  <w:shd w:val="clear" w:color="auto" w:fill="auto"/>
                  <w:vAlign w:val="center"/>
                </w:tcPr>
                <w:p>
                  <w:pPr>
                    <w:jc w:val="center"/>
                  </w:pPr>
                  <w:r>
                    <w:rPr>
                      <w:rFonts w:hint="eastAsia"/>
                    </w:rPr>
                    <w:t>6</w:t>
                  </w:r>
                </w:p>
              </w:tc>
            </w:tr>
          </w:tbl>
          <w:p>
            <w:pPr>
              <w:spacing w:line="400" w:lineRule="exact"/>
              <w:jc w:val="center"/>
              <w:rPr>
                <w:b/>
                <w:szCs w:val="21"/>
              </w:rPr>
            </w:pPr>
            <w:r>
              <w:rPr>
                <w:b/>
                <w:szCs w:val="21"/>
              </w:rPr>
              <w:t>表4-2</w:t>
            </w:r>
            <w:r>
              <w:rPr>
                <w:rFonts w:hint="eastAsia"/>
                <w:b/>
                <w:szCs w:val="21"/>
                <w:lang w:val="en-US" w:eastAsia="zh-CN"/>
              </w:rPr>
              <w:t>5</w:t>
            </w:r>
            <w:r>
              <w:rPr>
                <w:b/>
                <w:szCs w:val="21"/>
              </w:rPr>
              <w:t xml:space="preserve">   危险废物贮存分区标志的尺寸要求</w:t>
            </w:r>
          </w:p>
          <w:tbl>
            <w:tblPr>
              <w:tblStyle w:val="90"/>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358"/>
              <w:gridCol w:w="2232"/>
              <w:gridCol w:w="1878"/>
              <w:gridCol w:w="146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86" w:type="pct"/>
                  <w:vMerge w:val="restart"/>
                  <w:vAlign w:val="center"/>
                </w:tcPr>
                <w:p>
                  <w:pPr>
                    <w:jc w:val="center"/>
                  </w:pPr>
                  <w:r>
                    <w:t>观察距离L（m）</w:t>
                  </w:r>
                </w:p>
              </w:tc>
              <w:tc>
                <w:tcPr>
                  <w:tcW w:w="1406" w:type="pct"/>
                  <w:vMerge w:val="restart"/>
                  <w:vAlign w:val="center"/>
                </w:tcPr>
                <w:p>
                  <w:pPr>
                    <w:jc w:val="center"/>
                  </w:pPr>
                  <w:r>
                    <w:t>标志整体外形最小尺寸（mm）</w:t>
                  </w:r>
                </w:p>
              </w:tc>
              <w:tc>
                <w:tcPr>
                  <w:tcW w:w="2108" w:type="pct"/>
                  <w:gridSpan w:val="2"/>
                  <w:vAlign w:val="center"/>
                </w:tcPr>
                <w:p>
                  <w:pPr>
                    <w:jc w:val="center"/>
                  </w:pPr>
                  <w:r>
                    <w:t>最低文字高度（mm）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86" w:type="pct"/>
                  <w:vMerge w:val="continue"/>
                  <w:vAlign w:val="center"/>
                </w:tcPr>
                <w:p>
                  <w:pPr>
                    <w:jc w:val="center"/>
                  </w:pPr>
                </w:p>
              </w:tc>
              <w:tc>
                <w:tcPr>
                  <w:tcW w:w="1406" w:type="pct"/>
                  <w:vMerge w:val="continue"/>
                  <w:vAlign w:val="center"/>
                </w:tcPr>
                <w:p>
                  <w:pPr>
                    <w:jc w:val="center"/>
                  </w:pPr>
                </w:p>
              </w:tc>
              <w:tc>
                <w:tcPr>
                  <w:tcW w:w="1183" w:type="pct"/>
                  <w:vAlign w:val="center"/>
                </w:tcPr>
                <w:p>
                  <w:pPr>
                    <w:jc w:val="center"/>
                  </w:pPr>
                  <w:r>
                    <w:t>储存贮存分区标志</w:t>
                  </w:r>
                </w:p>
              </w:tc>
              <w:tc>
                <w:tcPr>
                  <w:tcW w:w="925" w:type="pct"/>
                  <w:vAlign w:val="center"/>
                </w:tcPr>
                <w:p>
                  <w:pPr>
                    <w:jc w:val="center"/>
                  </w:pPr>
                  <w:r>
                    <w:t>其他文字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86" w:type="pct"/>
                  <w:vAlign w:val="center"/>
                </w:tcPr>
                <w:p>
                  <w:pPr>
                    <w:jc w:val="center"/>
                  </w:pPr>
                  <w:r>
                    <w:t>0＜L≤2.5</w:t>
                  </w:r>
                </w:p>
              </w:tc>
              <w:tc>
                <w:tcPr>
                  <w:tcW w:w="1406" w:type="pct"/>
                  <w:vAlign w:val="center"/>
                </w:tcPr>
                <w:p>
                  <w:pPr>
                    <w:jc w:val="center"/>
                  </w:pPr>
                  <w:r>
                    <w:t>300</w:t>
                  </w:r>
                  <w:r>
                    <w:rPr>
                      <w:bCs/>
                    </w:rPr>
                    <w:t>×300</w:t>
                  </w:r>
                </w:p>
              </w:tc>
              <w:tc>
                <w:tcPr>
                  <w:tcW w:w="1183" w:type="pct"/>
                  <w:vAlign w:val="center"/>
                </w:tcPr>
                <w:p>
                  <w:pPr>
                    <w:jc w:val="center"/>
                  </w:pPr>
                  <w:r>
                    <w:t>20</w:t>
                  </w:r>
                </w:p>
              </w:tc>
              <w:tc>
                <w:tcPr>
                  <w:tcW w:w="925" w:type="pct"/>
                  <w:vAlign w:val="center"/>
                </w:tcPr>
                <w:p>
                  <w:pPr>
                    <w:jc w:val="center"/>
                  </w:pPr>
                  <w: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86" w:type="pct"/>
                  <w:vAlign w:val="center"/>
                </w:tcPr>
                <w:p>
                  <w:pPr>
                    <w:jc w:val="center"/>
                  </w:pPr>
                  <w:r>
                    <w:t>2.5＜L≤4</w:t>
                  </w:r>
                </w:p>
              </w:tc>
              <w:tc>
                <w:tcPr>
                  <w:tcW w:w="1406" w:type="pct"/>
                  <w:vAlign w:val="center"/>
                </w:tcPr>
                <w:p>
                  <w:pPr>
                    <w:jc w:val="center"/>
                  </w:pPr>
                  <w:r>
                    <w:t>450</w:t>
                  </w:r>
                  <w:r>
                    <w:rPr>
                      <w:bCs/>
                    </w:rPr>
                    <w:t>×450</w:t>
                  </w:r>
                </w:p>
              </w:tc>
              <w:tc>
                <w:tcPr>
                  <w:tcW w:w="1183" w:type="pct"/>
                  <w:vAlign w:val="center"/>
                </w:tcPr>
                <w:p>
                  <w:pPr>
                    <w:jc w:val="center"/>
                  </w:pPr>
                  <w:r>
                    <w:t>30</w:t>
                  </w:r>
                </w:p>
              </w:tc>
              <w:tc>
                <w:tcPr>
                  <w:tcW w:w="925" w:type="pct"/>
                  <w:vAlign w:val="center"/>
                </w:tcPr>
                <w:p>
                  <w:pPr>
                    <w:jc w:val="center"/>
                  </w:pPr>
                  <w: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86" w:type="pct"/>
                  <w:vAlign w:val="center"/>
                </w:tcPr>
                <w:p>
                  <w:pPr>
                    <w:jc w:val="center"/>
                  </w:pPr>
                  <w:r>
                    <w:t>L＞4</w:t>
                  </w:r>
                </w:p>
              </w:tc>
              <w:tc>
                <w:tcPr>
                  <w:tcW w:w="1406" w:type="pct"/>
                  <w:vAlign w:val="center"/>
                </w:tcPr>
                <w:p>
                  <w:pPr>
                    <w:jc w:val="center"/>
                  </w:pPr>
                  <w:r>
                    <w:t>600</w:t>
                  </w:r>
                  <w:r>
                    <w:rPr>
                      <w:bCs/>
                    </w:rPr>
                    <w:t>×600</w:t>
                  </w:r>
                </w:p>
              </w:tc>
              <w:tc>
                <w:tcPr>
                  <w:tcW w:w="1183" w:type="pct"/>
                  <w:vAlign w:val="center"/>
                </w:tcPr>
                <w:p>
                  <w:pPr>
                    <w:jc w:val="center"/>
                  </w:pPr>
                  <w:r>
                    <w:t>40</w:t>
                  </w:r>
                </w:p>
              </w:tc>
              <w:tc>
                <w:tcPr>
                  <w:tcW w:w="925" w:type="pct"/>
                  <w:vAlign w:val="center"/>
                </w:tcPr>
                <w:p>
                  <w:pPr>
                    <w:jc w:val="center"/>
                  </w:pPr>
                  <w:r>
                    <w:t>12</w:t>
                  </w:r>
                </w:p>
              </w:tc>
            </w:tr>
          </w:tbl>
          <w:p>
            <w:pPr>
              <w:adjustRightInd w:val="0"/>
              <w:snapToGrid w:val="0"/>
              <w:spacing w:line="400" w:lineRule="exact"/>
              <w:ind w:firstLine="422" w:firstLineChars="200"/>
              <w:rPr>
                <w:b/>
                <w:szCs w:val="21"/>
              </w:rPr>
            </w:pPr>
            <w:r>
              <w:rPr>
                <w:rFonts w:hint="eastAsia"/>
                <w:b/>
                <w:szCs w:val="21"/>
              </w:rPr>
              <w:t>十</w:t>
            </w:r>
            <w:r>
              <w:rPr>
                <w:b/>
                <w:szCs w:val="21"/>
              </w:rPr>
              <w:t>、</w:t>
            </w:r>
            <w:r>
              <w:rPr>
                <w:rFonts w:hint="eastAsia"/>
                <w:b/>
                <w:szCs w:val="21"/>
              </w:rPr>
              <w:t>与排污许可的衔接</w:t>
            </w:r>
          </w:p>
          <w:p>
            <w:pPr>
              <w:adjustRightInd w:val="0"/>
              <w:snapToGrid w:val="0"/>
              <w:spacing w:line="400" w:lineRule="exact"/>
              <w:ind w:firstLine="420" w:firstLineChars="200"/>
              <w:rPr>
                <w:bCs/>
                <w:szCs w:val="21"/>
              </w:rPr>
            </w:pPr>
            <w:r>
              <w:rPr>
                <w:rFonts w:hint="eastAsia"/>
                <w:bCs/>
                <w:szCs w:val="21"/>
              </w:rPr>
              <w:t>（1）排污许可管理要求</w:t>
            </w:r>
          </w:p>
          <w:p>
            <w:pPr>
              <w:adjustRightInd w:val="0"/>
              <w:snapToGrid w:val="0"/>
              <w:spacing w:line="400" w:lineRule="exact"/>
              <w:ind w:firstLine="420" w:firstLineChars="200"/>
              <w:rPr>
                <w:bCs/>
                <w:szCs w:val="21"/>
              </w:rPr>
            </w:pPr>
            <w:r>
              <w:rPr>
                <w:rFonts w:hint="eastAsia"/>
                <w:bCs/>
                <w:szCs w:val="21"/>
              </w:rPr>
              <w:t>根据《固定污染源排污许可分类管理名录（2</w:t>
            </w:r>
            <w:r>
              <w:rPr>
                <w:bCs/>
                <w:szCs w:val="21"/>
              </w:rPr>
              <w:t>019</w:t>
            </w:r>
            <w:r>
              <w:rPr>
                <w:rFonts w:hint="eastAsia"/>
                <w:bCs/>
                <w:szCs w:val="21"/>
              </w:rPr>
              <w:t>年版）》，本项目属于“</w:t>
            </w:r>
            <w:r>
              <w:rPr>
                <w:rFonts w:hint="eastAsia"/>
                <w:szCs w:val="21"/>
              </w:rPr>
              <w:t>塑料薄膜制造</w:t>
            </w:r>
            <w:r>
              <w:rPr>
                <w:rFonts w:hint="eastAsia"/>
                <w:bCs/>
                <w:szCs w:val="21"/>
              </w:rPr>
              <w:t>”，</w:t>
            </w:r>
            <w:r>
              <w:rPr>
                <w:rFonts w:hint="eastAsia"/>
                <w:szCs w:val="21"/>
                <w:lang w:val="en-US" w:eastAsia="zh-CN"/>
              </w:rPr>
              <w:t>年产预涂膜1500吨</w:t>
            </w:r>
            <w:r>
              <w:rPr>
                <w:rFonts w:hint="eastAsia"/>
                <w:bCs/>
                <w:szCs w:val="21"/>
              </w:rPr>
              <w:t>，属于</w:t>
            </w:r>
            <w:r>
              <w:rPr>
                <w:rFonts w:hint="eastAsia"/>
                <w:bCs/>
                <w:szCs w:val="21"/>
                <w:lang w:val="en-US" w:eastAsia="zh-CN"/>
              </w:rPr>
              <w:t>登记</w:t>
            </w:r>
            <w:r>
              <w:rPr>
                <w:rFonts w:hint="eastAsia"/>
                <w:bCs/>
                <w:szCs w:val="21"/>
              </w:rPr>
              <w:t>管理，企业应在实际排污前，根据排污许可要求履行相关手续，登记基本信息、污染物排放去向、执行的污染物排放标准以及采取的污染防治措施等信息。</w:t>
            </w:r>
          </w:p>
          <w:p>
            <w:pPr>
              <w:adjustRightInd w:val="0"/>
              <w:snapToGrid w:val="0"/>
              <w:spacing w:line="400" w:lineRule="exact"/>
              <w:ind w:firstLine="420" w:firstLineChars="200"/>
              <w:rPr>
                <w:bCs/>
                <w:szCs w:val="21"/>
              </w:rPr>
            </w:pPr>
            <w:r>
              <w:rPr>
                <w:rFonts w:hint="eastAsia"/>
                <w:bCs/>
                <w:szCs w:val="21"/>
              </w:rPr>
              <w:t>（2）竣工环保验收方面要求</w:t>
            </w:r>
          </w:p>
          <w:p>
            <w:pPr>
              <w:adjustRightInd w:val="0"/>
              <w:snapToGrid w:val="0"/>
              <w:spacing w:line="400" w:lineRule="exact"/>
              <w:ind w:firstLine="420" w:firstLineChars="200"/>
              <w:rPr>
                <w:bCs/>
                <w:szCs w:val="21"/>
              </w:rPr>
            </w:pPr>
            <w:r>
              <w:rPr>
                <w:rFonts w:hint="eastAsia"/>
                <w:bCs/>
                <w:szCs w:val="21"/>
              </w:rPr>
              <w:t>为便于环保主管部门对工程项目进行竣工验收，项目应按照《建设项目竣工环境保护验收暂行办法》（国环规环评【2017】4号）、《建设项目竣工环境保护验收技术指南污染影响类》（生态环境部公告2018年第9号）的相关要求，以及“环境保护措施监督检查清单”的相关内容进行环境保护验收。</w:t>
            </w:r>
          </w:p>
          <w:bookmarkEnd w:id="34"/>
          <w:p>
            <w:pPr>
              <w:adjustRightInd w:val="0"/>
              <w:snapToGrid w:val="0"/>
              <w:spacing w:line="400" w:lineRule="exact"/>
              <w:rPr>
                <w:bCs/>
                <w:szCs w:val="21"/>
              </w:rPr>
            </w:pPr>
          </w:p>
          <w:p>
            <w:pPr>
              <w:adjustRightInd w:val="0"/>
              <w:snapToGrid w:val="0"/>
              <w:spacing w:line="400" w:lineRule="exact"/>
              <w:rPr>
                <w:bCs/>
                <w:szCs w:val="21"/>
              </w:rPr>
            </w:pPr>
          </w:p>
          <w:p>
            <w:pPr>
              <w:adjustRightInd w:val="0"/>
              <w:snapToGrid w:val="0"/>
              <w:spacing w:line="400" w:lineRule="exact"/>
              <w:rPr>
                <w:bCs/>
                <w:szCs w:val="21"/>
              </w:rPr>
            </w:pPr>
          </w:p>
          <w:p>
            <w:pPr>
              <w:adjustRightInd w:val="0"/>
              <w:snapToGrid w:val="0"/>
              <w:spacing w:line="400" w:lineRule="exact"/>
              <w:rPr>
                <w:bCs/>
                <w:szCs w:val="21"/>
              </w:rPr>
            </w:pPr>
          </w:p>
          <w:p>
            <w:pPr>
              <w:adjustRightInd w:val="0"/>
              <w:snapToGrid w:val="0"/>
              <w:spacing w:line="400" w:lineRule="exact"/>
              <w:rPr>
                <w:bCs/>
                <w:szCs w:val="21"/>
              </w:rPr>
            </w:pPr>
          </w:p>
          <w:p>
            <w:pPr>
              <w:adjustRightInd w:val="0"/>
              <w:snapToGrid w:val="0"/>
              <w:spacing w:line="400" w:lineRule="exact"/>
              <w:rPr>
                <w:bCs/>
                <w:szCs w:val="21"/>
              </w:rPr>
            </w:pPr>
          </w:p>
          <w:p>
            <w:pPr>
              <w:adjustRightInd w:val="0"/>
              <w:snapToGrid w:val="0"/>
              <w:spacing w:line="400" w:lineRule="exact"/>
              <w:rPr>
                <w:bCs/>
                <w:szCs w:val="21"/>
              </w:rPr>
            </w:pPr>
          </w:p>
          <w:p>
            <w:pPr>
              <w:adjustRightInd w:val="0"/>
              <w:snapToGrid w:val="0"/>
              <w:spacing w:line="400" w:lineRule="exact"/>
              <w:rPr>
                <w:bCs/>
                <w:szCs w:val="21"/>
              </w:rPr>
            </w:pPr>
          </w:p>
        </w:tc>
      </w:tr>
    </w:tbl>
    <w:p>
      <w:pPr>
        <w:adjustRightInd w:val="0"/>
        <w:snapToGrid w:val="0"/>
        <w:spacing w:line="360" w:lineRule="auto"/>
        <w:rPr>
          <w:rFonts w:ascii="宋体" w:cs="宋体"/>
          <w:b/>
          <w:kern w:val="0"/>
          <w:sz w:val="28"/>
          <w:szCs w:val="28"/>
        </w:rPr>
        <w:sectPr>
          <w:pgSz w:w="11907" w:h="16840"/>
          <w:pgMar w:top="1701" w:right="1531" w:bottom="2127" w:left="1531" w:header="851" w:footer="851" w:gutter="0"/>
          <w:pgNumType w:fmt="decimal"/>
          <w:cols w:space="720" w:num="1"/>
          <w:docGrid w:linePitch="312" w:charSpace="0"/>
        </w:sectPr>
      </w:pPr>
    </w:p>
    <w:p>
      <w:pPr>
        <w:pStyle w:val="83"/>
        <w:jc w:val="center"/>
        <w:outlineLvl w:val="0"/>
        <w:rPr>
          <w:rFonts w:ascii="黑体" w:hAnsi="黑体" w:eastAsia="黑体"/>
          <w:snapToGrid w:val="0"/>
          <w:sz w:val="30"/>
          <w:szCs w:val="30"/>
        </w:rPr>
      </w:pPr>
      <w:bookmarkStart w:id="35" w:name="_Toc5935"/>
      <w:r>
        <w:rPr>
          <w:rFonts w:hint="eastAsia" w:ascii="黑体" w:hAnsi="黑体" w:eastAsia="黑体"/>
          <w:snapToGrid w:val="0"/>
          <w:sz w:val="30"/>
          <w:szCs w:val="30"/>
        </w:rPr>
        <w:t>五、</w:t>
      </w:r>
      <w:bookmarkStart w:id="36" w:name="_Hlk54167917"/>
      <w:r>
        <w:rPr>
          <w:rFonts w:hint="eastAsia" w:ascii="黑体" w:hAnsi="黑体" w:eastAsia="黑体"/>
          <w:snapToGrid w:val="0"/>
          <w:sz w:val="30"/>
          <w:szCs w:val="30"/>
        </w:rPr>
        <w:t>环境保护措施监督检查清单</w:t>
      </w:r>
      <w:bookmarkEnd w:id="35"/>
      <w:bookmarkEnd w:id="36"/>
    </w:p>
    <w:tbl>
      <w:tblPr>
        <w:tblStyle w:val="90"/>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595"/>
        <w:gridCol w:w="884"/>
        <w:gridCol w:w="1053"/>
        <w:gridCol w:w="1818"/>
        <w:gridCol w:w="371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880" w:type="pct"/>
            <w:tcBorders>
              <w:tl2br w:val="single" w:color="auto" w:sz="4" w:space="0"/>
            </w:tcBorders>
          </w:tcPr>
          <w:p>
            <w:pPr>
              <w:adjustRightInd w:val="0"/>
              <w:snapToGrid w:val="0"/>
              <w:jc w:val="right"/>
              <w:rPr>
                <w:szCs w:val="21"/>
              </w:rPr>
            </w:pPr>
            <w:r>
              <w:rPr>
                <w:szCs w:val="21"/>
              </w:rPr>
              <w:t>内容</w:t>
            </w:r>
          </w:p>
          <w:p>
            <w:pPr>
              <w:adjustRightInd w:val="0"/>
              <w:snapToGrid w:val="0"/>
              <w:rPr>
                <w:szCs w:val="21"/>
              </w:rPr>
            </w:pPr>
          </w:p>
          <w:p>
            <w:pPr>
              <w:adjustRightInd w:val="0"/>
              <w:snapToGrid w:val="0"/>
              <w:rPr>
                <w:szCs w:val="21"/>
              </w:rPr>
            </w:pPr>
          </w:p>
          <w:p>
            <w:pPr>
              <w:adjustRightInd w:val="0"/>
              <w:snapToGrid w:val="0"/>
              <w:rPr>
                <w:szCs w:val="21"/>
              </w:rPr>
            </w:pPr>
            <w:r>
              <w:rPr>
                <w:szCs w:val="21"/>
              </w:rPr>
              <w:t>要素</w:t>
            </w:r>
          </w:p>
        </w:tc>
        <w:tc>
          <w:tcPr>
            <w:tcW w:w="488" w:type="pct"/>
            <w:vAlign w:val="center"/>
          </w:tcPr>
          <w:p>
            <w:pPr>
              <w:adjustRightInd w:val="0"/>
              <w:snapToGrid w:val="0"/>
              <w:jc w:val="center"/>
              <w:rPr>
                <w:szCs w:val="21"/>
              </w:rPr>
            </w:pPr>
            <w:r>
              <w:rPr>
                <w:szCs w:val="21"/>
              </w:rPr>
              <w:t>排放口(编号、名称)/污染源</w:t>
            </w:r>
          </w:p>
        </w:tc>
        <w:tc>
          <w:tcPr>
            <w:tcW w:w="581" w:type="pct"/>
            <w:vAlign w:val="center"/>
          </w:tcPr>
          <w:p>
            <w:pPr>
              <w:adjustRightInd w:val="0"/>
              <w:snapToGrid w:val="0"/>
              <w:jc w:val="center"/>
              <w:rPr>
                <w:szCs w:val="21"/>
              </w:rPr>
            </w:pPr>
            <w:r>
              <w:rPr>
                <w:szCs w:val="21"/>
              </w:rPr>
              <w:t>污染物项目</w:t>
            </w:r>
          </w:p>
        </w:tc>
        <w:tc>
          <w:tcPr>
            <w:tcW w:w="1003" w:type="pct"/>
            <w:vAlign w:val="center"/>
          </w:tcPr>
          <w:p>
            <w:pPr>
              <w:adjustRightInd w:val="0"/>
              <w:snapToGrid w:val="0"/>
              <w:jc w:val="center"/>
              <w:rPr>
                <w:szCs w:val="21"/>
              </w:rPr>
            </w:pPr>
            <w:r>
              <w:rPr>
                <w:szCs w:val="21"/>
              </w:rPr>
              <w:t>环境保护措施</w:t>
            </w:r>
          </w:p>
        </w:tc>
        <w:tc>
          <w:tcPr>
            <w:tcW w:w="2045" w:type="pct"/>
            <w:vAlign w:val="center"/>
          </w:tcPr>
          <w:p>
            <w:pPr>
              <w:adjustRightInd w:val="0"/>
              <w:snapToGrid w:val="0"/>
              <w:jc w:val="center"/>
              <w:rPr>
                <w:szCs w:val="21"/>
              </w:rPr>
            </w:pPr>
            <w:r>
              <w:rPr>
                <w:szCs w:val="21"/>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14" w:hRule="atLeast"/>
          <w:jc w:val="center"/>
        </w:trPr>
        <w:tc>
          <w:tcPr>
            <w:tcW w:w="880" w:type="pct"/>
            <w:vMerge w:val="restart"/>
            <w:vAlign w:val="center"/>
          </w:tcPr>
          <w:p>
            <w:pPr>
              <w:adjustRightInd w:val="0"/>
              <w:snapToGrid w:val="0"/>
              <w:jc w:val="center"/>
              <w:rPr>
                <w:szCs w:val="21"/>
              </w:rPr>
            </w:pPr>
            <w:r>
              <w:rPr>
                <w:szCs w:val="21"/>
              </w:rPr>
              <w:t>大气环境</w:t>
            </w:r>
          </w:p>
        </w:tc>
        <w:tc>
          <w:tcPr>
            <w:tcW w:w="488" w:type="pct"/>
            <w:vAlign w:val="center"/>
          </w:tcPr>
          <w:p>
            <w:pPr>
              <w:adjustRightInd w:val="0"/>
              <w:snapToGrid w:val="0"/>
              <w:jc w:val="center"/>
              <w:rPr>
                <w:bCs/>
                <w:szCs w:val="21"/>
              </w:rPr>
            </w:pPr>
            <w:r>
              <w:rPr>
                <w:rFonts w:hint="eastAsia"/>
                <w:szCs w:val="21"/>
              </w:rPr>
              <w:t>废气排气筒D</w:t>
            </w:r>
            <w:r>
              <w:rPr>
                <w:szCs w:val="21"/>
              </w:rPr>
              <w:t>A001</w:t>
            </w:r>
          </w:p>
        </w:tc>
        <w:tc>
          <w:tcPr>
            <w:tcW w:w="581" w:type="pct"/>
            <w:vMerge w:val="restart"/>
            <w:vAlign w:val="center"/>
          </w:tcPr>
          <w:p>
            <w:pPr>
              <w:adjustRightInd w:val="0"/>
              <w:snapToGrid w:val="0"/>
              <w:jc w:val="center"/>
              <w:rPr>
                <w:szCs w:val="21"/>
              </w:rPr>
            </w:pPr>
            <w:r>
              <w:rPr>
                <w:szCs w:val="21"/>
              </w:rPr>
              <w:t>非甲烷总烃</w:t>
            </w:r>
          </w:p>
        </w:tc>
        <w:tc>
          <w:tcPr>
            <w:tcW w:w="1003" w:type="pct"/>
            <w:vAlign w:val="center"/>
          </w:tcPr>
          <w:p>
            <w:pPr>
              <w:adjustRightInd w:val="0"/>
              <w:snapToGrid w:val="0"/>
              <w:jc w:val="center"/>
              <w:rPr>
                <w:szCs w:val="21"/>
              </w:rPr>
            </w:pPr>
            <w:r>
              <w:rPr>
                <w:rFonts w:hint="eastAsia"/>
                <w:szCs w:val="21"/>
              </w:rPr>
              <w:t>集气罩收集后，经过滤棉+二级活性炭吸附装置处理后，通过15m排气筒排放</w:t>
            </w:r>
          </w:p>
        </w:tc>
        <w:tc>
          <w:tcPr>
            <w:tcW w:w="2045" w:type="pct"/>
            <w:vAlign w:val="center"/>
          </w:tcPr>
          <w:p>
            <w:pPr>
              <w:adjustRightInd w:val="0"/>
              <w:snapToGrid w:val="0"/>
              <w:jc w:val="center"/>
              <w:rPr>
                <w:szCs w:val="21"/>
              </w:rPr>
            </w:pPr>
            <w:r>
              <w:rPr>
                <w:rFonts w:hint="eastAsia"/>
                <w:szCs w:val="21"/>
              </w:rPr>
              <w:t>《合成树脂工业污染物排放标准》（GB31572-2015 含2024年修改单）表5大气污染物特别排放限值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94" w:hRule="atLeast"/>
          <w:jc w:val="center"/>
        </w:trPr>
        <w:tc>
          <w:tcPr>
            <w:tcW w:w="880" w:type="pct"/>
            <w:vMerge w:val="continue"/>
            <w:vAlign w:val="center"/>
          </w:tcPr>
          <w:p>
            <w:pPr>
              <w:adjustRightInd w:val="0"/>
              <w:snapToGrid w:val="0"/>
              <w:jc w:val="center"/>
              <w:rPr>
                <w:szCs w:val="21"/>
              </w:rPr>
            </w:pPr>
          </w:p>
        </w:tc>
        <w:tc>
          <w:tcPr>
            <w:tcW w:w="488" w:type="pct"/>
            <w:vAlign w:val="center"/>
          </w:tcPr>
          <w:p>
            <w:pPr>
              <w:adjustRightInd w:val="0"/>
              <w:snapToGrid w:val="0"/>
              <w:jc w:val="center"/>
              <w:rPr>
                <w:szCs w:val="21"/>
              </w:rPr>
            </w:pPr>
            <w:r>
              <w:rPr>
                <w:rFonts w:hint="eastAsia"/>
                <w:szCs w:val="21"/>
              </w:rPr>
              <w:t>厂界无组织</w:t>
            </w:r>
          </w:p>
        </w:tc>
        <w:tc>
          <w:tcPr>
            <w:tcW w:w="581" w:type="pct"/>
            <w:vMerge w:val="continue"/>
            <w:vAlign w:val="center"/>
          </w:tcPr>
          <w:p>
            <w:pPr>
              <w:adjustRightInd w:val="0"/>
              <w:snapToGrid w:val="0"/>
              <w:jc w:val="center"/>
              <w:rPr>
                <w:szCs w:val="21"/>
              </w:rPr>
            </w:pPr>
          </w:p>
        </w:tc>
        <w:tc>
          <w:tcPr>
            <w:tcW w:w="1003" w:type="pct"/>
            <w:vMerge w:val="restart"/>
            <w:vAlign w:val="center"/>
          </w:tcPr>
          <w:p>
            <w:pPr>
              <w:adjustRightInd w:val="0"/>
              <w:snapToGrid w:val="0"/>
              <w:jc w:val="center"/>
              <w:rPr>
                <w:szCs w:val="21"/>
              </w:rPr>
            </w:pPr>
            <w:r>
              <w:rPr>
                <w:rFonts w:hint="eastAsia"/>
                <w:szCs w:val="21"/>
              </w:rPr>
              <w:t>封闭车间内作业</w:t>
            </w:r>
          </w:p>
        </w:tc>
        <w:tc>
          <w:tcPr>
            <w:tcW w:w="2045" w:type="pct"/>
            <w:vAlign w:val="center"/>
          </w:tcPr>
          <w:p>
            <w:pPr>
              <w:adjustRightInd w:val="0"/>
              <w:snapToGrid w:val="0"/>
              <w:jc w:val="center"/>
              <w:rPr>
                <w:szCs w:val="21"/>
              </w:rPr>
            </w:pPr>
            <w:r>
              <w:rPr>
                <w:rFonts w:hint="eastAsia" w:ascii="Times New Roman" w:hAnsi="Times New Roman" w:eastAsia="宋体" w:cs="Times New Roman"/>
                <w:color w:val="auto"/>
                <w:lang w:val="zh-CN"/>
              </w:rPr>
              <w:t>《工业企业挥发性有机物排放控制标准》（DB13/2322-2016）表2企业边界大气污染物浓度限值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880" w:type="pct"/>
            <w:vMerge w:val="continue"/>
            <w:vAlign w:val="center"/>
          </w:tcPr>
          <w:p>
            <w:pPr>
              <w:adjustRightInd w:val="0"/>
              <w:snapToGrid w:val="0"/>
              <w:jc w:val="center"/>
              <w:rPr>
                <w:szCs w:val="21"/>
              </w:rPr>
            </w:pPr>
          </w:p>
        </w:tc>
        <w:tc>
          <w:tcPr>
            <w:tcW w:w="488" w:type="pct"/>
            <w:vAlign w:val="center"/>
          </w:tcPr>
          <w:p>
            <w:pPr>
              <w:adjustRightInd w:val="0"/>
              <w:snapToGrid w:val="0"/>
              <w:jc w:val="center"/>
              <w:rPr>
                <w:szCs w:val="21"/>
              </w:rPr>
            </w:pPr>
            <w:r>
              <w:rPr>
                <w:rFonts w:hint="eastAsia"/>
                <w:szCs w:val="21"/>
              </w:rPr>
              <w:t>厂房外无组织</w:t>
            </w:r>
          </w:p>
        </w:tc>
        <w:tc>
          <w:tcPr>
            <w:tcW w:w="581" w:type="pct"/>
            <w:vMerge w:val="continue"/>
            <w:vAlign w:val="center"/>
          </w:tcPr>
          <w:p>
            <w:pPr>
              <w:adjustRightInd w:val="0"/>
              <w:snapToGrid w:val="0"/>
              <w:jc w:val="center"/>
              <w:rPr>
                <w:szCs w:val="21"/>
              </w:rPr>
            </w:pPr>
          </w:p>
        </w:tc>
        <w:tc>
          <w:tcPr>
            <w:tcW w:w="1003" w:type="pct"/>
            <w:vMerge w:val="continue"/>
            <w:vAlign w:val="center"/>
          </w:tcPr>
          <w:p>
            <w:pPr>
              <w:adjustRightInd w:val="0"/>
              <w:snapToGrid w:val="0"/>
              <w:jc w:val="center"/>
              <w:rPr>
                <w:szCs w:val="21"/>
              </w:rPr>
            </w:pPr>
          </w:p>
        </w:tc>
        <w:tc>
          <w:tcPr>
            <w:tcW w:w="2045" w:type="pct"/>
            <w:vAlign w:val="center"/>
          </w:tcPr>
          <w:p>
            <w:pPr>
              <w:adjustRightInd w:val="0"/>
              <w:snapToGrid w:val="0"/>
              <w:jc w:val="center"/>
              <w:rPr>
                <w:szCs w:val="21"/>
              </w:rPr>
            </w:pPr>
            <w:r>
              <w:rPr>
                <w:rFonts w:hint="eastAsia" w:ascii="Times New Roman" w:hAnsi="Times New Roman" w:cs="Times New Roman"/>
                <w:color w:val="auto"/>
              </w:rPr>
              <w:t>《挥发性有机物无组织排放控制标准》（GB37822-2019）表A.1厂区内VOCs无组织特别排放限值要求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99" w:hRule="atLeast"/>
          <w:jc w:val="center"/>
        </w:trPr>
        <w:tc>
          <w:tcPr>
            <w:tcW w:w="880" w:type="pct"/>
            <w:vMerge w:val="restart"/>
            <w:vAlign w:val="center"/>
          </w:tcPr>
          <w:p>
            <w:pPr>
              <w:adjustRightInd w:val="0"/>
              <w:snapToGrid w:val="0"/>
              <w:jc w:val="center"/>
              <w:rPr>
                <w:szCs w:val="21"/>
              </w:rPr>
            </w:pPr>
            <w:r>
              <w:rPr>
                <w:szCs w:val="21"/>
              </w:rPr>
              <w:t>地表水环境</w:t>
            </w:r>
          </w:p>
        </w:tc>
        <w:tc>
          <w:tcPr>
            <w:tcW w:w="488" w:type="pct"/>
            <w:vAlign w:val="center"/>
          </w:tcPr>
          <w:p>
            <w:pPr>
              <w:adjustRightInd w:val="0"/>
              <w:snapToGrid w:val="0"/>
              <w:jc w:val="center"/>
              <w:rPr>
                <w:szCs w:val="21"/>
              </w:rPr>
            </w:pPr>
            <w:r>
              <w:rPr>
                <w:rFonts w:hint="eastAsia"/>
                <w:szCs w:val="21"/>
              </w:rPr>
              <w:t>生活污水</w:t>
            </w:r>
          </w:p>
        </w:tc>
        <w:tc>
          <w:tcPr>
            <w:tcW w:w="581" w:type="pct"/>
            <w:vAlign w:val="center"/>
          </w:tcPr>
          <w:p>
            <w:pPr>
              <w:adjustRightInd w:val="0"/>
              <w:snapToGrid w:val="0"/>
              <w:jc w:val="center"/>
              <w:rPr>
                <w:szCs w:val="21"/>
              </w:rPr>
            </w:pPr>
            <w:r>
              <w:rPr>
                <w:rFonts w:hint="eastAsia"/>
                <w:szCs w:val="21"/>
                <w:lang w:val="en-US" w:eastAsia="zh-CN"/>
              </w:rPr>
              <w:t>pH、</w:t>
            </w:r>
            <w:r>
              <w:rPr>
                <w:szCs w:val="21"/>
              </w:rPr>
              <w:t>COD</w:t>
            </w:r>
            <w:r>
              <w:rPr>
                <w:rFonts w:hint="eastAsia"/>
                <w:szCs w:val="21"/>
              </w:rPr>
              <w:t>、氨氮</w:t>
            </w:r>
            <w:r>
              <w:rPr>
                <w:rFonts w:hint="eastAsia"/>
                <w:szCs w:val="21"/>
                <w:lang w:eastAsia="zh-CN"/>
              </w:rPr>
              <w:t>、</w:t>
            </w:r>
            <w:r>
              <w:rPr>
                <w:rFonts w:hint="eastAsia"/>
                <w:szCs w:val="21"/>
                <w:lang w:val="en-US" w:eastAsia="zh-CN"/>
              </w:rPr>
              <w:t>SS</w:t>
            </w:r>
            <w:r>
              <w:rPr>
                <w:rFonts w:hint="eastAsia"/>
                <w:szCs w:val="21"/>
              </w:rPr>
              <w:t>等</w:t>
            </w:r>
          </w:p>
        </w:tc>
        <w:tc>
          <w:tcPr>
            <w:tcW w:w="1003" w:type="pct"/>
            <w:vAlign w:val="center"/>
          </w:tcPr>
          <w:p>
            <w:pPr>
              <w:adjustRightInd w:val="0"/>
              <w:snapToGrid w:val="0"/>
              <w:jc w:val="center"/>
              <w:rPr>
                <w:szCs w:val="21"/>
              </w:rPr>
            </w:pPr>
            <w:r>
              <w:rPr>
                <w:rFonts w:hint="eastAsia"/>
                <w:szCs w:val="21"/>
              </w:rPr>
              <w:t>用于厂区内泼洒抑尘，旱厕定期清掏</w:t>
            </w:r>
          </w:p>
        </w:tc>
        <w:tc>
          <w:tcPr>
            <w:tcW w:w="2045" w:type="pct"/>
            <w:vAlign w:val="center"/>
          </w:tcPr>
          <w:p>
            <w:pPr>
              <w:adjustRightInd w:val="0"/>
              <w:snapToGrid w:val="0"/>
              <w:jc w:val="center"/>
              <w:rPr>
                <w:rFonts w:hint="eastAsia" w:eastAsia="宋体"/>
                <w:szCs w:val="21"/>
                <w:lang w:eastAsia="zh-CN"/>
              </w:rPr>
            </w:pPr>
            <w:r>
              <w:rPr>
                <w:rFonts w:hint="eastAsia"/>
                <w:szCs w:val="21"/>
                <w:lang w:val="en-US" w:eastAsia="zh-CN"/>
              </w:rPr>
              <w:t>不外排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880" w:type="pct"/>
            <w:vMerge w:val="continue"/>
            <w:vAlign w:val="center"/>
          </w:tcPr>
          <w:p>
            <w:pPr>
              <w:adjustRightInd w:val="0"/>
              <w:snapToGrid w:val="0"/>
              <w:jc w:val="center"/>
              <w:rPr>
                <w:szCs w:val="21"/>
              </w:rPr>
            </w:pPr>
          </w:p>
        </w:tc>
        <w:tc>
          <w:tcPr>
            <w:tcW w:w="488" w:type="pct"/>
            <w:vAlign w:val="center"/>
          </w:tcPr>
          <w:p>
            <w:pPr>
              <w:adjustRightInd w:val="0"/>
              <w:snapToGrid w:val="0"/>
              <w:jc w:val="center"/>
              <w:rPr>
                <w:rFonts w:hint="default" w:eastAsia="宋体"/>
                <w:szCs w:val="21"/>
                <w:lang w:val="en-US" w:eastAsia="zh-CN"/>
              </w:rPr>
            </w:pPr>
            <w:r>
              <w:rPr>
                <w:rFonts w:hint="eastAsia"/>
                <w:szCs w:val="21"/>
                <w:lang w:val="en-US" w:eastAsia="zh-CN"/>
              </w:rPr>
              <w:t>冷却水</w:t>
            </w:r>
          </w:p>
        </w:tc>
        <w:tc>
          <w:tcPr>
            <w:tcW w:w="581" w:type="pct"/>
            <w:vAlign w:val="center"/>
          </w:tcPr>
          <w:p>
            <w:pPr>
              <w:adjustRightInd w:val="0"/>
              <w:snapToGrid w:val="0"/>
              <w:jc w:val="center"/>
              <w:rPr>
                <w:rFonts w:hint="default"/>
                <w:szCs w:val="21"/>
                <w:lang w:val="en-US" w:eastAsia="zh-CN"/>
              </w:rPr>
            </w:pPr>
            <w:r>
              <w:rPr>
                <w:rFonts w:hint="eastAsia"/>
                <w:szCs w:val="21"/>
                <w:lang w:val="en-US" w:eastAsia="zh-CN"/>
              </w:rPr>
              <w:t>SS、COD</w:t>
            </w:r>
          </w:p>
        </w:tc>
        <w:tc>
          <w:tcPr>
            <w:tcW w:w="1003" w:type="pct"/>
            <w:vAlign w:val="center"/>
          </w:tcPr>
          <w:p>
            <w:pPr>
              <w:adjustRightInd w:val="0"/>
              <w:snapToGrid w:val="0"/>
              <w:jc w:val="center"/>
              <w:rPr>
                <w:rFonts w:hint="eastAsia" w:eastAsia="宋体"/>
                <w:szCs w:val="21"/>
                <w:lang w:val="en-US" w:eastAsia="zh-CN"/>
              </w:rPr>
            </w:pPr>
            <w:r>
              <w:rPr>
                <w:rFonts w:hint="eastAsia"/>
                <w:szCs w:val="21"/>
                <w:lang w:val="en-US" w:eastAsia="zh-CN"/>
              </w:rPr>
              <w:t>循环利用</w:t>
            </w:r>
          </w:p>
        </w:tc>
        <w:tc>
          <w:tcPr>
            <w:tcW w:w="2045" w:type="pct"/>
            <w:vAlign w:val="center"/>
          </w:tcPr>
          <w:p>
            <w:pPr>
              <w:adjustRightInd w:val="0"/>
              <w:snapToGrid w:val="0"/>
              <w:jc w:val="center"/>
              <w:rPr>
                <w:rFonts w:hint="eastAsia" w:eastAsia="宋体"/>
                <w:szCs w:val="21"/>
                <w:lang w:val="en-US" w:eastAsia="zh-CN"/>
              </w:rPr>
            </w:pPr>
            <w:r>
              <w:rPr>
                <w:rFonts w:hint="eastAsia"/>
                <w:szCs w:val="21"/>
                <w:lang w:val="en-US" w:eastAsia="zh-CN"/>
              </w:rPr>
              <w:t>不外排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87" w:hRule="atLeast"/>
          <w:jc w:val="center"/>
        </w:trPr>
        <w:tc>
          <w:tcPr>
            <w:tcW w:w="880" w:type="pct"/>
            <w:vAlign w:val="center"/>
          </w:tcPr>
          <w:p>
            <w:pPr>
              <w:adjustRightInd w:val="0"/>
              <w:snapToGrid w:val="0"/>
              <w:jc w:val="center"/>
              <w:rPr>
                <w:szCs w:val="21"/>
              </w:rPr>
            </w:pPr>
            <w:r>
              <w:rPr>
                <w:szCs w:val="21"/>
              </w:rPr>
              <w:t>声环境</w:t>
            </w:r>
          </w:p>
        </w:tc>
        <w:tc>
          <w:tcPr>
            <w:tcW w:w="488" w:type="pct"/>
            <w:vAlign w:val="center"/>
          </w:tcPr>
          <w:p>
            <w:pPr>
              <w:adjustRightInd w:val="0"/>
              <w:snapToGrid w:val="0"/>
              <w:jc w:val="center"/>
              <w:rPr>
                <w:bCs/>
                <w:szCs w:val="21"/>
              </w:rPr>
            </w:pPr>
            <w:r>
              <w:rPr>
                <w:rFonts w:hint="eastAsia"/>
                <w:bCs/>
                <w:szCs w:val="21"/>
              </w:rPr>
              <w:t>生产设备</w:t>
            </w:r>
          </w:p>
        </w:tc>
        <w:tc>
          <w:tcPr>
            <w:tcW w:w="581" w:type="pct"/>
            <w:vAlign w:val="center"/>
          </w:tcPr>
          <w:p>
            <w:pPr>
              <w:adjustRightInd w:val="0"/>
              <w:snapToGrid w:val="0"/>
              <w:jc w:val="center"/>
              <w:rPr>
                <w:szCs w:val="21"/>
              </w:rPr>
            </w:pPr>
            <w:r>
              <w:rPr>
                <w:rFonts w:hint="eastAsia"/>
                <w:bCs/>
                <w:szCs w:val="21"/>
              </w:rPr>
              <w:t>噪声</w:t>
            </w:r>
          </w:p>
        </w:tc>
        <w:tc>
          <w:tcPr>
            <w:tcW w:w="1003" w:type="pct"/>
            <w:vAlign w:val="center"/>
          </w:tcPr>
          <w:p>
            <w:pPr>
              <w:adjustRightInd w:val="0"/>
              <w:snapToGrid w:val="0"/>
              <w:jc w:val="center"/>
              <w:rPr>
                <w:rFonts w:hint="eastAsia" w:eastAsia="宋体"/>
                <w:szCs w:val="21"/>
                <w:lang w:val="en-US" w:eastAsia="zh-CN"/>
              </w:rPr>
            </w:pPr>
            <w:r>
              <w:rPr>
                <w:bCs/>
                <w:szCs w:val="21"/>
              </w:rPr>
              <w:t>低噪声设备、</w:t>
            </w:r>
            <w:r>
              <w:rPr>
                <w:rFonts w:hint="eastAsia"/>
                <w:bCs/>
                <w:szCs w:val="21"/>
                <w:lang w:val="en-US" w:eastAsia="zh-CN"/>
              </w:rPr>
              <w:t>基础</w:t>
            </w:r>
            <w:r>
              <w:rPr>
                <w:bCs/>
                <w:szCs w:val="21"/>
              </w:rPr>
              <w:t>减振、厂房隔声</w:t>
            </w:r>
            <w:r>
              <w:rPr>
                <w:rFonts w:hint="eastAsia"/>
                <w:bCs/>
                <w:szCs w:val="21"/>
                <w:lang w:val="en-US" w:eastAsia="zh-CN"/>
              </w:rPr>
              <w:t>等</w:t>
            </w:r>
          </w:p>
        </w:tc>
        <w:tc>
          <w:tcPr>
            <w:tcW w:w="2045" w:type="pct"/>
            <w:vAlign w:val="center"/>
          </w:tcPr>
          <w:p>
            <w:pPr>
              <w:adjustRightInd w:val="0"/>
              <w:snapToGrid w:val="0"/>
              <w:jc w:val="center"/>
              <w:rPr>
                <w:szCs w:val="21"/>
              </w:rPr>
            </w:pPr>
            <w:r>
              <w:rPr>
                <w:szCs w:val="21"/>
              </w:rPr>
              <w:t>《工业企业厂界环境噪声排放标准》(GB12348-2008)</w:t>
            </w:r>
            <w:r>
              <w:rPr>
                <w:rFonts w:hint="eastAsia"/>
                <w:szCs w:val="21"/>
                <w:lang w:val="en-US" w:eastAsia="zh-CN"/>
              </w:rPr>
              <w:t>2</w:t>
            </w:r>
            <w:r>
              <w:rPr>
                <w:szCs w:val="21"/>
              </w:rPr>
              <w:t>类区标准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7" w:hRule="atLeast"/>
          <w:jc w:val="center"/>
        </w:trPr>
        <w:tc>
          <w:tcPr>
            <w:tcW w:w="880" w:type="pct"/>
            <w:vAlign w:val="center"/>
          </w:tcPr>
          <w:p>
            <w:pPr>
              <w:adjustRightInd w:val="0"/>
              <w:snapToGrid w:val="0"/>
              <w:jc w:val="center"/>
              <w:rPr>
                <w:szCs w:val="21"/>
              </w:rPr>
            </w:pPr>
            <w:r>
              <w:rPr>
                <w:szCs w:val="21"/>
              </w:rPr>
              <w:t>电磁辐射</w:t>
            </w:r>
          </w:p>
        </w:tc>
        <w:tc>
          <w:tcPr>
            <w:tcW w:w="488" w:type="pct"/>
            <w:vAlign w:val="center"/>
          </w:tcPr>
          <w:p>
            <w:pPr>
              <w:adjustRightInd w:val="0"/>
              <w:snapToGrid w:val="0"/>
              <w:jc w:val="center"/>
              <w:rPr>
                <w:szCs w:val="21"/>
              </w:rPr>
            </w:pPr>
            <w:r>
              <w:rPr>
                <w:szCs w:val="21"/>
              </w:rPr>
              <w:t>无</w:t>
            </w:r>
          </w:p>
        </w:tc>
        <w:tc>
          <w:tcPr>
            <w:tcW w:w="581" w:type="pct"/>
            <w:vAlign w:val="center"/>
          </w:tcPr>
          <w:p>
            <w:pPr>
              <w:adjustRightInd w:val="0"/>
              <w:snapToGrid w:val="0"/>
              <w:jc w:val="center"/>
              <w:rPr>
                <w:szCs w:val="21"/>
              </w:rPr>
            </w:pPr>
            <w:r>
              <w:rPr>
                <w:szCs w:val="21"/>
              </w:rPr>
              <w:t>/</w:t>
            </w:r>
          </w:p>
        </w:tc>
        <w:tc>
          <w:tcPr>
            <w:tcW w:w="1003" w:type="pct"/>
            <w:vAlign w:val="center"/>
          </w:tcPr>
          <w:p>
            <w:pPr>
              <w:adjustRightInd w:val="0"/>
              <w:snapToGrid w:val="0"/>
              <w:jc w:val="center"/>
              <w:rPr>
                <w:szCs w:val="21"/>
              </w:rPr>
            </w:pPr>
            <w:r>
              <w:rPr>
                <w:szCs w:val="21"/>
              </w:rPr>
              <w:t>/</w:t>
            </w:r>
          </w:p>
        </w:tc>
        <w:tc>
          <w:tcPr>
            <w:tcW w:w="2045" w:type="pct"/>
            <w:vAlign w:val="center"/>
          </w:tcPr>
          <w:p>
            <w:pPr>
              <w:adjustRightInd w:val="0"/>
              <w:snapToGrid w:val="0"/>
              <w:jc w:val="center"/>
              <w:rPr>
                <w:szCs w:val="21"/>
              </w:rPr>
            </w:pPr>
            <w:r>
              <w:rPr>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2" w:hRule="atLeast"/>
          <w:jc w:val="center"/>
        </w:trPr>
        <w:tc>
          <w:tcPr>
            <w:tcW w:w="880" w:type="pct"/>
            <w:vAlign w:val="center"/>
          </w:tcPr>
          <w:p>
            <w:pPr>
              <w:adjustRightInd w:val="0"/>
              <w:snapToGrid w:val="0"/>
              <w:jc w:val="center"/>
              <w:rPr>
                <w:szCs w:val="21"/>
              </w:rPr>
            </w:pPr>
            <w:r>
              <w:rPr>
                <w:szCs w:val="21"/>
              </w:rPr>
              <w:t>固体废物</w:t>
            </w:r>
          </w:p>
        </w:tc>
        <w:tc>
          <w:tcPr>
            <w:tcW w:w="4119" w:type="pct"/>
            <w:gridSpan w:val="4"/>
            <w:vAlign w:val="center"/>
          </w:tcPr>
          <w:p>
            <w:pPr>
              <w:adjustRightInd w:val="0"/>
              <w:snapToGrid w:val="0"/>
              <w:spacing w:line="400" w:lineRule="exact"/>
              <w:ind w:firstLine="420" w:firstLineChars="200"/>
              <w:rPr>
                <w:bCs/>
                <w:szCs w:val="21"/>
              </w:rPr>
            </w:pPr>
            <w:r>
              <w:rPr>
                <w:rFonts w:hint="eastAsia"/>
                <w:szCs w:val="21"/>
              </w:rPr>
              <w:t>员工生活垃圾</w:t>
            </w:r>
            <w:r>
              <w:rPr>
                <w:rFonts w:hint="eastAsia"/>
                <w:szCs w:val="21"/>
                <w:lang w:val="en-US" w:eastAsia="zh-CN"/>
              </w:rPr>
              <w:t>由</w:t>
            </w:r>
            <w:r>
              <w:rPr>
                <w:rFonts w:hint="eastAsia"/>
                <w:szCs w:val="21"/>
              </w:rPr>
              <w:t>环卫部门处理；</w:t>
            </w:r>
            <w:r>
              <w:rPr>
                <w:rFonts w:hint="eastAsia"/>
                <w:szCs w:val="21"/>
                <w:lang w:val="en-US" w:eastAsia="zh-CN"/>
              </w:rPr>
              <w:t>废</w:t>
            </w:r>
            <w:r>
              <w:rPr>
                <w:rFonts w:hint="eastAsia"/>
                <w:szCs w:val="21"/>
              </w:rPr>
              <w:t>边角料、</w:t>
            </w:r>
            <w:r>
              <w:rPr>
                <w:rFonts w:hint="eastAsia"/>
                <w:szCs w:val="21"/>
                <w:lang w:val="en-US" w:eastAsia="zh-CN"/>
              </w:rPr>
              <w:t>废包装物收集后外售</w:t>
            </w:r>
            <w:r>
              <w:rPr>
                <w:rFonts w:hint="eastAsia"/>
                <w:szCs w:val="21"/>
              </w:rPr>
              <w:t>；废活性炭、废过滤棉暂存</w:t>
            </w:r>
            <w:r>
              <w:rPr>
                <w:rFonts w:hint="eastAsia"/>
                <w:szCs w:val="21"/>
                <w:lang w:val="en-US" w:eastAsia="zh-CN"/>
              </w:rPr>
              <w:t>于现有</w:t>
            </w:r>
            <w:r>
              <w:rPr>
                <w:rFonts w:hint="eastAsia"/>
                <w:szCs w:val="21"/>
              </w:rPr>
              <w:t>危废间，定期委托有资质单位处置。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880" w:type="pct"/>
            <w:vAlign w:val="center"/>
          </w:tcPr>
          <w:p>
            <w:pPr>
              <w:adjustRightInd w:val="0"/>
              <w:snapToGrid w:val="0"/>
              <w:jc w:val="center"/>
              <w:rPr>
                <w:szCs w:val="21"/>
              </w:rPr>
            </w:pPr>
            <w:r>
              <w:rPr>
                <w:szCs w:val="21"/>
              </w:rPr>
              <w:t>土壤及地下水污染防治措施</w:t>
            </w:r>
          </w:p>
        </w:tc>
        <w:tc>
          <w:tcPr>
            <w:tcW w:w="4119" w:type="pct"/>
            <w:gridSpan w:val="4"/>
            <w:vAlign w:val="center"/>
          </w:tcPr>
          <w:p>
            <w:pPr>
              <w:adjustRightInd w:val="0"/>
              <w:snapToGrid w:val="0"/>
              <w:jc w:val="left"/>
              <w:rPr>
                <w:rFonts w:hint="default"/>
                <w:szCs w:val="21"/>
                <w:lang w:val="en-US" w:eastAsia="zh-CN"/>
              </w:rPr>
            </w:pPr>
            <w:r>
              <w:rPr>
                <w:rFonts w:hint="eastAsia"/>
                <w:szCs w:val="21"/>
                <w:lang w:val="en-US" w:eastAsia="zh-CN"/>
              </w:rPr>
              <w:t>1、重点防渗区</w:t>
            </w:r>
          </w:p>
          <w:p>
            <w:pPr>
              <w:adjustRightInd w:val="0"/>
              <w:snapToGrid w:val="0"/>
              <w:jc w:val="left"/>
              <w:rPr>
                <w:rFonts w:hint="eastAsia"/>
                <w:szCs w:val="21"/>
              </w:rPr>
            </w:pPr>
            <w:r>
              <w:rPr>
                <w:rFonts w:hint="eastAsia"/>
                <w:szCs w:val="21"/>
                <w:lang w:val="en-US" w:eastAsia="zh-CN"/>
              </w:rPr>
              <w:t>甲醇暂存区、</w:t>
            </w:r>
            <w:r>
              <w:rPr>
                <w:rFonts w:hint="eastAsia"/>
                <w:szCs w:val="21"/>
              </w:rPr>
              <w:t>危废暂存间进行防渗处理，防渗层为至少1m厚粘土层，或2mm厚高密度聚乙烯，或采取其他防渗措施，使防渗效果等效粘土防渗层Mb≥6.0m，K≤1×10</w:t>
            </w:r>
            <w:r>
              <w:rPr>
                <w:rFonts w:hint="eastAsia"/>
                <w:szCs w:val="21"/>
                <w:vertAlign w:val="superscript"/>
              </w:rPr>
              <w:t>-10</w:t>
            </w:r>
            <w:r>
              <w:rPr>
                <w:rFonts w:hint="eastAsia"/>
                <w:szCs w:val="21"/>
              </w:rPr>
              <w:t>cm/s。</w:t>
            </w:r>
          </w:p>
          <w:p>
            <w:pPr>
              <w:adjustRightInd w:val="0"/>
              <w:snapToGrid w:val="0"/>
              <w:jc w:val="left"/>
              <w:rPr>
                <w:rFonts w:hint="eastAsia"/>
                <w:szCs w:val="21"/>
              </w:rPr>
            </w:pPr>
            <w:r>
              <w:rPr>
                <w:rFonts w:hint="eastAsia"/>
                <w:szCs w:val="21"/>
              </w:rPr>
              <w:t>2、一般防渗区</w:t>
            </w:r>
          </w:p>
          <w:p>
            <w:pPr>
              <w:adjustRightInd w:val="0"/>
              <w:snapToGrid w:val="0"/>
              <w:jc w:val="left"/>
              <w:rPr>
                <w:rFonts w:hint="eastAsia"/>
                <w:szCs w:val="21"/>
              </w:rPr>
            </w:pPr>
            <w:r>
              <w:rPr>
                <w:rFonts w:hint="eastAsia"/>
                <w:szCs w:val="21"/>
              </w:rPr>
              <w:t>生产车间、库房、办公室</w:t>
            </w:r>
            <w:r>
              <w:rPr>
                <w:rFonts w:hint="eastAsia"/>
                <w:szCs w:val="21"/>
                <w:lang w:val="en-US" w:eastAsia="zh-CN"/>
              </w:rPr>
              <w:t>等</w:t>
            </w:r>
            <w:r>
              <w:rPr>
                <w:rFonts w:hint="eastAsia"/>
                <w:szCs w:val="21"/>
              </w:rPr>
              <w:t>区域已按照一般防渗要求进行防渗处理，使防渗层渗透系数小于1×10</w:t>
            </w:r>
            <w:r>
              <w:rPr>
                <w:rFonts w:hint="eastAsia"/>
                <w:szCs w:val="21"/>
                <w:vertAlign w:val="superscript"/>
              </w:rPr>
              <w:t>-7</w:t>
            </w:r>
            <w:r>
              <w:rPr>
                <w:rFonts w:hint="eastAsia"/>
                <w:szCs w:val="21"/>
              </w:rPr>
              <w:t>cm/s，等效粘土防渗层Mb≥1.5m。</w:t>
            </w:r>
          </w:p>
          <w:p>
            <w:pPr>
              <w:adjustRightInd w:val="0"/>
              <w:snapToGrid w:val="0"/>
              <w:jc w:val="left"/>
              <w:rPr>
                <w:rFonts w:hint="eastAsia"/>
                <w:szCs w:val="21"/>
              </w:rPr>
            </w:pPr>
            <w:r>
              <w:rPr>
                <w:rFonts w:hint="eastAsia"/>
                <w:szCs w:val="21"/>
              </w:rPr>
              <w:t>3、简单防渗区</w:t>
            </w:r>
          </w:p>
          <w:p>
            <w:pPr>
              <w:adjustRightInd w:val="0"/>
              <w:snapToGrid w:val="0"/>
              <w:jc w:val="left"/>
              <w:rPr>
                <w:szCs w:val="21"/>
              </w:rPr>
            </w:pPr>
            <w:r>
              <w:rPr>
                <w:rFonts w:hint="eastAsia"/>
                <w:szCs w:val="21"/>
              </w:rPr>
              <w:t>厂区地面除建筑和绿化用地外，全部已进行水泥硬化处理。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880" w:type="pct"/>
            <w:vAlign w:val="center"/>
          </w:tcPr>
          <w:p>
            <w:pPr>
              <w:adjustRightInd w:val="0"/>
              <w:snapToGrid w:val="0"/>
              <w:jc w:val="center"/>
              <w:rPr>
                <w:szCs w:val="21"/>
              </w:rPr>
            </w:pPr>
            <w:r>
              <w:rPr>
                <w:szCs w:val="21"/>
              </w:rPr>
              <w:t>生态保护措施</w:t>
            </w:r>
          </w:p>
        </w:tc>
        <w:tc>
          <w:tcPr>
            <w:tcW w:w="4119" w:type="pct"/>
            <w:gridSpan w:val="4"/>
            <w:vAlign w:val="center"/>
          </w:tcPr>
          <w:p>
            <w:pPr>
              <w:adjustRightInd w:val="0"/>
              <w:snapToGrid w:val="0"/>
              <w:ind w:firstLine="420" w:firstLineChars="200"/>
              <w:rPr>
                <w:szCs w:val="21"/>
              </w:rPr>
            </w:pPr>
            <w:r>
              <w:rPr>
                <w:rFonts w:hint="eastAsia"/>
                <w:szCs w:val="21"/>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880" w:type="pct"/>
            <w:vAlign w:val="center"/>
          </w:tcPr>
          <w:p>
            <w:pPr>
              <w:adjustRightInd w:val="0"/>
              <w:snapToGrid w:val="0"/>
              <w:jc w:val="center"/>
              <w:rPr>
                <w:spacing w:val="-8"/>
                <w:szCs w:val="21"/>
              </w:rPr>
            </w:pPr>
            <w:r>
              <w:rPr>
                <w:spacing w:val="-8"/>
                <w:szCs w:val="21"/>
              </w:rPr>
              <w:t>环境风险</w:t>
            </w:r>
          </w:p>
          <w:p>
            <w:pPr>
              <w:adjustRightInd w:val="0"/>
              <w:snapToGrid w:val="0"/>
              <w:jc w:val="center"/>
              <w:rPr>
                <w:spacing w:val="-8"/>
                <w:szCs w:val="21"/>
              </w:rPr>
            </w:pPr>
            <w:r>
              <w:rPr>
                <w:spacing w:val="-8"/>
                <w:szCs w:val="21"/>
              </w:rPr>
              <w:t>防范措施</w:t>
            </w:r>
          </w:p>
        </w:tc>
        <w:tc>
          <w:tcPr>
            <w:tcW w:w="4119" w:type="pct"/>
            <w:gridSpan w:val="4"/>
            <w:vAlign w:val="center"/>
          </w:tcPr>
          <w:p>
            <w:pPr>
              <w:adjustRightInd w:val="0"/>
              <w:snapToGrid w:val="0"/>
              <w:ind w:firstLine="420" w:firstLineChars="200"/>
              <w:rPr>
                <w:szCs w:val="21"/>
              </w:rPr>
            </w:pPr>
            <w:r>
              <w:rPr>
                <w:rFonts w:hint="eastAsia"/>
                <w:bCs/>
                <w:szCs w:val="21"/>
                <w:lang w:val="en-US" w:eastAsia="zh-CN"/>
              </w:rPr>
              <w:t>甲醇</w:t>
            </w:r>
            <w:r>
              <w:rPr>
                <w:rFonts w:hint="eastAsia"/>
                <w:bCs/>
                <w:szCs w:val="21"/>
              </w:rPr>
              <w:t>和贮存、使用按照操作规程进行，生产设施底部、贮存设施处，设置围堰或防渗托盘，危废间严格按照《危险废物贮存污染控制标准》(GB18597-20</w:t>
            </w:r>
            <w:r>
              <w:rPr>
                <w:bCs/>
                <w:szCs w:val="21"/>
              </w:rPr>
              <w:t>23</w:t>
            </w:r>
            <w:r>
              <w:rPr>
                <w:rFonts w:hint="eastAsia"/>
                <w:bCs/>
                <w:szCs w:val="21"/>
              </w:rPr>
              <w:t>)相关要求建设，做好防渗措施；同时按照消防相关要求设置建筑物间防火间距、配备相应消防设施，加强日常管理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18" w:hRule="atLeast"/>
          <w:jc w:val="center"/>
        </w:trPr>
        <w:tc>
          <w:tcPr>
            <w:tcW w:w="880" w:type="pct"/>
            <w:vAlign w:val="center"/>
          </w:tcPr>
          <w:p>
            <w:pPr>
              <w:adjustRightInd w:val="0"/>
              <w:snapToGrid w:val="0"/>
              <w:jc w:val="center"/>
              <w:rPr>
                <w:spacing w:val="-8"/>
                <w:szCs w:val="21"/>
              </w:rPr>
            </w:pPr>
            <w:r>
              <w:rPr>
                <w:spacing w:val="-8"/>
                <w:szCs w:val="21"/>
              </w:rPr>
              <w:t>其他环境</w:t>
            </w:r>
          </w:p>
          <w:p>
            <w:pPr>
              <w:adjustRightInd w:val="0"/>
              <w:snapToGrid w:val="0"/>
              <w:jc w:val="center"/>
              <w:rPr>
                <w:spacing w:val="-8"/>
                <w:szCs w:val="21"/>
              </w:rPr>
            </w:pPr>
            <w:r>
              <w:rPr>
                <w:spacing w:val="-8"/>
                <w:szCs w:val="21"/>
              </w:rPr>
              <w:t>管理要求</w:t>
            </w:r>
          </w:p>
        </w:tc>
        <w:tc>
          <w:tcPr>
            <w:tcW w:w="4119" w:type="pct"/>
            <w:gridSpan w:val="4"/>
            <w:vAlign w:val="center"/>
          </w:tcPr>
          <w:p>
            <w:pPr>
              <w:adjustRightInd w:val="0"/>
              <w:snapToGrid w:val="0"/>
              <w:rPr>
                <w:szCs w:val="21"/>
              </w:rPr>
            </w:pPr>
            <w:r>
              <w:rPr>
                <w:rFonts w:hint="eastAsia"/>
                <w:szCs w:val="21"/>
              </w:rPr>
              <w:t>1、</w:t>
            </w:r>
            <w:r>
              <w:rPr>
                <w:szCs w:val="21"/>
              </w:rPr>
              <w:t>加强项目设施的维护和管理，保证设备正常运行</w:t>
            </w:r>
            <w:r>
              <w:rPr>
                <w:rFonts w:hint="eastAsia"/>
                <w:szCs w:val="21"/>
              </w:rPr>
              <w:t>，环保设施分表计电</w:t>
            </w:r>
            <w:r>
              <w:rPr>
                <w:szCs w:val="21"/>
              </w:rPr>
              <w:t>。</w:t>
            </w:r>
          </w:p>
          <w:p>
            <w:pPr>
              <w:adjustRightInd w:val="0"/>
              <w:snapToGrid w:val="0"/>
              <w:rPr>
                <w:szCs w:val="21"/>
              </w:rPr>
            </w:pPr>
            <w:r>
              <w:rPr>
                <w:rFonts w:hint="eastAsia"/>
                <w:szCs w:val="21"/>
              </w:rPr>
              <w:t>2、</w:t>
            </w:r>
            <w:r>
              <w:rPr>
                <w:szCs w:val="21"/>
              </w:rPr>
              <w:t>按照相关要求落实排污许可制度</w:t>
            </w:r>
            <w:r>
              <w:rPr>
                <w:rFonts w:hint="eastAsia"/>
                <w:szCs w:val="21"/>
              </w:rPr>
              <w:t>，同时根据要求实施自行监测</w:t>
            </w:r>
            <w:r>
              <w:rPr>
                <w:szCs w:val="21"/>
              </w:rPr>
              <w:t>。</w:t>
            </w:r>
          </w:p>
          <w:p>
            <w:pPr>
              <w:adjustRightInd w:val="0"/>
              <w:snapToGrid w:val="0"/>
              <w:rPr>
                <w:szCs w:val="21"/>
              </w:rPr>
            </w:pPr>
            <w:r>
              <w:rPr>
                <w:rFonts w:hint="eastAsia"/>
                <w:szCs w:val="21"/>
              </w:rPr>
              <w:t>3、设置V</w:t>
            </w:r>
            <w:r>
              <w:rPr>
                <w:szCs w:val="21"/>
              </w:rPr>
              <w:t>OCs</w:t>
            </w:r>
            <w:r>
              <w:rPr>
                <w:rFonts w:hint="eastAsia"/>
                <w:szCs w:val="21"/>
              </w:rPr>
              <w:t>超标报警装置；</w:t>
            </w:r>
          </w:p>
          <w:p>
            <w:pPr>
              <w:adjustRightInd w:val="0"/>
              <w:snapToGrid w:val="0"/>
              <w:rPr>
                <w:szCs w:val="21"/>
              </w:rPr>
            </w:pPr>
            <w:r>
              <w:rPr>
                <w:rFonts w:hint="eastAsia"/>
                <w:szCs w:val="21"/>
              </w:rPr>
              <w:t>4、</w:t>
            </w:r>
            <w:r>
              <w:rPr>
                <w:rFonts w:hint="eastAsia"/>
                <w:bCs/>
                <w:szCs w:val="21"/>
              </w:rPr>
              <w:t>企业需按相关要求编制突发环境应急预案</w:t>
            </w:r>
          </w:p>
        </w:tc>
      </w:tr>
    </w:tbl>
    <w:p>
      <w:pPr>
        <w:pStyle w:val="83"/>
        <w:jc w:val="center"/>
        <w:outlineLvl w:val="0"/>
        <w:rPr>
          <w:snapToGrid w:val="0"/>
        </w:rPr>
        <w:sectPr>
          <w:footerReference r:id="rId7" w:type="default"/>
          <w:pgSz w:w="11906" w:h="16838"/>
          <w:pgMar w:top="1701" w:right="1531" w:bottom="1701" w:left="1531" w:header="851" w:footer="851" w:gutter="0"/>
          <w:pgNumType w:fmt="decimal"/>
          <w:cols w:space="720" w:num="1"/>
          <w:docGrid w:linePitch="312" w:charSpace="0"/>
        </w:sectPr>
      </w:pPr>
    </w:p>
    <w:p>
      <w:pPr>
        <w:pStyle w:val="83"/>
        <w:jc w:val="center"/>
        <w:outlineLvl w:val="0"/>
        <w:rPr>
          <w:rFonts w:ascii="黑体" w:hAnsi="黑体" w:eastAsia="黑体"/>
          <w:snapToGrid w:val="0"/>
          <w:sz w:val="30"/>
          <w:szCs w:val="30"/>
        </w:rPr>
      </w:pPr>
      <w:bookmarkStart w:id="37" w:name="_Toc5691"/>
      <w:r>
        <w:rPr>
          <w:rFonts w:hint="eastAsia" w:ascii="黑体" w:hAnsi="黑体" w:eastAsia="黑体"/>
          <w:snapToGrid w:val="0"/>
          <w:sz w:val="30"/>
          <w:szCs w:val="30"/>
        </w:rPr>
        <w:t>六、结论</w:t>
      </w:r>
      <w:bookmarkEnd w:id="37"/>
    </w:p>
    <w:tbl>
      <w:tblPr>
        <w:tblStyle w:val="9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Pr>
          <w:p>
            <w:pPr>
              <w:adjustRightInd w:val="0"/>
              <w:snapToGrid w:val="0"/>
              <w:spacing w:line="400" w:lineRule="exact"/>
              <w:ind w:firstLine="420" w:firstLineChars="200"/>
              <w:rPr>
                <w:szCs w:val="21"/>
              </w:rPr>
            </w:pPr>
            <w:r>
              <w:rPr>
                <w:rFonts w:hint="eastAsia"/>
                <w:szCs w:val="21"/>
                <w:lang w:eastAsia="zh-CN"/>
              </w:rPr>
              <w:t>秦皇岛市抚宁区满亿包装材料厂</w:t>
            </w:r>
            <w:r>
              <w:rPr>
                <w:rFonts w:hint="eastAsia"/>
                <w:szCs w:val="21"/>
                <w:lang w:val="en-US" w:eastAsia="zh-CN"/>
              </w:rPr>
              <w:t>拟投资300万元对原有车间生产线进行技术改造。拆除现有包装纸箱生产线设备，更换预涂膜生产线一条。主要生产设备为预涂膜生产线1套，切割机3台等。项目技改完成后年生产预涂膜1500吨</w:t>
            </w:r>
            <w:r>
              <w:rPr>
                <w:rFonts w:hint="eastAsia"/>
                <w:szCs w:val="21"/>
              </w:rPr>
              <w:t>。</w:t>
            </w:r>
          </w:p>
          <w:p>
            <w:pPr>
              <w:adjustRightInd w:val="0"/>
              <w:snapToGrid w:val="0"/>
              <w:spacing w:line="400" w:lineRule="exact"/>
              <w:ind w:firstLine="420" w:firstLineChars="200"/>
              <w:rPr>
                <w:bCs/>
                <w:szCs w:val="21"/>
                <w:highlight w:val="none"/>
              </w:rPr>
            </w:pPr>
            <w:r>
              <w:rPr>
                <w:bCs/>
                <w:szCs w:val="21"/>
                <w:highlight w:val="none"/>
              </w:rPr>
              <w:t>本项目</w:t>
            </w:r>
            <w:r>
              <w:rPr>
                <w:rFonts w:hint="eastAsia"/>
                <w:bCs/>
                <w:szCs w:val="21"/>
                <w:highlight w:val="none"/>
              </w:rPr>
              <w:t>不</w:t>
            </w:r>
            <w:r>
              <w:rPr>
                <w:bCs/>
                <w:szCs w:val="21"/>
                <w:highlight w:val="none"/>
              </w:rPr>
              <w:t>属于</w:t>
            </w:r>
            <w:r>
              <w:rPr>
                <w:rFonts w:hint="eastAsia"/>
                <w:kern w:val="0"/>
                <w:szCs w:val="21"/>
                <w:highlight w:val="none"/>
              </w:rPr>
              <w:t>《产业结构调整指导目录（2024 年本）》中限制类、淘汰类项目，属于允许类；不属于《市场准入负面清单（202</w:t>
            </w:r>
            <w:r>
              <w:rPr>
                <w:rFonts w:hint="eastAsia"/>
                <w:kern w:val="0"/>
                <w:szCs w:val="21"/>
                <w:highlight w:val="none"/>
                <w:lang w:val="en-US" w:eastAsia="zh-CN"/>
              </w:rPr>
              <w:t>5</w:t>
            </w:r>
            <w:r>
              <w:rPr>
                <w:rFonts w:hint="eastAsia"/>
                <w:kern w:val="0"/>
                <w:szCs w:val="21"/>
                <w:highlight w:val="none"/>
              </w:rPr>
              <w:t>年版）中禁止准入类</w:t>
            </w:r>
            <w:r>
              <w:rPr>
                <w:bCs/>
                <w:szCs w:val="21"/>
                <w:highlight w:val="none"/>
              </w:rPr>
              <w:t>，</w:t>
            </w:r>
            <w:r>
              <w:rPr>
                <w:rFonts w:hint="eastAsia"/>
                <w:kern w:val="0"/>
                <w:szCs w:val="21"/>
                <w:highlight w:val="none"/>
              </w:rPr>
              <w:t>符合《秦皇岛市”三线一单”生态环境分区管控实施意见》（秦政字【2021】6号）以及《秦皇岛市生态环境准入清单（2</w:t>
            </w:r>
            <w:r>
              <w:rPr>
                <w:kern w:val="0"/>
                <w:szCs w:val="21"/>
                <w:highlight w:val="none"/>
              </w:rPr>
              <w:t>023</w:t>
            </w:r>
            <w:r>
              <w:rPr>
                <w:rFonts w:hint="eastAsia"/>
                <w:kern w:val="0"/>
                <w:szCs w:val="21"/>
                <w:highlight w:val="none"/>
              </w:rPr>
              <w:t>年版）》（2</w:t>
            </w:r>
            <w:r>
              <w:rPr>
                <w:kern w:val="0"/>
                <w:szCs w:val="21"/>
                <w:highlight w:val="none"/>
              </w:rPr>
              <w:t>024</w:t>
            </w:r>
            <w:r>
              <w:rPr>
                <w:rFonts w:hint="eastAsia"/>
                <w:kern w:val="0"/>
                <w:szCs w:val="21"/>
                <w:highlight w:val="none"/>
              </w:rPr>
              <w:t>年6月修订）等相关要求</w:t>
            </w:r>
            <w:r>
              <w:rPr>
                <w:rFonts w:hint="eastAsia"/>
                <w:szCs w:val="21"/>
                <w:highlight w:val="none"/>
              </w:rPr>
              <w:t>，</w:t>
            </w:r>
            <w:r>
              <w:rPr>
                <w:bCs/>
                <w:szCs w:val="21"/>
                <w:highlight w:val="none"/>
              </w:rPr>
              <w:t>符合相关产业政策。</w:t>
            </w:r>
          </w:p>
          <w:p>
            <w:pPr>
              <w:adjustRightInd w:val="0"/>
              <w:snapToGrid w:val="0"/>
              <w:spacing w:line="400" w:lineRule="exact"/>
              <w:ind w:firstLine="420" w:firstLineChars="200"/>
              <w:rPr>
                <w:bCs/>
                <w:szCs w:val="21"/>
              </w:rPr>
            </w:pPr>
            <w:r>
              <w:rPr>
                <w:rFonts w:hint="eastAsia"/>
                <w:bCs/>
                <w:szCs w:val="21"/>
              </w:rPr>
              <w:t>针对项目主要环境影响，本次评价提出如下治理措施：</w:t>
            </w:r>
          </w:p>
          <w:p>
            <w:pPr>
              <w:adjustRightInd w:val="0"/>
              <w:snapToGrid w:val="0"/>
              <w:spacing w:line="400" w:lineRule="exact"/>
              <w:ind w:firstLine="420" w:firstLineChars="200"/>
              <w:rPr>
                <w:szCs w:val="21"/>
              </w:rPr>
            </w:pPr>
            <w:r>
              <w:rPr>
                <w:rFonts w:hint="eastAsia"/>
                <w:bCs/>
                <w:szCs w:val="21"/>
              </w:rPr>
              <w:t>（1）废气：项目在</w:t>
            </w:r>
            <w:r>
              <w:rPr>
                <w:rFonts w:hint="eastAsia"/>
                <w:szCs w:val="21"/>
              </w:rPr>
              <w:t>封闭车间内作业，</w:t>
            </w:r>
            <w:r>
              <w:rPr>
                <w:rFonts w:hint="eastAsia"/>
                <w:bCs/>
                <w:szCs w:val="21"/>
                <w:lang w:val="en-US" w:eastAsia="zh-CN"/>
              </w:rPr>
              <w:t>废气由</w:t>
            </w:r>
            <w:r>
              <w:rPr>
                <w:rFonts w:hint="eastAsia"/>
                <w:szCs w:val="21"/>
              </w:rPr>
              <w:t>集气罩收集后经</w:t>
            </w:r>
            <w:r>
              <w:rPr>
                <w:rFonts w:hint="eastAsia"/>
              </w:rPr>
              <w:t>过滤</w:t>
            </w:r>
            <w:r>
              <w:rPr>
                <w:rFonts w:hint="eastAsia"/>
                <w:lang w:val="en-US" w:eastAsia="zh-CN"/>
              </w:rPr>
              <w:t>棉</w:t>
            </w:r>
            <w:r>
              <w:rPr>
                <w:rFonts w:hint="eastAsia"/>
              </w:rPr>
              <w:t>+</w:t>
            </w:r>
            <w:r>
              <w:rPr>
                <w:rFonts w:hint="eastAsia"/>
                <w:lang w:val="en-US" w:eastAsia="zh-CN"/>
              </w:rPr>
              <w:t>二级</w:t>
            </w:r>
            <w:r>
              <w:rPr>
                <w:rFonts w:hint="eastAsia"/>
              </w:rPr>
              <w:t>活性炭吸附</w:t>
            </w:r>
            <w:r>
              <w:rPr>
                <w:rFonts w:hint="eastAsia"/>
                <w:lang w:val="en-US" w:eastAsia="zh-CN"/>
              </w:rPr>
              <w:t>装置</w:t>
            </w:r>
            <w:r>
              <w:rPr>
                <w:rFonts w:hint="eastAsia"/>
                <w:szCs w:val="21"/>
              </w:rPr>
              <w:t>处理后，经1</w:t>
            </w:r>
            <w:r>
              <w:rPr>
                <w:szCs w:val="21"/>
              </w:rPr>
              <w:t>5m</w:t>
            </w:r>
            <w:r>
              <w:rPr>
                <w:rFonts w:hint="eastAsia"/>
                <w:szCs w:val="21"/>
              </w:rPr>
              <w:t>排气筒排放</w:t>
            </w:r>
            <w:r>
              <w:rPr>
                <w:rFonts w:hint="eastAsia"/>
                <w:szCs w:val="21"/>
                <w:lang w:eastAsia="zh-CN"/>
              </w:rPr>
              <w:t>（</w:t>
            </w:r>
            <w:r>
              <w:rPr>
                <w:rFonts w:hint="eastAsia"/>
                <w:szCs w:val="21"/>
                <w:lang w:val="en-US" w:eastAsia="zh-CN"/>
              </w:rPr>
              <w:t>DA001</w:t>
            </w:r>
            <w:r>
              <w:rPr>
                <w:rFonts w:hint="eastAsia"/>
                <w:szCs w:val="21"/>
                <w:lang w:eastAsia="zh-CN"/>
              </w:rPr>
              <w:t>），</w:t>
            </w:r>
            <w:r>
              <w:rPr>
                <w:rFonts w:hint="eastAsia"/>
                <w:bCs/>
                <w:szCs w:val="21"/>
              </w:rPr>
              <w:t>经分析有组织废气可以满足</w:t>
            </w:r>
            <w:r>
              <w:rPr>
                <w:rFonts w:hint="eastAsia"/>
                <w:szCs w:val="21"/>
              </w:rPr>
              <w:t>《合成树脂工业污染物排放标准》（GB31572-2015 含2024年修改单）表5大气污染物特别排放限值；无组织废气分别可以满足</w:t>
            </w:r>
            <w:r>
              <w:rPr>
                <w:rFonts w:hint="eastAsia" w:ascii="Times New Roman" w:hAnsi="Times New Roman" w:eastAsia="宋体" w:cs="Times New Roman"/>
                <w:color w:val="auto"/>
                <w:lang w:val="zh-CN"/>
              </w:rPr>
              <w:t>《工业企业挥发性有机物排放控制标准》（DB13/2322-2016）表2企业边界大气污染物浓度限值</w:t>
            </w:r>
            <w:r>
              <w:rPr>
                <w:rFonts w:hint="eastAsia"/>
                <w:bCs/>
                <w:szCs w:val="21"/>
              </w:rPr>
              <w:t>，以及</w:t>
            </w:r>
            <w:r>
              <w:rPr>
                <w:bCs/>
                <w:szCs w:val="21"/>
              </w:rPr>
              <w:t>《</w:t>
            </w:r>
            <w:r>
              <w:rPr>
                <w:rFonts w:hint="eastAsia"/>
                <w:bCs/>
                <w:szCs w:val="21"/>
              </w:rPr>
              <w:t>挥发性有机物无组织</w:t>
            </w:r>
            <w:r>
              <w:rPr>
                <w:bCs/>
                <w:szCs w:val="21"/>
              </w:rPr>
              <w:t>排放</w:t>
            </w:r>
            <w:r>
              <w:rPr>
                <w:rFonts w:hint="eastAsia"/>
                <w:bCs/>
                <w:szCs w:val="21"/>
              </w:rPr>
              <w:t>控制</w:t>
            </w:r>
            <w:r>
              <w:rPr>
                <w:bCs/>
                <w:szCs w:val="21"/>
              </w:rPr>
              <w:t>标准》（GB37822-2019）表A.1</w:t>
            </w:r>
            <w:r>
              <w:rPr>
                <w:rFonts w:hint="eastAsia"/>
                <w:bCs/>
                <w:szCs w:val="21"/>
              </w:rPr>
              <w:t>厂区内V</w:t>
            </w:r>
            <w:r>
              <w:rPr>
                <w:bCs/>
                <w:szCs w:val="21"/>
              </w:rPr>
              <w:t>OCs</w:t>
            </w:r>
            <w:r>
              <w:rPr>
                <w:rFonts w:hint="eastAsia"/>
                <w:bCs/>
                <w:szCs w:val="21"/>
              </w:rPr>
              <w:t>无组织排放限值</w:t>
            </w:r>
            <w:r>
              <w:rPr>
                <w:rFonts w:hint="eastAsia"/>
                <w:szCs w:val="21"/>
              </w:rPr>
              <w:t>，对周边大气环境影响很小。</w:t>
            </w:r>
          </w:p>
          <w:p>
            <w:pPr>
              <w:adjustRightInd w:val="0"/>
              <w:snapToGrid w:val="0"/>
              <w:spacing w:line="400" w:lineRule="exact"/>
              <w:ind w:firstLine="420" w:firstLineChars="200"/>
              <w:rPr>
                <w:bCs/>
                <w:szCs w:val="21"/>
              </w:rPr>
            </w:pPr>
            <w:r>
              <w:rPr>
                <w:rFonts w:hint="eastAsia"/>
                <w:bCs/>
                <w:szCs w:val="21"/>
              </w:rPr>
              <w:t>（2）污水：本项目无生产废水排放，</w:t>
            </w:r>
            <w:r>
              <w:rPr>
                <w:rFonts w:hint="eastAsia"/>
                <w:bCs/>
                <w:szCs w:val="21"/>
                <w:lang w:val="en-US" w:eastAsia="zh-CN"/>
              </w:rPr>
              <w:t>冷却水循环利用，不外排；</w:t>
            </w:r>
            <w:r>
              <w:rPr>
                <w:rFonts w:hint="eastAsia"/>
                <w:bCs/>
                <w:szCs w:val="21"/>
              </w:rPr>
              <w:t>生活污水</w:t>
            </w:r>
            <w:r>
              <w:rPr>
                <w:rFonts w:hint="eastAsia" w:ascii="Times New Roman" w:hAnsi="Times New Roman" w:eastAsia="宋体" w:cs="Times New Roman"/>
                <w:kern w:val="2"/>
                <w:sz w:val="21"/>
                <w:szCs w:val="21"/>
                <w:lang w:val="en-US" w:eastAsia="zh-CN" w:bidi="ar-SA"/>
              </w:rPr>
              <w:t>用于厂区内泼洒抑尘，旱厕定期清掏</w:t>
            </w:r>
            <w:r>
              <w:rPr>
                <w:rFonts w:hint="eastAsia"/>
                <w:bCs/>
                <w:szCs w:val="21"/>
              </w:rPr>
              <w:t>，对水环境影响很小。</w:t>
            </w:r>
          </w:p>
          <w:p>
            <w:pPr>
              <w:adjustRightInd w:val="0"/>
              <w:snapToGrid w:val="0"/>
              <w:spacing w:line="400" w:lineRule="exact"/>
              <w:ind w:firstLine="420" w:firstLineChars="200"/>
              <w:rPr>
                <w:bCs/>
                <w:szCs w:val="21"/>
              </w:rPr>
            </w:pPr>
            <w:r>
              <w:rPr>
                <w:rFonts w:hint="eastAsia"/>
                <w:bCs/>
                <w:szCs w:val="21"/>
              </w:rPr>
              <w:t>（</w:t>
            </w:r>
            <w:r>
              <w:rPr>
                <w:bCs/>
                <w:szCs w:val="21"/>
              </w:rPr>
              <w:t>3</w:t>
            </w:r>
            <w:r>
              <w:rPr>
                <w:rFonts w:hint="eastAsia"/>
                <w:bCs/>
                <w:szCs w:val="21"/>
              </w:rPr>
              <w:t>）噪声：本项目主要声源为生产设备和风机，在封闭车间内进行，并设置减振等措施，对外环境影响很小，预计厂界可以满足《工业企业厂界噪声排放标准》（GB12348-2002）</w:t>
            </w:r>
            <w:r>
              <w:rPr>
                <w:rFonts w:hint="eastAsia"/>
                <w:bCs/>
                <w:szCs w:val="21"/>
                <w:lang w:val="en-US" w:eastAsia="zh-CN"/>
              </w:rPr>
              <w:t>2</w:t>
            </w:r>
            <w:r>
              <w:rPr>
                <w:rFonts w:hint="eastAsia"/>
                <w:bCs/>
                <w:szCs w:val="21"/>
              </w:rPr>
              <w:t>类</w:t>
            </w:r>
            <w:r>
              <w:rPr>
                <w:rFonts w:hint="eastAsia"/>
                <w:bCs/>
                <w:szCs w:val="21"/>
                <w:lang w:val="en-US" w:eastAsia="zh-CN"/>
              </w:rPr>
              <w:t>要求</w:t>
            </w:r>
            <w:r>
              <w:rPr>
                <w:rFonts w:hint="eastAsia"/>
                <w:bCs/>
                <w:szCs w:val="21"/>
              </w:rPr>
              <w:t>，同时项目周边50 m范围内无声环境敏感点，综合考虑对周边声环境影响很小。</w:t>
            </w:r>
          </w:p>
          <w:p>
            <w:pPr>
              <w:adjustRightInd w:val="0"/>
              <w:snapToGrid w:val="0"/>
              <w:spacing w:line="400" w:lineRule="exact"/>
              <w:ind w:firstLine="420" w:firstLineChars="200"/>
              <w:rPr>
                <w:bCs/>
                <w:szCs w:val="21"/>
              </w:rPr>
            </w:pPr>
            <w:r>
              <w:rPr>
                <w:rFonts w:hint="eastAsia"/>
                <w:bCs/>
                <w:szCs w:val="21"/>
              </w:rPr>
              <w:t>（</w:t>
            </w:r>
            <w:r>
              <w:rPr>
                <w:bCs/>
                <w:szCs w:val="21"/>
              </w:rPr>
              <w:t>4</w:t>
            </w:r>
            <w:r>
              <w:rPr>
                <w:rFonts w:hint="eastAsia"/>
                <w:bCs/>
                <w:szCs w:val="21"/>
              </w:rPr>
              <w:t>）固废：</w:t>
            </w:r>
            <w:r>
              <w:rPr>
                <w:rFonts w:hint="eastAsia"/>
                <w:szCs w:val="21"/>
              </w:rPr>
              <w:t>员工生活垃圾</w:t>
            </w:r>
            <w:r>
              <w:rPr>
                <w:rFonts w:hint="eastAsia"/>
                <w:szCs w:val="21"/>
                <w:lang w:val="en-US" w:eastAsia="zh-CN"/>
              </w:rPr>
              <w:t>由</w:t>
            </w:r>
            <w:r>
              <w:rPr>
                <w:rFonts w:hint="eastAsia"/>
                <w:szCs w:val="21"/>
              </w:rPr>
              <w:t>环卫部门处理；</w:t>
            </w:r>
            <w:r>
              <w:rPr>
                <w:rFonts w:hint="eastAsia"/>
                <w:szCs w:val="21"/>
                <w:lang w:val="en-US" w:eastAsia="zh-CN"/>
              </w:rPr>
              <w:t>废</w:t>
            </w:r>
            <w:r>
              <w:rPr>
                <w:rFonts w:hint="eastAsia"/>
                <w:szCs w:val="21"/>
              </w:rPr>
              <w:t>边角料、</w:t>
            </w:r>
            <w:r>
              <w:rPr>
                <w:rFonts w:hint="eastAsia"/>
                <w:szCs w:val="21"/>
                <w:lang w:val="en-US" w:eastAsia="zh-CN"/>
              </w:rPr>
              <w:t>废包装物收集后外售</w:t>
            </w:r>
            <w:r>
              <w:rPr>
                <w:rFonts w:hint="eastAsia"/>
                <w:szCs w:val="21"/>
              </w:rPr>
              <w:t>；废活性炭、废过滤棉暂存</w:t>
            </w:r>
            <w:r>
              <w:rPr>
                <w:rFonts w:hint="eastAsia"/>
                <w:szCs w:val="21"/>
                <w:lang w:val="en-US" w:eastAsia="zh-CN"/>
              </w:rPr>
              <w:t>于现有</w:t>
            </w:r>
            <w:r>
              <w:rPr>
                <w:rFonts w:hint="eastAsia"/>
                <w:szCs w:val="21"/>
              </w:rPr>
              <w:t>危废间，定期委托有资质单位处置。</w:t>
            </w:r>
          </w:p>
          <w:p>
            <w:pPr>
              <w:adjustRightInd w:val="0"/>
              <w:snapToGrid w:val="0"/>
              <w:spacing w:line="400" w:lineRule="exact"/>
              <w:ind w:firstLine="420" w:firstLineChars="200"/>
              <w:rPr>
                <w:bCs/>
                <w:szCs w:val="21"/>
              </w:rPr>
            </w:pPr>
            <w:r>
              <w:rPr>
                <w:rFonts w:hint="eastAsia"/>
                <w:bCs/>
                <w:szCs w:val="21"/>
              </w:rPr>
              <w:t>（5）土壤及地下水</w:t>
            </w:r>
          </w:p>
          <w:p>
            <w:pPr>
              <w:adjustRightInd w:val="0"/>
              <w:snapToGrid w:val="0"/>
              <w:spacing w:line="400" w:lineRule="exact"/>
              <w:ind w:firstLine="420" w:firstLineChars="200"/>
              <w:rPr>
                <w:bCs/>
                <w:szCs w:val="21"/>
              </w:rPr>
            </w:pPr>
            <w:r>
              <w:rPr>
                <w:rFonts w:hint="eastAsia"/>
                <w:bCs/>
                <w:szCs w:val="21"/>
              </w:rPr>
              <w:t>本项目按照相关要求采取分区防渗措施，基本切断污染途径，如下：重点防渗区</w:t>
            </w:r>
            <w:r>
              <w:rPr>
                <w:rFonts w:hint="eastAsia"/>
                <w:bCs/>
                <w:szCs w:val="21"/>
                <w:lang w:eastAsia="zh-CN"/>
              </w:rPr>
              <w:t>：</w:t>
            </w:r>
            <w:r>
              <w:rPr>
                <w:rFonts w:hint="eastAsia"/>
                <w:bCs/>
                <w:szCs w:val="21"/>
              </w:rPr>
              <w:t>甲醇暂存区、危废暂存间进行防渗处理，防渗层为至少1m厚粘土层，或2mm厚高密度聚乙烯，或采取其他防渗措施，使防渗效果等效粘土防渗层Mb≥6.0m，K≤1×10</w:t>
            </w:r>
            <w:r>
              <w:rPr>
                <w:rFonts w:hint="eastAsia"/>
                <w:bCs/>
                <w:szCs w:val="21"/>
                <w:vertAlign w:val="superscript"/>
              </w:rPr>
              <w:t>-10</w:t>
            </w:r>
            <w:r>
              <w:rPr>
                <w:rFonts w:hint="eastAsia"/>
                <w:bCs/>
                <w:szCs w:val="21"/>
              </w:rPr>
              <w:t>cm/s</w:t>
            </w:r>
            <w:r>
              <w:rPr>
                <w:rFonts w:hint="eastAsia"/>
                <w:bCs/>
                <w:szCs w:val="21"/>
                <w:lang w:eastAsia="zh-CN"/>
              </w:rPr>
              <w:t>；</w:t>
            </w:r>
            <w:r>
              <w:rPr>
                <w:rFonts w:hint="eastAsia"/>
                <w:bCs/>
                <w:szCs w:val="21"/>
              </w:rPr>
              <w:t>一般防渗区</w:t>
            </w:r>
            <w:r>
              <w:rPr>
                <w:rFonts w:hint="eastAsia"/>
                <w:bCs/>
                <w:szCs w:val="21"/>
                <w:lang w:eastAsia="zh-CN"/>
              </w:rPr>
              <w:t>：</w:t>
            </w:r>
            <w:r>
              <w:rPr>
                <w:rFonts w:hint="eastAsia"/>
                <w:bCs/>
                <w:szCs w:val="21"/>
              </w:rPr>
              <w:t>生产车间、库房、办公室等区域已按照一般防渗要求进行防渗处理，使防渗层渗透系数小于1×10</w:t>
            </w:r>
            <w:r>
              <w:rPr>
                <w:rFonts w:hint="eastAsia"/>
                <w:bCs/>
                <w:szCs w:val="21"/>
                <w:vertAlign w:val="superscript"/>
              </w:rPr>
              <w:t>-7</w:t>
            </w:r>
            <w:r>
              <w:rPr>
                <w:rFonts w:hint="eastAsia"/>
                <w:bCs/>
                <w:szCs w:val="21"/>
              </w:rPr>
              <w:t>cm/s，等效粘土防渗层Mb≥1.5m</w:t>
            </w:r>
            <w:r>
              <w:rPr>
                <w:rFonts w:hint="eastAsia"/>
                <w:bCs/>
                <w:szCs w:val="21"/>
                <w:lang w:eastAsia="zh-CN"/>
              </w:rPr>
              <w:t>；</w:t>
            </w:r>
            <w:r>
              <w:rPr>
                <w:rFonts w:hint="eastAsia"/>
                <w:bCs/>
                <w:szCs w:val="21"/>
              </w:rPr>
              <w:t>简单防渗区</w:t>
            </w:r>
            <w:r>
              <w:rPr>
                <w:rFonts w:hint="eastAsia"/>
                <w:bCs/>
                <w:szCs w:val="21"/>
                <w:lang w:eastAsia="zh-CN"/>
              </w:rPr>
              <w:t>：</w:t>
            </w:r>
            <w:r>
              <w:rPr>
                <w:rFonts w:hint="eastAsia"/>
                <w:bCs/>
                <w:szCs w:val="21"/>
              </w:rPr>
              <w:t>厂区地面除建筑和绿化用地外，全部已进行水泥硬化处理。</w:t>
            </w:r>
          </w:p>
          <w:p>
            <w:pPr>
              <w:adjustRightInd w:val="0"/>
              <w:snapToGrid w:val="0"/>
              <w:spacing w:line="400" w:lineRule="exact"/>
              <w:ind w:firstLine="420" w:firstLineChars="200"/>
              <w:rPr>
                <w:bCs/>
                <w:szCs w:val="21"/>
              </w:rPr>
            </w:pPr>
            <w:r>
              <w:rPr>
                <w:rFonts w:hint="eastAsia"/>
                <w:bCs/>
                <w:szCs w:val="21"/>
              </w:rPr>
              <w:t>（6）环境风险</w:t>
            </w:r>
          </w:p>
          <w:p>
            <w:pPr>
              <w:adjustRightInd w:val="0"/>
              <w:snapToGrid w:val="0"/>
              <w:spacing w:line="400" w:lineRule="exact"/>
              <w:ind w:firstLine="420" w:firstLineChars="200"/>
              <w:rPr>
                <w:rFonts w:hint="eastAsia" w:eastAsia="宋体"/>
                <w:bCs/>
                <w:szCs w:val="21"/>
                <w:lang w:eastAsia="zh-CN"/>
              </w:rPr>
            </w:pPr>
            <w:r>
              <w:rPr>
                <w:rFonts w:hint="eastAsia"/>
                <w:bCs/>
                <w:szCs w:val="21"/>
                <w:lang w:val="en-US" w:eastAsia="zh-CN"/>
              </w:rPr>
              <w:t>甲醇</w:t>
            </w:r>
            <w:r>
              <w:rPr>
                <w:rFonts w:hint="eastAsia"/>
                <w:bCs/>
                <w:szCs w:val="21"/>
              </w:rPr>
              <w:t>在贮存、使用按照操作规程进行，生产设施底部、贮存设施处，设置围堰或防渗托盘，危废间严格按照《危险废物贮存污染控制标准》(GB18597-20</w:t>
            </w:r>
            <w:r>
              <w:rPr>
                <w:bCs/>
                <w:szCs w:val="21"/>
              </w:rPr>
              <w:t>23</w:t>
            </w:r>
            <w:r>
              <w:rPr>
                <w:rFonts w:hint="eastAsia"/>
                <w:bCs/>
                <w:szCs w:val="21"/>
              </w:rPr>
              <w:t>)相关要求建设，做好防渗措施；加强日常管理</w:t>
            </w:r>
            <w:r>
              <w:rPr>
                <w:rFonts w:hint="eastAsia"/>
                <w:bCs/>
                <w:szCs w:val="21"/>
                <w:lang w:eastAsia="zh-CN"/>
              </w:rPr>
              <w:t>。</w:t>
            </w:r>
          </w:p>
          <w:p>
            <w:pPr>
              <w:adjustRightInd w:val="0"/>
              <w:snapToGrid w:val="0"/>
              <w:spacing w:line="400" w:lineRule="exact"/>
              <w:ind w:firstLine="420" w:firstLineChars="200"/>
              <w:rPr>
                <w:bCs/>
                <w:szCs w:val="21"/>
              </w:rPr>
            </w:pPr>
            <w:r>
              <w:rPr>
                <w:rFonts w:hint="eastAsia"/>
                <w:bCs/>
                <w:szCs w:val="21"/>
              </w:rPr>
              <w:t>（7）碳排放</w:t>
            </w:r>
          </w:p>
          <w:p>
            <w:pPr>
              <w:adjustRightInd w:val="0"/>
              <w:snapToGrid w:val="0"/>
              <w:spacing w:line="400" w:lineRule="exact"/>
              <w:ind w:firstLine="420" w:firstLineChars="200"/>
              <w:rPr>
                <w:bCs/>
                <w:szCs w:val="21"/>
              </w:rPr>
            </w:pPr>
            <w:r>
              <w:rPr>
                <w:rFonts w:hint="eastAsia"/>
                <w:bCs/>
                <w:szCs w:val="21"/>
              </w:rPr>
              <w:t>经分析项目碳排放量为</w:t>
            </w:r>
            <w:r>
              <w:rPr>
                <w:rFonts w:hint="eastAsia"/>
                <w:bCs/>
                <w:szCs w:val="21"/>
                <w:lang w:val="en-US" w:eastAsia="zh-CN"/>
              </w:rPr>
              <w:t>45.624</w:t>
            </w:r>
            <w:r>
              <w:rPr>
                <w:rFonts w:hint="eastAsia"/>
                <w:bCs/>
                <w:szCs w:val="21"/>
              </w:rPr>
              <w:t xml:space="preserve"> t</w:t>
            </w:r>
            <w:r>
              <w:rPr>
                <w:bCs/>
                <w:szCs w:val="21"/>
              </w:rPr>
              <w:t>CO</w:t>
            </w:r>
            <w:r>
              <w:rPr>
                <w:bCs/>
                <w:szCs w:val="21"/>
                <w:vertAlign w:val="subscript"/>
              </w:rPr>
              <w:t>2</w:t>
            </w:r>
            <w:r>
              <w:rPr>
                <w:rFonts w:hint="eastAsia"/>
                <w:bCs/>
                <w:szCs w:val="21"/>
              </w:rPr>
              <w:t>，通过设备选型，加强设备日常维护，严格日常管理，使其保存良好使用状态等管理方式进行减排。综合分析，项目建设符合碳排放管理要求。</w:t>
            </w:r>
          </w:p>
          <w:p>
            <w:pPr>
              <w:adjustRightInd w:val="0"/>
              <w:snapToGrid w:val="0"/>
              <w:spacing w:line="400" w:lineRule="exact"/>
              <w:ind w:firstLine="420" w:firstLineChars="200"/>
              <w:rPr>
                <w:bCs/>
                <w:szCs w:val="21"/>
              </w:rPr>
            </w:pPr>
            <w:r>
              <w:rPr>
                <w:rFonts w:hint="eastAsia"/>
                <w:bCs/>
                <w:szCs w:val="21"/>
              </w:rPr>
              <w:t>同时建议企业做到如下几点：</w:t>
            </w:r>
          </w:p>
          <w:p>
            <w:pPr>
              <w:adjustRightInd w:val="0"/>
              <w:snapToGrid w:val="0"/>
              <w:spacing w:line="400" w:lineRule="exact"/>
              <w:ind w:firstLine="420" w:firstLineChars="200"/>
              <w:rPr>
                <w:bCs/>
                <w:szCs w:val="21"/>
              </w:rPr>
            </w:pPr>
            <w:r>
              <w:rPr>
                <w:rFonts w:hint="eastAsia"/>
                <w:bCs/>
                <w:szCs w:val="21"/>
              </w:rPr>
              <w:t>1、加强项目设施的维护和管理，保证设备正常运行，环保设施分表计电。</w:t>
            </w:r>
          </w:p>
          <w:p>
            <w:pPr>
              <w:adjustRightInd w:val="0"/>
              <w:snapToGrid w:val="0"/>
              <w:spacing w:line="400" w:lineRule="exact"/>
              <w:ind w:firstLine="420" w:firstLineChars="200"/>
              <w:rPr>
                <w:bCs/>
                <w:szCs w:val="21"/>
              </w:rPr>
            </w:pPr>
            <w:r>
              <w:rPr>
                <w:rFonts w:hint="eastAsia"/>
                <w:bCs/>
                <w:szCs w:val="21"/>
              </w:rPr>
              <w:t>2、按照相关要求落实排污许可制度，同时根据要求实施自行监测。</w:t>
            </w:r>
          </w:p>
          <w:p>
            <w:pPr>
              <w:adjustRightInd w:val="0"/>
              <w:snapToGrid w:val="0"/>
              <w:spacing w:line="400" w:lineRule="exact"/>
              <w:ind w:firstLine="420" w:firstLineChars="200"/>
              <w:rPr>
                <w:bCs/>
                <w:szCs w:val="21"/>
              </w:rPr>
            </w:pPr>
            <w:r>
              <w:rPr>
                <w:rFonts w:hint="eastAsia"/>
                <w:bCs/>
                <w:szCs w:val="21"/>
              </w:rPr>
              <w:t>3、设置VOCs超标报警装置；</w:t>
            </w:r>
          </w:p>
          <w:p>
            <w:pPr>
              <w:adjustRightInd w:val="0"/>
              <w:snapToGrid w:val="0"/>
              <w:spacing w:line="400" w:lineRule="exact"/>
              <w:ind w:firstLine="420" w:firstLineChars="200"/>
              <w:rPr>
                <w:bCs/>
                <w:szCs w:val="21"/>
              </w:rPr>
            </w:pPr>
            <w:r>
              <w:rPr>
                <w:bCs/>
                <w:szCs w:val="21"/>
              </w:rPr>
              <w:t>4</w:t>
            </w:r>
            <w:r>
              <w:rPr>
                <w:rFonts w:hint="eastAsia"/>
                <w:bCs/>
                <w:szCs w:val="21"/>
              </w:rPr>
              <w:t>、企业需按相关要求编制突发环境应急预案。</w:t>
            </w:r>
          </w:p>
        </w:tc>
      </w:tr>
    </w:tbl>
    <w:p>
      <w:pPr>
        <w:pStyle w:val="83"/>
        <w:adjustRightInd w:val="0"/>
        <w:snapToGrid w:val="0"/>
        <w:spacing w:before="0" w:beforeAutospacing="0" w:after="0" w:afterAutospacing="0" w:line="360" w:lineRule="auto"/>
        <w:outlineLvl w:val="0"/>
        <w:rPr>
          <w:rFonts w:ascii="黑体" w:hAnsi="黑体" w:eastAsia="黑体"/>
          <w:snapToGrid w:val="0"/>
          <w:sz w:val="32"/>
          <w:szCs w:val="32"/>
        </w:rPr>
        <w:sectPr>
          <w:pgSz w:w="11906" w:h="16838"/>
          <w:pgMar w:top="1701" w:right="1531" w:bottom="1701" w:left="1531" w:header="851" w:footer="851" w:gutter="0"/>
          <w:pgNumType w:fmt="decimal"/>
          <w:cols w:space="720" w:num="1"/>
          <w:docGrid w:linePitch="312" w:charSpace="0"/>
        </w:sectPr>
      </w:pPr>
    </w:p>
    <w:p>
      <w:pPr>
        <w:pStyle w:val="83"/>
        <w:adjustRightInd w:val="0"/>
        <w:snapToGrid w:val="0"/>
        <w:spacing w:before="0" w:beforeAutospacing="0" w:after="0" w:afterAutospacing="0" w:line="360" w:lineRule="auto"/>
        <w:outlineLvl w:val="0"/>
        <w:rPr>
          <w:rFonts w:hint="eastAsia" w:ascii="黑体" w:hAnsi="黑体" w:eastAsia="黑体"/>
          <w:snapToGrid w:val="0"/>
          <w:sz w:val="32"/>
          <w:szCs w:val="32"/>
          <w:lang w:val="en-US" w:eastAsia="zh-CN"/>
        </w:rPr>
      </w:pPr>
      <w:bookmarkStart w:id="38" w:name="_Toc6033"/>
      <w:r>
        <w:rPr>
          <w:rFonts w:hint="eastAsia" w:ascii="黑体" w:hAnsi="黑体" w:eastAsia="黑体"/>
          <w:snapToGrid w:val="0"/>
          <w:sz w:val="32"/>
          <w:szCs w:val="32"/>
        </w:rPr>
        <w:t>附表</w:t>
      </w:r>
      <w:bookmarkEnd w:id="38"/>
      <w:r>
        <w:rPr>
          <w:rFonts w:hint="eastAsia" w:ascii="黑体" w:hAnsi="黑体" w:eastAsia="黑体"/>
          <w:snapToGrid w:val="0"/>
          <w:sz w:val="32"/>
          <w:szCs w:val="32"/>
          <w:lang w:val="en-US" w:eastAsia="zh-CN"/>
        </w:rPr>
        <w:t xml:space="preserve"> </w:t>
      </w:r>
    </w:p>
    <w:p>
      <w:pPr>
        <w:pStyle w:val="83"/>
        <w:adjustRightInd w:val="0"/>
        <w:snapToGrid w:val="0"/>
        <w:spacing w:before="0" w:beforeAutospacing="0" w:after="0" w:afterAutospacing="0" w:line="360" w:lineRule="auto"/>
        <w:jc w:val="center"/>
        <w:outlineLvl w:val="0"/>
        <w:rPr>
          <w:rFonts w:ascii="方正小标宋_GBK" w:hAnsi="黑体" w:eastAsia="方正小标宋_GBK"/>
          <w:snapToGrid w:val="0"/>
          <w:sz w:val="38"/>
          <w:szCs w:val="38"/>
        </w:rPr>
      </w:pPr>
      <w:bookmarkStart w:id="39" w:name="_Toc2062"/>
      <w:r>
        <w:rPr>
          <w:rFonts w:hint="eastAsia" w:ascii="方正小标宋_GBK" w:hAnsi="黑体" w:eastAsia="方正小标宋_GBK"/>
          <w:snapToGrid w:val="0"/>
          <w:sz w:val="38"/>
          <w:szCs w:val="38"/>
        </w:rPr>
        <w:t>建设项目污染物排放量汇总表</w:t>
      </w:r>
      <w:bookmarkEnd w:id="39"/>
    </w:p>
    <w:tbl>
      <w:tblPr>
        <w:tblStyle w:val="90"/>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08"/>
        <w:gridCol w:w="1597"/>
        <w:gridCol w:w="1701"/>
        <w:gridCol w:w="1276"/>
        <w:gridCol w:w="1701"/>
        <w:gridCol w:w="1559"/>
        <w:gridCol w:w="1761"/>
        <w:gridCol w:w="1499"/>
        <w:gridCol w:w="128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tcBorders>
              <w:tl2br w:val="single" w:color="auto" w:sz="4" w:space="0"/>
            </w:tcBorders>
            <w:tcMar>
              <w:left w:w="28" w:type="dxa"/>
              <w:right w:w="28" w:type="dxa"/>
            </w:tcMar>
            <w:vAlign w:val="center"/>
          </w:tcPr>
          <w:p>
            <w:pPr>
              <w:pStyle w:val="111"/>
              <w:spacing w:beforeLines="0" w:afterLines="0" w:line="240" w:lineRule="auto"/>
              <w:jc w:val="right"/>
              <w:rPr>
                <w:rFonts w:ascii="Times New Roman" w:eastAsia="黑体"/>
                <w:snapToGrid w:val="0"/>
                <w:spacing w:val="-6"/>
                <w:kern w:val="21"/>
                <w:szCs w:val="21"/>
                <w:highlight w:val="none"/>
              </w:rPr>
            </w:pPr>
            <w:r>
              <w:rPr>
                <w:rFonts w:ascii="Times New Roman" w:eastAsia="黑体"/>
                <w:snapToGrid w:val="0"/>
                <w:spacing w:val="-6"/>
                <w:kern w:val="21"/>
                <w:szCs w:val="21"/>
                <w:highlight w:val="none"/>
              </w:rPr>
              <w:t>项目</w:t>
            </w:r>
          </w:p>
          <w:p>
            <w:pPr>
              <w:pStyle w:val="111"/>
              <w:spacing w:beforeLines="0" w:afterLines="0" w:line="240" w:lineRule="auto"/>
              <w:jc w:val="left"/>
              <w:rPr>
                <w:rFonts w:ascii="Times New Roman" w:eastAsia="黑体"/>
                <w:snapToGrid w:val="0"/>
                <w:spacing w:val="-6"/>
                <w:kern w:val="21"/>
                <w:szCs w:val="21"/>
                <w:highlight w:val="none"/>
              </w:rPr>
            </w:pPr>
            <w:r>
              <w:rPr>
                <w:rFonts w:ascii="Times New Roman" w:eastAsia="黑体"/>
                <w:snapToGrid w:val="0"/>
                <w:spacing w:val="-6"/>
                <w:kern w:val="21"/>
                <w:szCs w:val="21"/>
                <w:highlight w:val="none"/>
              </w:rPr>
              <w:t>分类</w:t>
            </w:r>
          </w:p>
        </w:tc>
        <w:tc>
          <w:tcPr>
            <w:tcW w:w="1597" w:type="dxa"/>
            <w:tcMar>
              <w:left w:w="28" w:type="dxa"/>
              <w:right w:w="28" w:type="dxa"/>
            </w:tcMar>
            <w:vAlign w:val="center"/>
          </w:tcPr>
          <w:p>
            <w:pPr>
              <w:pStyle w:val="111"/>
              <w:spacing w:beforeLines="0" w:afterLines="0" w:line="240" w:lineRule="auto"/>
              <w:rPr>
                <w:rFonts w:ascii="Times New Roman" w:eastAsia="黑体"/>
                <w:snapToGrid w:val="0"/>
                <w:spacing w:val="-6"/>
                <w:kern w:val="21"/>
                <w:szCs w:val="21"/>
                <w:highlight w:val="none"/>
              </w:rPr>
            </w:pPr>
            <w:r>
              <w:rPr>
                <w:rFonts w:ascii="Times New Roman" w:eastAsia="黑体"/>
                <w:snapToGrid w:val="0"/>
                <w:spacing w:val="-6"/>
                <w:kern w:val="21"/>
                <w:szCs w:val="21"/>
                <w:highlight w:val="none"/>
              </w:rPr>
              <w:t>污染物名称</w:t>
            </w:r>
          </w:p>
        </w:tc>
        <w:tc>
          <w:tcPr>
            <w:tcW w:w="1701" w:type="dxa"/>
            <w:tcMar>
              <w:left w:w="28" w:type="dxa"/>
              <w:right w:w="28" w:type="dxa"/>
            </w:tcMar>
            <w:vAlign w:val="center"/>
          </w:tcPr>
          <w:p>
            <w:pPr>
              <w:pStyle w:val="111"/>
              <w:spacing w:beforeLines="0" w:afterLines="0" w:line="240" w:lineRule="auto"/>
              <w:rPr>
                <w:rFonts w:ascii="Times New Roman" w:eastAsia="黑体"/>
                <w:snapToGrid w:val="0"/>
                <w:spacing w:val="-6"/>
                <w:kern w:val="21"/>
                <w:szCs w:val="21"/>
                <w:highlight w:val="none"/>
              </w:rPr>
            </w:pPr>
            <w:r>
              <w:rPr>
                <w:rFonts w:ascii="Times New Roman" w:eastAsia="黑体"/>
                <w:snapToGrid w:val="0"/>
                <w:spacing w:val="-6"/>
                <w:kern w:val="21"/>
                <w:szCs w:val="21"/>
                <w:highlight w:val="none"/>
              </w:rPr>
              <w:t>现有工程</w:t>
            </w:r>
          </w:p>
          <w:p>
            <w:pPr>
              <w:pStyle w:val="111"/>
              <w:spacing w:beforeLines="0" w:afterLines="0" w:line="240" w:lineRule="auto"/>
              <w:rPr>
                <w:rFonts w:ascii="Times New Roman" w:eastAsia="黑体"/>
                <w:snapToGrid w:val="0"/>
                <w:spacing w:val="-6"/>
                <w:kern w:val="21"/>
                <w:szCs w:val="21"/>
                <w:highlight w:val="none"/>
              </w:rPr>
            </w:pPr>
            <w:r>
              <w:rPr>
                <w:rFonts w:ascii="Times New Roman" w:eastAsia="黑体"/>
                <w:snapToGrid w:val="0"/>
                <w:spacing w:val="-6"/>
                <w:kern w:val="21"/>
                <w:szCs w:val="21"/>
                <w:highlight w:val="none"/>
              </w:rPr>
              <w:t>排放量（固体废物产生量）</w:t>
            </w:r>
            <w:r>
              <w:rPr>
                <w:rFonts w:ascii="Times New Roman" w:eastAsia="黑体"/>
                <w:snapToGrid w:val="0"/>
                <w:spacing w:val="-6"/>
                <w:kern w:val="21"/>
                <w:szCs w:val="21"/>
                <w:highlight w:val="none"/>
              </w:rPr>
              <w:fldChar w:fldCharType="begin"/>
            </w:r>
            <w:r>
              <w:rPr>
                <w:rFonts w:ascii="Times New Roman" w:eastAsia="黑体"/>
                <w:snapToGrid w:val="0"/>
                <w:spacing w:val="-6"/>
                <w:kern w:val="21"/>
                <w:szCs w:val="21"/>
                <w:highlight w:val="none"/>
              </w:rPr>
              <w:instrText xml:space="preserve"> = 1 \* GB3 \* MERGEFORMAT </w:instrText>
            </w:r>
            <w:r>
              <w:rPr>
                <w:rFonts w:ascii="Times New Roman" w:eastAsia="黑体"/>
                <w:snapToGrid w:val="0"/>
                <w:spacing w:val="-6"/>
                <w:kern w:val="21"/>
                <w:szCs w:val="21"/>
                <w:highlight w:val="none"/>
              </w:rPr>
              <w:fldChar w:fldCharType="separate"/>
            </w:r>
            <w:r>
              <w:rPr>
                <w:rFonts w:hint="eastAsia" w:hAnsi="宋体" w:cs="宋体"/>
                <w:kern w:val="2"/>
                <w:szCs w:val="21"/>
                <w:highlight w:val="none"/>
              </w:rPr>
              <w:t>①</w:t>
            </w:r>
            <w:r>
              <w:rPr>
                <w:rFonts w:ascii="Times New Roman" w:eastAsia="黑体"/>
                <w:snapToGrid w:val="0"/>
                <w:spacing w:val="-6"/>
                <w:kern w:val="21"/>
                <w:szCs w:val="21"/>
                <w:highlight w:val="none"/>
              </w:rPr>
              <w:fldChar w:fldCharType="end"/>
            </w:r>
          </w:p>
        </w:tc>
        <w:tc>
          <w:tcPr>
            <w:tcW w:w="1276" w:type="dxa"/>
            <w:tcMar>
              <w:left w:w="28" w:type="dxa"/>
              <w:right w:w="28" w:type="dxa"/>
            </w:tcMar>
            <w:vAlign w:val="center"/>
          </w:tcPr>
          <w:p>
            <w:pPr>
              <w:pStyle w:val="111"/>
              <w:spacing w:beforeLines="0" w:afterLines="0" w:line="240" w:lineRule="auto"/>
              <w:rPr>
                <w:rFonts w:ascii="Times New Roman" w:eastAsia="黑体"/>
                <w:snapToGrid w:val="0"/>
                <w:spacing w:val="-6"/>
                <w:kern w:val="21"/>
                <w:szCs w:val="21"/>
                <w:highlight w:val="none"/>
              </w:rPr>
            </w:pPr>
            <w:r>
              <w:rPr>
                <w:rFonts w:ascii="Times New Roman" w:eastAsia="黑体"/>
                <w:snapToGrid w:val="0"/>
                <w:spacing w:val="-6"/>
                <w:kern w:val="21"/>
                <w:szCs w:val="21"/>
                <w:highlight w:val="none"/>
              </w:rPr>
              <w:t>现有工程</w:t>
            </w:r>
          </w:p>
          <w:p>
            <w:pPr>
              <w:pStyle w:val="111"/>
              <w:spacing w:beforeLines="0" w:afterLines="0" w:line="240" w:lineRule="auto"/>
              <w:rPr>
                <w:rFonts w:ascii="Times New Roman" w:eastAsia="黑体"/>
                <w:snapToGrid w:val="0"/>
                <w:spacing w:val="-6"/>
                <w:kern w:val="21"/>
                <w:szCs w:val="21"/>
                <w:highlight w:val="none"/>
              </w:rPr>
            </w:pPr>
            <w:r>
              <w:rPr>
                <w:rFonts w:ascii="Times New Roman" w:eastAsia="黑体"/>
                <w:snapToGrid w:val="0"/>
                <w:spacing w:val="-6"/>
                <w:kern w:val="21"/>
                <w:szCs w:val="21"/>
                <w:highlight w:val="none"/>
              </w:rPr>
              <w:t>许可排放量</w:t>
            </w:r>
          </w:p>
          <w:p>
            <w:pPr>
              <w:pStyle w:val="111"/>
              <w:spacing w:beforeLines="0" w:afterLines="0"/>
              <w:rPr>
                <w:rFonts w:ascii="Times New Roman" w:eastAsia="黑体"/>
                <w:snapToGrid w:val="0"/>
                <w:spacing w:val="-6"/>
                <w:kern w:val="21"/>
                <w:szCs w:val="21"/>
                <w:highlight w:val="none"/>
              </w:rPr>
            </w:pPr>
            <w:r>
              <w:rPr>
                <w:rFonts w:ascii="Times New Roman" w:eastAsia="黑体"/>
                <w:snapToGrid w:val="0"/>
                <w:spacing w:val="-6"/>
                <w:kern w:val="21"/>
                <w:szCs w:val="21"/>
                <w:highlight w:val="none"/>
              </w:rPr>
              <w:fldChar w:fldCharType="begin"/>
            </w:r>
            <w:r>
              <w:rPr>
                <w:rFonts w:ascii="Times New Roman" w:eastAsia="黑体"/>
                <w:snapToGrid w:val="0"/>
                <w:spacing w:val="-6"/>
                <w:kern w:val="21"/>
                <w:szCs w:val="21"/>
                <w:highlight w:val="none"/>
              </w:rPr>
              <w:instrText xml:space="preserve"> = 2 \* GB3 \* MERGEFORMAT </w:instrText>
            </w:r>
            <w:r>
              <w:rPr>
                <w:rFonts w:ascii="Times New Roman" w:eastAsia="黑体"/>
                <w:snapToGrid w:val="0"/>
                <w:spacing w:val="-6"/>
                <w:kern w:val="21"/>
                <w:szCs w:val="21"/>
                <w:highlight w:val="none"/>
              </w:rPr>
              <w:fldChar w:fldCharType="separate"/>
            </w:r>
            <w:r>
              <w:rPr>
                <w:rFonts w:hint="eastAsia" w:hAnsi="宋体" w:cs="宋体"/>
                <w:snapToGrid w:val="0"/>
                <w:spacing w:val="-6"/>
                <w:kern w:val="21"/>
                <w:szCs w:val="21"/>
                <w:highlight w:val="none"/>
              </w:rPr>
              <w:t>②</w:t>
            </w:r>
            <w:r>
              <w:rPr>
                <w:rFonts w:ascii="Times New Roman" w:eastAsia="黑体"/>
                <w:snapToGrid w:val="0"/>
                <w:spacing w:val="-6"/>
                <w:kern w:val="21"/>
                <w:szCs w:val="21"/>
                <w:highlight w:val="none"/>
              </w:rPr>
              <w:fldChar w:fldCharType="end"/>
            </w:r>
          </w:p>
        </w:tc>
        <w:tc>
          <w:tcPr>
            <w:tcW w:w="1701" w:type="dxa"/>
            <w:tcMar>
              <w:left w:w="28" w:type="dxa"/>
              <w:right w:w="28" w:type="dxa"/>
            </w:tcMar>
            <w:vAlign w:val="center"/>
          </w:tcPr>
          <w:p>
            <w:pPr>
              <w:pStyle w:val="111"/>
              <w:spacing w:beforeLines="0" w:afterLines="0" w:line="240" w:lineRule="auto"/>
              <w:rPr>
                <w:rFonts w:ascii="Times New Roman" w:eastAsia="黑体"/>
                <w:snapToGrid w:val="0"/>
                <w:spacing w:val="-6"/>
                <w:kern w:val="21"/>
                <w:szCs w:val="21"/>
                <w:highlight w:val="none"/>
              </w:rPr>
            </w:pPr>
            <w:r>
              <w:rPr>
                <w:rFonts w:ascii="Times New Roman" w:eastAsia="黑体"/>
                <w:snapToGrid w:val="0"/>
                <w:spacing w:val="-6"/>
                <w:kern w:val="21"/>
                <w:szCs w:val="21"/>
                <w:highlight w:val="none"/>
              </w:rPr>
              <w:t>在建工程</w:t>
            </w:r>
          </w:p>
          <w:p>
            <w:pPr>
              <w:pStyle w:val="111"/>
              <w:spacing w:beforeLines="0" w:afterLines="0" w:line="240" w:lineRule="auto"/>
              <w:rPr>
                <w:rFonts w:ascii="Times New Roman" w:eastAsia="黑体"/>
                <w:snapToGrid w:val="0"/>
                <w:spacing w:val="-6"/>
                <w:kern w:val="21"/>
                <w:szCs w:val="21"/>
                <w:highlight w:val="none"/>
              </w:rPr>
            </w:pPr>
            <w:r>
              <w:rPr>
                <w:rFonts w:ascii="Times New Roman" w:eastAsia="黑体"/>
                <w:snapToGrid w:val="0"/>
                <w:spacing w:val="-6"/>
                <w:kern w:val="21"/>
                <w:szCs w:val="21"/>
                <w:highlight w:val="none"/>
              </w:rPr>
              <w:t>排放量（固体废物产生量）</w:t>
            </w:r>
            <w:r>
              <w:rPr>
                <w:rFonts w:ascii="Times New Roman" w:eastAsia="黑体"/>
                <w:snapToGrid w:val="0"/>
                <w:spacing w:val="-6"/>
                <w:kern w:val="21"/>
                <w:szCs w:val="21"/>
                <w:highlight w:val="none"/>
              </w:rPr>
              <w:fldChar w:fldCharType="begin"/>
            </w:r>
            <w:r>
              <w:rPr>
                <w:rFonts w:ascii="Times New Roman" w:eastAsia="黑体"/>
                <w:snapToGrid w:val="0"/>
                <w:spacing w:val="-6"/>
                <w:kern w:val="21"/>
                <w:szCs w:val="21"/>
                <w:highlight w:val="none"/>
              </w:rPr>
              <w:instrText xml:space="preserve"> = 3 \* GB3 \* MERGEFORMAT </w:instrText>
            </w:r>
            <w:r>
              <w:rPr>
                <w:rFonts w:ascii="Times New Roman" w:eastAsia="黑体"/>
                <w:snapToGrid w:val="0"/>
                <w:spacing w:val="-6"/>
                <w:kern w:val="21"/>
                <w:szCs w:val="21"/>
                <w:highlight w:val="none"/>
              </w:rPr>
              <w:fldChar w:fldCharType="separate"/>
            </w:r>
            <w:r>
              <w:rPr>
                <w:rFonts w:hint="eastAsia" w:hAnsi="宋体" w:cs="宋体"/>
                <w:kern w:val="2"/>
                <w:szCs w:val="21"/>
                <w:highlight w:val="none"/>
              </w:rPr>
              <w:t>③</w:t>
            </w:r>
            <w:r>
              <w:rPr>
                <w:rFonts w:ascii="Times New Roman" w:eastAsia="黑体"/>
                <w:snapToGrid w:val="0"/>
                <w:spacing w:val="-6"/>
                <w:kern w:val="21"/>
                <w:szCs w:val="21"/>
                <w:highlight w:val="none"/>
              </w:rPr>
              <w:fldChar w:fldCharType="end"/>
            </w:r>
          </w:p>
        </w:tc>
        <w:tc>
          <w:tcPr>
            <w:tcW w:w="1559" w:type="dxa"/>
            <w:tcMar>
              <w:left w:w="28" w:type="dxa"/>
              <w:right w:w="28" w:type="dxa"/>
            </w:tcMar>
            <w:vAlign w:val="center"/>
          </w:tcPr>
          <w:p>
            <w:pPr>
              <w:pStyle w:val="111"/>
              <w:spacing w:beforeLines="0" w:afterLines="0" w:line="240" w:lineRule="auto"/>
              <w:rPr>
                <w:rFonts w:ascii="Times New Roman" w:eastAsia="黑体"/>
                <w:snapToGrid w:val="0"/>
                <w:spacing w:val="-6"/>
                <w:kern w:val="21"/>
                <w:szCs w:val="21"/>
                <w:highlight w:val="none"/>
              </w:rPr>
            </w:pPr>
            <w:r>
              <w:rPr>
                <w:rFonts w:ascii="Times New Roman" w:eastAsia="黑体"/>
                <w:snapToGrid w:val="0"/>
                <w:spacing w:val="-6"/>
                <w:kern w:val="21"/>
                <w:szCs w:val="21"/>
                <w:highlight w:val="none"/>
              </w:rPr>
              <w:t>本项目</w:t>
            </w:r>
          </w:p>
          <w:p>
            <w:pPr>
              <w:pStyle w:val="111"/>
              <w:spacing w:beforeLines="0" w:afterLines="0" w:line="240" w:lineRule="auto"/>
              <w:rPr>
                <w:rFonts w:ascii="Times New Roman" w:eastAsia="黑体"/>
                <w:snapToGrid w:val="0"/>
                <w:spacing w:val="-6"/>
                <w:kern w:val="21"/>
                <w:szCs w:val="21"/>
                <w:highlight w:val="none"/>
              </w:rPr>
            </w:pPr>
            <w:r>
              <w:rPr>
                <w:rFonts w:ascii="Times New Roman" w:eastAsia="黑体"/>
                <w:snapToGrid w:val="0"/>
                <w:spacing w:val="-6"/>
                <w:kern w:val="21"/>
                <w:szCs w:val="21"/>
                <w:highlight w:val="none"/>
              </w:rPr>
              <w:t>排放量（固体废物产生量）</w:t>
            </w:r>
            <w:r>
              <w:rPr>
                <w:rFonts w:ascii="Times New Roman" w:eastAsia="黑体"/>
                <w:snapToGrid w:val="0"/>
                <w:spacing w:val="-6"/>
                <w:kern w:val="21"/>
                <w:szCs w:val="21"/>
                <w:highlight w:val="none"/>
              </w:rPr>
              <w:fldChar w:fldCharType="begin"/>
            </w:r>
            <w:r>
              <w:rPr>
                <w:rFonts w:ascii="Times New Roman" w:eastAsia="黑体"/>
                <w:snapToGrid w:val="0"/>
                <w:spacing w:val="-6"/>
                <w:kern w:val="21"/>
                <w:szCs w:val="21"/>
                <w:highlight w:val="none"/>
              </w:rPr>
              <w:instrText xml:space="preserve"> = 4 \* GB3 \* MERGEFORMAT </w:instrText>
            </w:r>
            <w:r>
              <w:rPr>
                <w:rFonts w:ascii="Times New Roman" w:eastAsia="黑体"/>
                <w:snapToGrid w:val="0"/>
                <w:spacing w:val="-6"/>
                <w:kern w:val="21"/>
                <w:szCs w:val="21"/>
                <w:highlight w:val="none"/>
              </w:rPr>
              <w:fldChar w:fldCharType="separate"/>
            </w:r>
            <w:r>
              <w:rPr>
                <w:rFonts w:hint="eastAsia" w:hAnsi="宋体" w:cs="宋体"/>
                <w:kern w:val="2"/>
                <w:szCs w:val="21"/>
                <w:highlight w:val="none"/>
              </w:rPr>
              <w:t>④</w:t>
            </w:r>
            <w:r>
              <w:rPr>
                <w:rFonts w:ascii="Times New Roman" w:eastAsia="黑体"/>
                <w:snapToGrid w:val="0"/>
                <w:spacing w:val="-6"/>
                <w:kern w:val="21"/>
                <w:szCs w:val="21"/>
                <w:highlight w:val="none"/>
              </w:rPr>
              <w:fldChar w:fldCharType="end"/>
            </w:r>
          </w:p>
        </w:tc>
        <w:tc>
          <w:tcPr>
            <w:tcW w:w="1761" w:type="dxa"/>
            <w:tcMar>
              <w:left w:w="28" w:type="dxa"/>
              <w:right w:w="28" w:type="dxa"/>
            </w:tcMar>
            <w:vAlign w:val="center"/>
          </w:tcPr>
          <w:p>
            <w:pPr>
              <w:pStyle w:val="111"/>
              <w:spacing w:beforeLines="0" w:afterLines="0" w:line="240" w:lineRule="auto"/>
              <w:rPr>
                <w:rFonts w:ascii="Times New Roman" w:eastAsia="黑体"/>
                <w:snapToGrid w:val="0"/>
                <w:spacing w:val="-16"/>
                <w:kern w:val="21"/>
                <w:szCs w:val="21"/>
                <w:highlight w:val="none"/>
              </w:rPr>
            </w:pPr>
            <w:r>
              <w:rPr>
                <w:rFonts w:ascii="Times New Roman" w:eastAsia="黑体"/>
                <w:snapToGrid w:val="0"/>
                <w:spacing w:val="-16"/>
                <w:kern w:val="21"/>
                <w:szCs w:val="21"/>
                <w:highlight w:val="none"/>
              </w:rPr>
              <w:t>以新带老削减量</w:t>
            </w:r>
          </w:p>
          <w:p>
            <w:pPr>
              <w:pStyle w:val="111"/>
              <w:spacing w:beforeLines="0" w:afterLines="0" w:line="240" w:lineRule="auto"/>
              <w:rPr>
                <w:rFonts w:ascii="Times New Roman" w:eastAsia="黑体"/>
                <w:snapToGrid w:val="0"/>
                <w:spacing w:val="-16"/>
                <w:kern w:val="21"/>
                <w:szCs w:val="21"/>
                <w:highlight w:val="none"/>
              </w:rPr>
            </w:pPr>
            <w:r>
              <w:rPr>
                <w:rFonts w:ascii="Times New Roman" w:eastAsia="黑体"/>
                <w:snapToGrid w:val="0"/>
                <w:spacing w:val="-16"/>
                <w:kern w:val="21"/>
                <w:szCs w:val="21"/>
                <w:highlight w:val="none"/>
              </w:rPr>
              <w:t>（新建项目不填）</w:t>
            </w:r>
            <w:r>
              <w:rPr>
                <w:rFonts w:ascii="Times New Roman" w:eastAsia="黑体"/>
                <w:snapToGrid w:val="0"/>
                <w:spacing w:val="-16"/>
                <w:kern w:val="21"/>
                <w:szCs w:val="21"/>
                <w:highlight w:val="none"/>
              </w:rPr>
              <w:fldChar w:fldCharType="begin"/>
            </w:r>
            <w:r>
              <w:rPr>
                <w:rFonts w:ascii="Times New Roman" w:eastAsia="黑体"/>
                <w:snapToGrid w:val="0"/>
                <w:spacing w:val="-16"/>
                <w:kern w:val="21"/>
                <w:szCs w:val="21"/>
                <w:highlight w:val="none"/>
              </w:rPr>
              <w:instrText xml:space="preserve"> = 5 \* GB3 \* MERGEFORMAT </w:instrText>
            </w:r>
            <w:r>
              <w:rPr>
                <w:rFonts w:ascii="Times New Roman" w:eastAsia="黑体"/>
                <w:snapToGrid w:val="0"/>
                <w:spacing w:val="-16"/>
                <w:kern w:val="21"/>
                <w:szCs w:val="21"/>
                <w:highlight w:val="none"/>
              </w:rPr>
              <w:fldChar w:fldCharType="separate"/>
            </w:r>
            <w:r>
              <w:rPr>
                <w:rFonts w:hint="eastAsia" w:hAnsi="宋体" w:cs="宋体"/>
                <w:kern w:val="2"/>
                <w:szCs w:val="21"/>
                <w:highlight w:val="none"/>
              </w:rPr>
              <w:t>⑤</w:t>
            </w:r>
            <w:r>
              <w:rPr>
                <w:rFonts w:ascii="Times New Roman" w:eastAsia="黑体"/>
                <w:snapToGrid w:val="0"/>
                <w:spacing w:val="-16"/>
                <w:kern w:val="21"/>
                <w:szCs w:val="21"/>
                <w:highlight w:val="none"/>
              </w:rPr>
              <w:fldChar w:fldCharType="end"/>
            </w:r>
          </w:p>
        </w:tc>
        <w:tc>
          <w:tcPr>
            <w:tcW w:w="1499" w:type="dxa"/>
            <w:tcMar>
              <w:left w:w="28" w:type="dxa"/>
              <w:right w:w="28" w:type="dxa"/>
            </w:tcMar>
            <w:vAlign w:val="center"/>
          </w:tcPr>
          <w:p>
            <w:pPr>
              <w:pStyle w:val="111"/>
              <w:spacing w:beforeLines="0" w:afterLines="0" w:line="240" w:lineRule="auto"/>
              <w:rPr>
                <w:rFonts w:ascii="Times New Roman" w:eastAsia="黑体"/>
                <w:snapToGrid w:val="0"/>
                <w:spacing w:val="-16"/>
                <w:kern w:val="21"/>
                <w:szCs w:val="21"/>
                <w:highlight w:val="none"/>
              </w:rPr>
            </w:pPr>
            <w:r>
              <w:rPr>
                <w:rFonts w:ascii="Times New Roman" w:eastAsia="黑体"/>
                <w:snapToGrid w:val="0"/>
                <w:spacing w:val="-16"/>
                <w:kern w:val="21"/>
                <w:szCs w:val="21"/>
                <w:highlight w:val="none"/>
              </w:rPr>
              <w:t>本项目建成后</w:t>
            </w:r>
          </w:p>
          <w:p>
            <w:pPr>
              <w:pStyle w:val="111"/>
              <w:spacing w:beforeLines="0" w:afterLines="0" w:line="240" w:lineRule="auto"/>
              <w:rPr>
                <w:rFonts w:ascii="Times New Roman" w:eastAsia="黑体"/>
                <w:snapToGrid w:val="0"/>
                <w:spacing w:val="-16"/>
                <w:kern w:val="21"/>
                <w:szCs w:val="21"/>
                <w:highlight w:val="none"/>
              </w:rPr>
            </w:pPr>
            <w:r>
              <w:rPr>
                <w:rFonts w:ascii="Times New Roman" w:eastAsia="黑体"/>
                <w:snapToGrid w:val="0"/>
                <w:spacing w:val="-16"/>
                <w:kern w:val="21"/>
                <w:szCs w:val="21"/>
                <w:highlight w:val="none"/>
              </w:rPr>
              <w:t>全厂排放量（固体废物产生量）</w:t>
            </w:r>
            <w:r>
              <w:rPr>
                <w:rFonts w:ascii="Times New Roman" w:eastAsia="黑体"/>
                <w:snapToGrid w:val="0"/>
                <w:spacing w:val="-16"/>
                <w:kern w:val="21"/>
                <w:szCs w:val="21"/>
                <w:highlight w:val="none"/>
              </w:rPr>
              <w:fldChar w:fldCharType="begin"/>
            </w:r>
            <w:r>
              <w:rPr>
                <w:rFonts w:ascii="Times New Roman" w:eastAsia="黑体"/>
                <w:snapToGrid w:val="0"/>
                <w:spacing w:val="-16"/>
                <w:kern w:val="21"/>
                <w:szCs w:val="21"/>
                <w:highlight w:val="none"/>
              </w:rPr>
              <w:instrText xml:space="preserve"> = 6 \* GB3 \* MERGEFORMAT </w:instrText>
            </w:r>
            <w:r>
              <w:rPr>
                <w:rFonts w:ascii="Times New Roman" w:eastAsia="黑体"/>
                <w:snapToGrid w:val="0"/>
                <w:spacing w:val="-16"/>
                <w:kern w:val="21"/>
                <w:szCs w:val="21"/>
                <w:highlight w:val="none"/>
              </w:rPr>
              <w:fldChar w:fldCharType="separate"/>
            </w:r>
            <w:r>
              <w:rPr>
                <w:rFonts w:hint="eastAsia" w:hAnsi="宋体" w:cs="宋体"/>
                <w:kern w:val="2"/>
                <w:szCs w:val="21"/>
                <w:highlight w:val="none"/>
              </w:rPr>
              <w:t>⑥</w:t>
            </w:r>
            <w:r>
              <w:rPr>
                <w:rFonts w:ascii="Times New Roman" w:eastAsia="黑体"/>
                <w:snapToGrid w:val="0"/>
                <w:spacing w:val="-16"/>
                <w:kern w:val="21"/>
                <w:szCs w:val="21"/>
                <w:highlight w:val="none"/>
              </w:rPr>
              <w:fldChar w:fldCharType="end"/>
            </w:r>
          </w:p>
        </w:tc>
        <w:tc>
          <w:tcPr>
            <w:tcW w:w="1286" w:type="dxa"/>
            <w:tcMar>
              <w:left w:w="28" w:type="dxa"/>
              <w:right w:w="28" w:type="dxa"/>
            </w:tcMar>
            <w:vAlign w:val="center"/>
          </w:tcPr>
          <w:p>
            <w:pPr>
              <w:pStyle w:val="111"/>
              <w:spacing w:beforeLines="0" w:afterLines="0" w:line="240" w:lineRule="auto"/>
              <w:rPr>
                <w:rFonts w:ascii="Times New Roman" w:eastAsia="黑体"/>
                <w:snapToGrid w:val="0"/>
                <w:spacing w:val="-6"/>
                <w:kern w:val="21"/>
                <w:szCs w:val="21"/>
                <w:highlight w:val="none"/>
              </w:rPr>
            </w:pPr>
            <w:r>
              <w:rPr>
                <w:rFonts w:ascii="Times New Roman" w:eastAsia="黑体"/>
                <w:snapToGrid w:val="0"/>
                <w:spacing w:val="-6"/>
                <w:kern w:val="21"/>
                <w:szCs w:val="21"/>
                <w:highlight w:val="none"/>
              </w:rPr>
              <w:t>变化量</w:t>
            </w:r>
          </w:p>
          <w:p>
            <w:pPr>
              <w:pStyle w:val="111"/>
              <w:spacing w:beforeLines="0" w:afterLines="0" w:line="240" w:lineRule="auto"/>
              <w:rPr>
                <w:rFonts w:ascii="Times New Roman" w:eastAsia="黑体"/>
                <w:snapToGrid w:val="0"/>
                <w:spacing w:val="-6"/>
                <w:kern w:val="21"/>
                <w:szCs w:val="21"/>
                <w:highlight w:val="none"/>
              </w:rPr>
            </w:pPr>
            <w:r>
              <w:rPr>
                <w:rFonts w:ascii="Times New Roman" w:eastAsia="黑体"/>
                <w:snapToGrid w:val="0"/>
                <w:spacing w:val="-6"/>
                <w:kern w:val="21"/>
                <w:szCs w:val="21"/>
                <w:highlight w:val="none"/>
              </w:rPr>
              <w:fldChar w:fldCharType="begin"/>
            </w:r>
            <w:r>
              <w:rPr>
                <w:rFonts w:ascii="Times New Roman" w:eastAsia="黑体"/>
                <w:snapToGrid w:val="0"/>
                <w:spacing w:val="-6"/>
                <w:kern w:val="21"/>
                <w:szCs w:val="21"/>
                <w:highlight w:val="none"/>
              </w:rPr>
              <w:instrText xml:space="preserve"> = 7 \* GB3 \* MERGEFORMAT </w:instrText>
            </w:r>
            <w:r>
              <w:rPr>
                <w:rFonts w:ascii="Times New Roman" w:eastAsia="黑体"/>
                <w:snapToGrid w:val="0"/>
                <w:spacing w:val="-6"/>
                <w:kern w:val="21"/>
                <w:szCs w:val="21"/>
                <w:highlight w:val="none"/>
              </w:rPr>
              <w:fldChar w:fldCharType="separate"/>
            </w:r>
            <w:r>
              <w:rPr>
                <w:rFonts w:hint="eastAsia" w:hAnsi="宋体" w:cs="宋体"/>
                <w:kern w:val="2"/>
                <w:szCs w:val="21"/>
                <w:highlight w:val="none"/>
              </w:rPr>
              <w:t>⑦</w:t>
            </w:r>
            <w:r>
              <w:rPr>
                <w:rFonts w:ascii="Times New Roman" w:eastAsia="黑体"/>
                <w:snapToGrid w:val="0"/>
                <w:spacing w:val="-6"/>
                <w:kern w:val="21"/>
                <w:szCs w:val="21"/>
                <w:highlight w:val="none"/>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vMerge w:val="restart"/>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废气</w:t>
            </w:r>
          </w:p>
        </w:tc>
        <w:tc>
          <w:tcPr>
            <w:tcW w:w="1597" w:type="dxa"/>
            <w:vAlign w:val="center"/>
          </w:tcPr>
          <w:p>
            <w:pPr>
              <w:pStyle w:val="111"/>
              <w:spacing w:beforeLines="0" w:afterLines="0" w:line="240" w:lineRule="auto"/>
              <w:rPr>
                <w:rFonts w:hint="default" w:ascii="Times New Roman" w:eastAsia="宋体"/>
                <w:szCs w:val="21"/>
                <w:highlight w:val="none"/>
                <w:lang w:val="en-US" w:eastAsia="zh-CN"/>
              </w:rPr>
            </w:pPr>
            <w:r>
              <w:rPr>
                <w:rFonts w:hint="eastAsia" w:ascii="Times New Roman"/>
                <w:szCs w:val="21"/>
                <w:highlight w:val="none"/>
                <w:lang w:val="en-US" w:eastAsia="zh-CN"/>
              </w:rPr>
              <w:t>SO</w:t>
            </w:r>
            <w:r>
              <w:rPr>
                <w:rFonts w:hint="eastAsia" w:ascii="Times New Roman"/>
                <w:szCs w:val="21"/>
                <w:highlight w:val="none"/>
                <w:vertAlign w:val="subscript"/>
                <w:lang w:val="en-US" w:eastAsia="zh-CN"/>
              </w:rPr>
              <w:t>2</w:t>
            </w:r>
          </w:p>
        </w:tc>
        <w:tc>
          <w:tcPr>
            <w:tcW w:w="1701" w:type="dxa"/>
            <w:vAlign w:val="center"/>
          </w:tcPr>
          <w:p>
            <w:pPr>
              <w:pStyle w:val="111"/>
              <w:spacing w:beforeLines="0" w:afterLines="0" w:line="240" w:lineRule="auto"/>
              <w:rPr>
                <w:rFonts w:hint="eastAsia" w:ascii="Times New Roman"/>
                <w:snapToGrid w:val="0"/>
                <w:kern w:val="21"/>
                <w:szCs w:val="21"/>
                <w:highlight w:val="none"/>
                <w:lang w:val="en-US" w:eastAsia="zh-CN"/>
              </w:rPr>
            </w:pPr>
            <w:r>
              <w:rPr>
                <w:rFonts w:ascii="Times New Roman"/>
                <w:snapToGrid w:val="0"/>
                <w:kern w:val="21"/>
                <w:szCs w:val="21"/>
                <w:highlight w:val="none"/>
              </w:rPr>
              <w:t>/</w:t>
            </w:r>
          </w:p>
        </w:tc>
        <w:tc>
          <w:tcPr>
            <w:tcW w:w="1276"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701"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559" w:type="dxa"/>
            <w:vAlign w:val="center"/>
          </w:tcPr>
          <w:p>
            <w:pPr>
              <w:pStyle w:val="111"/>
              <w:spacing w:beforeLines="0" w:afterLines="0" w:line="240" w:lineRule="auto"/>
              <w:rPr>
                <w:rFonts w:hint="eastAsia"/>
                <w:szCs w:val="21"/>
                <w:highlight w:val="none"/>
              </w:rPr>
            </w:pPr>
            <w:r>
              <w:rPr>
                <w:rFonts w:ascii="Times New Roman"/>
                <w:snapToGrid w:val="0"/>
                <w:kern w:val="21"/>
                <w:szCs w:val="21"/>
                <w:highlight w:val="none"/>
              </w:rPr>
              <w:t>/</w:t>
            </w:r>
          </w:p>
        </w:tc>
        <w:tc>
          <w:tcPr>
            <w:tcW w:w="1761" w:type="dxa"/>
            <w:vAlign w:val="center"/>
          </w:tcPr>
          <w:p>
            <w:pPr>
              <w:pStyle w:val="111"/>
              <w:spacing w:beforeLines="0" w:afterLines="0" w:line="240" w:lineRule="auto"/>
              <w:rPr>
                <w:snapToGrid w:val="0"/>
                <w:kern w:val="21"/>
                <w:szCs w:val="21"/>
                <w:highlight w:val="none"/>
              </w:rPr>
            </w:pPr>
            <w:r>
              <w:rPr>
                <w:rFonts w:ascii="Times New Roman"/>
                <w:snapToGrid w:val="0"/>
                <w:kern w:val="21"/>
                <w:szCs w:val="21"/>
                <w:highlight w:val="none"/>
              </w:rPr>
              <w:t>/</w:t>
            </w:r>
          </w:p>
        </w:tc>
        <w:tc>
          <w:tcPr>
            <w:tcW w:w="1499" w:type="dxa"/>
            <w:vAlign w:val="center"/>
          </w:tcPr>
          <w:p>
            <w:pPr>
              <w:pStyle w:val="111"/>
              <w:spacing w:beforeLines="0" w:afterLines="0" w:line="240" w:lineRule="auto"/>
              <w:rPr>
                <w:rFonts w:hint="eastAsia"/>
                <w:szCs w:val="21"/>
                <w:highlight w:val="none"/>
              </w:rPr>
            </w:pPr>
            <w:r>
              <w:rPr>
                <w:rFonts w:ascii="Times New Roman"/>
                <w:snapToGrid w:val="0"/>
                <w:kern w:val="21"/>
                <w:szCs w:val="21"/>
                <w:highlight w:val="none"/>
              </w:rPr>
              <w:t>/</w:t>
            </w:r>
          </w:p>
        </w:tc>
        <w:tc>
          <w:tcPr>
            <w:tcW w:w="1286" w:type="dxa"/>
            <w:vAlign w:val="center"/>
          </w:tcPr>
          <w:p>
            <w:pPr>
              <w:pStyle w:val="111"/>
              <w:spacing w:beforeLines="0" w:afterLines="0" w:line="240" w:lineRule="auto"/>
              <w:rPr>
                <w:bCs/>
                <w:szCs w:val="21"/>
                <w:highlight w:val="none"/>
              </w:rPr>
            </w:pPr>
            <w:r>
              <w:rPr>
                <w:rFonts w:ascii="Times New Roman"/>
                <w:snapToGrid w:val="0"/>
                <w:kern w:val="21"/>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vMerge w:val="continue"/>
            <w:vAlign w:val="center"/>
          </w:tcPr>
          <w:p>
            <w:pPr>
              <w:pStyle w:val="111"/>
              <w:spacing w:beforeLines="0" w:afterLines="0" w:line="240" w:lineRule="auto"/>
              <w:rPr>
                <w:rFonts w:ascii="Times New Roman"/>
                <w:snapToGrid w:val="0"/>
                <w:kern w:val="21"/>
                <w:szCs w:val="21"/>
                <w:highlight w:val="none"/>
              </w:rPr>
            </w:pPr>
          </w:p>
        </w:tc>
        <w:tc>
          <w:tcPr>
            <w:tcW w:w="1597" w:type="dxa"/>
            <w:vAlign w:val="center"/>
          </w:tcPr>
          <w:p>
            <w:pPr>
              <w:pStyle w:val="111"/>
              <w:spacing w:beforeLines="0" w:afterLines="0" w:line="240" w:lineRule="auto"/>
              <w:rPr>
                <w:rFonts w:hint="default" w:ascii="Times New Roman" w:eastAsia="宋体"/>
                <w:szCs w:val="21"/>
                <w:highlight w:val="none"/>
                <w:lang w:val="en-US" w:eastAsia="zh-CN"/>
              </w:rPr>
            </w:pPr>
            <w:r>
              <w:rPr>
                <w:rFonts w:hint="eastAsia" w:ascii="Times New Roman"/>
                <w:szCs w:val="21"/>
                <w:highlight w:val="none"/>
                <w:lang w:val="en-US" w:eastAsia="zh-CN"/>
              </w:rPr>
              <w:t>NOx</w:t>
            </w:r>
          </w:p>
        </w:tc>
        <w:tc>
          <w:tcPr>
            <w:tcW w:w="1701" w:type="dxa"/>
            <w:vAlign w:val="center"/>
          </w:tcPr>
          <w:p>
            <w:pPr>
              <w:pStyle w:val="111"/>
              <w:spacing w:beforeLines="0" w:afterLines="0" w:line="240" w:lineRule="auto"/>
              <w:rPr>
                <w:rFonts w:hint="eastAsia" w:ascii="Times New Roman"/>
                <w:snapToGrid w:val="0"/>
                <w:kern w:val="21"/>
                <w:szCs w:val="21"/>
                <w:highlight w:val="none"/>
                <w:lang w:val="en-US" w:eastAsia="zh-CN"/>
              </w:rPr>
            </w:pPr>
            <w:r>
              <w:rPr>
                <w:rFonts w:ascii="Times New Roman"/>
                <w:snapToGrid w:val="0"/>
                <w:kern w:val="21"/>
                <w:szCs w:val="21"/>
                <w:highlight w:val="none"/>
              </w:rPr>
              <w:t>/</w:t>
            </w:r>
          </w:p>
        </w:tc>
        <w:tc>
          <w:tcPr>
            <w:tcW w:w="1276"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701"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559" w:type="dxa"/>
            <w:vAlign w:val="center"/>
          </w:tcPr>
          <w:p>
            <w:pPr>
              <w:pStyle w:val="111"/>
              <w:spacing w:beforeLines="0" w:afterLines="0" w:line="240" w:lineRule="auto"/>
              <w:rPr>
                <w:rFonts w:hint="eastAsia"/>
                <w:szCs w:val="21"/>
                <w:highlight w:val="none"/>
              </w:rPr>
            </w:pPr>
            <w:r>
              <w:rPr>
                <w:rFonts w:ascii="Times New Roman"/>
                <w:snapToGrid w:val="0"/>
                <w:kern w:val="21"/>
                <w:szCs w:val="21"/>
                <w:highlight w:val="none"/>
              </w:rPr>
              <w:t>/</w:t>
            </w:r>
          </w:p>
        </w:tc>
        <w:tc>
          <w:tcPr>
            <w:tcW w:w="1761" w:type="dxa"/>
            <w:vAlign w:val="center"/>
          </w:tcPr>
          <w:p>
            <w:pPr>
              <w:pStyle w:val="111"/>
              <w:spacing w:beforeLines="0" w:afterLines="0" w:line="240" w:lineRule="auto"/>
              <w:rPr>
                <w:snapToGrid w:val="0"/>
                <w:kern w:val="21"/>
                <w:szCs w:val="21"/>
                <w:highlight w:val="none"/>
              </w:rPr>
            </w:pPr>
            <w:r>
              <w:rPr>
                <w:rFonts w:ascii="Times New Roman"/>
                <w:snapToGrid w:val="0"/>
                <w:kern w:val="21"/>
                <w:szCs w:val="21"/>
                <w:highlight w:val="none"/>
              </w:rPr>
              <w:t>/</w:t>
            </w:r>
          </w:p>
        </w:tc>
        <w:tc>
          <w:tcPr>
            <w:tcW w:w="1499" w:type="dxa"/>
            <w:vAlign w:val="center"/>
          </w:tcPr>
          <w:p>
            <w:pPr>
              <w:pStyle w:val="111"/>
              <w:spacing w:beforeLines="0" w:afterLines="0" w:line="240" w:lineRule="auto"/>
              <w:rPr>
                <w:rFonts w:hint="eastAsia"/>
                <w:szCs w:val="21"/>
                <w:highlight w:val="none"/>
              </w:rPr>
            </w:pPr>
            <w:r>
              <w:rPr>
                <w:rFonts w:ascii="Times New Roman"/>
                <w:snapToGrid w:val="0"/>
                <w:kern w:val="21"/>
                <w:szCs w:val="21"/>
                <w:highlight w:val="none"/>
              </w:rPr>
              <w:t>/</w:t>
            </w:r>
          </w:p>
        </w:tc>
        <w:tc>
          <w:tcPr>
            <w:tcW w:w="1286" w:type="dxa"/>
            <w:vAlign w:val="center"/>
          </w:tcPr>
          <w:p>
            <w:pPr>
              <w:pStyle w:val="111"/>
              <w:spacing w:beforeLines="0" w:afterLines="0" w:line="240" w:lineRule="auto"/>
              <w:rPr>
                <w:bCs/>
                <w:szCs w:val="21"/>
                <w:highlight w:val="none"/>
              </w:rPr>
            </w:pPr>
            <w:r>
              <w:rPr>
                <w:rFonts w:ascii="Times New Roman"/>
                <w:snapToGrid w:val="0"/>
                <w:kern w:val="21"/>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vMerge w:val="continue"/>
            <w:vAlign w:val="center"/>
          </w:tcPr>
          <w:p>
            <w:pPr>
              <w:pStyle w:val="111"/>
              <w:spacing w:beforeLines="0" w:afterLines="0" w:line="240" w:lineRule="auto"/>
              <w:rPr>
                <w:rFonts w:ascii="Times New Roman"/>
                <w:snapToGrid w:val="0"/>
                <w:kern w:val="21"/>
                <w:szCs w:val="21"/>
                <w:highlight w:val="none"/>
              </w:rPr>
            </w:pPr>
          </w:p>
        </w:tc>
        <w:tc>
          <w:tcPr>
            <w:tcW w:w="1597" w:type="dxa"/>
            <w:vAlign w:val="center"/>
          </w:tcPr>
          <w:p>
            <w:pPr>
              <w:pStyle w:val="111"/>
              <w:spacing w:beforeLines="0" w:afterLines="0" w:line="240" w:lineRule="auto"/>
              <w:rPr>
                <w:rFonts w:ascii="Times New Roman"/>
                <w:snapToGrid w:val="0"/>
                <w:kern w:val="21"/>
                <w:szCs w:val="21"/>
                <w:highlight w:val="none"/>
              </w:rPr>
            </w:pPr>
            <w:r>
              <w:rPr>
                <w:rFonts w:ascii="Times New Roman"/>
                <w:szCs w:val="21"/>
                <w:highlight w:val="none"/>
              </w:rPr>
              <w:t>非甲烷总烃</w:t>
            </w:r>
          </w:p>
        </w:tc>
        <w:tc>
          <w:tcPr>
            <w:tcW w:w="1701" w:type="dxa"/>
            <w:vAlign w:val="center"/>
          </w:tcPr>
          <w:p>
            <w:pPr>
              <w:pStyle w:val="111"/>
              <w:spacing w:beforeLines="0" w:afterLines="0" w:line="240" w:lineRule="auto"/>
              <w:rPr>
                <w:rFonts w:hint="default" w:ascii="Times New Roman" w:eastAsia="宋体"/>
                <w:snapToGrid w:val="0"/>
                <w:kern w:val="21"/>
                <w:szCs w:val="21"/>
                <w:highlight w:val="none"/>
                <w:lang w:val="en-US" w:eastAsia="zh-CN"/>
              </w:rPr>
            </w:pPr>
            <w:r>
              <w:rPr>
                <w:rFonts w:hint="eastAsia" w:ascii="Times New Roman"/>
                <w:snapToGrid w:val="0"/>
                <w:kern w:val="21"/>
                <w:szCs w:val="21"/>
                <w:highlight w:val="none"/>
                <w:lang w:val="en-US" w:eastAsia="zh-CN"/>
              </w:rPr>
              <w:t>0.26t/a</w:t>
            </w:r>
          </w:p>
        </w:tc>
        <w:tc>
          <w:tcPr>
            <w:tcW w:w="1276"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701"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559" w:type="dxa"/>
            <w:vAlign w:val="center"/>
          </w:tcPr>
          <w:p>
            <w:pPr>
              <w:adjustRightInd w:val="0"/>
              <w:snapToGrid w:val="0"/>
              <w:jc w:val="center"/>
              <w:rPr>
                <w:bCs/>
                <w:szCs w:val="21"/>
                <w:highlight w:val="none"/>
              </w:rPr>
            </w:pPr>
            <w:r>
              <w:rPr>
                <w:rFonts w:hint="eastAsia"/>
                <w:szCs w:val="21"/>
                <w:highlight w:val="none"/>
                <w:lang w:val="en-US" w:eastAsia="zh-CN"/>
              </w:rPr>
              <w:t>1.05</w:t>
            </w:r>
            <w:r>
              <w:rPr>
                <w:bCs/>
                <w:szCs w:val="21"/>
                <w:highlight w:val="none"/>
              </w:rPr>
              <w:t xml:space="preserve"> t/a</w:t>
            </w:r>
          </w:p>
        </w:tc>
        <w:tc>
          <w:tcPr>
            <w:tcW w:w="1761" w:type="dxa"/>
            <w:vAlign w:val="center"/>
          </w:tcPr>
          <w:p>
            <w:pPr>
              <w:jc w:val="center"/>
              <w:rPr>
                <w:szCs w:val="21"/>
                <w:highlight w:val="none"/>
              </w:rPr>
            </w:pPr>
            <w:r>
              <w:rPr>
                <w:rFonts w:hint="eastAsia" w:ascii="Times New Roman"/>
                <w:snapToGrid w:val="0"/>
                <w:kern w:val="21"/>
                <w:szCs w:val="21"/>
                <w:highlight w:val="none"/>
                <w:lang w:val="en-US" w:eastAsia="zh-CN"/>
              </w:rPr>
              <w:t>0.26t/a</w:t>
            </w:r>
          </w:p>
        </w:tc>
        <w:tc>
          <w:tcPr>
            <w:tcW w:w="1499" w:type="dxa"/>
            <w:vAlign w:val="center"/>
          </w:tcPr>
          <w:p>
            <w:pPr>
              <w:adjustRightInd w:val="0"/>
              <w:snapToGrid w:val="0"/>
              <w:jc w:val="center"/>
              <w:rPr>
                <w:bCs/>
                <w:szCs w:val="21"/>
                <w:highlight w:val="none"/>
              </w:rPr>
            </w:pPr>
            <w:r>
              <w:rPr>
                <w:rFonts w:hint="eastAsia"/>
                <w:szCs w:val="21"/>
                <w:highlight w:val="none"/>
                <w:lang w:val="en-US" w:eastAsia="zh-CN"/>
              </w:rPr>
              <w:t>1.05</w:t>
            </w:r>
            <w:r>
              <w:rPr>
                <w:bCs/>
                <w:szCs w:val="21"/>
                <w:highlight w:val="none"/>
              </w:rPr>
              <w:t xml:space="preserve"> t/a</w:t>
            </w:r>
          </w:p>
        </w:tc>
        <w:tc>
          <w:tcPr>
            <w:tcW w:w="1286" w:type="dxa"/>
            <w:vAlign w:val="center"/>
          </w:tcPr>
          <w:p>
            <w:pPr>
              <w:adjustRightInd w:val="0"/>
              <w:snapToGrid w:val="0"/>
              <w:jc w:val="center"/>
              <w:rPr>
                <w:bCs/>
                <w:szCs w:val="21"/>
                <w:highlight w:val="none"/>
              </w:rPr>
            </w:pPr>
            <w:r>
              <w:rPr>
                <w:bCs/>
                <w:szCs w:val="21"/>
                <w:highlight w:val="none"/>
              </w:rPr>
              <w:t>+</w:t>
            </w:r>
            <w:r>
              <w:rPr>
                <w:rFonts w:hint="eastAsia"/>
                <w:szCs w:val="21"/>
                <w:highlight w:val="none"/>
              </w:rPr>
              <w:t>0</w:t>
            </w:r>
            <w:r>
              <w:rPr>
                <w:szCs w:val="21"/>
                <w:highlight w:val="none"/>
              </w:rPr>
              <w:t>.</w:t>
            </w:r>
            <w:r>
              <w:rPr>
                <w:rFonts w:hint="eastAsia"/>
                <w:szCs w:val="21"/>
                <w:highlight w:val="none"/>
                <w:lang w:val="en-US" w:eastAsia="zh-CN"/>
              </w:rPr>
              <w:t>79</w:t>
            </w:r>
            <w:r>
              <w:rPr>
                <w:bCs/>
                <w:szCs w:val="21"/>
                <w:highlight w:val="none"/>
              </w:rPr>
              <w:t xml:space="preserve">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vMerge w:val="restart"/>
            <w:vAlign w:val="center"/>
          </w:tcPr>
          <w:p>
            <w:pPr>
              <w:pStyle w:val="111"/>
              <w:spacing w:before="24" w:after="24" w:line="240" w:lineRule="auto"/>
              <w:rPr>
                <w:rFonts w:ascii="Times New Roman"/>
                <w:snapToGrid w:val="0"/>
                <w:kern w:val="21"/>
                <w:szCs w:val="21"/>
                <w:highlight w:val="none"/>
              </w:rPr>
            </w:pPr>
            <w:r>
              <w:rPr>
                <w:rFonts w:ascii="Times New Roman"/>
                <w:snapToGrid w:val="0"/>
                <w:kern w:val="21"/>
                <w:szCs w:val="21"/>
                <w:highlight w:val="none"/>
              </w:rPr>
              <w:t>废水</w:t>
            </w:r>
          </w:p>
        </w:tc>
        <w:tc>
          <w:tcPr>
            <w:tcW w:w="1597"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COD</w:t>
            </w:r>
          </w:p>
        </w:tc>
        <w:tc>
          <w:tcPr>
            <w:tcW w:w="1701"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276"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701"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559"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761" w:type="dxa"/>
            <w:vAlign w:val="center"/>
          </w:tcPr>
          <w:p>
            <w:pPr>
              <w:jc w:val="center"/>
              <w:rPr>
                <w:szCs w:val="21"/>
                <w:highlight w:val="none"/>
              </w:rPr>
            </w:pPr>
            <w:r>
              <w:rPr>
                <w:snapToGrid w:val="0"/>
                <w:kern w:val="21"/>
                <w:szCs w:val="21"/>
                <w:highlight w:val="none"/>
              </w:rPr>
              <w:t>/</w:t>
            </w:r>
          </w:p>
        </w:tc>
        <w:tc>
          <w:tcPr>
            <w:tcW w:w="1499"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286"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vMerge w:val="continue"/>
            <w:vAlign w:val="center"/>
          </w:tcPr>
          <w:p>
            <w:pPr>
              <w:pStyle w:val="111"/>
              <w:spacing w:beforeLines="0" w:afterLines="0" w:line="240" w:lineRule="auto"/>
              <w:rPr>
                <w:rFonts w:ascii="Times New Roman"/>
                <w:snapToGrid w:val="0"/>
                <w:kern w:val="21"/>
                <w:szCs w:val="21"/>
                <w:highlight w:val="none"/>
              </w:rPr>
            </w:pPr>
          </w:p>
        </w:tc>
        <w:tc>
          <w:tcPr>
            <w:tcW w:w="1597"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氨氮</w:t>
            </w:r>
          </w:p>
        </w:tc>
        <w:tc>
          <w:tcPr>
            <w:tcW w:w="1701"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276"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701"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559"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761" w:type="dxa"/>
            <w:vAlign w:val="center"/>
          </w:tcPr>
          <w:p>
            <w:pPr>
              <w:jc w:val="center"/>
              <w:rPr>
                <w:szCs w:val="21"/>
                <w:highlight w:val="none"/>
              </w:rPr>
            </w:pPr>
            <w:r>
              <w:rPr>
                <w:snapToGrid w:val="0"/>
                <w:kern w:val="21"/>
                <w:szCs w:val="21"/>
                <w:highlight w:val="none"/>
              </w:rPr>
              <w:t>/</w:t>
            </w:r>
          </w:p>
        </w:tc>
        <w:tc>
          <w:tcPr>
            <w:tcW w:w="1499"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286"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vMerge w:val="restart"/>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一般工业</w:t>
            </w:r>
          </w:p>
          <w:p>
            <w:pPr>
              <w:pStyle w:val="111"/>
              <w:spacing w:before="24" w:after="24" w:line="240" w:lineRule="auto"/>
              <w:rPr>
                <w:rFonts w:ascii="Times New Roman"/>
                <w:snapToGrid w:val="0"/>
                <w:kern w:val="21"/>
                <w:szCs w:val="21"/>
                <w:highlight w:val="none"/>
              </w:rPr>
            </w:pPr>
            <w:r>
              <w:rPr>
                <w:rFonts w:ascii="Times New Roman"/>
                <w:snapToGrid w:val="0"/>
                <w:kern w:val="21"/>
                <w:szCs w:val="21"/>
                <w:highlight w:val="none"/>
              </w:rPr>
              <w:t>固体废物</w:t>
            </w:r>
          </w:p>
        </w:tc>
        <w:tc>
          <w:tcPr>
            <w:tcW w:w="1597" w:type="dxa"/>
            <w:vAlign w:val="center"/>
          </w:tcPr>
          <w:p>
            <w:pPr>
              <w:pStyle w:val="111"/>
              <w:spacing w:beforeLines="0" w:afterLines="0" w:line="240" w:lineRule="auto"/>
              <w:rPr>
                <w:rFonts w:hint="eastAsia" w:ascii="Times New Roman" w:eastAsia="宋体"/>
                <w:snapToGrid w:val="0"/>
                <w:kern w:val="21"/>
                <w:szCs w:val="21"/>
                <w:highlight w:val="none"/>
                <w:lang w:eastAsia="zh-CN"/>
              </w:rPr>
            </w:pPr>
            <w:r>
              <w:rPr>
                <w:rFonts w:ascii="Times New Roman"/>
                <w:szCs w:val="21"/>
                <w:highlight w:val="none"/>
              </w:rPr>
              <w:t>废</w:t>
            </w:r>
            <w:r>
              <w:rPr>
                <w:rFonts w:hint="eastAsia" w:ascii="Times New Roman"/>
                <w:szCs w:val="21"/>
                <w:highlight w:val="none"/>
                <w:lang w:val="en-US" w:eastAsia="zh-CN"/>
              </w:rPr>
              <w:t>边角料</w:t>
            </w:r>
          </w:p>
        </w:tc>
        <w:tc>
          <w:tcPr>
            <w:tcW w:w="1701" w:type="dxa"/>
            <w:vAlign w:val="center"/>
          </w:tcPr>
          <w:p>
            <w:pPr>
              <w:pStyle w:val="111"/>
              <w:spacing w:beforeLines="0" w:afterLines="0" w:line="240" w:lineRule="auto"/>
              <w:rPr>
                <w:rFonts w:hint="default" w:ascii="Times New Roman" w:eastAsia="宋体"/>
                <w:snapToGrid w:val="0"/>
                <w:kern w:val="21"/>
                <w:szCs w:val="21"/>
                <w:highlight w:val="none"/>
                <w:lang w:val="en-US" w:eastAsia="zh-CN"/>
              </w:rPr>
            </w:pPr>
            <w:r>
              <w:rPr>
                <w:rFonts w:hint="eastAsia" w:ascii="Times New Roman"/>
                <w:snapToGrid w:val="0"/>
                <w:kern w:val="21"/>
                <w:szCs w:val="21"/>
                <w:highlight w:val="none"/>
                <w:lang w:val="en-US" w:eastAsia="zh-CN"/>
              </w:rPr>
              <w:t>0.5t/a</w:t>
            </w:r>
          </w:p>
        </w:tc>
        <w:tc>
          <w:tcPr>
            <w:tcW w:w="1276"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701" w:type="dxa"/>
            <w:vAlign w:val="center"/>
          </w:tcPr>
          <w:p>
            <w:pPr>
              <w:jc w:val="center"/>
              <w:rPr>
                <w:szCs w:val="21"/>
                <w:highlight w:val="none"/>
              </w:rPr>
            </w:pPr>
            <w:r>
              <w:rPr>
                <w:snapToGrid w:val="0"/>
                <w:kern w:val="21"/>
                <w:szCs w:val="21"/>
                <w:highlight w:val="none"/>
              </w:rPr>
              <w:t>/</w:t>
            </w:r>
          </w:p>
        </w:tc>
        <w:tc>
          <w:tcPr>
            <w:tcW w:w="1559" w:type="dxa"/>
            <w:vAlign w:val="center"/>
          </w:tcPr>
          <w:p>
            <w:pPr>
              <w:pStyle w:val="111"/>
              <w:spacing w:beforeLines="0" w:afterLines="0" w:line="240" w:lineRule="auto"/>
              <w:rPr>
                <w:rFonts w:ascii="Times New Roman"/>
                <w:snapToGrid w:val="0"/>
                <w:kern w:val="21"/>
                <w:szCs w:val="21"/>
                <w:highlight w:val="none"/>
              </w:rPr>
            </w:pPr>
            <w:r>
              <w:rPr>
                <w:rFonts w:hint="eastAsia" w:ascii="Times New Roman"/>
                <w:szCs w:val="21"/>
                <w:highlight w:val="none"/>
                <w:lang w:val="en-US" w:eastAsia="zh-CN"/>
              </w:rPr>
              <w:t>2.6</w:t>
            </w:r>
            <w:r>
              <w:rPr>
                <w:rFonts w:ascii="Times New Roman"/>
                <w:szCs w:val="21"/>
                <w:highlight w:val="none"/>
              </w:rPr>
              <w:t xml:space="preserve"> t/a</w:t>
            </w:r>
          </w:p>
        </w:tc>
        <w:tc>
          <w:tcPr>
            <w:tcW w:w="1761" w:type="dxa"/>
            <w:vAlign w:val="center"/>
          </w:tcPr>
          <w:p>
            <w:pPr>
              <w:jc w:val="center"/>
              <w:rPr>
                <w:snapToGrid w:val="0"/>
                <w:kern w:val="21"/>
                <w:szCs w:val="21"/>
                <w:highlight w:val="none"/>
              </w:rPr>
            </w:pPr>
            <w:r>
              <w:rPr>
                <w:rFonts w:hint="eastAsia" w:ascii="Times New Roman"/>
                <w:snapToGrid w:val="0"/>
                <w:kern w:val="21"/>
                <w:szCs w:val="21"/>
                <w:highlight w:val="none"/>
                <w:lang w:val="en-US" w:eastAsia="zh-CN"/>
              </w:rPr>
              <w:t>0.5t/a</w:t>
            </w:r>
          </w:p>
        </w:tc>
        <w:tc>
          <w:tcPr>
            <w:tcW w:w="1499" w:type="dxa"/>
            <w:vAlign w:val="center"/>
          </w:tcPr>
          <w:p>
            <w:pPr>
              <w:pStyle w:val="111"/>
              <w:spacing w:beforeLines="0" w:afterLines="0" w:line="240" w:lineRule="auto"/>
              <w:rPr>
                <w:rFonts w:ascii="Times New Roman"/>
                <w:snapToGrid w:val="0"/>
                <w:kern w:val="21"/>
                <w:szCs w:val="21"/>
                <w:highlight w:val="none"/>
              </w:rPr>
            </w:pPr>
            <w:r>
              <w:rPr>
                <w:rFonts w:hint="eastAsia" w:ascii="Times New Roman"/>
                <w:szCs w:val="21"/>
                <w:highlight w:val="none"/>
                <w:lang w:val="en-US" w:eastAsia="zh-CN"/>
              </w:rPr>
              <w:t>2.6</w:t>
            </w:r>
            <w:r>
              <w:rPr>
                <w:rFonts w:ascii="Times New Roman"/>
                <w:szCs w:val="21"/>
                <w:highlight w:val="none"/>
              </w:rPr>
              <w:t xml:space="preserve"> t/a</w:t>
            </w:r>
          </w:p>
        </w:tc>
        <w:tc>
          <w:tcPr>
            <w:tcW w:w="1286" w:type="dxa"/>
            <w:vAlign w:val="center"/>
          </w:tcPr>
          <w:p>
            <w:pPr>
              <w:pStyle w:val="111"/>
              <w:spacing w:beforeLines="0" w:afterLines="0" w:line="240" w:lineRule="auto"/>
              <w:rPr>
                <w:rFonts w:ascii="Times New Roman"/>
                <w:snapToGrid w:val="0"/>
                <w:kern w:val="21"/>
                <w:szCs w:val="21"/>
                <w:highlight w:val="none"/>
              </w:rPr>
            </w:pPr>
            <w:r>
              <w:rPr>
                <w:rFonts w:ascii="Times New Roman"/>
                <w:szCs w:val="21"/>
                <w:highlight w:val="none"/>
              </w:rPr>
              <w:t>+</w:t>
            </w:r>
            <w:r>
              <w:rPr>
                <w:rFonts w:hint="eastAsia" w:ascii="Times New Roman"/>
                <w:szCs w:val="21"/>
                <w:highlight w:val="none"/>
                <w:lang w:val="en-US" w:eastAsia="zh-CN"/>
              </w:rPr>
              <w:t>2.1</w:t>
            </w:r>
            <w:r>
              <w:rPr>
                <w:rFonts w:ascii="Times New Roman"/>
                <w:szCs w:val="21"/>
                <w:highlight w:val="none"/>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vMerge w:val="continue"/>
            <w:vAlign w:val="center"/>
          </w:tcPr>
          <w:p>
            <w:pPr>
              <w:pStyle w:val="111"/>
              <w:spacing w:before="24" w:after="24" w:line="240" w:lineRule="auto"/>
              <w:rPr>
                <w:rFonts w:ascii="Times New Roman"/>
                <w:snapToGrid w:val="0"/>
                <w:kern w:val="21"/>
                <w:szCs w:val="21"/>
                <w:highlight w:val="none"/>
              </w:rPr>
            </w:pPr>
          </w:p>
        </w:tc>
        <w:tc>
          <w:tcPr>
            <w:tcW w:w="1597" w:type="dxa"/>
            <w:vAlign w:val="center"/>
          </w:tcPr>
          <w:p>
            <w:pPr>
              <w:pStyle w:val="111"/>
              <w:spacing w:beforeLines="0" w:afterLines="0" w:line="240" w:lineRule="auto"/>
              <w:rPr>
                <w:rFonts w:hint="default" w:ascii="Times New Roman" w:eastAsia="宋体"/>
                <w:snapToGrid w:val="0"/>
                <w:kern w:val="21"/>
                <w:szCs w:val="21"/>
                <w:highlight w:val="none"/>
                <w:lang w:val="en-US" w:eastAsia="zh-CN"/>
              </w:rPr>
            </w:pPr>
            <w:r>
              <w:rPr>
                <w:rFonts w:hint="eastAsia" w:ascii="Times New Roman"/>
                <w:szCs w:val="21"/>
                <w:highlight w:val="none"/>
                <w:lang w:val="en-US" w:eastAsia="zh-CN"/>
              </w:rPr>
              <w:t>废包装物</w:t>
            </w:r>
          </w:p>
        </w:tc>
        <w:tc>
          <w:tcPr>
            <w:tcW w:w="1701"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276"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701" w:type="dxa"/>
            <w:vAlign w:val="center"/>
          </w:tcPr>
          <w:p>
            <w:pPr>
              <w:jc w:val="center"/>
              <w:rPr>
                <w:szCs w:val="21"/>
                <w:highlight w:val="none"/>
              </w:rPr>
            </w:pPr>
            <w:r>
              <w:rPr>
                <w:snapToGrid w:val="0"/>
                <w:kern w:val="21"/>
                <w:szCs w:val="21"/>
                <w:highlight w:val="none"/>
              </w:rPr>
              <w:t>/</w:t>
            </w:r>
          </w:p>
        </w:tc>
        <w:tc>
          <w:tcPr>
            <w:tcW w:w="1559" w:type="dxa"/>
            <w:vAlign w:val="center"/>
          </w:tcPr>
          <w:p>
            <w:pPr>
              <w:pStyle w:val="111"/>
              <w:spacing w:beforeLines="0" w:afterLines="0" w:line="240" w:lineRule="auto"/>
              <w:rPr>
                <w:rFonts w:ascii="Times New Roman"/>
                <w:snapToGrid w:val="0"/>
                <w:kern w:val="21"/>
                <w:szCs w:val="21"/>
                <w:highlight w:val="none"/>
              </w:rPr>
            </w:pPr>
            <w:r>
              <w:rPr>
                <w:rFonts w:hint="eastAsia" w:ascii="Times New Roman"/>
                <w:szCs w:val="21"/>
                <w:highlight w:val="none"/>
                <w:lang w:val="en-US" w:eastAsia="zh-CN"/>
              </w:rPr>
              <w:t>0.8</w:t>
            </w:r>
            <w:r>
              <w:rPr>
                <w:rFonts w:ascii="Times New Roman"/>
                <w:szCs w:val="21"/>
                <w:highlight w:val="none"/>
              </w:rPr>
              <w:t>t/a</w:t>
            </w:r>
          </w:p>
        </w:tc>
        <w:tc>
          <w:tcPr>
            <w:tcW w:w="1761" w:type="dxa"/>
            <w:vAlign w:val="center"/>
          </w:tcPr>
          <w:p>
            <w:pPr>
              <w:jc w:val="center"/>
              <w:rPr>
                <w:snapToGrid w:val="0"/>
                <w:kern w:val="21"/>
                <w:szCs w:val="21"/>
                <w:highlight w:val="none"/>
              </w:rPr>
            </w:pPr>
            <w:r>
              <w:rPr>
                <w:snapToGrid w:val="0"/>
                <w:kern w:val="21"/>
                <w:szCs w:val="21"/>
                <w:highlight w:val="none"/>
              </w:rPr>
              <w:t>/</w:t>
            </w:r>
          </w:p>
        </w:tc>
        <w:tc>
          <w:tcPr>
            <w:tcW w:w="1499" w:type="dxa"/>
            <w:vAlign w:val="center"/>
          </w:tcPr>
          <w:p>
            <w:pPr>
              <w:pStyle w:val="111"/>
              <w:spacing w:beforeLines="0" w:afterLines="0" w:line="240" w:lineRule="auto"/>
              <w:rPr>
                <w:rFonts w:ascii="Times New Roman"/>
                <w:snapToGrid w:val="0"/>
                <w:kern w:val="21"/>
                <w:szCs w:val="21"/>
                <w:highlight w:val="none"/>
              </w:rPr>
            </w:pPr>
            <w:r>
              <w:rPr>
                <w:rFonts w:hint="eastAsia" w:ascii="Times New Roman"/>
                <w:szCs w:val="21"/>
                <w:highlight w:val="none"/>
                <w:lang w:val="en-US" w:eastAsia="zh-CN"/>
              </w:rPr>
              <w:t>0.8</w:t>
            </w:r>
            <w:r>
              <w:rPr>
                <w:rFonts w:ascii="Times New Roman"/>
                <w:szCs w:val="21"/>
                <w:highlight w:val="none"/>
              </w:rPr>
              <w:t>t/a</w:t>
            </w:r>
          </w:p>
        </w:tc>
        <w:tc>
          <w:tcPr>
            <w:tcW w:w="1286" w:type="dxa"/>
            <w:vAlign w:val="center"/>
          </w:tcPr>
          <w:p>
            <w:pPr>
              <w:pStyle w:val="111"/>
              <w:spacing w:beforeLines="0" w:afterLines="0" w:line="240" w:lineRule="auto"/>
              <w:rPr>
                <w:rFonts w:ascii="Times New Roman"/>
                <w:snapToGrid w:val="0"/>
                <w:kern w:val="21"/>
                <w:szCs w:val="21"/>
                <w:highlight w:val="none"/>
              </w:rPr>
            </w:pPr>
            <w:r>
              <w:rPr>
                <w:rFonts w:ascii="Times New Roman"/>
                <w:szCs w:val="21"/>
                <w:highlight w:val="none"/>
              </w:rPr>
              <w:t>+</w:t>
            </w:r>
            <w:r>
              <w:rPr>
                <w:rFonts w:hint="eastAsia" w:ascii="Times New Roman"/>
                <w:szCs w:val="21"/>
                <w:highlight w:val="none"/>
                <w:lang w:val="en-US" w:eastAsia="zh-CN"/>
              </w:rPr>
              <w:t>0.8</w:t>
            </w:r>
            <w:r>
              <w:rPr>
                <w:rFonts w:ascii="Times New Roman"/>
                <w:szCs w:val="21"/>
                <w:highlight w:val="none"/>
              </w:rPr>
              <w:t xml:space="preserve">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vAlign w:val="center"/>
          </w:tcPr>
          <w:p>
            <w:pPr>
              <w:pStyle w:val="111"/>
              <w:spacing w:before="24" w:after="24" w:line="240" w:lineRule="auto"/>
              <w:rPr>
                <w:rFonts w:ascii="Times New Roman"/>
                <w:snapToGrid w:val="0"/>
                <w:kern w:val="21"/>
                <w:szCs w:val="21"/>
                <w:highlight w:val="none"/>
              </w:rPr>
            </w:pPr>
            <w:r>
              <w:rPr>
                <w:rFonts w:ascii="Times New Roman"/>
                <w:snapToGrid w:val="0"/>
                <w:kern w:val="21"/>
                <w:szCs w:val="21"/>
                <w:highlight w:val="none"/>
              </w:rPr>
              <w:t>生活垃圾</w:t>
            </w:r>
          </w:p>
        </w:tc>
        <w:tc>
          <w:tcPr>
            <w:tcW w:w="1597" w:type="dxa"/>
            <w:vAlign w:val="center"/>
          </w:tcPr>
          <w:p>
            <w:pPr>
              <w:pStyle w:val="111"/>
              <w:spacing w:beforeLines="0" w:afterLines="0" w:line="240" w:lineRule="auto"/>
              <w:rPr>
                <w:rFonts w:ascii="Times New Roman"/>
                <w:szCs w:val="21"/>
                <w:highlight w:val="none"/>
              </w:rPr>
            </w:pPr>
            <w:r>
              <w:rPr>
                <w:rFonts w:ascii="Times New Roman"/>
                <w:snapToGrid w:val="0"/>
                <w:kern w:val="21"/>
                <w:szCs w:val="21"/>
                <w:highlight w:val="none"/>
              </w:rPr>
              <w:t>生活垃圾</w:t>
            </w:r>
          </w:p>
        </w:tc>
        <w:tc>
          <w:tcPr>
            <w:tcW w:w="1701" w:type="dxa"/>
            <w:vAlign w:val="center"/>
          </w:tcPr>
          <w:p>
            <w:pPr>
              <w:pStyle w:val="111"/>
              <w:spacing w:beforeLines="0" w:afterLines="0" w:line="240" w:lineRule="auto"/>
              <w:rPr>
                <w:rFonts w:hint="default" w:ascii="Times New Roman" w:eastAsia="宋体"/>
                <w:snapToGrid w:val="0"/>
                <w:kern w:val="21"/>
                <w:szCs w:val="21"/>
                <w:highlight w:val="none"/>
                <w:lang w:val="en-US" w:eastAsia="zh-CN"/>
              </w:rPr>
            </w:pPr>
            <w:r>
              <w:rPr>
                <w:rFonts w:hint="eastAsia" w:ascii="Times New Roman"/>
                <w:snapToGrid w:val="0"/>
                <w:kern w:val="21"/>
                <w:szCs w:val="21"/>
                <w:highlight w:val="none"/>
                <w:lang w:val="en-US" w:eastAsia="zh-CN"/>
              </w:rPr>
              <w:t>3.4t/a</w:t>
            </w:r>
          </w:p>
        </w:tc>
        <w:tc>
          <w:tcPr>
            <w:tcW w:w="1276" w:type="dxa"/>
            <w:vAlign w:val="center"/>
          </w:tcPr>
          <w:p>
            <w:pPr>
              <w:pStyle w:val="111"/>
              <w:spacing w:beforeLines="0" w:afterLines="0" w:line="240" w:lineRule="auto"/>
              <w:rPr>
                <w:rFonts w:ascii="Times New Roman"/>
                <w:snapToGrid w:val="0"/>
                <w:kern w:val="21"/>
                <w:szCs w:val="21"/>
                <w:highlight w:val="none"/>
              </w:rPr>
            </w:pPr>
            <w:r>
              <w:rPr>
                <w:rFonts w:ascii="Times New Roman"/>
                <w:snapToGrid w:val="0"/>
                <w:kern w:val="21"/>
                <w:szCs w:val="21"/>
                <w:highlight w:val="none"/>
              </w:rPr>
              <w:t>/</w:t>
            </w:r>
          </w:p>
        </w:tc>
        <w:tc>
          <w:tcPr>
            <w:tcW w:w="1701" w:type="dxa"/>
            <w:vAlign w:val="center"/>
          </w:tcPr>
          <w:p>
            <w:pPr>
              <w:jc w:val="center"/>
              <w:rPr>
                <w:snapToGrid w:val="0"/>
                <w:kern w:val="21"/>
                <w:szCs w:val="21"/>
                <w:highlight w:val="none"/>
              </w:rPr>
            </w:pPr>
            <w:r>
              <w:rPr>
                <w:snapToGrid w:val="0"/>
                <w:kern w:val="21"/>
                <w:szCs w:val="21"/>
                <w:highlight w:val="none"/>
              </w:rPr>
              <w:t>/</w:t>
            </w:r>
          </w:p>
        </w:tc>
        <w:tc>
          <w:tcPr>
            <w:tcW w:w="1559" w:type="dxa"/>
            <w:vAlign w:val="center"/>
          </w:tcPr>
          <w:p>
            <w:pPr>
              <w:pStyle w:val="111"/>
              <w:spacing w:beforeLines="0" w:afterLines="0" w:line="240" w:lineRule="auto"/>
              <w:rPr>
                <w:rFonts w:ascii="Times New Roman"/>
                <w:snapToGrid w:val="0"/>
                <w:kern w:val="21"/>
                <w:szCs w:val="21"/>
                <w:highlight w:val="none"/>
              </w:rPr>
            </w:pPr>
            <w:r>
              <w:rPr>
                <w:rFonts w:ascii="Times New Roman"/>
                <w:szCs w:val="21"/>
                <w:highlight w:val="none"/>
              </w:rPr>
              <w:t>1</w:t>
            </w:r>
            <w:r>
              <w:rPr>
                <w:rFonts w:hint="eastAsia" w:ascii="Times New Roman"/>
                <w:szCs w:val="21"/>
                <w:highlight w:val="none"/>
                <w:lang w:val="en-US" w:eastAsia="zh-CN"/>
              </w:rPr>
              <w:t>.5</w:t>
            </w:r>
            <w:r>
              <w:rPr>
                <w:rFonts w:ascii="Times New Roman"/>
                <w:szCs w:val="21"/>
                <w:highlight w:val="none"/>
              </w:rPr>
              <w:t>t/a</w:t>
            </w:r>
          </w:p>
        </w:tc>
        <w:tc>
          <w:tcPr>
            <w:tcW w:w="1761" w:type="dxa"/>
            <w:vAlign w:val="center"/>
          </w:tcPr>
          <w:p>
            <w:pPr>
              <w:jc w:val="center"/>
              <w:rPr>
                <w:rFonts w:hint="default" w:eastAsia="宋体"/>
                <w:snapToGrid w:val="0"/>
                <w:kern w:val="21"/>
                <w:szCs w:val="21"/>
                <w:highlight w:val="none"/>
                <w:lang w:val="en-US" w:eastAsia="zh-CN"/>
              </w:rPr>
            </w:pPr>
            <w:r>
              <w:rPr>
                <w:rFonts w:hint="eastAsia"/>
                <w:snapToGrid w:val="0"/>
                <w:kern w:val="21"/>
                <w:szCs w:val="21"/>
                <w:highlight w:val="none"/>
                <w:lang w:val="en-US" w:eastAsia="zh-CN"/>
              </w:rPr>
              <w:t>3.4</w:t>
            </w:r>
            <w:r>
              <w:rPr>
                <w:szCs w:val="21"/>
                <w:highlight w:val="none"/>
              </w:rPr>
              <w:t>t/a</w:t>
            </w:r>
          </w:p>
        </w:tc>
        <w:tc>
          <w:tcPr>
            <w:tcW w:w="1499" w:type="dxa"/>
            <w:vAlign w:val="center"/>
          </w:tcPr>
          <w:p>
            <w:pPr>
              <w:pStyle w:val="111"/>
              <w:spacing w:beforeLines="0" w:afterLines="0" w:line="240" w:lineRule="auto"/>
              <w:rPr>
                <w:rFonts w:ascii="Times New Roman"/>
                <w:snapToGrid w:val="0"/>
                <w:kern w:val="21"/>
                <w:szCs w:val="21"/>
                <w:highlight w:val="none"/>
              </w:rPr>
            </w:pPr>
            <w:r>
              <w:rPr>
                <w:rFonts w:ascii="Times New Roman"/>
                <w:szCs w:val="21"/>
                <w:highlight w:val="none"/>
              </w:rPr>
              <w:t>1</w:t>
            </w:r>
            <w:r>
              <w:rPr>
                <w:rFonts w:hint="eastAsia" w:ascii="Times New Roman"/>
                <w:szCs w:val="21"/>
                <w:highlight w:val="none"/>
                <w:lang w:val="en-US" w:eastAsia="zh-CN"/>
              </w:rPr>
              <w:t>.5</w:t>
            </w:r>
            <w:r>
              <w:rPr>
                <w:rFonts w:ascii="Times New Roman"/>
                <w:szCs w:val="21"/>
                <w:highlight w:val="none"/>
              </w:rPr>
              <w:t>t/a</w:t>
            </w:r>
          </w:p>
        </w:tc>
        <w:tc>
          <w:tcPr>
            <w:tcW w:w="1286" w:type="dxa"/>
            <w:vAlign w:val="center"/>
          </w:tcPr>
          <w:p>
            <w:pPr>
              <w:pStyle w:val="111"/>
              <w:spacing w:beforeLines="0" w:afterLines="0" w:line="240" w:lineRule="auto"/>
              <w:rPr>
                <w:rFonts w:ascii="Times New Roman"/>
                <w:snapToGrid w:val="0"/>
                <w:kern w:val="21"/>
                <w:szCs w:val="21"/>
                <w:highlight w:val="none"/>
              </w:rPr>
            </w:pPr>
            <w:r>
              <w:rPr>
                <w:rFonts w:hint="eastAsia" w:ascii="Times New Roman"/>
                <w:szCs w:val="21"/>
                <w:highlight w:val="none"/>
                <w:lang w:val="en-US" w:eastAsia="zh-CN"/>
              </w:rPr>
              <w:t>-1.9</w:t>
            </w:r>
            <w:r>
              <w:rPr>
                <w:rFonts w:ascii="Times New Roman"/>
                <w:szCs w:val="21"/>
                <w:highlight w:val="none"/>
              </w:rPr>
              <w:t xml:space="preserve">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vMerge w:val="restart"/>
            <w:vAlign w:val="center"/>
          </w:tcPr>
          <w:p>
            <w:pPr>
              <w:pStyle w:val="111"/>
              <w:spacing w:before="24" w:after="24" w:line="240" w:lineRule="auto"/>
              <w:rPr>
                <w:rFonts w:ascii="Times New Roman"/>
                <w:snapToGrid w:val="0"/>
                <w:kern w:val="21"/>
                <w:szCs w:val="21"/>
                <w:highlight w:val="none"/>
              </w:rPr>
            </w:pPr>
            <w:r>
              <w:rPr>
                <w:rFonts w:ascii="Times New Roman"/>
                <w:snapToGrid w:val="0"/>
                <w:kern w:val="21"/>
                <w:szCs w:val="21"/>
                <w:highlight w:val="none"/>
              </w:rPr>
              <w:t>危险废物</w:t>
            </w:r>
          </w:p>
        </w:tc>
        <w:tc>
          <w:tcPr>
            <w:tcW w:w="1597" w:type="dxa"/>
            <w:vAlign w:val="center"/>
          </w:tcPr>
          <w:p>
            <w:pPr>
              <w:pStyle w:val="111"/>
              <w:spacing w:beforeLines="0" w:afterLines="0" w:line="240" w:lineRule="auto"/>
              <w:rPr>
                <w:rFonts w:hint="default" w:ascii="Times New Roman" w:eastAsia="宋体"/>
                <w:snapToGrid w:val="0"/>
                <w:kern w:val="21"/>
                <w:szCs w:val="21"/>
                <w:highlight w:val="none"/>
                <w:lang w:val="en-US" w:eastAsia="zh-CN"/>
              </w:rPr>
            </w:pPr>
            <w:r>
              <w:rPr>
                <w:rFonts w:ascii="Times New Roman"/>
                <w:szCs w:val="21"/>
                <w:highlight w:val="none"/>
              </w:rPr>
              <w:t>废</w:t>
            </w:r>
            <w:r>
              <w:rPr>
                <w:rFonts w:hint="eastAsia" w:ascii="Times New Roman"/>
                <w:szCs w:val="21"/>
                <w:highlight w:val="none"/>
                <w:lang w:val="en-US" w:eastAsia="zh-CN"/>
              </w:rPr>
              <w:t>机油、废冷却液及油桶</w:t>
            </w:r>
          </w:p>
        </w:tc>
        <w:tc>
          <w:tcPr>
            <w:tcW w:w="1701" w:type="dxa"/>
            <w:vAlign w:val="center"/>
          </w:tcPr>
          <w:p>
            <w:pPr>
              <w:jc w:val="center"/>
              <w:rPr>
                <w:rFonts w:hint="default" w:eastAsia="宋体"/>
                <w:szCs w:val="21"/>
                <w:highlight w:val="none"/>
                <w:lang w:val="en-US" w:eastAsia="zh-CN"/>
              </w:rPr>
            </w:pPr>
            <w:r>
              <w:rPr>
                <w:rFonts w:hint="eastAsia"/>
                <w:snapToGrid w:val="0"/>
                <w:kern w:val="21"/>
                <w:szCs w:val="21"/>
                <w:highlight w:val="none"/>
                <w:lang w:val="en-US" w:eastAsia="zh-CN"/>
              </w:rPr>
              <w:t>0.5</w:t>
            </w:r>
            <w:r>
              <w:rPr>
                <w:bCs/>
                <w:szCs w:val="21"/>
                <w:highlight w:val="none"/>
              </w:rPr>
              <w:t>t/a</w:t>
            </w:r>
          </w:p>
        </w:tc>
        <w:tc>
          <w:tcPr>
            <w:tcW w:w="1276" w:type="dxa"/>
            <w:vAlign w:val="center"/>
          </w:tcPr>
          <w:p>
            <w:pPr>
              <w:jc w:val="center"/>
              <w:rPr>
                <w:szCs w:val="21"/>
                <w:highlight w:val="none"/>
              </w:rPr>
            </w:pPr>
            <w:r>
              <w:rPr>
                <w:snapToGrid w:val="0"/>
                <w:kern w:val="21"/>
                <w:szCs w:val="21"/>
                <w:highlight w:val="none"/>
              </w:rPr>
              <w:t>/</w:t>
            </w:r>
          </w:p>
        </w:tc>
        <w:tc>
          <w:tcPr>
            <w:tcW w:w="1701" w:type="dxa"/>
            <w:vAlign w:val="center"/>
          </w:tcPr>
          <w:p>
            <w:pPr>
              <w:jc w:val="center"/>
              <w:rPr>
                <w:szCs w:val="21"/>
                <w:highlight w:val="none"/>
              </w:rPr>
            </w:pPr>
            <w:r>
              <w:rPr>
                <w:snapToGrid w:val="0"/>
                <w:kern w:val="21"/>
                <w:szCs w:val="21"/>
                <w:highlight w:val="none"/>
              </w:rPr>
              <w:t>/</w:t>
            </w:r>
          </w:p>
        </w:tc>
        <w:tc>
          <w:tcPr>
            <w:tcW w:w="1559" w:type="dxa"/>
            <w:vAlign w:val="center"/>
          </w:tcPr>
          <w:p>
            <w:pPr>
              <w:jc w:val="center"/>
              <w:rPr>
                <w:rFonts w:hint="eastAsia" w:eastAsia="宋体"/>
                <w:szCs w:val="21"/>
                <w:highlight w:val="none"/>
                <w:lang w:eastAsia="zh-CN"/>
              </w:rPr>
            </w:pPr>
            <w:r>
              <w:rPr>
                <w:rFonts w:hint="eastAsia"/>
                <w:szCs w:val="21"/>
                <w:highlight w:val="none"/>
                <w:lang w:val="en-US" w:eastAsia="zh-CN"/>
              </w:rPr>
              <w:t>/</w:t>
            </w:r>
          </w:p>
        </w:tc>
        <w:tc>
          <w:tcPr>
            <w:tcW w:w="1761" w:type="dxa"/>
            <w:vAlign w:val="center"/>
          </w:tcPr>
          <w:p>
            <w:pPr>
              <w:jc w:val="center"/>
              <w:rPr>
                <w:szCs w:val="21"/>
                <w:highlight w:val="none"/>
              </w:rPr>
            </w:pPr>
            <w:r>
              <w:rPr>
                <w:snapToGrid w:val="0"/>
                <w:kern w:val="21"/>
                <w:szCs w:val="21"/>
                <w:highlight w:val="none"/>
              </w:rPr>
              <w:t>/</w:t>
            </w:r>
          </w:p>
        </w:tc>
        <w:tc>
          <w:tcPr>
            <w:tcW w:w="1499" w:type="dxa"/>
            <w:vAlign w:val="center"/>
          </w:tcPr>
          <w:p>
            <w:pPr>
              <w:jc w:val="center"/>
              <w:rPr>
                <w:szCs w:val="21"/>
                <w:highlight w:val="none"/>
              </w:rPr>
            </w:pPr>
            <w:r>
              <w:rPr>
                <w:rFonts w:hint="eastAsia"/>
                <w:szCs w:val="21"/>
                <w:highlight w:val="none"/>
                <w:lang w:val="en-US" w:eastAsia="zh-CN"/>
              </w:rPr>
              <w:t>/</w:t>
            </w:r>
          </w:p>
        </w:tc>
        <w:tc>
          <w:tcPr>
            <w:tcW w:w="1286" w:type="dxa"/>
            <w:vAlign w:val="center"/>
          </w:tcPr>
          <w:p>
            <w:pPr>
              <w:jc w:val="center"/>
              <w:rPr>
                <w:szCs w:val="21"/>
                <w:highlight w:val="none"/>
              </w:rPr>
            </w:pPr>
            <w:r>
              <w:rPr>
                <w:rFonts w:hint="eastAsia"/>
                <w:szCs w:val="21"/>
                <w:highlight w:val="none"/>
                <w:lang w:val="en-US" w:eastAsia="zh-CN"/>
              </w:rPr>
              <w:t>-</w:t>
            </w:r>
            <w:r>
              <w:rPr>
                <w:szCs w:val="21"/>
                <w:highlight w:val="none"/>
              </w:rPr>
              <w:t>0.</w:t>
            </w:r>
            <w:r>
              <w:rPr>
                <w:rFonts w:hint="eastAsia"/>
                <w:szCs w:val="21"/>
                <w:highlight w:val="none"/>
                <w:lang w:val="en-US" w:eastAsia="zh-CN"/>
              </w:rPr>
              <w:t>5</w:t>
            </w:r>
            <w:r>
              <w:rPr>
                <w:szCs w:val="21"/>
                <w:highlight w:val="none"/>
              </w:rPr>
              <w:t xml:space="preserve">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vMerge w:val="continue"/>
            <w:vAlign w:val="center"/>
          </w:tcPr>
          <w:p>
            <w:pPr>
              <w:pStyle w:val="111"/>
              <w:spacing w:before="24" w:after="24" w:line="240" w:lineRule="auto"/>
              <w:rPr>
                <w:rFonts w:ascii="Times New Roman"/>
                <w:snapToGrid w:val="0"/>
                <w:kern w:val="21"/>
                <w:szCs w:val="21"/>
                <w:highlight w:val="none"/>
              </w:rPr>
            </w:pPr>
          </w:p>
        </w:tc>
        <w:tc>
          <w:tcPr>
            <w:tcW w:w="1597" w:type="dxa"/>
            <w:vAlign w:val="center"/>
          </w:tcPr>
          <w:p>
            <w:pPr>
              <w:pStyle w:val="111"/>
              <w:spacing w:beforeLines="0" w:afterLines="0" w:line="240" w:lineRule="auto"/>
              <w:rPr>
                <w:rFonts w:ascii="Times New Roman"/>
                <w:snapToGrid w:val="0"/>
                <w:kern w:val="21"/>
                <w:szCs w:val="21"/>
                <w:highlight w:val="none"/>
              </w:rPr>
            </w:pPr>
            <w:r>
              <w:rPr>
                <w:rFonts w:ascii="Times New Roman"/>
                <w:szCs w:val="21"/>
                <w:highlight w:val="none"/>
              </w:rPr>
              <w:t>废过滤棉</w:t>
            </w:r>
          </w:p>
        </w:tc>
        <w:tc>
          <w:tcPr>
            <w:tcW w:w="1701" w:type="dxa"/>
            <w:vAlign w:val="center"/>
          </w:tcPr>
          <w:p>
            <w:pPr>
              <w:jc w:val="center"/>
              <w:rPr>
                <w:rFonts w:hint="default" w:eastAsia="宋体"/>
                <w:szCs w:val="21"/>
                <w:highlight w:val="none"/>
                <w:lang w:val="en-US" w:eastAsia="zh-CN"/>
              </w:rPr>
            </w:pPr>
            <w:r>
              <w:rPr>
                <w:rFonts w:hint="eastAsia"/>
                <w:snapToGrid w:val="0"/>
                <w:kern w:val="21"/>
                <w:szCs w:val="21"/>
                <w:highlight w:val="none"/>
                <w:lang w:val="en-US" w:eastAsia="zh-CN"/>
              </w:rPr>
              <w:t>0.5</w:t>
            </w:r>
            <w:r>
              <w:rPr>
                <w:bCs/>
                <w:szCs w:val="21"/>
                <w:highlight w:val="none"/>
              </w:rPr>
              <w:t>t/a</w:t>
            </w:r>
          </w:p>
        </w:tc>
        <w:tc>
          <w:tcPr>
            <w:tcW w:w="1276" w:type="dxa"/>
            <w:vAlign w:val="center"/>
          </w:tcPr>
          <w:p>
            <w:pPr>
              <w:jc w:val="center"/>
              <w:rPr>
                <w:szCs w:val="21"/>
                <w:highlight w:val="none"/>
              </w:rPr>
            </w:pPr>
            <w:r>
              <w:rPr>
                <w:snapToGrid w:val="0"/>
                <w:kern w:val="21"/>
                <w:szCs w:val="21"/>
                <w:highlight w:val="none"/>
              </w:rPr>
              <w:t>/</w:t>
            </w:r>
          </w:p>
        </w:tc>
        <w:tc>
          <w:tcPr>
            <w:tcW w:w="1701" w:type="dxa"/>
            <w:vAlign w:val="center"/>
          </w:tcPr>
          <w:p>
            <w:pPr>
              <w:jc w:val="center"/>
              <w:rPr>
                <w:szCs w:val="21"/>
                <w:highlight w:val="none"/>
              </w:rPr>
            </w:pPr>
            <w:r>
              <w:rPr>
                <w:snapToGrid w:val="0"/>
                <w:kern w:val="21"/>
                <w:szCs w:val="21"/>
                <w:highlight w:val="none"/>
              </w:rPr>
              <w:t>/</w:t>
            </w:r>
          </w:p>
        </w:tc>
        <w:tc>
          <w:tcPr>
            <w:tcW w:w="1559" w:type="dxa"/>
            <w:vAlign w:val="center"/>
          </w:tcPr>
          <w:p>
            <w:pPr>
              <w:jc w:val="center"/>
              <w:rPr>
                <w:szCs w:val="21"/>
                <w:highlight w:val="none"/>
              </w:rPr>
            </w:pPr>
            <w:r>
              <w:rPr>
                <w:szCs w:val="21"/>
                <w:highlight w:val="none"/>
              </w:rPr>
              <w:t>0.</w:t>
            </w:r>
            <w:r>
              <w:rPr>
                <w:rFonts w:hint="eastAsia"/>
                <w:szCs w:val="21"/>
                <w:highlight w:val="none"/>
                <w:lang w:val="en-US" w:eastAsia="zh-CN"/>
              </w:rPr>
              <w:t>5</w:t>
            </w:r>
            <w:r>
              <w:rPr>
                <w:szCs w:val="21"/>
                <w:highlight w:val="none"/>
              </w:rPr>
              <w:t>t/a</w:t>
            </w:r>
          </w:p>
        </w:tc>
        <w:tc>
          <w:tcPr>
            <w:tcW w:w="1761" w:type="dxa"/>
            <w:vAlign w:val="center"/>
          </w:tcPr>
          <w:p>
            <w:pPr>
              <w:jc w:val="center"/>
              <w:rPr>
                <w:rFonts w:hint="default" w:eastAsia="宋体"/>
                <w:snapToGrid w:val="0"/>
                <w:kern w:val="21"/>
                <w:szCs w:val="21"/>
                <w:highlight w:val="none"/>
                <w:lang w:val="en-US" w:eastAsia="zh-CN"/>
              </w:rPr>
            </w:pPr>
            <w:r>
              <w:rPr>
                <w:rFonts w:hint="eastAsia"/>
                <w:szCs w:val="21"/>
                <w:highlight w:val="none"/>
                <w:lang w:val="en-US" w:eastAsia="zh-CN"/>
              </w:rPr>
              <w:t>0.5</w:t>
            </w:r>
            <w:r>
              <w:rPr>
                <w:szCs w:val="21"/>
                <w:highlight w:val="none"/>
              </w:rPr>
              <w:t>t/a</w:t>
            </w:r>
          </w:p>
        </w:tc>
        <w:tc>
          <w:tcPr>
            <w:tcW w:w="1499" w:type="dxa"/>
            <w:vAlign w:val="center"/>
          </w:tcPr>
          <w:p>
            <w:pPr>
              <w:jc w:val="center"/>
              <w:rPr>
                <w:szCs w:val="21"/>
                <w:highlight w:val="none"/>
              </w:rPr>
            </w:pPr>
            <w:r>
              <w:rPr>
                <w:szCs w:val="21"/>
                <w:highlight w:val="none"/>
              </w:rPr>
              <w:t>0.</w:t>
            </w:r>
            <w:r>
              <w:rPr>
                <w:rFonts w:hint="eastAsia"/>
                <w:szCs w:val="21"/>
                <w:highlight w:val="none"/>
                <w:lang w:val="en-US" w:eastAsia="zh-CN"/>
              </w:rPr>
              <w:t>5</w:t>
            </w:r>
            <w:r>
              <w:rPr>
                <w:szCs w:val="21"/>
                <w:highlight w:val="none"/>
              </w:rPr>
              <w:t>t/a</w:t>
            </w:r>
          </w:p>
        </w:tc>
        <w:tc>
          <w:tcPr>
            <w:tcW w:w="1286" w:type="dxa"/>
            <w:vAlign w:val="center"/>
          </w:tcPr>
          <w:p>
            <w:pPr>
              <w:jc w:val="center"/>
              <w:rPr>
                <w:szCs w:val="21"/>
                <w:highlight w:val="none"/>
              </w:rPr>
            </w:pPr>
            <w:r>
              <w:rPr>
                <w:rFonts w:hint="eastAsia"/>
                <w:szCs w:val="21"/>
                <w:highlight w:val="none"/>
                <w:lang w:val="en-US" w:eastAsia="zh-CN"/>
              </w:rPr>
              <w:t>0</w:t>
            </w:r>
            <w:r>
              <w:rPr>
                <w:szCs w:val="21"/>
                <w:highlight w:val="none"/>
              </w:rPr>
              <w:t xml:space="preserve"> 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vMerge w:val="continue"/>
            <w:vAlign w:val="center"/>
          </w:tcPr>
          <w:p>
            <w:pPr>
              <w:pStyle w:val="111"/>
              <w:spacing w:before="24" w:after="24" w:line="240" w:lineRule="auto"/>
              <w:rPr>
                <w:rFonts w:ascii="Times New Roman"/>
                <w:snapToGrid w:val="0"/>
                <w:kern w:val="21"/>
                <w:szCs w:val="21"/>
                <w:highlight w:val="none"/>
              </w:rPr>
            </w:pPr>
          </w:p>
        </w:tc>
        <w:tc>
          <w:tcPr>
            <w:tcW w:w="1597" w:type="dxa"/>
            <w:vAlign w:val="center"/>
          </w:tcPr>
          <w:p>
            <w:pPr>
              <w:pStyle w:val="111"/>
              <w:spacing w:beforeLines="0" w:afterLines="0" w:line="240" w:lineRule="auto"/>
              <w:rPr>
                <w:rFonts w:hint="default" w:ascii="Times New Roman" w:eastAsia="宋体"/>
                <w:szCs w:val="21"/>
                <w:highlight w:val="none"/>
                <w:lang w:val="en-US" w:eastAsia="zh-CN"/>
              </w:rPr>
            </w:pPr>
            <w:r>
              <w:rPr>
                <w:rFonts w:ascii="Times New Roman"/>
                <w:szCs w:val="21"/>
                <w:highlight w:val="none"/>
              </w:rPr>
              <w:t>废</w:t>
            </w:r>
            <w:r>
              <w:rPr>
                <w:rFonts w:hint="eastAsia" w:ascii="Times New Roman"/>
                <w:szCs w:val="21"/>
                <w:highlight w:val="none"/>
                <w:lang w:val="en-US" w:eastAsia="zh-CN"/>
              </w:rPr>
              <w:t>显影液及包装</w:t>
            </w:r>
          </w:p>
        </w:tc>
        <w:tc>
          <w:tcPr>
            <w:tcW w:w="1701" w:type="dxa"/>
            <w:vAlign w:val="center"/>
          </w:tcPr>
          <w:p>
            <w:pPr>
              <w:jc w:val="center"/>
              <w:rPr>
                <w:rFonts w:hint="default" w:eastAsia="宋体"/>
                <w:snapToGrid w:val="0"/>
                <w:kern w:val="21"/>
                <w:szCs w:val="21"/>
                <w:highlight w:val="none"/>
                <w:lang w:val="en-US" w:eastAsia="zh-CN"/>
              </w:rPr>
            </w:pPr>
            <w:r>
              <w:rPr>
                <w:rFonts w:hint="eastAsia"/>
                <w:snapToGrid w:val="0"/>
                <w:kern w:val="21"/>
                <w:szCs w:val="21"/>
                <w:highlight w:val="none"/>
                <w:lang w:val="en-US" w:eastAsia="zh-CN"/>
              </w:rPr>
              <w:t>0.5</w:t>
            </w:r>
            <w:r>
              <w:rPr>
                <w:bCs/>
                <w:szCs w:val="21"/>
                <w:highlight w:val="none"/>
              </w:rPr>
              <w:t>t/a</w:t>
            </w:r>
          </w:p>
        </w:tc>
        <w:tc>
          <w:tcPr>
            <w:tcW w:w="1276" w:type="dxa"/>
            <w:vAlign w:val="center"/>
          </w:tcPr>
          <w:p>
            <w:pPr>
              <w:jc w:val="center"/>
              <w:rPr>
                <w:snapToGrid w:val="0"/>
                <w:kern w:val="21"/>
                <w:szCs w:val="21"/>
                <w:highlight w:val="none"/>
              </w:rPr>
            </w:pPr>
            <w:r>
              <w:rPr>
                <w:snapToGrid w:val="0"/>
                <w:kern w:val="21"/>
                <w:szCs w:val="21"/>
                <w:highlight w:val="none"/>
              </w:rPr>
              <w:t>/</w:t>
            </w:r>
          </w:p>
        </w:tc>
        <w:tc>
          <w:tcPr>
            <w:tcW w:w="1701" w:type="dxa"/>
            <w:vAlign w:val="center"/>
          </w:tcPr>
          <w:p>
            <w:pPr>
              <w:jc w:val="center"/>
              <w:rPr>
                <w:snapToGrid w:val="0"/>
                <w:kern w:val="21"/>
                <w:szCs w:val="21"/>
                <w:highlight w:val="none"/>
              </w:rPr>
            </w:pPr>
            <w:r>
              <w:rPr>
                <w:snapToGrid w:val="0"/>
                <w:kern w:val="21"/>
                <w:szCs w:val="21"/>
                <w:highlight w:val="none"/>
              </w:rPr>
              <w:t>/</w:t>
            </w:r>
          </w:p>
        </w:tc>
        <w:tc>
          <w:tcPr>
            <w:tcW w:w="1559" w:type="dxa"/>
            <w:vAlign w:val="center"/>
          </w:tcPr>
          <w:p>
            <w:pPr>
              <w:jc w:val="center"/>
              <w:rPr>
                <w:rFonts w:hint="eastAsia" w:eastAsia="宋体"/>
                <w:szCs w:val="21"/>
                <w:highlight w:val="none"/>
                <w:lang w:eastAsia="zh-CN"/>
              </w:rPr>
            </w:pPr>
            <w:r>
              <w:rPr>
                <w:rFonts w:hint="eastAsia"/>
                <w:szCs w:val="21"/>
                <w:highlight w:val="none"/>
                <w:lang w:val="en-US" w:eastAsia="zh-CN"/>
              </w:rPr>
              <w:t>/</w:t>
            </w:r>
          </w:p>
        </w:tc>
        <w:tc>
          <w:tcPr>
            <w:tcW w:w="1761" w:type="dxa"/>
            <w:vAlign w:val="center"/>
          </w:tcPr>
          <w:p>
            <w:pPr>
              <w:jc w:val="center"/>
              <w:rPr>
                <w:snapToGrid w:val="0"/>
                <w:kern w:val="21"/>
                <w:szCs w:val="21"/>
                <w:highlight w:val="none"/>
              </w:rPr>
            </w:pPr>
            <w:r>
              <w:rPr>
                <w:rFonts w:hint="eastAsia"/>
                <w:snapToGrid w:val="0"/>
                <w:kern w:val="21"/>
                <w:szCs w:val="21"/>
                <w:highlight w:val="none"/>
                <w:lang w:val="en-US" w:eastAsia="zh-CN"/>
              </w:rPr>
              <w:t>0.5</w:t>
            </w:r>
            <w:r>
              <w:rPr>
                <w:bCs/>
                <w:szCs w:val="21"/>
                <w:highlight w:val="none"/>
              </w:rPr>
              <w:t>t/a</w:t>
            </w:r>
          </w:p>
        </w:tc>
        <w:tc>
          <w:tcPr>
            <w:tcW w:w="1499" w:type="dxa"/>
            <w:vAlign w:val="center"/>
          </w:tcPr>
          <w:p>
            <w:pPr>
              <w:jc w:val="center"/>
              <w:rPr>
                <w:szCs w:val="21"/>
                <w:highlight w:val="none"/>
              </w:rPr>
            </w:pPr>
            <w:r>
              <w:rPr>
                <w:rFonts w:hint="eastAsia"/>
                <w:szCs w:val="21"/>
                <w:highlight w:val="none"/>
                <w:lang w:val="en-US" w:eastAsia="zh-CN"/>
              </w:rPr>
              <w:t>/</w:t>
            </w:r>
          </w:p>
        </w:tc>
        <w:tc>
          <w:tcPr>
            <w:tcW w:w="1286" w:type="dxa"/>
            <w:vAlign w:val="center"/>
          </w:tcPr>
          <w:p>
            <w:pPr>
              <w:jc w:val="center"/>
              <w:rPr>
                <w:szCs w:val="21"/>
                <w:highlight w:val="none"/>
              </w:rPr>
            </w:pPr>
            <w:r>
              <w:rPr>
                <w:rFonts w:hint="eastAsia"/>
                <w:snapToGrid w:val="0"/>
                <w:kern w:val="21"/>
                <w:szCs w:val="21"/>
                <w:highlight w:val="none"/>
                <w:lang w:val="en-US" w:eastAsia="zh-CN"/>
              </w:rPr>
              <w:t>-0.5</w:t>
            </w:r>
            <w:r>
              <w:rPr>
                <w:bCs/>
                <w:szCs w:val="21"/>
                <w:highlight w:val="none"/>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vMerge w:val="continue"/>
            <w:vAlign w:val="center"/>
          </w:tcPr>
          <w:p>
            <w:pPr>
              <w:pStyle w:val="111"/>
              <w:spacing w:before="24" w:after="24" w:line="240" w:lineRule="auto"/>
              <w:rPr>
                <w:rFonts w:ascii="Times New Roman"/>
                <w:snapToGrid w:val="0"/>
                <w:kern w:val="21"/>
                <w:szCs w:val="21"/>
                <w:highlight w:val="none"/>
              </w:rPr>
            </w:pPr>
          </w:p>
        </w:tc>
        <w:tc>
          <w:tcPr>
            <w:tcW w:w="1597" w:type="dxa"/>
            <w:vAlign w:val="center"/>
          </w:tcPr>
          <w:p>
            <w:pPr>
              <w:pStyle w:val="111"/>
              <w:spacing w:beforeLines="0" w:afterLines="0" w:line="240" w:lineRule="auto"/>
              <w:rPr>
                <w:rFonts w:hint="default" w:ascii="Times New Roman" w:eastAsia="宋体"/>
                <w:szCs w:val="21"/>
                <w:highlight w:val="none"/>
                <w:lang w:val="en-US" w:eastAsia="zh-CN"/>
              </w:rPr>
            </w:pPr>
            <w:r>
              <w:rPr>
                <w:rFonts w:ascii="Times New Roman"/>
                <w:szCs w:val="21"/>
                <w:highlight w:val="none"/>
              </w:rPr>
              <w:t>废</w:t>
            </w:r>
            <w:r>
              <w:rPr>
                <w:rFonts w:hint="eastAsia" w:ascii="Times New Roman"/>
                <w:szCs w:val="21"/>
                <w:highlight w:val="none"/>
                <w:lang w:val="en-US" w:eastAsia="zh-CN"/>
              </w:rPr>
              <w:t>油墨及包装物</w:t>
            </w:r>
          </w:p>
        </w:tc>
        <w:tc>
          <w:tcPr>
            <w:tcW w:w="1701" w:type="dxa"/>
            <w:vAlign w:val="center"/>
          </w:tcPr>
          <w:p>
            <w:pPr>
              <w:jc w:val="center"/>
              <w:rPr>
                <w:rFonts w:hint="default" w:eastAsia="宋体"/>
                <w:snapToGrid w:val="0"/>
                <w:kern w:val="21"/>
                <w:szCs w:val="21"/>
                <w:highlight w:val="none"/>
                <w:lang w:val="en-US" w:eastAsia="zh-CN"/>
              </w:rPr>
            </w:pPr>
            <w:r>
              <w:rPr>
                <w:rFonts w:hint="eastAsia"/>
                <w:snapToGrid w:val="0"/>
                <w:kern w:val="21"/>
                <w:szCs w:val="21"/>
                <w:highlight w:val="none"/>
                <w:lang w:val="en-US" w:eastAsia="zh-CN"/>
              </w:rPr>
              <w:t>0.5</w:t>
            </w:r>
            <w:r>
              <w:rPr>
                <w:bCs/>
                <w:szCs w:val="21"/>
                <w:highlight w:val="none"/>
              </w:rPr>
              <w:t>t/a</w:t>
            </w:r>
          </w:p>
        </w:tc>
        <w:tc>
          <w:tcPr>
            <w:tcW w:w="1276" w:type="dxa"/>
            <w:vAlign w:val="center"/>
          </w:tcPr>
          <w:p>
            <w:pPr>
              <w:jc w:val="center"/>
              <w:rPr>
                <w:snapToGrid w:val="0"/>
                <w:kern w:val="21"/>
                <w:szCs w:val="21"/>
                <w:highlight w:val="none"/>
              </w:rPr>
            </w:pPr>
            <w:r>
              <w:rPr>
                <w:snapToGrid w:val="0"/>
                <w:kern w:val="21"/>
                <w:szCs w:val="21"/>
                <w:highlight w:val="none"/>
              </w:rPr>
              <w:t>/</w:t>
            </w:r>
          </w:p>
        </w:tc>
        <w:tc>
          <w:tcPr>
            <w:tcW w:w="1701" w:type="dxa"/>
            <w:vAlign w:val="center"/>
          </w:tcPr>
          <w:p>
            <w:pPr>
              <w:jc w:val="center"/>
              <w:rPr>
                <w:snapToGrid w:val="0"/>
                <w:kern w:val="21"/>
                <w:szCs w:val="21"/>
                <w:highlight w:val="none"/>
              </w:rPr>
            </w:pPr>
            <w:r>
              <w:rPr>
                <w:snapToGrid w:val="0"/>
                <w:kern w:val="21"/>
                <w:szCs w:val="21"/>
                <w:highlight w:val="none"/>
              </w:rPr>
              <w:t>/</w:t>
            </w:r>
          </w:p>
        </w:tc>
        <w:tc>
          <w:tcPr>
            <w:tcW w:w="1559" w:type="dxa"/>
            <w:vAlign w:val="center"/>
          </w:tcPr>
          <w:p>
            <w:pPr>
              <w:jc w:val="center"/>
              <w:rPr>
                <w:rFonts w:hint="eastAsia" w:eastAsia="宋体"/>
                <w:szCs w:val="21"/>
                <w:highlight w:val="none"/>
                <w:lang w:eastAsia="zh-CN"/>
              </w:rPr>
            </w:pPr>
            <w:r>
              <w:rPr>
                <w:rFonts w:hint="eastAsia"/>
                <w:szCs w:val="21"/>
                <w:highlight w:val="none"/>
                <w:lang w:val="en-US" w:eastAsia="zh-CN"/>
              </w:rPr>
              <w:t>/</w:t>
            </w:r>
          </w:p>
        </w:tc>
        <w:tc>
          <w:tcPr>
            <w:tcW w:w="1761" w:type="dxa"/>
            <w:vAlign w:val="center"/>
          </w:tcPr>
          <w:p>
            <w:pPr>
              <w:jc w:val="center"/>
              <w:rPr>
                <w:snapToGrid w:val="0"/>
                <w:kern w:val="21"/>
                <w:szCs w:val="21"/>
                <w:highlight w:val="none"/>
              </w:rPr>
            </w:pPr>
            <w:r>
              <w:rPr>
                <w:rFonts w:hint="eastAsia"/>
                <w:snapToGrid w:val="0"/>
                <w:kern w:val="21"/>
                <w:szCs w:val="21"/>
                <w:highlight w:val="none"/>
                <w:lang w:val="en-US" w:eastAsia="zh-CN"/>
              </w:rPr>
              <w:t>0.5</w:t>
            </w:r>
            <w:r>
              <w:rPr>
                <w:bCs/>
                <w:szCs w:val="21"/>
                <w:highlight w:val="none"/>
              </w:rPr>
              <w:t>t/a</w:t>
            </w:r>
          </w:p>
        </w:tc>
        <w:tc>
          <w:tcPr>
            <w:tcW w:w="1499" w:type="dxa"/>
            <w:vAlign w:val="center"/>
          </w:tcPr>
          <w:p>
            <w:pPr>
              <w:jc w:val="center"/>
              <w:rPr>
                <w:szCs w:val="21"/>
                <w:highlight w:val="none"/>
              </w:rPr>
            </w:pPr>
            <w:r>
              <w:rPr>
                <w:rFonts w:hint="eastAsia"/>
                <w:szCs w:val="21"/>
                <w:highlight w:val="none"/>
                <w:lang w:val="en-US" w:eastAsia="zh-CN"/>
              </w:rPr>
              <w:t>/</w:t>
            </w:r>
          </w:p>
        </w:tc>
        <w:tc>
          <w:tcPr>
            <w:tcW w:w="1286" w:type="dxa"/>
            <w:vAlign w:val="center"/>
          </w:tcPr>
          <w:p>
            <w:pPr>
              <w:jc w:val="center"/>
              <w:rPr>
                <w:szCs w:val="21"/>
                <w:highlight w:val="none"/>
              </w:rPr>
            </w:pPr>
            <w:r>
              <w:rPr>
                <w:rFonts w:hint="eastAsia"/>
                <w:snapToGrid w:val="0"/>
                <w:kern w:val="21"/>
                <w:szCs w:val="21"/>
                <w:highlight w:val="none"/>
                <w:lang w:val="en-US" w:eastAsia="zh-CN"/>
              </w:rPr>
              <w:t>-0.5</w:t>
            </w:r>
            <w:r>
              <w:rPr>
                <w:bCs/>
                <w:szCs w:val="21"/>
                <w:highlight w:val="none"/>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vMerge w:val="continue"/>
            <w:vAlign w:val="center"/>
          </w:tcPr>
          <w:p>
            <w:pPr>
              <w:pStyle w:val="111"/>
              <w:spacing w:before="24" w:after="24" w:line="240" w:lineRule="auto"/>
              <w:rPr>
                <w:rFonts w:ascii="Times New Roman"/>
                <w:snapToGrid w:val="0"/>
                <w:kern w:val="21"/>
                <w:szCs w:val="21"/>
                <w:highlight w:val="none"/>
              </w:rPr>
            </w:pPr>
          </w:p>
        </w:tc>
        <w:tc>
          <w:tcPr>
            <w:tcW w:w="1597" w:type="dxa"/>
            <w:vAlign w:val="center"/>
          </w:tcPr>
          <w:p>
            <w:pPr>
              <w:pStyle w:val="111"/>
              <w:spacing w:beforeLines="0" w:afterLines="0" w:line="240" w:lineRule="auto"/>
              <w:rPr>
                <w:rFonts w:hint="eastAsia" w:ascii="Times New Roman" w:eastAsia="宋体"/>
                <w:szCs w:val="21"/>
                <w:highlight w:val="none"/>
                <w:lang w:val="en-US" w:eastAsia="zh-CN"/>
              </w:rPr>
            </w:pPr>
            <w:r>
              <w:rPr>
                <w:rFonts w:hint="eastAsia" w:cs="Times New Roman"/>
                <w:szCs w:val="21"/>
                <w:highlight w:val="none"/>
                <w:lang w:val="en-US" w:eastAsia="zh-CN"/>
              </w:rPr>
              <w:t>制版冲洗水</w:t>
            </w:r>
          </w:p>
        </w:tc>
        <w:tc>
          <w:tcPr>
            <w:tcW w:w="1701" w:type="dxa"/>
            <w:vAlign w:val="center"/>
          </w:tcPr>
          <w:p>
            <w:pPr>
              <w:jc w:val="center"/>
              <w:rPr>
                <w:rFonts w:hint="default" w:eastAsia="宋体"/>
                <w:snapToGrid w:val="0"/>
                <w:kern w:val="21"/>
                <w:szCs w:val="21"/>
                <w:highlight w:val="none"/>
                <w:lang w:val="en-US" w:eastAsia="zh-CN"/>
              </w:rPr>
            </w:pPr>
            <w:r>
              <w:rPr>
                <w:rFonts w:hint="eastAsia"/>
                <w:snapToGrid w:val="0"/>
                <w:kern w:val="21"/>
                <w:szCs w:val="21"/>
                <w:highlight w:val="none"/>
                <w:lang w:val="en-US" w:eastAsia="zh-CN"/>
              </w:rPr>
              <w:t>0.2</w:t>
            </w:r>
            <w:r>
              <w:rPr>
                <w:bCs/>
                <w:szCs w:val="21"/>
                <w:highlight w:val="none"/>
              </w:rPr>
              <w:t>t/a</w:t>
            </w:r>
          </w:p>
        </w:tc>
        <w:tc>
          <w:tcPr>
            <w:tcW w:w="1276" w:type="dxa"/>
            <w:vAlign w:val="center"/>
          </w:tcPr>
          <w:p>
            <w:pPr>
              <w:jc w:val="center"/>
              <w:rPr>
                <w:rFonts w:hint="eastAsia" w:eastAsia="宋体"/>
                <w:snapToGrid w:val="0"/>
                <w:kern w:val="21"/>
                <w:szCs w:val="21"/>
                <w:highlight w:val="none"/>
                <w:lang w:val="en-US" w:eastAsia="zh-CN"/>
              </w:rPr>
            </w:pPr>
            <w:r>
              <w:rPr>
                <w:rFonts w:hint="eastAsia"/>
                <w:snapToGrid w:val="0"/>
                <w:kern w:val="21"/>
                <w:szCs w:val="21"/>
                <w:highlight w:val="none"/>
                <w:lang w:val="en-US" w:eastAsia="zh-CN"/>
              </w:rPr>
              <w:t>/</w:t>
            </w:r>
          </w:p>
        </w:tc>
        <w:tc>
          <w:tcPr>
            <w:tcW w:w="1701" w:type="dxa"/>
            <w:vAlign w:val="center"/>
          </w:tcPr>
          <w:p>
            <w:pPr>
              <w:jc w:val="center"/>
              <w:rPr>
                <w:rFonts w:hint="eastAsia" w:eastAsia="宋体"/>
                <w:snapToGrid w:val="0"/>
                <w:kern w:val="21"/>
                <w:szCs w:val="21"/>
                <w:highlight w:val="none"/>
                <w:lang w:val="en-US" w:eastAsia="zh-CN"/>
              </w:rPr>
            </w:pPr>
            <w:r>
              <w:rPr>
                <w:rFonts w:hint="eastAsia"/>
                <w:snapToGrid w:val="0"/>
                <w:kern w:val="21"/>
                <w:szCs w:val="21"/>
                <w:highlight w:val="none"/>
                <w:lang w:val="en-US" w:eastAsia="zh-CN"/>
              </w:rPr>
              <w:t>/</w:t>
            </w:r>
          </w:p>
        </w:tc>
        <w:tc>
          <w:tcPr>
            <w:tcW w:w="1559" w:type="dxa"/>
            <w:vAlign w:val="center"/>
          </w:tcPr>
          <w:p>
            <w:pPr>
              <w:jc w:val="center"/>
              <w:rPr>
                <w:rFonts w:hint="eastAsia" w:eastAsia="宋体"/>
                <w:szCs w:val="21"/>
                <w:highlight w:val="none"/>
                <w:lang w:val="en-US" w:eastAsia="zh-CN"/>
              </w:rPr>
            </w:pPr>
            <w:r>
              <w:rPr>
                <w:rFonts w:hint="eastAsia"/>
                <w:szCs w:val="21"/>
                <w:highlight w:val="none"/>
                <w:lang w:val="en-US" w:eastAsia="zh-CN"/>
              </w:rPr>
              <w:t>/</w:t>
            </w:r>
          </w:p>
        </w:tc>
        <w:tc>
          <w:tcPr>
            <w:tcW w:w="1761" w:type="dxa"/>
            <w:vAlign w:val="center"/>
          </w:tcPr>
          <w:p>
            <w:pPr>
              <w:jc w:val="center"/>
              <w:rPr>
                <w:rFonts w:hint="eastAsia" w:eastAsia="宋体"/>
                <w:szCs w:val="21"/>
                <w:highlight w:val="none"/>
                <w:lang w:val="en-US" w:eastAsia="zh-CN"/>
              </w:rPr>
            </w:pPr>
            <w:r>
              <w:rPr>
                <w:rFonts w:hint="eastAsia"/>
                <w:snapToGrid w:val="0"/>
                <w:kern w:val="21"/>
                <w:szCs w:val="21"/>
                <w:highlight w:val="none"/>
                <w:lang w:val="en-US" w:eastAsia="zh-CN"/>
              </w:rPr>
              <w:t>0.2</w:t>
            </w:r>
            <w:r>
              <w:rPr>
                <w:bCs/>
                <w:szCs w:val="21"/>
                <w:highlight w:val="none"/>
              </w:rPr>
              <w:t>t/a</w:t>
            </w:r>
          </w:p>
        </w:tc>
        <w:tc>
          <w:tcPr>
            <w:tcW w:w="1499" w:type="dxa"/>
            <w:vAlign w:val="center"/>
          </w:tcPr>
          <w:p>
            <w:pPr>
              <w:jc w:val="center"/>
              <w:rPr>
                <w:szCs w:val="21"/>
                <w:highlight w:val="none"/>
              </w:rPr>
            </w:pPr>
            <w:r>
              <w:rPr>
                <w:rFonts w:hint="eastAsia"/>
                <w:szCs w:val="21"/>
                <w:highlight w:val="none"/>
                <w:lang w:val="en-US" w:eastAsia="zh-CN"/>
              </w:rPr>
              <w:t>/</w:t>
            </w:r>
          </w:p>
        </w:tc>
        <w:tc>
          <w:tcPr>
            <w:tcW w:w="1286" w:type="dxa"/>
            <w:vAlign w:val="center"/>
          </w:tcPr>
          <w:p>
            <w:pPr>
              <w:jc w:val="center"/>
              <w:rPr>
                <w:szCs w:val="21"/>
                <w:highlight w:val="none"/>
              </w:rPr>
            </w:pPr>
            <w:r>
              <w:rPr>
                <w:rFonts w:hint="eastAsia"/>
                <w:snapToGrid w:val="0"/>
                <w:kern w:val="21"/>
                <w:szCs w:val="21"/>
                <w:highlight w:val="none"/>
                <w:lang w:val="en-US" w:eastAsia="zh-CN"/>
              </w:rPr>
              <w:t>-0.2</w:t>
            </w:r>
            <w:r>
              <w:rPr>
                <w:bCs/>
                <w:szCs w:val="21"/>
                <w:highlight w:val="none"/>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vMerge w:val="continue"/>
            <w:vAlign w:val="center"/>
          </w:tcPr>
          <w:p>
            <w:pPr>
              <w:pStyle w:val="111"/>
              <w:spacing w:before="24" w:after="24" w:line="240" w:lineRule="auto"/>
              <w:rPr>
                <w:rFonts w:ascii="Times New Roman"/>
                <w:snapToGrid w:val="0"/>
                <w:kern w:val="21"/>
                <w:szCs w:val="21"/>
                <w:highlight w:val="none"/>
              </w:rPr>
            </w:pPr>
          </w:p>
        </w:tc>
        <w:tc>
          <w:tcPr>
            <w:tcW w:w="1597" w:type="dxa"/>
            <w:vAlign w:val="center"/>
          </w:tcPr>
          <w:p>
            <w:pPr>
              <w:pStyle w:val="111"/>
              <w:spacing w:beforeLines="0" w:afterLines="0" w:line="240" w:lineRule="auto"/>
              <w:rPr>
                <w:rFonts w:ascii="Times New Roman"/>
                <w:szCs w:val="21"/>
                <w:highlight w:val="none"/>
              </w:rPr>
            </w:pPr>
            <w:r>
              <w:rPr>
                <w:rFonts w:hint="eastAsia" w:ascii="Times New Roman" w:hAnsi="Times New Roman" w:eastAsia="宋体" w:cs="Times New Roman"/>
                <w:szCs w:val="21"/>
                <w:highlight w:val="none"/>
                <w:lang w:val="en-US" w:eastAsia="zh-CN"/>
              </w:rPr>
              <w:t>废</w:t>
            </w:r>
            <w:r>
              <w:rPr>
                <w:rFonts w:hint="eastAsia" w:cs="Times New Roman"/>
                <w:szCs w:val="21"/>
                <w:highlight w:val="none"/>
                <w:lang w:val="en-US" w:eastAsia="zh-CN"/>
              </w:rPr>
              <w:t>CPT</w:t>
            </w:r>
            <w:r>
              <w:rPr>
                <w:rFonts w:hint="eastAsia" w:ascii="Times New Roman" w:hAnsi="Times New Roman" w:eastAsia="宋体" w:cs="Times New Roman"/>
                <w:szCs w:val="21"/>
                <w:highlight w:val="none"/>
                <w:lang w:val="en-US" w:eastAsia="zh-CN"/>
              </w:rPr>
              <w:t>版</w:t>
            </w:r>
          </w:p>
        </w:tc>
        <w:tc>
          <w:tcPr>
            <w:tcW w:w="1701" w:type="dxa"/>
            <w:vAlign w:val="center"/>
          </w:tcPr>
          <w:p>
            <w:pPr>
              <w:jc w:val="center"/>
              <w:rPr>
                <w:rFonts w:hint="default" w:eastAsia="宋体"/>
                <w:snapToGrid w:val="0"/>
                <w:kern w:val="21"/>
                <w:szCs w:val="21"/>
                <w:highlight w:val="none"/>
                <w:lang w:val="en-US" w:eastAsia="zh-CN"/>
              </w:rPr>
            </w:pPr>
            <w:r>
              <w:rPr>
                <w:rFonts w:hint="eastAsia"/>
                <w:snapToGrid w:val="0"/>
                <w:kern w:val="21"/>
                <w:szCs w:val="21"/>
                <w:highlight w:val="none"/>
                <w:lang w:val="en-US" w:eastAsia="zh-CN"/>
              </w:rPr>
              <w:t>0.3</w:t>
            </w:r>
            <w:r>
              <w:rPr>
                <w:bCs/>
                <w:szCs w:val="21"/>
                <w:highlight w:val="none"/>
              </w:rPr>
              <w:t>t/a</w:t>
            </w:r>
          </w:p>
        </w:tc>
        <w:tc>
          <w:tcPr>
            <w:tcW w:w="1276" w:type="dxa"/>
            <w:vAlign w:val="center"/>
          </w:tcPr>
          <w:p>
            <w:pPr>
              <w:jc w:val="center"/>
              <w:rPr>
                <w:rFonts w:hint="eastAsia" w:eastAsia="宋体"/>
                <w:snapToGrid w:val="0"/>
                <w:kern w:val="21"/>
                <w:szCs w:val="21"/>
                <w:highlight w:val="none"/>
                <w:lang w:val="en-US" w:eastAsia="zh-CN"/>
              </w:rPr>
            </w:pPr>
            <w:r>
              <w:rPr>
                <w:rFonts w:hint="eastAsia"/>
                <w:snapToGrid w:val="0"/>
                <w:kern w:val="21"/>
                <w:szCs w:val="21"/>
                <w:highlight w:val="none"/>
                <w:lang w:val="en-US" w:eastAsia="zh-CN"/>
              </w:rPr>
              <w:t>/</w:t>
            </w:r>
          </w:p>
        </w:tc>
        <w:tc>
          <w:tcPr>
            <w:tcW w:w="1701" w:type="dxa"/>
            <w:vAlign w:val="center"/>
          </w:tcPr>
          <w:p>
            <w:pPr>
              <w:jc w:val="center"/>
              <w:rPr>
                <w:rFonts w:hint="eastAsia" w:eastAsia="宋体"/>
                <w:snapToGrid w:val="0"/>
                <w:kern w:val="21"/>
                <w:szCs w:val="21"/>
                <w:highlight w:val="none"/>
                <w:lang w:val="en-US" w:eastAsia="zh-CN"/>
              </w:rPr>
            </w:pPr>
            <w:r>
              <w:rPr>
                <w:rFonts w:hint="eastAsia"/>
                <w:snapToGrid w:val="0"/>
                <w:kern w:val="21"/>
                <w:szCs w:val="21"/>
                <w:highlight w:val="none"/>
                <w:lang w:val="en-US" w:eastAsia="zh-CN"/>
              </w:rPr>
              <w:t>/</w:t>
            </w:r>
          </w:p>
        </w:tc>
        <w:tc>
          <w:tcPr>
            <w:tcW w:w="1559" w:type="dxa"/>
            <w:vAlign w:val="center"/>
          </w:tcPr>
          <w:p>
            <w:pPr>
              <w:jc w:val="center"/>
              <w:rPr>
                <w:rFonts w:hint="eastAsia" w:eastAsia="宋体"/>
                <w:szCs w:val="21"/>
                <w:highlight w:val="none"/>
                <w:lang w:val="en-US" w:eastAsia="zh-CN"/>
              </w:rPr>
            </w:pPr>
            <w:r>
              <w:rPr>
                <w:rFonts w:hint="eastAsia"/>
                <w:szCs w:val="21"/>
                <w:highlight w:val="none"/>
                <w:lang w:val="en-US" w:eastAsia="zh-CN"/>
              </w:rPr>
              <w:t>/</w:t>
            </w:r>
          </w:p>
        </w:tc>
        <w:tc>
          <w:tcPr>
            <w:tcW w:w="1761" w:type="dxa"/>
            <w:vAlign w:val="center"/>
          </w:tcPr>
          <w:p>
            <w:pPr>
              <w:jc w:val="center"/>
              <w:rPr>
                <w:rFonts w:hint="eastAsia" w:eastAsia="宋体"/>
                <w:szCs w:val="21"/>
                <w:highlight w:val="none"/>
                <w:lang w:val="en-US" w:eastAsia="zh-CN"/>
              </w:rPr>
            </w:pPr>
            <w:r>
              <w:rPr>
                <w:rFonts w:hint="eastAsia"/>
                <w:snapToGrid w:val="0"/>
                <w:kern w:val="21"/>
                <w:szCs w:val="21"/>
                <w:highlight w:val="none"/>
                <w:lang w:val="en-US" w:eastAsia="zh-CN"/>
              </w:rPr>
              <w:t>0.3</w:t>
            </w:r>
            <w:r>
              <w:rPr>
                <w:bCs/>
                <w:szCs w:val="21"/>
                <w:highlight w:val="none"/>
              </w:rPr>
              <w:t>t/a</w:t>
            </w:r>
          </w:p>
        </w:tc>
        <w:tc>
          <w:tcPr>
            <w:tcW w:w="1499" w:type="dxa"/>
            <w:vAlign w:val="center"/>
          </w:tcPr>
          <w:p>
            <w:pPr>
              <w:jc w:val="center"/>
              <w:rPr>
                <w:szCs w:val="21"/>
                <w:highlight w:val="none"/>
              </w:rPr>
            </w:pPr>
            <w:r>
              <w:rPr>
                <w:rFonts w:hint="eastAsia"/>
                <w:szCs w:val="21"/>
                <w:highlight w:val="none"/>
                <w:lang w:val="en-US" w:eastAsia="zh-CN"/>
              </w:rPr>
              <w:t>/</w:t>
            </w:r>
          </w:p>
        </w:tc>
        <w:tc>
          <w:tcPr>
            <w:tcW w:w="1286" w:type="dxa"/>
            <w:vAlign w:val="center"/>
          </w:tcPr>
          <w:p>
            <w:pPr>
              <w:jc w:val="center"/>
              <w:rPr>
                <w:szCs w:val="21"/>
                <w:highlight w:val="none"/>
              </w:rPr>
            </w:pPr>
            <w:r>
              <w:rPr>
                <w:rFonts w:hint="eastAsia"/>
                <w:snapToGrid w:val="0"/>
                <w:kern w:val="21"/>
                <w:szCs w:val="21"/>
                <w:highlight w:val="none"/>
                <w:lang w:val="en-US" w:eastAsia="zh-CN"/>
              </w:rPr>
              <w:t>-0.3</w:t>
            </w:r>
            <w:r>
              <w:rPr>
                <w:bCs/>
                <w:szCs w:val="21"/>
                <w:highlight w:val="none"/>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vMerge w:val="continue"/>
            <w:vAlign w:val="center"/>
          </w:tcPr>
          <w:p>
            <w:pPr>
              <w:pStyle w:val="111"/>
              <w:spacing w:before="24" w:after="24" w:line="240" w:lineRule="auto"/>
              <w:rPr>
                <w:rFonts w:ascii="Times New Roman"/>
                <w:snapToGrid w:val="0"/>
                <w:kern w:val="21"/>
                <w:szCs w:val="21"/>
                <w:highlight w:val="none"/>
              </w:rPr>
            </w:pPr>
          </w:p>
        </w:tc>
        <w:tc>
          <w:tcPr>
            <w:tcW w:w="1597" w:type="dxa"/>
            <w:shd w:val="clear" w:color="auto" w:fill="auto"/>
            <w:vAlign w:val="center"/>
          </w:tcPr>
          <w:p>
            <w:pPr>
              <w:pStyle w:val="111"/>
              <w:spacing w:beforeLines="0" w:afterLines="0" w:line="240" w:lineRule="auto"/>
              <w:rPr>
                <w:rFonts w:ascii="Times New Roman" w:hAnsi="Times New Roman" w:eastAsia="宋体" w:cs="Times New Roman"/>
                <w:kern w:val="0"/>
                <w:sz w:val="21"/>
                <w:szCs w:val="21"/>
                <w:highlight w:val="none"/>
                <w:lang w:val="en-US" w:eastAsia="zh-CN" w:bidi="ar-SA"/>
              </w:rPr>
            </w:pPr>
            <w:r>
              <w:rPr>
                <w:rFonts w:ascii="Times New Roman"/>
                <w:szCs w:val="21"/>
                <w:highlight w:val="none"/>
              </w:rPr>
              <w:t>废油桶</w:t>
            </w:r>
          </w:p>
        </w:tc>
        <w:tc>
          <w:tcPr>
            <w:tcW w:w="1701" w:type="dxa"/>
            <w:shd w:val="clear" w:color="auto" w:fill="auto"/>
            <w:vAlign w:val="center"/>
          </w:tcPr>
          <w:p>
            <w:pPr>
              <w:jc w:val="center"/>
              <w:rPr>
                <w:rFonts w:hint="eastAsia" w:ascii="Times New Roman" w:hAnsi="Times New Roman" w:eastAsia="宋体" w:cs="Times New Roman"/>
                <w:snapToGrid w:val="0"/>
                <w:kern w:val="21"/>
                <w:sz w:val="21"/>
                <w:szCs w:val="21"/>
                <w:highlight w:val="none"/>
                <w:lang w:val="en-US" w:eastAsia="zh-CN" w:bidi="ar-SA"/>
              </w:rPr>
            </w:pPr>
            <w:r>
              <w:rPr>
                <w:rFonts w:hint="eastAsia"/>
                <w:snapToGrid w:val="0"/>
                <w:kern w:val="21"/>
                <w:szCs w:val="21"/>
                <w:highlight w:val="none"/>
                <w:lang w:val="en-US" w:eastAsia="zh-CN"/>
              </w:rPr>
              <w:t>0.1</w:t>
            </w:r>
            <w:r>
              <w:rPr>
                <w:bCs/>
                <w:szCs w:val="21"/>
                <w:highlight w:val="none"/>
              </w:rPr>
              <w:t>t/a</w:t>
            </w:r>
          </w:p>
        </w:tc>
        <w:tc>
          <w:tcPr>
            <w:tcW w:w="1276" w:type="dxa"/>
            <w:shd w:val="clear" w:color="auto" w:fill="auto"/>
            <w:vAlign w:val="center"/>
          </w:tcPr>
          <w:p>
            <w:pPr>
              <w:jc w:val="center"/>
              <w:rPr>
                <w:rFonts w:ascii="Times New Roman" w:hAnsi="Times New Roman" w:eastAsia="宋体" w:cs="Times New Roman"/>
                <w:snapToGrid w:val="0"/>
                <w:kern w:val="21"/>
                <w:sz w:val="21"/>
                <w:szCs w:val="21"/>
                <w:highlight w:val="none"/>
                <w:lang w:val="en-US" w:eastAsia="zh-CN" w:bidi="ar-SA"/>
              </w:rPr>
            </w:pPr>
            <w:r>
              <w:rPr>
                <w:snapToGrid w:val="0"/>
                <w:kern w:val="21"/>
                <w:szCs w:val="21"/>
                <w:highlight w:val="none"/>
              </w:rPr>
              <w:t>/</w:t>
            </w:r>
          </w:p>
        </w:tc>
        <w:tc>
          <w:tcPr>
            <w:tcW w:w="1701" w:type="dxa"/>
            <w:vAlign w:val="center"/>
          </w:tcPr>
          <w:p>
            <w:pPr>
              <w:jc w:val="center"/>
              <w:rPr>
                <w:rFonts w:hint="eastAsia" w:eastAsia="宋体"/>
                <w:snapToGrid w:val="0"/>
                <w:kern w:val="21"/>
                <w:szCs w:val="21"/>
                <w:highlight w:val="none"/>
                <w:lang w:val="en-US" w:eastAsia="zh-CN"/>
              </w:rPr>
            </w:pPr>
            <w:r>
              <w:rPr>
                <w:rFonts w:hint="eastAsia"/>
                <w:snapToGrid w:val="0"/>
                <w:kern w:val="21"/>
                <w:szCs w:val="21"/>
                <w:highlight w:val="none"/>
                <w:lang w:val="en-US" w:eastAsia="zh-CN"/>
              </w:rPr>
              <w:t>/</w:t>
            </w:r>
          </w:p>
        </w:tc>
        <w:tc>
          <w:tcPr>
            <w:tcW w:w="1559" w:type="dxa"/>
            <w:vAlign w:val="center"/>
          </w:tcPr>
          <w:p>
            <w:pPr>
              <w:jc w:val="center"/>
              <w:rPr>
                <w:rFonts w:hint="eastAsia" w:eastAsia="宋体"/>
                <w:szCs w:val="21"/>
                <w:highlight w:val="none"/>
                <w:lang w:val="en-US" w:eastAsia="zh-CN"/>
              </w:rPr>
            </w:pPr>
            <w:r>
              <w:rPr>
                <w:rFonts w:hint="eastAsia"/>
                <w:szCs w:val="21"/>
                <w:highlight w:val="none"/>
                <w:lang w:val="en-US" w:eastAsia="zh-CN"/>
              </w:rPr>
              <w:t>/</w:t>
            </w:r>
          </w:p>
        </w:tc>
        <w:tc>
          <w:tcPr>
            <w:tcW w:w="1761" w:type="dxa"/>
            <w:vAlign w:val="center"/>
          </w:tcPr>
          <w:p>
            <w:pPr>
              <w:jc w:val="center"/>
              <w:rPr>
                <w:rFonts w:hint="eastAsia" w:eastAsia="宋体"/>
                <w:szCs w:val="21"/>
                <w:highlight w:val="none"/>
                <w:lang w:val="en-US" w:eastAsia="zh-CN"/>
              </w:rPr>
            </w:pPr>
            <w:r>
              <w:rPr>
                <w:rFonts w:hint="eastAsia"/>
                <w:snapToGrid w:val="0"/>
                <w:kern w:val="21"/>
                <w:szCs w:val="21"/>
                <w:highlight w:val="none"/>
                <w:lang w:val="en-US" w:eastAsia="zh-CN"/>
              </w:rPr>
              <w:t>0.1</w:t>
            </w:r>
            <w:r>
              <w:rPr>
                <w:bCs/>
                <w:szCs w:val="21"/>
                <w:highlight w:val="none"/>
              </w:rPr>
              <w:t>t/a</w:t>
            </w:r>
          </w:p>
        </w:tc>
        <w:tc>
          <w:tcPr>
            <w:tcW w:w="1499" w:type="dxa"/>
            <w:vAlign w:val="center"/>
          </w:tcPr>
          <w:p>
            <w:pPr>
              <w:jc w:val="center"/>
              <w:rPr>
                <w:szCs w:val="21"/>
                <w:highlight w:val="none"/>
              </w:rPr>
            </w:pPr>
            <w:r>
              <w:rPr>
                <w:rFonts w:hint="eastAsia"/>
                <w:szCs w:val="21"/>
                <w:highlight w:val="none"/>
                <w:lang w:val="en-US" w:eastAsia="zh-CN"/>
              </w:rPr>
              <w:t>/</w:t>
            </w:r>
          </w:p>
        </w:tc>
        <w:tc>
          <w:tcPr>
            <w:tcW w:w="1286" w:type="dxa"/>
            <w:vAlign w:val="center"/>
          </w:tcPr>
          <w:p>
            <w:pPr>
              <w:jc w:val="center"/>
              <w:rPr>
                <w:szCs w:val="21"/>
                <w:highlight w:val="none"/>
              </w:rPr>
            </w:pPr>
            <w:r>
              <w:rPr>
                <w:rFonts w:hint="eastAsia"/>
                <w:snapToGrid w:val="0"/>
                <w:kern w:val="21"/>
                <w:szCs w:val="21"/>
                <w:highlight w:val="none"/>
                <w:lang w:val="en-US" w:eastAsia="zh-CN"/>
              </w:rPr>
              <w:t>-0.1</w:t>
            </w:r>
            <w:r>
              <w:rPr>
                <w:bCs/>
                <w:szCs w:val="21"/>
                <w:highlight w:val="none"/>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08" w:type="dxa"/>
            <w:vMerge w:val="continue"/>
            <w:vAlign w:val="center"/>
          </w:tcPr>
          <w:p>
            <w:pPr>
              <w:pStyle w:val="111"/>
              <w:spacing w:before="24" w:after="24" w:line="240" w:lineRule="auto"/>
              <w:rPr>
                <w:rFonts w:ascii="Times New Roman"/>
                <w:snapToGrid w:val="0"/>
                <w:kern w:val="21"/>
                <w:szCs w:val="21"/>
                <w:highlight w:val="none"/>
              </w:rPr>
            </w:pPr>
          </w:p>
        </w:tc>
        <w:tc>
          <w:tcPr>
            <w:tcW w:w="1597" w:type="dxa"/>
            <w:vAlign w:val="center"/>
          </w:tcPr>
          <w:p>
            <w:pPr>
              <w:pStyle w:val="111"/>
              <w:spacing w:beforeLines="0" w:afterLines="0" w:line="240" w:lineRule="auto"/>
              <w:rPr>
                <w:rFonts w:hint="default" w:ascii="Times New Roman" w:eastAsia="宋体"/>
                <w:szCs w:val="21"/>
                <w:highlight w:val="none"/>
                <w:lang w:val="en-US" w:eastAsia="zh-CN"/>
              </w:rPr>
            </w:pPr>
            <w:r>
              <w:rPr>
                <w:rFonts w:hint="eastAsia" w:ascii="Times New Roman"/>
                <w:szCs w:val="21"/>
                <w:highlight w:val="none"/>
                <w:lang w:val="en-US" w:eastAsia="zh-CN"/>
              </w:rPr>
              <w:t>废活性炭</w:t>
            </w:r>
          </w:p>
        </w:tc>
        <w:tc>
          <w:tcPr>
            <w:tcW w:w="1701" w:type="dxa"/>
            <w:vAlign w:val="center"/>
          </w:tcPr>
          <w:p>
            <w:pPr>
              <w:jc w:val="center"/>
              <w:rPr>
                <w:rFonts w:hint="eastAsia" w:eastAsia="宋体"/>
                <w:snapToGrid w:val="0"/>
                <w:kern w:val="21"/>
                <w:szCs w:val="21"/>
                <w:highlight w:val="none"/>
                <w:lang w:val="en-US" w:eastAsia="zh-CN"/>
              </w:rPr>
            </w:pPr>
            <w:r>
              <w:rPr>
                <w:rFonts w:hint="eastAsia"/>
                <w:bCs/>
                <w:szCs w:val="21"/>
                <w:highlight w:val="none"/>
                <w:lang w:val="en-US" w:eastAsia="zh-CN"/>
              </w:rPr>
              <w:t>/</w:t>
            </w:r>
          </w:p>
        </w:tc>
        <w:tc>
          <w:tcPr>
            <w:tcW w:w="1276" w:type="dxa"/>
            <w:vAlign w:val="center"/>
          </w:tcPr>
          <w:p>
            <w:pPr>
              <w:jc w:val="center"/>
              <w:rPr>
                <w:rFonts w:hint="eastAsia" w:eastAsia="宋体"/>
                <w:snapToGrid w:val="0"/>
                <w:kern w:val="21"/>
                <w:szCs w:val="21"/>
                <w:highlight w:val="none"/>
                <w:lang w:val="en-US" w:eastAsia="zh-CN"/>
              </w:rPr>
            </w:pPr>
            <w:r>
              <w:rPr>
                <w:rFonts w:hint="eastAsia"/>
                <w:snapToGrid w:val="0"/>
                <w:kern w:val="21"/>
                <w:szCs w:val="21"/>
                <w:highlight w:val="none"/>
                <w:lang w:val="en-US" w:eastAsia="zh-CN"/>
              </w:rPr>
              <w:t>/</w:t>
            </w:r>
          </w:p>
        </w:tc>
        <w:tc>
          <w:tcPr>
            <w:tcW w:w="1701" w:type="dxa"/>
            <w:vAlign w:val="center"/>
          </w:tcPr>
          <w:p>
            <w:pPr>
              <w:jc w:val="center"/>
              <w:rPr>
                <w:snapToGrid w:val="0"/>
                <w:kern w:val="21"/>
                <w:szCs w:val="21"/>
                <w:highlight w:val="none"/>
              </w:rPr>
            </w:pPr>
            <w:r>
              <w:rPr>
                <w:snapToGrid w:val="0"/>
                <w:kern w:val="21"/>
                <w:szCs w:val="21"/>
                <w:highlight w:val="none"/>
              </w:rPr>
              <w:t>/</w:t>
            </w:r>
          </w:p>
        </w:tc>
        <w:tc>
          <w:tcPr>
            <w:tcW w:w="1559" w:type="dxa"/>
            <w:vAlign w:val="center"/>
          </w:tcPr>
          <w:p>
            <w:pPr>
              <w:jc w:val="center"/>
              <w:rPr>
                <w:szCs w:val="21"/>
                <w:highlight w:val="none"/>
              </w:rPr>
            </w:pPr>
            <w:r>
              <w:rPr>
                <w:rFonts w:hint="eastAsia"/>
                <w:szCs w:val="21"/>
                <w:highlight w:val="none"/>
                <w:lang w:val="en-US" w:eastAsia="zh-CN"/>
              </w:rPr>
              <w:t>5.46</w:t>
            </w:r>
            <w:r>
              <w:rPr>
                <w:szCs w:val="21"/>
                <w:highlight w:val="none"/>
              </w:rPr>
              <w:t xml:space="preserve"> t/a</w:t>
            </w:r>
          </w:p>
        </w:tc>
        <w:tc>
          <w:tcPr>
            <w:tcW w:w="1761" w:type="dxa"/>
            <w:vAlign w:val="center"/>
          </w:tcPr>
          <w:p>
            <w:pPr>
              <w:jc w:val="center"/>
              <w:rPr>
                <w:snapToGrid w:val="0"/>
                <w:kern w:val="21"/>
                <w:szCs w:val="21"/>
                <w:highlight w:val="none"/>
              </w:rPr>
            </w:pPr>
            <w:r>
              <w:rPr>
                <w:szCs w:val="21"/>
                <w:highlight w:val="none"/>
              </w:rPr>
              <w:t>/</w:t>
            </w:r>
          </w:p>
        </w:tc>
        <w:tc>
          <w:tcPr>
            <w:tcW w:w="1499" w:type="dxa"/>
            <w:vAlign w:val="center"/>
          </w:tcPr>
          <w:p>
            <w:pPr>
              <w:jc w:val="center"/>
              <w:rPr>
                <w:szCs w:val="21"/>
                <w:highlight w:val="none"/>
              </w:rPr>
            </w:pPr>
            <w:r>
              <w:rPr>
                <w:rFonts w:hint="eastAsia"/>
                <w:szCs w:val="21"/>
                <w:highlight w:val="none"/>
                <w:lang w:val="en-US" w:eastAsia="zh-CN"/>
              </w:rPr>
              <w:t>5.46</w:t>
            </w:r>
            <w:r>
              <w:rPr>
                <w:szCs w:val="21"/>
                <w:highlight w:val="none"/>
              </w:rPr>
              <w:t xml:space="preserve"> t/a</w:t>
            </w:r>
          </w:p>
        </w:tc>
        <w:tc>
          <w:tcPr>
            <w:tcW w:w="1286" w:type="dxa"/>
            <w:vAlign w:val="center"/>
          </w:tcPr>
          <w:p>
            <w:pPr>
              <w:jc w:val="center"/>
              <w:rPr>
                <w:szCs w:val="21"/>
                <w:highlight w:val="none"/>
              </w:rPr>
            </w:pPr>
            <w:r>
              <w:rPr>
                <w:szCs w:val="21"/>
                <w:highlight w:val="none"/>
              </w:rPr>
              <w:t>+</w:t>
            </w:r>
            <w:r>
              <w:rPr>
                <w:rFonts w:hint="eastAsia"/>
                <w:szCs w:val="21"/>
                <w:highlight w:val="none"/>
                <w:lang w:val="en-US" w:eastAsia="zh-CN"/>
              </w:rPr>
              <w:t>5.46</w:t>
            </w:r>
            <w:r>
              <w:rPr>
                <w:szCs w:val="21"/>
                <w:highlight w:val="none"/>
              </w:rPr>
              <w:t xml:space="preserve"> t/a</w:t>
            </w:r>
          </w:p>
        </w:tc>
      </w:tr>
    </w:tbl>
    <w:p>
      <w:pPr>
        <w:pStyle w:val="111"/>
        <w:spacing w:before="192" w:beforeLines="80" w:after="24"/>
        <w:jc w:val="left"/>
        <w:rPr>
          <w:rFonts w:hAnsi="宋体" w:eastAsia="黑体"/>
        </w:rPr>
      </w:pPr>
      <w:r>
        <w:rPr>
          <w:rFonts w:hAnsi="宋体"/>
          <w:snapToGrid w:val="0"/>
          <w:kern w:val="21"/>
          <w:szCs w:val="21"/>
        </w:rPr>
        <w:t>注：</w:t>
      </w:r>
      <w:r>
        <w:rPr>
          <w:rFonts w:hAnsi="宋体"/>
          <w:snapToGrid w:val="0"/>
          <w:spacing w:val="-16"/>
          <w:kern w:val="21"/>
          <w:szCs w:val="21"/>
        </w:rPr>
        <w:fldChar w:fldCharType="begin"/>
      </w:r>
      <w:r>
        <w:rPr>
          <w:rFonts w:hAnsi="宋体"/>
          <w:snapToGrid w:val="0"/>
          <w:spacing w:val="-16"/>
          <w:kern w:val="21"/>
          <w:szCs w:val="21"/>
        </w:rPr>
        <w:instrText xml:space="preserve"> = 6 \* GB3 \* MERGEFORMAT </w:instrText>
      </w:r>
      <w:r>
        <w:rPr>
          <w:rFonts w:hAnsi="宋体"/>
          <w:snapToGrid w:val="0"/>
          <w:spacing w:val="-16"/>
          <w:kern w:val="21"/>
          <w:szCs w:val="21"/>
        </w:rPr>
        <w:fldChar w:fldCharType="separate"/>
      </w:r>
      <w:r>
        <w:rPr>
          <w:rFonts w:hint="eastAsia" w:hAnsi="宋体"/>
          <w:szCs w:val="21"/>
        </w:rPr>
        <w:t>⑥</w:t>
      </w:r>
      <w:r>
        <w:rPr>
          <w:rFonts w:hAnsi="宋体"/>
          <w:snapToGrid w:val="0"/>
          <w:spacing w:val="-16"/>
          <w:kern w:val="21"/>
          <w:szCs w:val="21"/>
        </w:rPr>
        <w:fldChar w:fldCharType="end"/>
      </w:r>
      <w:r>
        <w:rPr>
          <w:rFonts w:hAnsi="宋体"/>
          <w:snapToGrid w:val="0"/>
          <w:spacing w:val="-16"/>
          <w:kern w:val="21"/>
          <w:szCs w:val="21"/>
        </w:rPr>
        <w:t>=</w:t>
      </w:r>
      <w:r>
        <w:rPr>
          <w:rFonts w:hAnsi="宋体"/>
          <w:snapToGrid w:val="0"/>
          <w:spacing w:val="-6"/>
          <w:kern w:val="21"/>
          <w:szCs w:val="21"/>
        </w:rPr>
        <w:fldChar w:fldCharType="begin"/>
      </w:r>
      <w:r>
        <w:rPr>
          <w:rFonts w:hAnsi="宋体"/>
          <w:snapToGrid w:val="0"/>
          <w:spacing w:val="-6"/>
          <w:kern w:val="21"/>
          <w:szCs w:val="21"/>
        </w:rPr>
        <w:instrText xml:space="preserve"> = 1 \* GB3 \* MERGEFORMAT </w:instrText>
      </w:r>
      <w:r>
        <w:rPr>
          <w:rFonts w:hAnsi="宋体"/>
          <w:snapToGrid w:val="0"/>
          <w:spacing w:val="-6"/>
          <w:kern w:val="21"/>
          <w:szCs w:val="21"/>
        </w:rPr>
        <w:fldChar w:fldCharType="separate"/>
      </w:r>
      <w:r>
        <w:rPr>
          <w:rFonts w:hint="eastAsia" w:hAnsi="宋体"/>
          <w:szCs w:val="21"/>
        </w:rPr>
        <w:t>①</w:t>
      </w:r>
      <w:r>
        <w:rPr>
          <w:rFonts w:hAnsi="宋体"/>
          <w:snapToGrid w:val="0"/>
          <w:spacing w:val="-6"/>
          <w:kern w:val="21"/>
          <w:szCs w:val="21"/>
        </w:rPr>
        <w:fldChar w:fldCharType="end"/>
      </w:r>
      <w:r>
        <w:rPr>
          <w:rFonts w:hAnsi="宋体"/>
          <w:snapToGrid w:val="0"/>
          <w:spacing w:val="-6"/>
          <w:kern w:val="21"/>
          <w:szCs w:val="21"/>
        </w:rPr>
        <w:t>+</w:t>
      </w:r>
      <w:r>
        <w:rPr>
          <w:rFonts w:hAnsi="宋体"/>
          <w:snapToGrid w:val="0"/>
          <w:spacing w:val="-6"/>
          <w:kern w:val="21"/>
          <w:szCs w:val="21"/>
        </w:rPr>
        <w:fldChar w:fldCharType="begin"/>
      </w:r>
      <w:r>
        <w:rPr>
          <w:rFonts w:hAnsi="宋体"/>
          <w:snapToGrid w:val="0"/>
          <w:spacing w:val="-6"/>
          <w:kern w:val="21"/>
          <w:szCs w:val="21"/>
        </w:rPr>
        <w:instrText xml:space="preserve"> = 3 \* GB3 \* MERGEFORMAT </w:instrText>
      </w:r>
      <w:r>
        <w:rPr>
          <w:rFonts w:hAnsi="宋体"/>
          <w:snapToGrid w:val="0"/>
          <w:spacing w:val="-6"/>
          <w:kern w:val="21"/>
          <w:szCs w:val="21"/>
        </w:rPr>
        <w:fldChar w:fldCharType="separate"/>
      </w:r>
      <w:r>
        <w:rPr>
          <w:rFonts w:hint="eastAsia" w:hAnsi="宋体"/>
          <w:szCs w:val="21"/>
        </w:rPr>
        <w:t>③</w:t>
      </w:r>
      <w:r>
        <w:rPr>
          <w:rFonts w:hAnsi="宋体"/>
          <w:snapToGrid w:val="0"/>
          <w:spacing w:val="-6"/>
          <w:kern w:val="21"/>
          <w:szCs w:val="21"/>
        </w:rPr>
        <w:fldChar w:fldCharType="end"/>
      </w:r>
      <w:r>
        <w:rPr>
          <w:rFonts w:hAnsi="宋体"/>
          <w:snapToGrid w:val="0"/>
          <w:spacing w:val="-6"/>
          <w:kern w:val="21"/>
          <w:szCs w:val="21"/>
        </w:rPr>
        <w:t>+</w:t>
      </w:r>
      <w:r>
        <w:rPr>
          <w:rFonts w:hAnsi="宋体"/>
          <w:snapToGrid w:val="0"/>
          <w:spacing w:val="-6"/>
          <w:kern w:val="21"/>
          <w:szCs w:val="21"/>
        </w:rPr>
        <w:fldChar w:fldCharType="begin"/>
      </w:r>
      <w:r>
        <w:rPr>
          <w:rFonts w:hAnsi="宋体"/>
          <w:snapToGrid w:val="0"/>
          <w:spacing w:val="-6"/>
          <w:kern w:val="21"/>
          <w:szCs w:val="21"/>
        </w:rPr>
        <w:instrText xml:space="preserve"> = 4 \* GB3 \* MERGEFORMAT </w:instrText>
      </w:r>
      <w:r>
        <w:rPr>
          <w:rFonts w:hAnsi="宋体"/>
          <w:snapToGrid w:val="0"/>
          <w:spacing w:val="-6"/>
          <w:kern w:val="21"/>
          <w:szCs w:val="21"/>
        </w:rPr>
        <w:fldChar w:fldCharType="separate"/>
      </w:r>
      <w:r>
        <w:rPr>
          <w:rFonts w:hint="eastAsia" w:hAnsi="宋体"/>
          <w:szCs w:val="21"/>
        </w:rPr>
        <w:t>④</w:t>
      </w:r>
      <w:r>
        <w:rPr>
          <w:rFonts w:hAnsi="宋体"/>
          <w:snapToGrid w:val="0"/>
          <w:spacing w:val="-6"/>
          <w:kern w:val="21"/>
          <w:szCs w:val="21"/>
        </w:rPr>
        <w:fldChar w:fldCharType="end"/>
      </w:r>
      <w:r>
        <w:rPr>
          <w:rFonts w:hAnsi="宋体"/>
          <w:snapToGrid w:val="0"/>
          <w:spacing w:val="-6"/>
          <w:kern w:val="21"/>
          <w:szCs w:val="21"/>
        </w:rPr>
        <w:t>-</w:t>
      </w:r>
      <w:r>
        <w:rPr>
          <w:rFonts w:hAnsi="宋体"/>
          <w:snapToGrid w:val="0"/>
          <w:spacing w:val="-16"/>
          <w:kern w:val="21"/>
          <w:szCs w:val="21"/>
        </w:rPr>
        <w:fldChar w:fldCharType="begin"/>
      </w:r>
      <w:r>
        <w:rPr>
          <w:rFonts w:hAnsi="宋体"/>
          <w:snapToGrid w:val="0"/>
          <w:spacing w:val="-16"/>
          <w:kern w:val="21"/>
          <w:szCs w:val="21"/>
        </w:rPr>
        <w:instrText xml:space="preserve"> = 5 \* GB3 \* MERGEFORMAT </w:instrText>
      </w:r>
      <w:r>
        <w:rPr>
          <w:rFonts w:hAnsi="宋体"/>
          <w:snapToGrid w:val="0"/>
          <w:spacing w:val="-16"/>
          <w:kern w:val="21"/>
          <w:szCs w:val="21"/>
        </w:rPr>
        <w:fldChar w:fldCharType="separate"/>
      </w:r>
      <w:r>
        <w:rPr>
          <w:rFonts w:hint="eastAsia" w:hAnsi="宋体"/>
          <w:szCs w:val="21"/>
        </w:rPr>
        <w:t>⑤</w:t>
      </w:r>
      <w:r>
        <w:rPr>
          <w:rFonts w:hAnsi="宋体"/>
          <w:snapToGrid w:val="0"/>
          <w:spacing w:val="-16"/>
          <w:kern w:val="21"/>
          <w:szCs w:val="21"/>
        </w:rPr>
        <w:fldChar w:fldCharType="end"/>
      </w:r>
      <w:r>
        <w:rPr>
          <w:rFonts w:hAnsi="宋体"/>
          <w:snapToGrid w:val="0"/>
          <w:spacing w:val="-16"/>
          <w:kern w:val="21"/>
          <w:szCs w:val="21"/>
        </w:rPr>
        <w:t>；</w:t>
      </w:r>
      <w:r>
        <w:rPr>
          <w:rFonts w:hAnsi="宋体"/>
          <w:snapToGrid w:val="0"/>
          <w:spacing w:val="-6"/>
          <w:kern w:val="21"/>
          <w:szCs w:val="21"/>
        </w:rPr>
        <w:fldChar w:fldCharType="begin"/>
      </w:r>
      <w:r>
        <w:rPr>
          <w:rFonts w:hAnsi="宋体"/>
          <w:snapToGrid w:val="0"/>
          <w:spacing w:val="-6"/>
          <w:kern w:val="21"/>
          <w:szCs w:val="21"/>
        </w:rPr>
        <w:instrText xml:space="preserve"> = 7 \* GB3 \* MERGEFORMAT </w:instrText>
      </w:r>
      <w:r>
        <w:rPr>
          <w:rFonts w:hAnsi="宋体"/>
          <w:snapToGrid w:val="0"/>
          <w:spacing w:val="-6"/>
          <w:kern w:val="21"/>
          <w:szCs w:val="21"/>
        </w:rPr>
        <w:fldChar w:fldCharType="separate"/>
      </w:r>
      <w:r>
        <w:rPr>
          <w:rFonts w:hint="eastAsia" w:hAnsi="宋体"/>
          <w:szCs w:val="21"/>
        </w:rPr>
        <w:t>⑦</w:t>
      </w:r>
      <w:r>
        <w:rPr>
          <w:rFonts w:hAnsi="宋体"/>
          <w:snapToGrid w:val="0"/>
          <w:spacing w:val="-6"/>
          <w:kern w:val="21"/>
          <w:szCs w:val="21"/>
        </w:rPr>
        <w:fldChar w:fldCharType="end"/>
      </w:r>
      <w:r>
        <w:rPr>
          <w:rFonts w:hAnsi="宋体"/>
          <w:snapToGrid w:val="0"/>
          <w:spacing w:val="-6"/>
          <w:kern w:val="21"/>
          <w:szCs w:val="21"/>
        </w:rPr>
        <w:t>=</w:t>
      </w:r>
      <w:r>
        <w:rPr>
          <w:rFonts w:hAnsi="宋体"/>
          <w:snapToGrid w:val="0"/>
          <w:spacing w:val="-16"/>
          <w:kern w:val="21"/>
          <w:szCs w:val="21"/>
        </w:rPr>
        <w:fldChar w:fldCharType="begin"/>
      </w:r>
      <w:r>
        <w:rPr>
          <w:rFonts w:hAnsi="宋体"/>
          <w:snapToGrid w:val="0"/>
          <w:spacing w:val="-16"/>
          <w:kern w:val="21"/>
          <w:szCs w:val="21"/>
        </w:rPr>
        <w:instrText xml:space="preserve"> = 6 \* GB3 \* MERGEFORMAT </w:instrText>
      </w:r>
      <w:r>
        <w:rPr>
          <w:rFonts w:hAnsi="宋体"/>
          <w:snapToGrid w:val="0"/>
          <w:spacing w:val="-16"/>
          <w:kern w:val="21"/>
          <w:szCs w:val="21"/>
        </w:rPr>
        <w:fldChar w:fldCharType="separate"/>
      </w:r>
      <w:r>
        <w:rPr>
          <w:rFonts w:hint="eastAsia" w:hAnsi="宋体"/>
          <w:szCs w:val="21"/>
        </w:rPr>
        <w:t>⑥</w:t>
      </w:r>
      <w:r>
        <w:rPr>
          <w:rFonts w:hAnsi="宋体"/>
          <w:snapToGrid w:val="0"/>
          <w:spacing w:val="-16"/>
          <w:kern w:val="21"/>
          <w:szCs w:val="21"/>
        </w:rPr>
        <w:fldChar w:fldCharType="end"/>
      </w:r>
      <w:r>
        <w:rPr>
          <w:rFonts w:hAnsi="宋体"/>
          <w:snapToGrid w:val="0"/>
          <w:spacing w:val="-16"/>
          <w:kern w:val="21"/>
          <w:szCs w:val="21"/>
        </w:rPr>
        <w:t>-</w:t>
      </w:r>
      <w:r>
        <w:rPr>
          <w:rFonts w:hAnsi="宋体"/>
          <w:snapToGrid w:val="0"/>
          <w:spacing w:val="-6"/>
          <w:kern w:val="21"/>
          <w:szCs w:val="21"/>
        </w:rPr>
        <w:fldChar w:fldCharType="begin"/>
      </w:r>
      <w:r>
        <w:rPr>
          <w:rFonts w:hAnsi="宋体"/>
          <w:snapToGrid w:val="0"/>
          <w:spacing w:val="-6"/>
          <w:kern w:val="21"/>
          <w:szCs w:val="21"/>
        </w:rPr>
        <w:instrText xml:space="preserve"> = 1 \* GB3 \* MERGEFORMAT </w:instrText>
      </w:r>
      <w:r>
        <w:rPr>
          <w:rFonts w:hAnsi="宋体"/>
          <w:snapToGrid w:val="0"/>
          <w:spacing w:val="-6"/>
          <w:kern w:val="21"/>
          <w:szCs w:val="21"/>
        </w:rPr>
        <w:fldChar w:fldCharType="separate"/>
      </w:r>
      <w:r>
        <w:rPr>
          <w:rFonts w:hint="eastAsia" w:hAnsi="宋体"/>
          <w:szCs w:val="21"/>
        </w:rPr>
        <w:t>①</w:t>
      </w:r>
      <w:r>
        <w:rPr>
          <w:rFonts w:hAnsi="宋体"/>
          <w:snapToGrid w:val="0"/>
          <w:spacing w:val="-6"/>
          <w:kern w:val="21"/>
          <w:szCs w:val="21"/>
        </w:rPr>
        <w:fldChar w:fldCharType="end"/>
      </w:r>
    </w:p>
    <w:sectPr>
      <w:footerReference r:id="rId8" w:type="default"/>
      <w:pgSz w:w="16838" w:h="11906" w:orient="landscape"/>
      <w:pgMar w:top="1531" w:right="1701" w:bottom="1531" w:left="1701" w:header="851" w:footer="851" w:gutter="0"/>
      <w:pgNumType w:fmt="decimal"/>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Microsoft YaHei UI">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华文中宋">
    <w:panose1 w:val="02010600040101010101"/>
    <w:charset w:val="86"/>
    <w:family w:val="auto"/>
    <w:pitch w:val="default"/>
    <w:sig w:usb0="00000287" w:usb1="080F0000" w:usb2="00000000" w:usb3="00000000" w:csb0="0004009F" w:csb1="DFD70000"/>
  </w:font>
  <w:font w:name="华康简仿宋">
    <w:altName w:val="宋体"/>
    <w:panose1 w:val="00000000000000000000"/>
    <w:charset w:val="86"/>
    <w:family w:val="moder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7"/>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7"/>
      <w:framePr w:wrap="around" w:vAnchor="text" w:hAnchor="margin" w:xAlign="center" w:y="1"/>
      <w:rPr>
        <w:rStyle w:val="93"/>
      </w:rPr>
    </w:pPr>
    <w:r>
      <w:fldChar w:fldCharType="begin"/>
    </w:r>
    <w:r>
      <w:rPr>
        <w:rStyle w:val="93"/>
      </w:rPr>
      <w:instrText xml:space="preserve">PAGE  </w:instrText>
    </w:r>
    <w:r>
      <w:fldChar w:fldCharType="end"/>
    </w:r>
  </w:p>
  <w:p>
    <w:pPr>
      <w:pStyle w:val="57"/>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7"/>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VMiuIUAgAAFQ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NUyK4hQCAAAVBAAADgAAAAAAAAAB&#10;ACAAAAAfAQAAZHJzL2Uyb0RvYy54bWxQSwUGAAAAAAYABgBZAQAApQUAAAAA&#10;">
              <v:fill on="f" focussize="0,0"/>
              <v:stroke on="f" weight="0.5pt"/>
              <v:imagedata o:title=""/>
              <o:lock v:ext="edit" aspectratio="f"/>
              <v:textbox inset="0mm,0mm,0mm,0mm" style="mso-fit-shape-to-text:t;">
                <w:txbxContent>
                  <w:p>
                    <w:pPr>
                      <w:pStyle w:val="57"/>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7"/>
      <w:ind w:right="360" w:firstLine="36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7"/>
                          </w:pPr>
                          <w:r>
                            <w:fldChar w:fldCharType="begin"/>
                          </w:r>
                          <w:r>
                            <w:instrText xml:space="preserve"> PAGE  \* MERGEFORMAT </w:instrText>
                          </w:r>
                          <w:r>
                            <w:fldChar w:fldCharType="separate"/>
                          </w:r>
                          <w:r>
                            <w:t>49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HfkHQ0VAgAAFQQAAA4AAAAAAAAA&#10;AQAgAAAAHwEAAGRycy9lMm9Eb2MueG1sUEsFBgAAAAAGAAYAWQEAAKYFAAAAAA==&#10;">
              <v:fill on="f" focussize="0,0"/>
              <v:stroke on="f" weight="0.5pt"/>
              <v:imagedata o:title=""/>
              <o:lock v:ext="edit" aspectratio="f"/>
              <v:textbox inset="0mm,0mm,0mm,0mm" style="mso-fit-shape-to-text:t;">
                <w:txbxContent>
                  <w:p>
                    <w:pPr>
                      <w:pStyle w:val="57"/>
                    </w:pPr>
                    <w:r>
                      <w:fldChar w:fldCharType="begin"/>
                    </w:r>
                    <w:r>
                      <w:instrText xml:space="preserve"> PAGE  \* MERGEFORMAT </w:instrText>
                    </w:r>
                    <w:r>
                      <w:fldChar w:fldCharType="separate"/>
                    </w:r>
                    <w:r>
                      <w:t>49</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7"/>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7"/>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Hq3aO4VAgAAFQQAAA4AAAAAAAAA&#10;AQAgAAAAHwEAAGRycy9lMm9Eb2MueG1sUEsFBgAAAAAGAAYAWQEAAKYFAAAAAA==&#10;">
              <v:fill on="f" focussize="0,0"/>
              <v:stroke on="f" weight="0.5pt"/>
              <v:imagedata o:title=""/>
              <o:lock v:ext="edit" aspectratio="f"/>
              <v:textbox inset="0mm,0mm,0mm,0mm" style="mso-fit-shape-to-text:t;">
                <w:txbxContent>
                  <w:p>
                    <w:pPr>
                      <w:pStyle w:val="57"/>
                    </w:pPr>
                    <w:r>
                      <w:fldChar w:fldCharType="begin"/>
                    </w:r>
                    <w:r>
                      <w:instrText xml:space="preserve"> PAGE  \* MERGEFORMAT </w:instrText>
                    </w:r>
                    <w:r>
                      <w:fldChar w:fldCharType="separate"/>
                    </w:r>
                    <w:r>
                      <w:t>53</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FFFFFF7C"/>
    <w:lvl w:ilvl="0" w:tentative="0">
      <w:start w:val="1"/>
      <w:numFmt w:val="decimal"/>
      <w:pStyle w:val="67"/>
      <w:lvlText w:val="%1."/>
      <w:lvlJc w:val="left"/>
      <w:pPr>
        <w:tabs>
          <w:tab w:val="left" w:pos="2040"/>
        </w:tabs>
        <w:ind w:left="2040" w:leftChars="800" w:hanging="360" w:hangingChars="200"/>
      </w:pPr>
    </w:lvl>
  </w:abstractNum>
  <w:abstractNum w:abstractNumId="1">
    <w:nsid w:val="FFFFFF7D"/>
    <w:multiLevelType w:val="singleLevel"/>
    <w:tmpl w:val="FFFFFF7D"/>
    <w:lvl w:ilvl="0" w:tentative="0">
      <w:start w:val="1"/>
      <w:numFmt w:val="decimal"/>
      <w:pStyle w:val="49"/>
      <w:lvlText w:val="%1."/>
      <w:lvlJc w:val="left"/>
      <w:pPr>
        <w:tabs>
          <w:tab w:val="left" w:pos="1620"/>
        </w:tabs>
        <w:ind w:left="1620" w:leftChars="600" w:hanging="360" w:hangingChars="200"/>
      </w:pPr>
    </w:lvl>
  </w:abstractNum>
  <w:abstractNum w:abstractNumId="2">
    <w:nsid w:val="FFFFFF7E"/>
    <w:multiLevelType w:val="singleLevel"/>
    <w:tmpl w:val="FFFFFF7E"/>
    <w:lvl w:ilvl="0" w:tentative="0">
      <w:start w:val="1"/>
      <w:numFmt w:val="decimal"/>
      <w:pStyle w:val="38"/>
      <w:lvlText w:val="%1."/>
      <w:lvlJc w:val="left"/>
      <w:pPr>
        <w:tabs>
          <w:tab w:val="left" w:pos="1200"/>
        </w:tabs>
        <w:ind w:left="1200" w:leftChars="400" w:hanging="360" w:hangingChars="200"/>
      </w:pPr>
    </w:lvl>
  </w:abstractNum>
  <w:abstractNum w:abstractNumId="3">
    <w:nsid w:val="FFFFFF7F"/>
    <w:multiLevelType w:val="singleLevel"/>
    <w:tmpl w:val="FFFFFF7F"/>
    <w:lvl w:ilvl="0" w:tentative="0">
      <w:start w:val="1"/>
      <w:numFmt w:val="decimal"/>
      <w:pStyle w:val="14"/>
      <w:lvlText w:val="%1."/>
      <w:lvlJc w:val="left"/>
      <w:pPr>
        <w:tabs>
          <w:tab w:val="left" w:pos="780"/>
        </w:tabs>
        <w:ind w:left="780" w:leftChars="200" w:hanging="360" w:hangingChars="200"/>
      </w:pPr>
    </w:lvl>
  </w:abstractNum>
  <w:abstractNum w:abstractNumId="4">
    <w:nsid w:val="FFFFFF80"/>
    <w:multiLevelType w:val="singleLevel"/>
    <w:tmpl w:val="FFFFFF80"/>
    <w:lvl w:ilvl="0" w:tentative="0">
      <w:start w:val="1"/>
      <w:numFmt w:val="bullet"/>
      <w:pStyle w:val="48"/>
      <w:lvlText w:val=""/>
      <w:lvlJc w:val="left"/>
      <w:pPr>
        <w:tabs>
          <w:tab w:val="left" w:pos="2040"/>
        </w:tabs>
        <w:ind w:left="2040" w:leftChars="800" w:hanging="360" w:hangingChars="200"/>
      </w:pPr>
      <w:rPr>
        <w:rFonts w:hint="default" w:ascii="Wingdings" w:hAnsi="Wingdings"/>
      </w:rPr>
    </w:lvl>
  </w:abstractNum>
  <w:abstractNum w:abstractNumId="5">
    <w:nsid w:val="FFFFFF81"/>
    <w:multiLevelType w:val="singleLevel"/>
    <w:tmpl w:val="FFFFFF81"/>
    <w:lvl w:ilvl="0" w:tentative="0">
      <w:start w:val="1"/>
      <w:numFmt w:val="bullet"/>
      <w:pStyle w:val="17"/>
      <w:lvlText w:val=""/>
      <w:lvlJc w:val="left"/>
      <w:pPr>
        <w:tabs>
          <w:tab w:val="left" w:pos="1620"/>
        </w:tabs>
        <w:ind w:left="1620" w:leftChars="600" w:hanging="360" w:hangingChars="200"/>
      </w:pPr>
      <w:rPr>
        <w:rFonts w:hint="default" w:ascii="Wingdings" w:hAnsi="Wingdings"/>
      </w:rPr>
    </w:lvl>
  </w:abstractNum>
  <w:abstractNum w:abstractNumId="6">
    <w:nsid w:val="FFFFFF82"/>
    <w:multiLevelType w:val="singleLevel"/>
    <w:tmpl w:val="FFFFFF82"/>
    <w:lvl w:ilvl="0" w:tentative="0">
      <w:start w:val="1"/>
      <w:numFmt w:val="bullet"/>
      <w:pStyle w:val="36"/>
      <w:lvlText w:val=""/>
      <w:lvlJc w:val="left"/>
      <w:pPr>
        <w:tabs>
          <w:tab w:val="left" w:pos="1200"/>
        </w:tabs>
        <w:ind w:left="1200" w:leftChars="400" w:hanging="360" w:hangingChars="200"/>
      </w:pPr>
      <w:rPr>
        <w:rFonts w:hint="default" w:ascii="Wingdings" w:hAnsi="Wingdings"/>
      </w:rPr>
    </w:lvl>
  </w:abstractNum>
  <w:abstractNum w:abstractNumId="7">
    <w:nsid w:val="FFFFFF83"/>
    <w:multiLevelType w:val="singleLevel"/>
    <w:tmpl w:val="FFFFFF83"/>
    <w:lvl w:ilvl="0" w:tentative="0">
      <w:start w:val="1"/>
      <w:numFmt w:val="bullet"/>
      <w:pStyle w:val="42"/>
      <w:lvlText w:val=""/>
      <w:lvlJc w:val="left"/>
      <w:pPr>
        <w:tabs>
          <w:tab w:val="left" w:pos="780"/>
        </w:tabs>
        <w:ind w:left="780" w:leftChars="200" w:hanging="360" w:hangingChars="200"/>
      </w:pPr>
      <w:rPr>
        <w:rFonts w:hint="default" w:ascii="Wingdings" w:hAnsi="Wingdings"/>
      </w:rPr>
    </w:lvl>
  </w:abstractNum>
  <w:abstractNum w:abstractNumId="8">
    <w:nsid w:val="FFFFFF88"/>
    <w:multiLevelType w:val="singleLevel"/>
    <w:tmpl w:val="FFFFFF88"/>
    <w:lvl w:ilvl="0" w:tentative="0">
      <w:start w:val="1"/>
      <w:numFmt w:val="decimal"/>
      <w:pStyle w:val="20"/>
      <w:lvlText w:val="%1."/>
      <w:lvlJc w:val="left"/>
      <w:pPr>
        <w:tabs>
          <w:tab w:val="left" w:pos="360"/>
        </w:tabs>
        <w:ind w:left="360" w:hanging="360" w:hangingChars="200"/>
      </w:pPr>
    </w:lvl>
  </w:abstractNum>
  <w:abstractNum w:abstractNumId="9">
    <w:nsid w:val="FFFFFF89"/>
    <w:multiLevelType w:val="singleLevel"/>
    <w:tmpl w:val="FFFFFF89"/>
    <w:lvl w:ilvl="0" w:tentative="0">
      <w:start w:val="1"/>
      <w:numFmt w:val="bullet"/>
      <w:pStyle w:val="27"/>
      <w:lvlText w:val=""/>
      <w:lvlJc w:val="left"/>
      <w:pPr>
        <w:tabs>
          <w:tab w:val="left" w:pos="360"/>
        </w:tabs>
        <w:ind w:left="360" w:hanging="360" w:hangingChars="200"/>
      </w:pPr>
      <w:rPr>
        <w:rFonts w:hint="default" w:ascii="Wingdings" w:hAnsi="Wingdings"/>
      </w:rPr>
    </w:lvl>
  </w:abstractNum>
  <w:num w:numId="1">
    <w:abstractNumId w:val="3"/>
  </w:num>
  <w:num w:numId="2">
    <w:abstractNumId w:val="5"/>
  </w:num>
  <w:num w:numId="3">
    <w:abstractNumId w:val="8"/>
  </w:num>
  <w:num w:numId="4">
    <w:abstractNumId w:val="9"/>
  </w:num>
  <w:num w:numId="5">
    <w:abstractNumId w:val="6"/>
  </w:num>
  <w:num w:numId="6">
    <w:abstractNumId w:val="2"/>
  </w:num>
  <w:num w:numId="7">
    <w:abstractNumId w:val="7"/>
  </w:num>
  <w:num w:numId="8">
    <w:abstractNumId w:val="4"/>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doNotHyphenateCaps/>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01DA"/>
    <w:rsid w:val="00000515"/>
    <w:rsid w:val="00000CAF"/>
    <w:rsid w:val="00001BFA"/>
    <w:rsid w:val="00001BFC"/>
    <w:rsid w:val="00001FC4"/>
    <w:rsid w:val="000032C0"/>
    <w:rsid w:val="000033AB"/>
    <w:rsid w:val="00003907"/>
    <w:rsid w:val="00003962"/>
    <w:rsid w:val="0000495C"/>
    <w:rsid w:val="00005AF4"/>
    <w:rsid w:val="00005CB0"/>
    <w:rsid w:val="000060B3"/>
    <w:rsid w:val="0000620C"/>
    <w:rsid w:val="00006996"/>
    <w:rsid w:val="00007073"/>
    <w:rsid w:val="000071E1"/>
    <w:rsid w:val="00007E8F"/>
    <w:rsid w:val="00011413"/>
    <w:rsid w:val="00012709"/>
    <w:rsid w:val="000132FB"/>
    <w:rsid w:val="00014202"/>
    <w:rsid w:val="00015326"/>
    <w:rsid w:val="000158E7"/>
    <w:rsid w:val="00017A85"/>
    <w:rsid w:val="00017DB6"/>
    <w:rsid w:val="0002002E"/>
    <w:rsid w:val="000207A2"/>
    <w:rsid w:val="000209A2"/>
    <w:rsid w:val="000219D2"/>
    <w:rsid w:val="00021D9B"/>
    <w:rsid w:val="00022937"/>
    <w:rsid w:val="00022E34"/>
    <w:rsid w:val="00025208"/>
    <w:rsid w:val="00026466"/>
    <w:rsid w:val="00026BB1"/>
    <w:rsid w:val="00026BB4"/>
    <w:rsid w:val="00027091"/>
    <w:rsid w:val="000274A7"/>
    <w:rsid w:val="00027E47"/>
    <w:rsid w:val="00030867"/>
    <w:rsid w:val="00030BAB"/>
    <w:rsid w:val="00030CC0"/>
    <w:rsid w:val="00030CC5"/>
    <w:rsid w:val="00033158"/>
    <w:rsid w:val="00033C1F"/>
    <w:rsid w:val="00034D3A"/>
    <w:rsid w:val="00034DA7"/>
    <w:rsid w:val="00036FFA"/>
    <w:rsid w:val="00037569"/>
    <w:rsid w:val="00037B4B"/>
    <w:rsid w:val="00037CDF"/>
    <w:rsid w:val="00040F4E"/>
    <w:rsid w:val="00041A00"/>
    <w:rsid w:val="00042014"/>
    <w:rsid w:val="00042D58"/>
    <w:rsid w:val="00042DF1"/>
    <w:rsid w:val="00042EA9"/>
    <w:rsid w:val="00043034"/>
    <w:rsid w:val="000434E7"/>
    <w:rsid w:val="0004364B"/>
    <w:rsid w:val="0004468A"/>
    <w:rsid w:val="00044F38"/>
    <w:rsid w:val="00047EC8"/>
    <w:rsid w:val="00050B29"/>
    <w:rsid w:val="00051304"/>
    <w:rsid w:val="0005156B"/>
    <w:rsid w:val="000517AE"/>
    <w:rsid w:val="00051999"/>
    <w:rsid w:val="00052EE9"/>
    <w:rsid w:val="0005308C"/>
    <w:rsid w:val="00055613"/>
    <w:rsid w:val="00055DDD"/>
    <w:rsid w:val="000562F5"/>
    <w:rsid w:val="000570DA"/>
    <w:rsid w:val="00057827"/>
    <w:rsid w:val="00061AB6"/>
    <w:rsid w:val="00061B1F"/>
    <w:rsid w:val="00062205"/>
    <w:rsid w:val="0006246F"/>
    <w:rsid w:val="00062CC3"/>
    <w:rsid w:val="000635B1"/>
    <w:rsid w:val="00063ED7"/>
    <w:rsid w:val="00064BBE"/>
    <w:rsid w:val="00065003"/>
    <w:rsid w:val="00066AE7"/>
    <w:rsid w:val="000671C0"/>
    <w:rsid w:val="0006797C"/>
    <w:rsid w:val="00070415"/>
    <w:rsid w:val="0007211C"/>
    <w:rsid w:val="0007261D"/>
    <w:rsid w:val="000731EC"/>
    <w:rsid w:val="000733C4"/>
    <w:rsid w:val="00073433"/>
    <w:rsid w:val="00073BB7"/>
    <w:rsid w:val="00073E66"/>
    <w:rsid w:val="00074075"/>
    <w:rsid w:val="00074783"/>
    <w:rsid w:val="00074877"/>
    <w:rsid w:val="00080511"/>
    <w:rsid w:val="0008070B"/>
    <w:rsid w:val="00080829"/>
    <w:rsid w:val="000810AC"/>
    <w:rsid w:val="0008177C"/>
    <w:rsid w:val="000817C2"/>
    <w:rsid w:val="00081A02"/>
    <w:rsid w:val="00082231"/>
    <w:rsid w:val="00083106"/>
    <w:rsid w:val="00083A21"/>
    <w:rsid w:val="00084069"/>
    <w:rsid w:val="000841B5"/>
    <w:rsid w:val="00084714"/>
    <w:rsid w:val="000848C3"/>
    <w:rsid w:val="00084ED7"/>
    <w:rsid w:val="00085345"/>
    <w:rsid w:val="00085AA5"/>
    <w:rsid w:val="00086902"/>
    <w:rsid w:val="00087720"/>
    <w:rsid w:val="00087F2F"/>
    <w:rsid w:val="00092847"/>
    <w:rsid w:val="00092894"/>
    <w:rsid w:val="00092D38"/>
    <w:rsid w:val="0009377B"/>
    <w:rsid w:val="000937EA"/>
    <w:rsid w:val="00093CF1"/>
    <w:rsid w:val="00094D8B"/>
    <w:rsid w:val="0009554B"/>
    <w:rsid w:val="00095A8F"/>
    <w:rsid w:val="00096065"/>
    <w:rsid w:val="000968BB"/>
    <w:rsid w:val="00096A91"/>
    <w:rsid w:val="00097B89"/>
    <w:rsid w:val="000A05AC"/>
    <w:rsid w:val="000A20C9"/>
    <w:rsid w:val="000A27B9"/>
    <w:rsid w:val="000A331C"/>
    <w:rsid w:val="000A3B64"/>
    <w:rsid w:val="000A44B6"/>
    <w:rsid w:val="000A4653"/>
    <w:rsid w:val="000A5613"/>
    <w:rsid w:val="000A5C23"/>
    <w:rsid w:val="000A737C"/>
    <w:rsid w:val="000B058F"/>
    <w:rsid w:val="000B101B"/>
    <w:rsid w:val="000B2506"/>
    <w:rsid w:val="000B34D7"/>
    <w:rsid w:val="000B3828"/>
    <w:rsid w:val="000B3C7F"/>
    <w:rsid w:val="000B4467"/>
    <w:rsid w:val="000B47D7"/>
    <w:rsid w:val="000B48A0"/>
    <w:rsid w:val="000B4D3E"/>
    <w:rsid w:val="000B4DB9"/>
    <w:rsid w:val="000B5379"/>
    <w:rsid w:val="000B547D"/>
    <w:rsid w:val="000B5AAB"/>
    <w:rsid w:val="000B65FA"/>
    <w:rsid w:val="000B766F"/>
    <w:rsid w:val="000B7BFF"/>
    <w:rsid w:val="000C032B"/>
    <w:rsid w:val="000C09AC"/>
    <w:rsid w:val="000C0DFC"/>
    <w:rsid w:val="000C1321"/>
    <w:rsid w:val="000C1D5A"/>
    <w:rsid w:val="000C2008"/>
    <w:rsid w:val="000C3B95"/>
    <w:rsid w:val="000C3CCA"/>
    <w:rsid w:val="000C4D7E"/>
    <w:rsid w:val="000C672E"/>
    <w:rsid w:val="000C73E5"/>
    <w:rsid w:val="000C767F"/>
    <w:rsid w:val="000C7B73"/>
    <w:rsid w:val="000C7FCD"/>
    <w:rsid w:val="000D03F7"/>
    <w:rsid w:val="000D16F3"/>
    <w:rsid w:val="000D1D3F"/>
    <w:rsid w:val="000D2193"/>
    <w:rsid w:val="000D251E"/>
    <w:rsid w:val="000D2685"/>
    <w:rsid w:val="000D26D6"/>
    <w:rsid w:val="000D3E60"/>
    <w:rsid w:val="000D4336"/>
    <w:rsid w:val="000D5A44"/>
    <w:rsid w:val="000E11E7"/>
    <w:rsid w:val="000E1883"/>
    <w:rsid w:val="000E1A75"/>
    <w:rsid w:val="000E1BF1"/>
    <w:rsid w:val="000E1FD0"/>
    <w:rsid w:val="000E20F0"/>
    <w:rsid w:val="000E348B"/>
    <w:rsid w:val="000E3ED2"/>
    <w:rsid w:val="000E6934"/>
    <w:rsid w:val="000E6974"/>
    <w:rsid w:val="000E69A5"/>
    <w:rsid w:val="000E6EC5"/>
    <w:rsid w:val="000E71D7"/>
    <w:rsid w:val="000E7254"/>
    <w:rsid w:val="000E72FD"/>
    <w:rsid w:val="000E7FA0"/>
    <w:rsid w:val="000F0980"/>
    <w:rsid w:val="000F0E03"/>
    <w:rsid w:val="000F1C66"/>
    <w:rsid w:val="000F247E"/>
    <w:rsid w:val="000F3692"/>
    <w:rsid w:val="000F3CE5"/>
    <w:rsid w:val="000F4864"/>
    <w:rsid w:val="000F555C"/>
    <w:rsid w:val="000F63C7"/>
    <w:rsid w:val="000F645C"/>
    <w:rsid w:val="000F6574"/>
    <w:rsid w:val="000F6D6D"/>
    <w:rsid w:val="000F73C1"/>
    <w:rsid w:val="000F787E"/>
    <w:rsid w:val="000F7976"/>
    <w:rsid w:val="00100317"/>
    <w:rsid w:val="001008F0"/>
    <w:rsid w:val="00100D09"/>
    <w:rsid w:val="00100D40"/>
    <w:rsid w:val="001027CE"/>
    <w:rsid w:val="001035B2"/>
    <w:rsid w:val="00105090"/>
    <w:rsid w:val="00106233"/>
    <w:rsid w:val="0010629C"/>
    <w:rsid w:val="001066C4"/>
    <w:rsid w:val="001069C5"/>
    <w:rsid w:val="00106A89"/>
    <w:rsid w:val="00107EED"/>
    <w:rsid w:val="0011015B"/>
    <w:rsid w:val="001104B5"/>
    <w:rsid w:val="00111ABD"/>
    <w:rsid w:val="00112C5D"/>
    <w:rsid w:val="0011324C"/>
    <w:rsid w:val="00113642"/>
    <w:rsid w:val="00113886"/>
    <w:rsid w:val="00114052"/>
    <w:rsid w:val="00114A6E"/>
    <w:rsid w:val="00114CE2"/>
    <w:rsid w:val="00115B57"/>
    <w:rsid w:val="00115E2D"/>
    <w:rsid w:val="00116D23"/>
    <w:rsid w:val="0011754D"/>
    <w:rsid w:val="00117E07"/>
    <w:rsid w:val="00120298"/>
    <w:rsid w:val="001204FF"/>
    <w:rsid w:val="0012082D"/>
    <w:rsid w:val="00120B5E"/>
    <w:rsid w:val="00127A84"/>
    <w:rsid w:val="00130ED3"/>
    <w:rsid w:val="00131F42"/>
    <w:rsid w:val="0013387E"/>
    <w:rsid w:val="00134700"/>
    <w:rsid w:val="001354BC"/>
    <w:rsid w:val="001357F1"/>
    <w:rsid w:val="00135E83"/>
    <w:rsid w:val="00135EAD"/>
    <w:rsid w:val="00135FF1"/>
    <w:rsid w:val="0013631C"/>
    <w:rsid w:val="00136E81"/>
    <w:rsid w:val="0014072B"/>
    <w:rsid w:val="00140FA8"/>
    <w:rsid w:val="00141E7A"/>
    <w:rsid w:val="00142AFE"/>
    <w:rsid w:val="00142C9F"/>
    <w:rsid w:val="00142FEB"/>
    <w:rsid w:val="00143A2D"/>
    <w:rsid w:val="00143EC1"/>
    <w:rsid w:val="001446AF"/>
    <w:rsid w:val="001448FD"/>
    <w:rsid w:val="00144CC5"/>
    <w:rsid w:val="001457A8"/>
    <w:rsid w:val="00145A41"/>
    <w:rsid w:val="00146531"/>
    <w:rsid w:val="001474BB"/>
    <w:rsid w:val="0015001F"/>
    <w:rsid w:val="00150902"/>
    <w:rsid w:val="0015117F"/>
    <w:rsid w:val="00151420"/>
    <w:rsid w:val="001515D1"/>
    <w:rsid w:val="00151675"/>
    <w:rsid w:val="001523FB"/>
    <w:rsid w:val="001525D9"/>
    <w:rsid w:val="00153BA6"/>
    <w:rsid w:val="00155831"/>
    <w:rsid w:val="00155862"/>
    <w:rsid w:val="001568C0"/>
    <w:rsid w:val="00157435"/>
    <w:rsid w:val="00157781"/>
    <w:rsid w:val="00157EAC"/>
    <w:rsid w:val="0016033B"/>
    <w:rsid w:val="00160B71"/>
    <w:rsid w:val="00161409"/>
    <w:rsid w:val="0016344D"/>
    <w:rsid w:val="00164621"/>
    <w:rsid w:val="001650B1"/>
    <w:rsid w:val="00165CC9"/>
    <w:rsid w:val="00165D40"/>
    <w:rsid w:val="00167245"/>
    <w:rsid w:val="0017073D"/>
    <w:rsid w:val="00170C36"/>
    <w:rsid w:val="00171184"/>
    <w:rsid w:val="00173DF5"/>
    <w:rsid w:val="00174058"/>
    <w:rsid w:val="0017422A"/>
    <w:rsid w:val="0017497E"/>
    <w:rsid w:val="00174A65"/>
    <w:rsid w:val="0017504D"/>
    <w:rsid w:val="0017520E"/>
    <w:rsid w:val="00175594"/>
    <w:rsid w:val="0017671A"/>
    <w:rsid w:val="00177422"/>
    <w:rsid w:val="0017779C"/>
    <w:rsid w:val="001809A3"/>
    <w:rsid w:val="00180BE6"/>
    <w:rsid w:val="00180E4D"/>
    <w:rsid w:val="001814DF"/>
    <w:rsid w:val="00181AFA"/>
    <w:rsid w:val="00181FCA"/>
    <w:rsid w:val="00182AC8"/>
    <w:rsid w:val="00182FE2"/>
    <w:rsid w:val="0018403C"/>
    <w:rsid w:val="00184590"/>
    <w:rsid w:val="001851C4"/>
    <w:rsid w:val="001870D1"/>
    <w:rsid w:val="00187722"/>
    <w:rsid w:val="0018781E"/>
    <w:rsid w:val="00187C87"/>
    <w:rsid w:val="00190907"/>
    <w:rsid w:val="0019262D"/>
    <w:rsid w:val="00192882"/>
    <w:rsid w:val="00192B1E"/>
    <w:rsid w:val="00193272"/>
    <w:rsid w:val="00193292"/>
    <w:rsid w:val="00193502"/>
    <w:rsid w:val="001939EC"/>
    <w:rsid w:val="00193A93"/>
    <w:rsid w:val="00193A98"/>
    <w:rsid w:val="0019418F"/>
    <w:rsid w:val="00194918"/>
    <w:rsid w:val="0019556F"/>
    <w:rsid w:val="001958BD"/>
    <w:rsid w:val="00195B51"/>
    <w:rsid w:val="00195DE4"/>
    <w:rsid w:val="00196D87"/>
    <w:rsid w:val="00197005"/>
    <w:rsid w:val="001976DB"/>
    <w:rsid w:val="00197B53"/>
    <w:rsid w:val="001A062D"/>
    <w:rsid w:val="001A0EA3"/>
    <w:rsid w:val="001A111E"/>
    <w:rsid w:val="001A11C1"/>
    <w:rsid w:val="001A1B35"/>
    <w:rsid w:val="001A2754"/>
    <w:rsid w:val="001A2EF7"/>
    <w:rsid w:val="001A31BE"/>
    <w:rsid w:val="001A48A2"/>
    <w:rsid w:val="001A4FC0"/>
    <w:rsid w:val="001A6404"/>
    <w:rsid w:val="001A6879"/>
    <w:rsid w:val="001A6AFE"/>
    <w:rsid w:val="001A6E37"/>
    <w:rsid w:val="001A6F61"/>
    <w:rsid w:val="001A70F1"/>
    <w:rsid w:val="001A778F"/>
    <w:rsid w:val="001A7BF1"/>
    <w:rsid w:val="001B23FC"/>
    <w:rsid w:val="001B26C1"/>
    <w:rsid w:val="001B284E"/>
    <w:rsid w:val="001B2D9C"/>
    <w:rsid w:val="001B3BAE"/>
    <w:rsid w:val="001B4E7F"/>
    <w:rsid w:val="001B72B8"/>
    <w:rsid w:val="001B7F9E"/>
    <w:rsid w:val="001C08CC"/>
    <w:rsid w:val="001C0B11"/>
    <w:rsid w:val="001C1DB3"/>
    <w:rsid w:val="001C31A2"/>
    <w:rsid w:val="001C45A9"/>
    <w:rsid w:val="001C4ED7"/>
    <w:rsid w:val="001C56B2"/>
    <w:rsid w:val="001C5D4A"/>
    <w:rsid w:val="001C6389"/>
    <w:rsid w:val="001C69B3"/>
    <w:rsid w:val="001D0164"/>
    <w:rsid w:val="001D0462"/>
    <w:rsid w:val="001D08E6"/>
    <w:rsid w:val="001D2D0D"/>
    <w:rsid w:val="001D3A80"/>
    <w:rsid w:val="001D4145"/>
    <w:rsid w:val="001D5595"/>
    <w:rsid w:val="001D67E7"/>
    <w:rsid w:val="001D75A9"/>
    <w:rsid w:val="001D7874"/>
    <w:rsid w:val="001D7F22"/>
    <w:rsid w:val="001E10FB"/>
    <w:rsid w:val="001E17BC"/>
    <w:rsid w:val="001E1DDA"/>
    <w:rsid w:val="001E2B82"/>
    <w:rsid w:val="001E47E8"/>
    <w:rsid w:val="001E4808"/>
    <w:rsid w:val="001E509A"/>
    <w:rsid w:val="001E52F8"/>
    <w:rsid w:val="001E5E95"/>
    <w:rsid w:val="001E6B7E"/>
    <w:rsid w:val="001E6C81"/>
    <w:rsid w:val="001F0F17"/>
    <w:rsid w:val="001F12E3"/>
    <w:rsid w:val="001F1881"/>
    <w:rsid w:val="001F1AC2"/>
    <w:rsid w:val="001F1D72"/>
    <w:rsid w:val="001F3347"/>
    <w:rsid w:val="001F3733"/>
    <w:rsid w:val="001F3D0E"/>
    <w:rsid w:val="001F56D4"/>
    <w:rsid w:val="001F5A91"/>
    <w:rsid w:val="001F5CC9"/>
    <w:rsid w:val="001F6116"/>
    <w:rsid w:val="001F636C"/>
    <w:rsid w:val="001F6419"/>
    <w:rsid w:val="001F69E4"/>
    <w:rsid w:val="001F78E6"/>
    <w:rsid w:val="002009F6"/>
    <w:rsid w:val="0020161E"/>
    <w:rsid w:val="00201780"/>
    <w:rsid w:val="0020466A"/>
    <w:rsid w:val="00204F6F"/>
    <w:rsid w:val="00205166"/>
    <w:rsid w:val="0020724E"/>
    <w:rsid w:val="0020728E"/>
    <w:rsid w:val="0020755C"/>
    <w:rsid w:val="002078D3"/>
    <w:rsid w:val="00210665"/>
    <w:rsid w:val="00210C04"/>
    <w:rsid w:val="00210FD6"/>
    <w:rsid w:val="00212078"/>
    <w:rsid w:val="002125B4"/>
    <w:rsid w:val="00212A0A"/>
    <w:rsid w:val="00212CD1"/>
    <w:rsid w:val="0021369F"/>
    <w:rsid w:val="00213DF1"/>
    <w:rsid w:val="00214B08"/>
    <w:rsid w:val="002151A3"/>
    <w:rsid w:val="00215533"/>
    <w:rsid w:val="002155B8"/>
    <w:rsid w:val="002157F1"/>
    <w:rsid w:val="0021592D"/>
    <w:rsid w:val="00215DEA"/>
    <w:rsid w:val="00217C00"/>
    <w:rsid w:val="00220420"/>
    <w:rsid w:val="00222F68"/>
    <w:rsid w:val="00223884"/>
    <w:rsid w:val="00224839"/>
    <w:rsid w:val="002249B2"/>
    <w:rsid w:val="00226574"/>
    <w:rsid w:val="00226F16"/>
    <w:rsid w:val="0022721D"/>
    <w:rsid w:val="002278EC"/>
    <w:rsid w:val="002304B6"/>
    <w:rsid w:val="002306E9"/>
    <w:rsid w:val="00230C05"/>
    <w:rsid w:val="002311E4"/>
    <w:rsid w:val="00231B14"/>
    <w:rsid w:val="002324D3"/>
    <w:rsid w:val="0023280E"/>
    <w:rsid w:val="00232A1F"/>
    <w:rsid w:val="00232BA8"/>
    <w:rsid w:val="00233783"/>
    <w:rsid w:val="002346AC"/>
    <w:rsid w:val="00234BC6"/>
    <w:rsid w:val="002350D1"/>
    <w:rsid w:val="002352DA"/>
    <w:rsid w:val="00236A76"/>
    <w:rsid w:val="00236F66"/>
    <w:rsid w:val="002377D1"/>
    <w:rsid w:val="0023792A"/>
    <w:rsid w:val="002405CF"/>
    <w:rsid w:val="00242AB8"/>
    <w:rsid w:val="00242B76"/>
    <w:rsid w:val="00242C20"/>
    <w:rsid w:val="002438F2"/>
    <w:rsid w:val="00244230"/>
    <w:rsid w:val="002442AE"/>
    <w:rsid w:val="00245974"/>
    <w:rsid w:val="002472FA"/>
    <w:rsid w:val="002474DD"/>
    <w:rsid w:val="0024768A"/>
    <w:rsid w:val="002506BC"/>
    <w:rsid w:val="0025080F"/>
    <w:rsid w:val="00250D0A"/>
    <w:rsid w:val="00250D11"/>
    <w:rsid w:val="0025230F"/>
    <w:rsid w:val="00253257"/>
    <w:rsid w:val="002538F1"/>
    <w:rsid w:val="00253FB7"/>
    <w:rsid w:val="0025429B"/>
    <w:rsid w:val="00254345"/>
    <w:rsid w:val="002546FB"/>
    <w:rsid w:val="00255519"/>
    <w:rsid w:val="00256E03"/>
    <w:rsid w:val="00260660"/>
    <w:rsid w:val="002621C1"/>
    <w:rsid w:val="002621E2"/>
    <w:rsid w:val="002624CF"/>
    <w:rsid w:val="002626AB"/>
    <w:rsid w:val="00263A42"/>
    <w:rsid w:val="00264557"/>
    <w:rsid w:val="00265CE7"/>
    <w:rsid w:val="00266056"/>
    <w:rsid w:val="002667CF"/>
    <w:rsid w:val="00267D78"/>
    <w:rsid w:val="00271E0A"/>
    <w:rsid w:val="002728D1"/>
    <w:rsid w:val="0027330A"/>
    <w:rsid w:val="002758CF"/>
    <w:rsid w:val="00275D65"/>
    <w:rsid w:val="00276A8B"/>
    <w:rsid w:val="00277237"/>
    <w:rsid w:val="0028017F"/>
    <w:rsid w:val="002805AB"/>
    <w:rsid w:val="002807E9"/>
    <w:rsid w:val="002814F0"/>
    <w:rsid w:val="002815D6"/>
    <w:rsid w:val="0028167A"/>
    <w:rsid w:val="00282163"/>
    <w:rsid w:val="00282470"/>
    <w:rsid w:val="00282FB6"/>
    <w:rsid w:val="00283565"/>
    <w:rsid w:val="00284204"/>
    <w:rsid w:val="00284811"/>
    <w:rsid w:val="0028575F"/>
    <w:rsid w:val="0028665D"/>
    <w:rsid w:val="00286B06"/>
    <w:rsid w:val="00286C74"/>
    <w:rsid w:val="00286E50"/>
    <w:rsid w:val="0029080A"/>
    <w:rsid w:val="002909A9"/>
    <w:rsid w:val="00291773"/>
    <w:rsid w:val="0029198C"/>
    <w:rsid w:val="00291B0C"/>
    <w:rsid w:val="0029200E"/>
    <w:rsid w:val="00292161"/>
    <w:rsid w:val="00292401"/>
    <w:rsid w:val="00292D6B"/>
    <w:rsid w:val="0029330A"/>
    <w:rsid w:val="0029357D"/>
    <w:rsid w:val="00294F4B"/>
    <w:rsid w:val="00295DE6"/>
    <w:rsid w:val="002966F6"/>
    <w:rsid w:val="00297118"/>
    <w:rsid w:val="002971B3"/>
    <w:rsid w:val="00297F66"/>
    <w:rsid w:val="002A09A6"/>
    <w:rsid w:val="002A1537"/>
    <w:rsid w:val="002A168C"/>
    <w:rsid w:val="002A18D2"/>
    <w:rsid w:val="002A3094"/>
    <w:rsid w:val="002A3D91"/>
    <w:rsid w:val="002A3DC7"/>
    <w:rsid w:val="002A4853"/>
    <w:rsid w:val="002A54B8"/>
    <w:rsid w:val="002A5EA8"/>
    <w:rsid w:val="002A642C"/>
    <w:rsid w:val="002A690A"/>
    <w:rsid w:val="002A6A14"/>
    <w:rsid w:val="002A7AF3"/>
    <w:rsid w:val="002A7D68"/>
    <w:rsid w:val="002B1A4E"/>
    <w:rsid w:val="002B20D4"/>
    <w:rsid w:val="002B224D"/>
    <w:rsid w:val="002B275F"/>
    <w:rsid w:val="002B27DB"/>
    <w:rsid w:val="002B2DF0"/>
    <w:rsid w:val="002B3032"/>
    <w:rsid w:val="002B49E2"/>
    <w:rsid w:val="002B5592"/>
    <w:rsid w:val="002B579E"/>
    <w:rsid w:val="002B5C92"/>
    <w:rsid w:val="002B65D5"/>
    <w:rsid w:val="002B6696"/>
    <w:rsid w:val="002B73B9"/>
    <w:rsid w:val="002B79CB"/>
    <w:rsid w:val="002B7B00"/>
    <w:rsid w:val="002B7C44"/>
    <w:rsid w:val="002B7D9B"/>
    <w:rsid w:val="002C0EB4"/>
    <w:rsid w:val="002C1059"/>
    <w:rsid w:val="002C14D8"/>
    <w:rsid w:val="002C14DE"/>
    <w:rsid w:val="002C256C"/>
    <w:rsid w:val="002C2B17"/>
    <w:rsid w:val="002C32C7"/>
    <w:rsid w:val="002C5586"/>
    <w:rsid w:val="002C55C0"/>
    <w:rsid w:val="002C571E"/>
    <w:rsid w:val="002C6669"/>
    <w:rsid w:val="002D0ADF"/>
    <w:rsid w:val="002D0F11"/>
    <w:rsid w:val="002D1BDC"/>
    <w:rsid w:val="002D21B6"/>
    <w:rsid w:val="002D23EF"/>
    <w:rsid w:val="002D2DBF"/>
    <w:rsid w:val="002D319B"/>
    <w:rsid w:val="002D3DD0"/>
    <w:rsid w:val="002D3E2F"/>
    <w:rsid w:val="002D41AB"/>
    <w:rsid w:val="002D5B5B"/>
    <w:rsid w:val="002D5C8B"/>
    <w:rsid w:val="002D6994"/>
    <w:rsid w:val="002D70CE"/>
    <w:rsid w:val="002D72A1"/>
    <w:rsid w:val="002D72CE"/>
    <w:rsid w:val="002D7707"/>
    <w:rsid w:val="002D7911"/>
    <w:rsid w:val="002E0A6A"/>
    <w:rsid w:val="002E18B6"/>
    <w:rsid w:val="002E1F3A"/>
    <w:rsid w:val="002E26FB"/>
    <w:rsid w:val="002E298A"/>
    <w:rsid w:val="002E2DD2"/>
    <w:rsid w:val="002E3680"/>
    <w:rsid w:val="002E4394"/>
    <w:rsid w:val="002E48BF"/>
    <w:rsid w:val="002E49D1"/>
    <w:rsid w:val="002E4F1B"/>
    <w:rsid w:val="002E5D4E"/>
    <w:rsid w:val="002E6A2D"/>
    <w:rsid w:val="002E6F6C"/>
    <w:rsid w:val="002E71A3"/>
    <w:rsid w:val="002E71EB"/>
    <w:rsid w:val="002F06CC"/>
    <w:rsid w:val="002F092A"/>
    <w:rsid w:val="002F1388"/>
    <w:rsid w:val="002F1BF3"/>
    <w:rsid w:val="002F1EA4"/>
    <w:rsid w:val="002F323B"/>
    <w:rsid w:val="002F3E5D"/>
    <w:rsid w:val="002F4678"/>
    <w:rsid w:val="002F471C"/>
    <w:rsid w:val="002F53B5"/>
    <w:rsid w:val="002F53FF"/>
    <w:rsid w:val="002F579D"/>
    <w:rsid w:val="002F5EC4"/>
    <w:rsid w:val="002F7998"/>
    <w:rsid w:val="00300F70"/>
    <w:rsid w:val="003018DE"/>
    <w:rsid w:val="00301978"/>
    <w:rsid w:val="00303036"/>
    <w:rsid w:val="0030332C"/>
    <w:rsid w:val="0030390B"/>
    <w:rsid w:val="00304369"/>
    <w:rsid w:val="00304C92"/>
    <w:rsid w:val="00304E31"/>
    <w:rsid w:val="003051C2"/>
    <w:rsid w:val="00305D0F"/>
    <w:rsid w:val="0030675B"/>
    <w:rsid w:val="003078AC"/>
    <w:rsid w:val="00307B05"/>
    <w:rsid w:val="0031057A"/>
    <w:rsid w:val="003107B5"/>
    <w:rsid w:val="00310EF9"/>
    <w:rsid w:val="00311705"/>
    <w:rsid w:val="00311EA0"/>
    <w:rsid w:val="00312296"/>
    <w:rsid w:val="003134E8"/>
    <w:rsid w:val="00313B75"/>
    <w:rsid w:val="00313C07"/>
    <w:rsid w:val="00313D40"/>
    <w:rsid w:val="00314F0E"/>
    <w:rsid w:val="00315400"/>
    <w:rsid w:val="003154C5"/>
    <w:rsid w:val="00315AA6"/>
    <w:rsid w:val="00315BFF"/>
    <w:rsid w:val="003160B6"/>
    <w:rsid w:val="00316EC4"/>
    <w:rsid w:val="00317AD8"/>
    <w:rsid w:val="00317D09"/>
    <w:rsid w:val="003200AA"/>
    <w:rsid w:val="003213F1"/>
    <w:rsid w:val="00321791"/>
    <w:rsid w:val="00321D8E"/>
    <w:rsid w:val="00321F54"/>
    <w:rsid w:val="00323D23"/>
    <w:rsid w:val="00325319"/>
    <w:rsid w:val="00325767"/>
    <w:rsid w:val="00325928"/>
    <w:rsid w:val="00326530"/>
    <w:rsid w:val="00327A57"/>
    <w:rsid w:val="00327EA7"/>
    <w:rsid w:val="00330078"/>
    <w:rsid w:val="00330540"/>
    <w:rsid w:val="003305D1"/>
    <w:rsid w:val="0033087E"/>
    <w:rsid w:val="00330A76"/>
    <w:rsid w:val="0033153C"/>
    <w:rsid w:val="00331815"/>
    <w:rsid w:val="00331AFE"/>
    <w:rsid w:val="00332863"/>
    <w:rsid w:val="003329A1"/>
    <w:rsid w:val="00332ED4"/>
    <w:rsid w:val="003339B1"/>
    <w:rsid w:val="00334A07"/>
    <w:rsid w:val="00334C96"/>
    <w:rsid w:val="00334FEC"/>
    <w:rsid w:val="00335628"/>
    <w:rsid w:val="00335861"/>
    <w:rsid w:val="0033676D"/>
    <w:rsid w:val="0033684D"/>
    <w:rsid w:val="00336F73"/>
    <w:rsid w:val="003376FF"/>
    <w:rsid w:val="00337B42"/>
    <w:rsid w:val="003401E4"/>
    <w:rsid w:val="003412E3"/>
    <w:rsid w:val="00341573"/>
    <w:rsid w:val="00341B42"/>
    <w:rsid w:val="00342AC1"/>
    <w:rsid w:val="0034348F"/>
    <w:rsid w:val="0034350A"/>
    <w:rsid w:val="00344128"/>
    <w:rsid w:val="00344B62"/>
    <w:rsid w:val="00344D25"/>
    <w:rsid w:val="00344E83"/>
    <w:rsid w:val="0034569D"/>
    <w:rsid w:val="003470CC"/>
    <w:rsid w:val="003470E9"/>
    <w:rsid w:val="00347838"/>
    <w:rsid w:val="00350A0D"/>
    <w:rsid w:val="00350F46"/>
    <w:rsid w:val="003514A7"/>
    <w:rsid w:val="0035164E"/>
    <w:rsid w:val="00351736"/>
    <w:rsid w:val="00352262"/>
    <w:rsid w:val="0035246E"/>
    <w:rsid w:val="00352603"/>
    <w:rsid w:val="00354D53"/>
    <w:rsid w:val="003550B4"/>
    <w:rsid w:val="00355C2D"/>
    <w:rsid w:val="00356653"/>
    <w:rsid w:val="00356714"/>
    <w:rsid w:val="003573CA"/>
    <w:rsid w:val="0035743F"/>
    <w:rsid w:val="003579AD"/>
    <w:rsid w:val="00357BE2"/>
    <w:rsid w:val="00360949"/>
    <w:rsid w:val="0036170C"/>
    <w:rsid w:val="00361B66"/>
    <w:rsid w:val="00362E11"/>
    <w:rsid w:val="00363A4B"/>
    <w:rsid w:val="00363A7C"/>
    <w:rsid w:val="00364024"/>
    <w:rsid w:val="00364441"/>
    <w:rsid w:val="00364F84"/>
    <w:rsid w:val="00365297"/>
    <w:rsid w:val="00365F88"/>
    <w:rsid w:val="003660E7"/>
    <w:rsid w:val="003664DE"/>
    <w:rsid w:val="0036686F"/>
    <w:rsid w:val="00366E0F"/>
    <w:rsid w:val="003676E7"/>
    <w:rsid w:val="00372730"/>
    <w:rsid w:val="003734EB"/>
    <w:rsid w:val="003737AB"/>
    <w:rsid w:val="003752B8"/>
    <w:rsid w:val="00375CC7"/>
    <w:rsid w:val="0037739F"/>
    <w:rsid w:val="00377815"/>
    <w:rsid w:val="00380B1C"/>
    <w:rsid w:val="00380FEA"/>
    <w:rsid w:val="00381A72"/>
    <w:rsid w:val="00381BAC"/>
    <w:rsid w:val="003825DA"/>
    <w:rsid w:val="00383DA7"/>
    <w:rsid w:val="00383E6E"/>
    <w:rsid w:val="00384676"/>
    <w:rsid w:val="003846BC"/>
    <w:rsid w:val="00385130"/>
    <w:rsid w:val="00386699"/>
    <w:rsid w:val="003870ED"/>
    <w:rsid w:val="003877A5"/>
    <w:rsid w:val="00387C31"/>
    <w:rsid w:val="00390857"/>
    <w:rsid w:val="00390D79"/>
    <w:rsid w:val="0039192F"/>
    <w:rsid w:val="003919A9"/>
    <w:rsid w:val="00391F44"/>
    <w:rsid w:val="0039252C"/>
    <w:rsid w:val="00393068"/>
    <w:rsid w:val="003933CB"/>
    <w:rsid w:val="0039489C"/>
    <w:rsid w:val="00395095"/>
    <w:rsid w:val="003954FC"/>
    <w:rsid w:val="003957A2"/>
    <w:rsid w:val="00395960"/>
    <w:rsid w:val="00396D05"/>
    <w:rsid w:val="003970CF"/>
    <w:rsid w:val="003975D9"/>
    <w:rsid w:val="00397E6B"/>
    <w:rsid w:val="003A081F"/>
    <w:rsid w:val="003A0D4D"/>
    <w:rsid w:val="003A1C7F"/>
    <w:rsid w:val="003A1ED6"/>
    <w:rsid w:val="003A21C0"/>
    <w:rsid w:val="003A23CD"/>
    <w:rsid w:val="003A4BF3"/>
    <w:rsid w:val="003A4C0C"/>
    <w:rsid w:val="003A6BD1"/>
    <w:rsid w:val="003A6F35"/>
    <w:rsid w:val="003A7727"/>
    <w:rsid w:val="003A7C1C"/>
    <w:rsid w:val="003A7D4E"/>
    <w:rsid w:val="003B0C52"/>
    <w:rsid w:val="003B15D1"/>
    <w:rsid w:val="003B29BA"/>
    <w:rsid w:val="003B3200"/>
    <w:rsid w:val="003B37C9"/>
    <w:rsid w:val="003B3B8C"/>
    <w:rsid w:val="003B41E1"/>
    <w:rsid w:val="003B420D"/>
    <w:rsid w:val="003B4CFF"/>
    <w:rsid w:val="003B5D72"/>
    <w:rsid w:val="003B6A88"/>
    <w:rsid w:val="003B6B0A"/>
    <w:rsid w:val="003B6DFD"/>
    <w:rsid w:val="003B7433"/>
    <w:rsid w:val="003B78A3"/>
    <w:rsid w:val="003C0304"/>
    <w:rsid w:val="003C031B"/>
    <w:rsid w:val="003C0411"/>
    <w:rsid w:val="003C0706"/>
    <w:rsid w:val="003C0BAF"/>
    <w:rsid w:val="003C17EE"/>
    <w:rsid w:val="003C33BF"/>
    <w:rsid w:val="003C3449"/>
    <w:rsid w:val="003C3988"/>
    <w:rsid w:val="003C3D89"/>
    <w:rsid w:val="003C3EE9"/>
    <w:rsid w:val="003C564F"/>
    <w:rsid w:val="003C634B"/>
    <w:rsid w:val="003C6C16"/>
    <w:rsid w:val="003C7821"/>
    <w:rsid w:val="003D2DD7"/>
    <w:rsid w:val="003D2F63"/>
    <w:rsid w:val="003D2FC3"/>
    <w:rsid w:val="003D365C"/>
    <w:rsid w:val="003D40B3"/>
    <w:rsid w:val="003D41F4"/>
    <w:rsid w:val="003D47A4"/>
    <w:rsid w:val="003D4941"/>
    <w:rsid w:val="003D617E"/>
    <w:rsid w:val="003D645C"/>
    <w:rsid w:val="003D6D8B"/>
    <w:rsid w:val="003D7367"/>
    <w:rsid w:val="003D794D"/>
    <w:rsid w:val="003E076A"/>
    <w:rsid w:val="003E089E"/>
    <w:rsid w:val="003E3058"/>
    <w:rsid w:val="003E3B94"/>
    <w:rsid w:val="003E426B"/>
    <w:rsid w:val="003E46B8"/>
    <w:rsid w:val="003E4BEC"/>
    <w:rsid w:val="003E4C52"/>
    <w:rsid w:val="003E53D9"/>
    <w:rsid w:val="003E6BA9"/>
    <w:rsid w:val="003E76A9"/>
    <w:rsid w:val="003F0809"/>
    <w:rsid w:val="003F0C20"/>
    <w:rsid w:val="003F138A"/>
    <w:rsid w:val="003F1714"/>
    <w:rsid w:val="003F1952"/>
    <w:rsid w:val="003F3473"/>
    <w:rsid w:val="003F365D"/>
    <w:rsid w:val="003F569C"/>
    <w:rsid w:val="003F607B"/>
    <w:rsid w:val="003F63E9"/>
    <w:rsid w:val="003F6A8C"/>
    <w:rsid w:val="003F6C5C"/>
    <w:rsid w:val="003F755C"/>
    <w:rsid w:val="003F763F"/>
    <w:rsid w:val="003F7867"/>
    <w:rsid w:val="00401426"/>
    <w:rsid w:val="004037BB"/>
    <w:rsid w:val="004051C8"/>
    <w:rsid w:val="004056F7"/>
    <w:rsid w:val="00406067"/>
    <w:rsid w:val="00406EBA"/>
    <w:rsid w:val="00406F01"/>
    <w:rsid w:val="004100CE"/>
    <w:rsid w:val="00411E1E"/>
    <w:rsid w:val="00412179"/>
    <w:rsid w:val="00412E57"/>
    <w:rsid w:val="00413615"/>
    <w:rsid w:val="004138B4"/>
    <w:rsid w:val="0041399C"/>
    <w:rsid w:val="00413A10"/>
    <w:rsid w:val="004165C5"/>
    <w:rsid w:val="00416843"/>
    <w:rsid w:val="00416D50"/>
    <w:rsid w:val="00416FD5"/>
    <w:rsid w:val="004174A8"/>
    <w:rsid w:val="00417615"/>
    <w:rsid w:val="00417772"/>
    <w:rsid w:val="00417A5E"/>
    <w:rsid w:val="00417D73"/>
    <w:rsid w:val="004201F0"/>
    <w:rsid w:val="00420A21"/>
    <w:rsid w:val="00420E6A"/>
    <w:rsid w:val="004216B5"/>
    <w:rsid w:val="00422477"/>
    <w:rsid w:val="00423490"/>
    <w:rsid w:val="0042357D"/>
    <w:rsid w:val="00424FC0"/>
    <w:rsid w:val="00425372"/>
    <w:rsid w:val="00425A9E"/>
    <w:rsid w:val="00426001"/>
    <w:rsid w:val="00426D6B"/>
    <w:rsid w:val="00427094"/>
    <w:rsid w:val="00427510"/>
    <w:rsid w:val="00427836"/>
    <w:rsid w:val="00427E03"/>
    <w:rsid w:val="00430581"/>
    <w:rsid w:val="00430CD3"/>
    <w:rsid w:val="00431E6C"/>
    <w:rsid w:val="00432574"/>
    <w:rsid w:val="00432844"/>
    <w:rsid w:val="00432D18"/>
    <w:rsid w:val="004336EE"/>
    <w:rsid w:val="00433CE7"/>
    <w:rsid w:val="00434136"/>
    <w:rsid w:val="004349B0"/>
    <w:rsid w:val="00434B7D"/>
    <w:rsid w:val="00434E43"/>
    <w:rsid w:val="00435931"/>
    <w:rsid w:val="004364BD"/>
    <w:rsid w:val="00436F24"/>
    <w:rsid w:val="0043746A"/>
    <w:rsid w:val="0044029B"/>
    <w:rsid w:val="00440C0D"/>
    <w:rsid w:val="004419E1"/>
    <w:rsid w:val="00441DF7"/>
    <w:rsid w:val="00441F15"/>
    <w:rsid w:val="0044207F"/>
    <w:rsid w:val="00442259"/>
    <w:rsid w:val="00443754"/>
    <w:rsid w:val="0044450A"/>
    <w:rsid w:val="00445306"/>
    <w:rsid w:val="004456D0"/>
    <w:rsid w:val="0044573E"/>
    <w:rsid w:val="00445C09"/>
    <w:rsid w:val="00446EBB"/>
    <w:rsid w:val="004472A5"/>
    <w:rsid w:val="00447E14"/>
    <w:rsid w:val="004516BF"/>
    <w:rsid w:val="00451AF6"/>
    <w:rsid w:val="00452738"/>
    <w:rsid w:val="00452840"/>
    <w:rsid w:val="00452CF4"/>
    <w:rsid w:val="00452DC7"/>
    <w:rsid w:val="00452F87"/>
    <w:rsid w:val="00453233"/>
    <w:rsid w:val="0045326C"/>
    <w:rsid w:val="004532DC"/>
    <w:rsid w:val="00454B20"/>
    <w:rsid w:val="00455269"/>
    <w:rsid w:val="00455286"/>
    <w:rsid w:val="00455859"/>
    <w:rsid w:val="00455893"/>
    <w:rsid w:val="004558EC"/>
    <w:rsid w:val="00455CDC"/>
    <w:rsid w:val="00455E14"/>
    <w:rsid w:val="00455E2A"/>
    <w:rsid w:val="00456091"/>
    <w:rsid w:val="004602F8"/>
    <w:rsid w:val="004605AA"/>
    <w:rsid w:val="00460AF7"/>
    <w:rsid w:val="00463567"/>
    <w:rsid w:val="004635E5"/>
    <w:rsid w:val="004636D7"/>
    <w:rsid w:val="004643C6"/>
    <w:rsid w:val="00464856"/>
    <w:rsid w:val="00464D70"/>
    <w:rsid w:val="00466321"/>
    <w:rsid w:val="00466773"/>
    <w:rsid w:val="0046755D"/>
    <w:rsid w:val="00470A03"/>
    <w:rsid w:val="00470E34"/>
    <w:rsid w:val="00471F74"/>
    <w:rsid w:val="00472CE0"/>
    <w:rsid w:val="00473821"/>
    <w:rsid w:val="00473F9B"/>
    <w:rsid w:val="004743D7"/>
    <w:rsid w:val="0047484D"/>
    <w:rsid w:val="00474ECC"/>
    <w:rsid w:val="00474F23"/>
    <w:rsid w:val="00477353"/>
    <w:rsid w:val="00477797"/>
    <w:rsid w:val="00480A57"/>
    <w:rsid w:val="004812AC"/>
    <w:rsid w:val="004812D4"/>
    <w:rsid w:val="00481377"/>
    <w:rsid w:val="0048256C"/>
    <w:rsid w:val="004837B9"/>
    <w:rsid w:val="004849AF"/>
    <w:rsid w:val="00484B9B"/>
    <w:rsid w:val="004855F6"/>
    <w:rsid w:val="0048624A"/>
    <w:rsid w:val="0048661E"/>
    <w:rsid w:val="0048738E"/>
    <w:rsid w:val="00487F4C"/>
    <w:rsid w:val="00490AED"/>
    <w:rsid w:val="00491B18"/>
    <w:rsid w:val="00492770"/>
    <w:rsid w:val="004930BE"/>
    <w:rsid w:val="0049313C"/>
    <w:rsid w:val="00493152"/>
    <w:rsid w:val="00493650"/>
    <w:rsid w:val="0049406D"/>
    <w:rsid w:val="00494670"/>
    <w:rsid w:val="00494708"/>
    <w:rsid w:val="00494B28"/>
    <w:rsid w:val="0049665F"/>
    <w:rsid w:val="004A006B"/>
    <w:rsid w:val="004A0732"/>
    <w:rsid w:val="004A1D30"/>
    <w:rsid w:val="004A2213"/>
    <w:rsid w:val="004A3182"/>
    <w:rsid w:val="004A3823"/>
    <w:rsid w:val="004A4140"/>
    <w:rsid w:val="004A5A2B"/>
    <w:rsid w:val="004A6920"/>
    <w:rsid w:val="004A71E0"/>
    <w:rsid w:val="004A75FA"/>
    <w:rsid w:val="004B07EB"/>
    <w:rsid w:val="004B1179"/>
    <w:rsid w:val="004B1D98"/>
    <w:rsid w:val="004B2751"/>
    <w:rsid w:val="004B287A"/>
    <w:rsid w:val="004B2B58"/>
    <w:rsid w:val="004B46FE"/>
    <w:rsid w:val="004B4923"/>
    <w:rsid w:val="004B5D1A"/>
    <w:rsid w:val="004B62ED"/>
    <w:rsid w:val="004B6A83"/>
    <w:rsid w:val="004B716F"/>
    <w:rsid w:val="004B77FA"/>
    <w:rsid w:val="004B7A7C"/>
    <w:rsid w:val="004B7C99"/>
    <w:rsid w:val="004C0E73"/>
    <w:rsid w:val="004C1DEC"/>
    <w:rsid w:val="004C3791"/>
    <w:rsid w:val="004C3D43"/>
    <w:rsid w:val="004C4D9D"/>
    <w:rsid w:val="004C6D27"/>
    <w:rsid w:val="004C6EF9"/>
    <w:rsid w:val="004C6F7F"/>
    <w:rsid w:val="004C7674"/>
    <w:rsid w:val="004D07BA"/>
    <w:rsid w:val="004D1E08"/>
    <w:rsid w:val="004D2733"/>
    <w:rsid w:val="004D2BCE"/>
    <w:rsid w:val="004D3787"/>
    <w:rsid w:val="004D3B59"/>
    <w:rsid w:val="004D4120"/>
    <w:rsid w:val="004D647A"/>
    <w:rsid w:val="004D71E7"/>
    <w:rsid w:val="004E0399"/>
    <w:rsid w:val="004E103F"/>
    <w:rsid w:val="004E1E20"/>
    <w:rsid w:val="004E251F"/>
    <w:rsid w:val="004E2C34"/>
    <w:rsid w:val="004E2FAF"/>
    <w:rsid w:val="004E575C"/>
    <w:rsid w:val="004E5D31"/>
    <w:rsid w:val="004E6946"/>
    <w:rsid w:val="004E7043"/>
    <w:rsid w:val="004E74C7"/>
    <w:rsid w:val="004E76CC"/>
    <w:rsid w:val="004E7DAF"/>
    <w:rsid w:val="004F0F71"/>
    <w:rsid w:val="004F150B"/>
    <w:rsid w:val="004F1AD8"/>
    <w:rsid w:val="004F1FC3"/>
    <w:rsid w:val="004F2187"/>
    <w:rsid w:val="004F287E"/>
    <w:rsid w:val="004F2A11"/>
    <w:rsid w:val="004F3DCF"/>
    <w:rsid w:val="004F3DE4"/>
    <w:rsid w:val="004F44D7"/>
    <w:rsid w:val="004F5264"/>
    <w:rsid w:val="004F5790"/>
    <w:rsid w:val="004F5B00"/>
    <w:rsid w:val="004F6C31"/>
    <w:rsid w:val="004F7C28"/>
    <w:rsid w:val="004F7DA6"/>
    <w:rsid w:val="00500B73"/>
    <w:rsid w:val="00500E38"/>
    <w:rsid w:val="0050145E"/>
    <w:rsid w:val="005018B4"/>
    <w:rsid w:val="00502A6A"/>
    <w:rsid w:val="005039CB"/>
    <w:rsid w:val="00504A85"/>
    <w:rsid w:val="00504FD4"/>
    <w:rsid w:val="005054A0"/>
    <w:rsid w:val="0050558F"/>
    <w:rsid w:val="00505747"/>
    <w:rsid w:val="00506221"/>
    <w:rsid w:val="00506286"/>
    <w:rsid w:val="00506D7D"/>
    <w:rsid w:val="00507A83"/>
    <w:rsid w:val="00507CCF"/>
    <w:rsid w:val="0051045E"/>
    <w:rsid w:val="00510813"/>
    <w:rsid w:val="00510A14"/>
    <w:rsid w:val="005117B2"/>
    <w:rsid w:val="00511990"/>
    <w:rsid w:val="00511DE0"/>
    <w:rsid w:val="00512046"/>
    <w:rsid w:val="00512888"/>
    <w:rsid w:val="00512E47"/>
    <w:rsid w:val="00512F39"/>
    <w:rsid w:val="00513093"/>
    <w:rsid w:val="00513760"/>
    <w:rsid w:val="005140A8"/>
    <w:rsid w:val="00514870"/>
    <w:rsid w:val="00514B9B"/>
    <w:rsid w:val="005151E8"/>
    <w:rsid w:val="005151ED"/>
    <w:rsid w:val="00515560"/>
    <w:rsid w:val="005162A5"/>
    <w:rsid w:val="00517191"/>
    <w:rsid w:val="005179BA"/>
    <w:rsid w:val="00517F02"/>
    <w:rsid w:val="00520682"/>
    <w:rsid w:val="00520B78"/>
    <w:rsid w:val="00521EDE"/>
    <w:rsid w:val="00522992"/>
    <w:rsid w:val="00524303"/>
    <w:rsid w:val="005254FE"/>
    <w:rsid w:val="0052567C"/>
    <w:rsid w:val="005258A2"/>
    <w:rsid w:val="00525993"/>
    <w:rsid w:val="00525D8C"/>
    <w:rsid w:val="005262CF"/>
    <w:rsid w:val="00526AEE"/>
    <w:rsid w:val="00526E21"/>
    <w:rsid w:val="00527BC3"/>
    <w:rsid w:val="00531151"/>
    <w:rsid w:val="0053187D"/>
    <w:rsid w:val="005327D1"/>
    <w:rsid w:val="005342EA"/>
    <w:rsid w:val="00534526"/>
    <w:rsid w:val="00534B41"/>
    <w:rsid w:val="00534FD3"/>
    <w:rsid w:val="005366F8"/>
    <w:rsid w:val="00536A8B"/>
    <w:rsid w:val="00540103"/>
    <w:rsid w:val="005401AE"/>
    <w:rsid w:val="005410E5"/>
    <w:rsid w:val="0054122C"/>
    <w:rsid w:val="00541674"/>
    <w:rsid w:val="00541736"/>
    <w:rsid w:val="005427CD"/>
    <w:rsid w:val="00542E07"/>
    <w:rsid w:val="00542E14"/>
    <w:rsid w:val="00543B7D"/>
    <w:rsid w:val="00543C48"/>
    <w:rsid w:val="00543E4F"/>
    <w:rsid w:val="005441A1"/>
    <w:rsid w:val="00545424"/>
    <w:rsid w:val="00545A0C"/>
    <w:rsid w:val="00547053"/>
    <w:rsid w:val="00547C1E"/>
    <w:rsid w:val="00547E1B"/>
    <w:rsid w:val="00547ECC"/>
    <w:rsid w:val="00550718"/>
    <w:rsid w:val="00550C22"/>
    <w:rsid w:val="0055168A"/>
    <w:rsid w:val="005518B1"/>
    <w:rsid w:val="005519E7"/>
    <w:rsid w:val="00552F34"/>
    <w:rsid w:val="00552F49"/>
    <w:rsid w:val="00553B39"/>
    <w:rsid w:val="00553C85"/>
    <w:rsid w:val="0055408C"/>
    <w:rsid w:val="00554A7B"/>
    <w:rsid w:val="00554F24"/>
    <w:rsid w:val="00555060"/>
    <w:rsid w:val="0055572C"/>
    <w:rsid w:val="005563C1"/>
    <w:rsid w:val="00556B30"/>
    <w:rsid w:val="00556BB3"/>
    <w:rsid w:val="00560EA8"/>
    <w:rsid w:val="00560FE8"/>
    <w:rsid w:val="0056106A"/>
    <w:rsid w:val="00561199"/>
    <w:rsid w:val="005612D3"/>
    <w:rsid w:val="0056193A"/>
    <w:rsid w:val="00561EE0"/>
    <w:rsid w:val="00562A22"/>
    <w:rsid w:val="00563964"/>
    <w:rsid w:val="00563C27"/>
    <w:rsid w:val="00563EDE"/>
    <w:rsid w:val="005641CC"/>
    <w:rsid w:val="005642EA"/>
    <w:rsid w:val="00564994"/>
    <w:rsid w:val="0056786E"/>
    <w:rsid w:val="00570A08"/>
    <w:rsid w:val="005718A7"/>
    <w:rsid w:val="00571983"/>
    <w:rsid w:val="005720AE"/>
    <w:rsid w:val="005724BE"/>
    <w:rsid w:val="005744D6"/>
    <w:rsid w:val="00574570"/>
    <w:rsid w:val="00575383"/>
    <w:rsid w:val="00575CD0"/>
    <w:rsid w:val="00575DCA"/>
    <w:rsid w:val="00576CDC"/>
    <w:rsid w:val="00576EB5"/>
    <w:rsid w:val="005775DE"/>
    <w:rsid w:val="00582388"/>
    <w:rsid w:val="00583592"/>
    <w:rsid w:val="0058398D"/>
    <w:rsid w:val="00584A4D"/>
    <w:rsid w:val="00584E34"/>
    <w:rsid w:val="00586DAE"/>
    <w:rsid w:val="00586F19"/>
    <w:rsid w:val="00586FEC"/>
    <w:rsid w:val="005874A8"/>
    <w:rsid w:val="00590900"/>
    <w:rsid w:val="00590D3E"/>
    <w:rsid w:val="0059155A"/>
    <w:rsid w:val="00591632"/>
    <w:rsid w:val="00593534"/>
    <w:rsid w:val="00593630"/>
    <w:rsid w:val="005942CE"/>
    <w:rsid w:val="00594D77"/>
    <w:rsid w:val="00594F44"/>
    <w:rsid w:val="0059556F"/>
    <w:rsid w:val="005957F9"/>
    <w:rsid w:val="00595FCB"/>
    <w:rsid w:val="005969E4"/>
    <w:rsid w:val="00596A19"/>
    <w:rsid w:val="00597386"/>
    <w:rsid w:val="00597F15"/>
    <w:rsid w:val="005A02E5"/>
    <w:rsid w:val="005A06B7"/>
    <w:rsid w:val="005A06EF"/>
    <w:rsid w:val="005A1759"/>
    <w:rsid w:val="005A1985"/>
    <w:rsid w:val="005A1DC5"/>
    <w:rsid w:val="005A2767"/>
    <w:rsid w:val="005A314D"/>
    <w:rsid w:val="005A395F"/>
    <w:rsid w:val="005A3EE1"/>
    <w:rsid w:val="005A543B"/>
    <w:rsid w:val="005A6899"/>
    <w:rsid w:val="005A68A7"/>
    <w:rsid w:val="005A6ABF"/>
    <w:rsid w:val="005A7A2F"/>
    <w:rsid w:val="005B0607"/>
    <w:rsid w:val="005B0B98"/>
    <w:rsid w:val="005B32CB"/>
    <w:rsid w:val="005B335A"/>
    <w:rsid w:val="005B41B6"/>
    <w:rsid w:val="005B5122"/>
    <w:rsid w:val="005B6120"/>
    <w:rsid w:val="005B67B2"/>
    <w:rsid w:val="005B68ED"/>
    <w:rsid w:val="005B6A4E"/>
    <w:rsid w:val="005B70E2"/>
    <w:rsid w:val="005C1934"/>
    <w:rsid w:val="005C1A76"/>
    <w:rsid w:val="005C2571"/>
    <w:rsid w:val="005C2DD8"/>
    <w:rsid w:val="005C4ED5"/>
    <w:rsid w:val="005C5B33"/>
    <w:rsid w:val="005C648F"/>
    <w:rsid w:val="005C677E"/>
    <w:rsid w:val="005C735D"/>
    <w:rsid w:val="005D1854"/>
    <w:rsid w:val="005D20FF"/>
    <w:rsid w:val="005D2D9D"/>
    <w:rsid w:val="005D3267"/>
    <w:rsid w:val="005D36AB"/>
    <w:rsid w:val="005D41AE"/>
    <w:rsid w:val="005D5778"/>
    <w:rsid w:val="005D5961"/>
    <w:rsid w:val="005D5C16"/>
    <w:rsid w:val="005D618C"/>
    <w:rsid w:val="005D61D6"/>
    <w:rsid w:val="005E1A93"/>
    <w:rsid w:val="005E235F"/>
    <w:rsid w:val="005E4D64"/>
    <w:rsid w:val="005E515A"/>
    <w:rsid w:val="005E5A30"/>
    <w:rsid w:val="005E6E21"/>
    <w:rsid w:val="005E7031"/>
    <w:rsid w:val="005E74D3"/>
    <w:rsid w:val="005E7CEF"/>
    <w:rsid w:val="005F1326"/>
    <w:rsid w:val="005F1349"/>
    <w:rsid w:val="005F1485"/>
    <w:rsid w:val="005F197B"/>
    <w:rsid w:val="005F1FA8"/>
    <w:rsid w:val="005F2BB6"/>
    <w:rsid w:val="005F3206"/>
    <w:rsid w:val="005F322A"/>
    <w:rsid w:val="005F347A"/>
    <w:rsid w:val="005F3B92"/>
    <w:rsid w:val="005F478E"/>
    <w:rsid w:val="005F5418"/>
    <w:rsid w:val="005F5ACB"/>
    <w:rsid w:val="005F6CC4"/>
    <w:rsid w:val="005F7E00"/>
    <w:rsid w:val="005F7FCB"/>
    <w:rsid w:val="0060208B"/>
    <w:rsid w:val="006020B3"/>
    <w:rsid w:val="00602EC5"/>
    <w:rsid w:val="00604AA4"/>
    <w:rsid w:val="00604D4D"/>
    <w:rsid w:val="00604EC4"/>
    <w:rsid w:val="0060553F"/>
    <w:rsid w:val="00605D04"/>
    <w:rsid w:val="0060604F"/>
    <w:rsid w:val="006067A2"/>
    <w:rsid w:val="00606D4C"/>
    <w:rsid w:val="006075CE"/>
    <w:rsid w:val="006079F7"/>
    <w:rsid w:val="006101DF"/>
    <w:rsid w:val="00610BE5"/>
    <w:rsid w:val="00612368"/>
    <w:rsid w:val="00612EA5"/>
    <w:rsid w:val="006133D5"/>
    <w:rsid w:val="006133DD"/>
    <w:rsid w:val="006133F6"/>
    <w:rsid w:val="00614060"/>
    <w:rsid w:val="00615478"/>
    <w:rsid w:val="006155D9"/>
    <w:rsid w:val="006161B8"/>
    <w:rsid w:val="006167AA"/>
    <w:rsid w:val="00617CC3"/>
    <w:rsid w:val="00620296"/>
    <w:rsid w:val="00621482"/>
    <w:rsid w:val="006217C0"/>
    <w:rsid w:val="0062240B"/>
    <w:rsid w:val="00622475"/>
    <w:rsid w:val="00622AEB"/>
    <w:rsid w:val="00622CAD"/>
    <w:rsid w:val="006233CF"/>
    <w:rsid w:val="00623611"/>
    <w:rsid w:val="00623F7B"/>
    <w:rsid w:val="0062465B"/>
    <w:rsid w:val="006257EF"/>
    <w:rsid w:val="00625961"/>
    <w:rsid w:val="006268CA"/>
    <w:rsid w:val="00626C46"/>
    <w:rsid w:val="006304DF"/>
    <w:rsid w:val="00631142"/>
    <w:rsid w:val="006314B7"/>
    <w:rsid w:val="00632035"/>
    <w:rsid w:val="00632214"/>
    <w:rsid w:val="00632981"/>
    <w:rsid w:val="00636A38"/>
    <w:rsid w:val="006377A6"/>
    <w:rsid w:val="00637A3D"/>
    <w:rsid w:val="0064018A"/>
    <w:rsid w:val="006411EF"/>
    <w:rsid w:val="00641B5B"/>
    <w:rsid w:val="00641BB2"/>
    <w:rsid w:val="00641ECD"/>
    <w:rsid w:val="006420A3"/>
    <w:rsid w:val="00642628"/>
    <w:rsid w:val="00642E09"/>
    <w:rsid w:val="00643240"/>
    <w:rsid w:val="00643F33"/>
    <w:rsid w:val="006446C7"/>
    <w:rsid w:val="006448E0"/>
    <w:rsid w:val="006469DB"/>
    <w:rsid w:val="00646CB6"/>
    <w:rsid w:val="00646D25"/>
    <w:rsid w:val="00646EEF"/>
    <w:rsid w:val="00646F33"/>
    <w:rsid w:val="00647064"/>
    <w:rsid w:val="0064739B"/>
    <w:rsid w:val="006502D6"/>
    <w:rsid w:val="00651168"/>
    <w:rsid w:val="006511C8"/>
    <w:rsid w:val="006514EA"/>
    <w:rsid w:val="00651D83"/>
    <w:rsid w:val="00653AE2"/>
    <w:rsid w:val="0065418D"/>
    <w:rsid w:val="0065495F"/>
    <w:rsid w:val="00654D2F"/>
    <w:rsid w:val="00655A9C"/>
    <w:rsid w:val="00655AC6"/>
    <w:rsid w:val="00655E71"/>
    <w:rsid w:val="00656D6F"/>
    <w:rsid w:val="0066040E"/>
    <w:rsid w:val="00660678"/>
    <w:rsid w:val="00660CEE"/>
    <w:rsid w:val="00660E72"/>
    <w:rsid w:val="006610B3"/>
    <w:rsid w:val="006616EB"/>
    <w:rsid w:val="0066241D"/>
    <w:rsid w:val="00663145"/>
    <w:rsid w:val="006643F4"/>
    <w:rsid w:val="00665010"/>
    <w:rsid w:val="006659B8"/>
    <w:rsid w:val="00665DFF"/>
    <w:rsid w:val="006662F8"/>
    <w:rsid w:val="00666F34"/>
    <w:rsid w:val="00671110"/>
    <w:rsid w:val="006712C3"/>
    <w:rsid w:val="00671B3D"/>
    <w:rsid w:val="0067261C"/>
    <w:rsid w:val="00674393"/>
    <w:rsid w:val="006745FB"/>
    <w:rsid w:val="006748B8"/>
    <w:rsid w:val="0067554F"/>
    <w:rsid w:val="0067627C"/>
    <w:rsid w:val="00676BB3"/>
    <w:rsid w:val="00676D6F"/>
    <w:rsid w:val="006775C3"/>
    <w:rsid w:val="006775E9"/>
    <w:rsid w:val="006778C2"/>
    <w:rsid w:val="0068020C"/>
    <w:rsid w:val="006803DB"/>
    <w:rsid w:val="0068052E"/>
    <w:rsid w:val="00680EC0"/>
    <w:rsid w:val="00681460"/>
    <w:rsid w:val="006817CA"/>
    <w:rsid w:val="00682158"/>
    <w:rsid w:val="00682A52"/>
    <w:rsid w:val="0068327D"/>
    <w:rsid w:val="00683825"/>
    <w:rsid w:val="00683CCE"/>
    <w:rsid w:val="006842E4"/>
    <w:rsid w:val="00685C37"/>
    <w:rsid w:val="0068631B"/>
    <w:rsid w:val="00687113"/>
    <w:rsid w:val="006871CD"/>
    <w:rsid w:val="006901CA"/>
    <w:rsid w:val="006905FC"/>
    <w:rsid w:val="006909B9"/>
    <w:rsid w:val="00691246"/>
    <w:rsid w:val="00691285"/>
    <w:rsid w:val="0069290A"/>
    <w:rsid w:val="00692DA9"/>
    <w:rsid w:val="00693404"/>
    <w:rsid w:val="00693D4B"/>
    <w:rsid w:val="00693EFF"/>
    <w:rsid w:val="006940DC"/>
    <w:rsid w:val="006964C5"/>
    <w:rsid w:val="0069699A"/>
    <w:rsid w:val="00697291"/>
    <w:rsid w:val="00697486"/>
    <w:rsid w:val="0069775A"/>
    <w:rsid w:val="00697813"/>
    <w:rsid w:val="00697E58"/>
    <w:rsid w:val="006A0D43"/>
    <w:rsid w:val="006A0FF0"/>
    <w:rsid w:val="006A12E6"/>
    <w:rsid w:val="006A1379"/>
    <w:rsid w:val="006A1852"/>
    <w:rsid w:val="006A3EE8"/>
    <w:rsid w:val="006A45B8"/>
    <w:rsid w:val="006A545F"/>
    <w:rsid w:val="006A6DF8"/>
    <w:rsid w:val="006A72BF"/>
    <w:rsid w:val="006A786F"/>
    <w:rsid w:val="006A7BB9"/>
    <w:rsid w:val="006A7FB5"/>
    <w:rsid w:val="006B0083"/>
    <w:rsid w:val="006B03F2"/>
    <w:rsid w:val="006B24C8"/>
    <w:rsid w:val="006B37DC"/>
    <w:rsid w:val="006B3DC6"/>
    <w:rsid w:val="006B448C"/>
    <w:rsid w:val="006B4599"/>
    <w:rsid w:val="006B45B4"/>
    <w:rsid w:val="006B4E9D"/>
    <w:rsid w:val="006B4F68"/>
    <w:rsid w:val="006B581F"/>
    <w:rsid w:val="006B5D58"/>
    <w:rsid w:val="006C0592"/>
    <w:rsid w:val="006C0B3E"/>
    <w:rsid w:val="006C272E"/>
    <w:rsid w:val="006C5479"/>
    <w:rsid w:val="006C5546"/>
    <w:rsid w:val="006C788A"/>
    <w:rsid w:val="006D1020"/>
    <w:rsid w:val="006D13B5"/>
    <w:rsid w:val="006D31BD"/>
    <w:rsid w:val="006D3376"/>
    <w:rsid w:val="006D40FE"/>
    <w:rsid w:val="006D5C50"/>
    <w:rsid w:val="006D797B"/>
    <w:rsid w:val="006D7DBA"/>
    <w:rsid w:val="006E10CD"/>
    <w:rsid w:val="006E12FF"/>
    <w:rsid w:val="006E1BD4"/>
    <w:rsid w:val="006E2393"/>
    <w:rsid w:val="006E37C8"/>
    <w:rsid w:val="006E531C"/>
    <w:rsid w:val="006E5C2B"/>
    <w:rsid w:val="006E607E"/>
    <w:rsid w:val="006E65C1"/>
    <w:rsid w:val="006E730D"/>
    <w:rsid w:val="006F0F7E"/>
    <w:rsid w:val="006F136D"/>
    <w:rsid w:val="006F1732"/>
    <w:rsid w:val="006F1A69"/>
    <w:rsid w:val="006F1EAD"/>
    <w:rsid w:val="006F235B"/>
    <w:rsid w:val="006F2809"/>
    <w:rsid w:val="006F3923"/>
    <w:rsid w:val="006F4538"/>
    <w:rsid w:val="006F5712"/>
    <w:rsid w:val="006F670A"/>
    <w:rsid w:val="006F77A1"/>
    <w:rsid w:val="007009C2"/>
    <w:rsid w:val="00701473"/>
    <w:rsid w:val="00701C98"/>
    <w:rsid w:val="00701E1A"/>
    <w:rsid w:val="007036E6"/>
    <w:rsid w:val="00703B75"/>
    <w:rsid w:val="00704644"/>
    <w:rsid w:val="007046ED"/>
    <w:rsid w:val="00704DCB"/>
    <w:rsid w:val="0070573C"/>
    <w:rsid w:val="0070601F"/>
    <w:rsid w:val="007066FE"/>
    <w:rsid w:val="007067E5"/>
    <w:rsid w:val="00706C5D"/>
    <w:rsid w:val="00707D58"/>
    <w:rsid w:val="00710F87"/>
    <w:rsid w:val="007118FB"/>
    <w:rsid w:val="00712038"/>
    <w:rsid w:val="00713769"/>
    <w:rsid w:val="0071429A"/>
    <w:rsid w:val="007142AF"/>
    <w:rsid w:val="0071521D"/>
    <w:rsid w:val="0071535A"/>
    <w:rsid w:val="00715B36"/>
    <w:rsid w:val="00716153"/>
    <w:rsid w:val="00716C20"/>
    <w:rsid w:val="00717925"/>
    <w:rsid w:val="00720F1F"/>
    <w:rsid w:val="00721172"/>
    <w:rsid w:val="00721FBB"/>
    <w:rsid w:val="007226F9"/>
    <w:rsid w:val="00723F8A"/>
    <w:rsid w:val="0072483B"/>
    <w:rsid w:val="00724C8A"/>
    <w:rsid w:val="007255AE"/>
    <w:rsid w:val="0072569D"/>
    <w:rsid w:val="0072580C"/>
    <w:rsid w:val="007259B5"/>
    <w:rsid w:val="00725A58"/>
    <w:rsid w:val="0072616A"/>
    <w:rsid w:val="0073079C"/>
    <w:rsid w:val="00730A58"/>
    <w:rsid w:val="00731019"/>
    <w:rsid w:val="00731989"/>
    <w:rsid w:val="007321E1"/>
    <w:rsid w:val="0073288B"/>
    <w:rsid w:val="00732922"/>
    <w:rsid w:val="00732FAD"/>
    <w:rsid w:val="0073433C"/>
    <w:rsid w:val="00735734"/>
    <w:rsid w:val="0073573B"/>
    <w:rsid w:val="007358E6"/>
    <w:rsid w:val="00735D2B"/>
    <w:rsid w:val="00735E66"/>
    <w:rsid w:val="00736B37"/>
    <w:rsid w:val="00737505"/>
    <w:rsid w:val="00740071"/>
    <w:rsid w:val="00741390"/>
    <w:rsid w:val="00741A46"/>
    <w:rsid w:val="00741D03"/>
    <w:rsid w:val="00741FB7"/>
    <w:rsid w:val="0074276B"/>
    <w:rsid w:val="00742DFF"/>
    <w:rsid w:val="007454A2"/>
    <w:rsid w:val="00745D3F"/>
    <w:rsid w:val="00745D62"/>
    <w:rsid w:val="00745EDA"/>
    <w:rsid w:val="00746294"/>
    <w:rsid w:val="00746692"/>
    <w:rsid w:val="00746718"/>
    <w:rsid w:val="007467D4"/>
    <w:rsid w:val="00746914"/>
    <w:rsid w:val="00746F71"/>
    <w:rsid w:val="0075018A"/>
    <w:rsid w:val="0075087F"/>
    <w:rsid w:val="0075162E"/>
    <w:rsid w:val="00751B53"/>
    <w:rsid w:val="007524C5"/>
    <w:rsid w:val="00752B3A"/>
    <w:rsid w:val="00752CFA"/>
    <w:rsid w:val="007535FD"/>
    <w:rsid w:val="00754034"/>
    <w:rsid w:val="00754CB1"/>
    <w:rsid w:val="007550D1"/>
    <w:rsid w:val="007557E8"/>
    <w:rsid w:val="007558D0"/>
    <w:rsid w:val="00755991"/>
    <w:rsid w:val="00755BF7"/>
    <w:rsid w:val="00756556"/>
    <w:rsid w:val="007618C4"/>
    <w:rsid w:val="007618E5"/>
    <w:rsid w:val="00761B3D"/>
    <w:rsid w:val="0076252B"/>
    <w:rsid w:val="00762602"/>
    <w:rsid w:val="00763760"/>
    <w:rsid w:val="00764989"/>
    <w:rsid w:val="00764A40"/>
    <w:rsid w:val="00764A6A"/>
    <w:rsid w:val="00764B66"/>
    <w:rsid w:val="007658CB"/>
    <w:rsid w:val="00765BD9"/>
    <w:rsid w:val="00767938"/>
    <w:rsid w:val="00767980"/>
    <w:rsid w:val="00770B19"/>
    <w:rsid w:val="00770DC9"/>
    <w:rsid w:val="0077149D"/>
    <w:rsid w:val="00771B4B"/>
    <w:rsid w:val="007722C6"/>
    <w:rsid w:val="00772926"/>
    <w:rsid w:val="00773AEF"/>
    <w:rsid w:val="00773CC8"/>
    <w:rsid w:val="00774087"/>
    <w:rsid w:val="0077463F"/>
    <w:rsid w:val="0078093A"/>
    <w:rsid w:val="00780AB7"/>
    <w:rsid w:val="0078109E"/>
    <w:rsid w:val="007832F2"/>
    <w:rsid w:val="007836EA"/>
    <w:rsid w:val="007846CE"/>
    <w:rsid w:val="00784CDA"/>
    <w:rsid w:val="007869A3"/>
    <w:rsid w:val="00787049"/>
    <w:rsid w:val="00787868"/>
    <w:rsid w:val="00787E72"/>
    <w:rsid w:val="007906C4"/>
    <w:rsid w:val="00791D7B"/>
    <w:rsid w:val="00792715"/>
    <w:rsid w:val="00793338"/>
    <w:rsid w:val="007940EA"/>
    <w:rsid w:val="00794B1A"/>
    <w:rsid w:val="00794B7D"/>
    <w:rsid w:val="00794C9B"/>
    <w:rsid w:val="007955D0"/>
    <w:rsid w:val="0079585C"/>
    <w:rsid w:val="00795C5C"/>
    <w:rsid w:val="007967E8"/>
    <w:rsid w:val="00796C11"/>
    <w:rsid w:val="0079731C"/>
    <w:rsid w:val="007A03FD"/>
    <w:rsid w:val="007A2170"/>
    <w:rsid w:val="007A22BF"/>
    <w:rsid w:val="007A2CEB"/>
    <w:rsid w:val="007A2F20"/>
    <w:rsid w:val="007A3323"/>
    <w:rsid w:val="007A36A1"/>
    <w:rsid w:val="007A3EFB"/>
    <w:rsid w:val="007A4B54"/>
    <w:rsid w:val="007A4FA9"/>
    <w:rsid w:val="007A4FF5"/>
    <w:rsid w:val="007A60A4"/>
    <w:rsid w:val="007A74D8"/>
    <w:rsid w:val="007B0333"/>
    <w:rsid w:val="007B03E7"/>
    <w:rsid w:val="007B31CE"/>
    <w:rsid w:val="007B3687"/>
    <w:rsid w:val="007B40BC"/>
    <w:rsid w:val="007B45EC"/>
    <w:rsid w:val="007B4B97"/>
    <w:rsid w:val="007B53DB"/>
    <w:rsid w:val="007B6305"/>
    <w:rsid w:val="007B72B8"/>
    <w:rsid w:val="007B7A58"/>
    <w:rsid w:val="007C01BD"/>
    <w:rsid w:val="007C0848"/>
    <w:rsid w:val="007C15A0"/>
    <w:rsid w:val="007C21B5"/>
    <w:rsid w:val="007C29E3"/>
    <w:rsid w:val="007C2E02"/>
    <w:rsid w:val="007C3E24"/>
    <w:rsid w:val="007C42F5"/>
    <w:rsid w:val="007C467B"/>
    <w:rsid w:val="007C7B3A"/>
    <w:rsid w:val="007D0173"/>
    <w:rsid w:val="007D032B"/>
    <w:rsid w:val="007D040B"/>
    <w:rsid w:val="007D06C0"/>
    <w:rsid w:val="007D26C3"/>
    <w:rsid w:val="007D2D00"/>
    <w:rsid w:val="007D2D2A"/>
    <w:rsid w:val="007D3387"/>
    <w:rsid w:val="007D33EC"/>
    <w:rsid w:val="007D4275"/>
    <w:rsid w:val="007D4777"/>
    <w:rsid w:val="007D4B00"/>
    <w:rsid w:val="007D6B9D"/>
    <w:rsid w:val="007D7368"/>
    <w:rsid w:val="007D745F"/>
    <w:rsid w:val="007E1974"/>
    <w:rsid w:val="007E2C45"/>
    <w:rsid w:val="007E2F1F"/>
    <w:rsid w:val="007E2F9C"/>
    <w:rsid w:val="007E3161"/>
    <w:rsid w:val="007E370D"/>
    <w:rsid w:val="007E4490"/>
    <w:rsid w:val="007E497B"/>
    <w:rsid w:val="007E4BD2"/>
    <w:rsid w:val="007E594A"/>
    <w:rsid w:val="007E6794"/>
    <w:rsid w:val="007E7776"/>
    <w:rsid w:val="007F0080"/>
    <w:rsid w:val="007F27F8"/>
    <w:rsid w:val="007F2CA2"/>
    <w:rsid w:val="007F2FFF"/>
    <w:rsid w:val="007F3464"/>
    <w:rsid w:val="007F3844"/>
    <w:rsid w:val="007F3FFB"/>
    <w:rsid w:val="007F484F"/>
    <w:rsid w:val="007F4C8E"/>
    <w:rsid w:val="007F50A1"/>
    <w:rsid w:val="007F750C"/>
    <w:rsid w:val="007F7B96"/>
    <w:rsid w:val="008003B5"/>
    <w:rsid w:val="00800499"/>
    <w:rsid w:val="00800635"/>
    <w:rsid w:val="00801393"/>
    <w:rsid w:val="00802F88"/>
    <w:rsid w:val="00803439"/>
    <w:rsid w:val="008036EB"/>
    <w:rsid w:val="00804AB0"/>
    <w:rsid w:val="00805412"/>
    <w:rsid w:val="008067D1"/>
    <w:rsid w:val="0080711E"/>
    <w:rsid w:val="0081293E"/>
    <w:rsid w:val="00812F3E"/>
    <w:rsid w:val="00813226"/>
    <w:rsid w:val="008136F2"/>
    <w:rsid w:val="00813F9E"/>
    <w:rsid w:val="0081460B"/>
    <w:rsid w:val="00814815"/>
    <w:rsid w:val="00815310"/>
    <w:rsid w:val="00815465"/>
    <w:rsid w:val="0081557B"/>
    <w:rsid w:val="00816169"/>
    <w:rsid w:val="00816459"/>
    <w:rsid w:val="008164EC"/>
    <w:rsid w:val="00817B5E"/>
    <w:rsid w:val="00817E9A"/>
    <w:rsid w:val="00820087"/>
    <w:rsid w:val="00820F26"/>
    <w:rsid w:val="00820F45"/>
    <w:rsid w:val="00821C0D"/>
    <w:rsid w:val="00822036"/>
    <w:rsid w:val="008229D4"/>
    <w:rsid w:val="00822C20"/>
    <w:rsid w:val="0082471E"/>
    <w:rsid w:val="008247ED"/>
    <w:rsid w:val="008258B6"/>
    <w:rsid w:val="00825DA1"/>
    <w:rsid w:val="00827FA1"/>
    <w:rsid w:val="008306BD"/>
    <w:rsid w:val="00830D7E"/>
    <w:rsid w:val="008310C3"/>
    <w:rsid w:val="0083120B"/>
    <w:rsid w:val="008315AD"/>
    <w:rsid w:val="008315F5"/>
    <w:rsid w:val="00831A80"/>
    <w:rsid w:val="008326DD"/>
    <w:rsid w:val="00832A20"/>
    <w:rsid w:val="00832E89"/>
    <w:rsid w:val="008334FD"/>
    <w:rsid w:val="00833743"/>
    <w:rsid w:val="00833A21"/>
    <w:rsid w:val="008340A4"/>
    <w:rsid w:val="008348A0"/>
    <w:rsid w:val="00834B85"/>
    <w:rsid w:val="008359CD"/>
    <w:rsid w:val="00835E71"/>
    <w:rsid w:val="00836F19"/>
    <w:rsid w:val="00837305"/>
    <w:rsid w:val="008377CE"/>
    <w:rsid w:val="00837AD7"/>
    <w:rsid w:val="00837F00"/>
    <w:rsid w:val="00840127"/>
    <w:rsid w:val="00841A86"/>
    <w:rsid w:val="008426EE"/>
    <w:rsid w:val="00842BDF"/>
    <w:rsid w:val="00842C54"/>
    <w:rsid w:val="00843140"/>
    <w:rsid w:val="008432E1"/>
    <w:rsid w:val="00843EE1"/>
    <w:rsid w:val="008444F2"/>
    <w:rsid w:val="00845D14"/>
    <w:rsid w:val="008462BA"/>
    <w:rsid w:val="008463CD"/>
    <w:rsid w:val="00846441"/>
    <w:rsid w:val="008470AA"/>
    <w:rsid w:val="00847147"/>
    <w:rsid w:val="00847448"/>
    <w:rsid w:val="0085201F"/>
    <w:rsid w:val="008525B3"/>
    <w:rsid w:val="00853E08"/>
    <w:rsid w:val="008549BD"/>
    <w:rsid w:val="00855565"/>
    <w:rsid w:val="0085572D"/>
    <w:rsid w:val="008557F0"/>
    <w:rsid w:val="00856C71"/>
    <w:rsid w:val="008570AA"/>
    <w:rsid w:val="00857151"/>
    <w:rsid w:val="008574CF"/>
    <w:rsid w:val="008576F7"/>
    <w:rsid w:val="008577DD"/>
    <w:rsid w:val="00861956"/>
    <w:rsid w:val="00861C7D"/>
    <w:rsid w:val="0086241C"/>
    <w:rsid w:val="00862D2B"/>
    <w:rsid w:val="00863A02"/>
    <w:rsid w:val="00864520"/>
    <w:rsid w:val="0086463F"/>
    <w:rsid w:val="00866337"/>
    <w:rsid w:val="00866543"/>
    <w:rsid w:val="00866D83"/>
    <w:rsid w:val="0086726A"/>
    <w:rsid w:val="00867C62"/>
    <w:rsid w:val="0087002D"/>
    <w:rsid w:val="00871021"/>
    <w:rsid w:val="00871238"/>
    <w:rsid w:val="0087125F"/>
    <w:rsid w:val="0087135F"/>
    <w:rsid w:val="00872D94"/>
    <w:rsid w:val="008735B9"/>
    <w:rsid w:val="00874101"/>
    <w:rsid w:val="00874B27"/>
    <w:rsid w:val="00875F46"/>
    <w:rsid w:val="008771DF"/>
    <w:rsid w:val="00880364"/>
    <w:rsid w:val="00881127"/>
    <w:rsid w:val="00882321"/>
    <w:rsid w:val="00884512"/>
    <w:rsid w:val="0088464D"/>
    <w:rsid w:val="008852FF"/>
    <w:rsid w:val="008855CD"/>
    <w:rsid w:val="008859F5"/>
    <w:rsid w:val="00885A05"/>
    <w:rsid w:val="008878B5"/>
    <w:rsid w:val="00890297"/>
    <w:rsid w:val="008902FE"/>
    <w:rsid w:val="0089070C"/>
    <w:rsid w:val="008910C6"/>
    <w:rsid w:val="0089117E"/>
    <w:rsid w:val="00891592"/>
    <w:rsid w:val="008917B3"/>
    <w:rsid w:val="00891E9E"/>
    <w:rsid w:val="0089419C"/>
    <w:rsid w:val="008944BD"/>
    <w:rsid w:val="00894AC0"/>
    <w:rsid w:val="00895A5A"/>
    <w:rsid w:val="00896280"/>
    <w:rsid w:val="00897869"/>
    <w:rsid w:val="00897BA5"/>
    <w:rsid w:val="008A07D0"/>
    <w:rsid w:val="008A1595"/>
    <w:rsid w:val="008A22B0"/>
    <w:rsid w:val="008A2F68"/>
    <w:rsid w:val="008A33A1"/>
    <w:rsid w:val="008A4243"/>
    <w:rsid w:val="008A42D2"/>
    <w:rsid w:val="008A47C7"/>
    <w:rsid w:val="008A4D5B"/>
    <w:rsid w:val="008A4DF8"/>
    <w:rsid w:val="008A5FC0"/>
    <w:rsid w:val="008A664D"/>
    <w:rsid w:val="008A73A0"/>
    <w:rsid w:val="008A7DB5"/>
    <w:rsid w:val="008A7EA7"/>
    <w:rsid w:val="008A7F17"/>
    <w:rsid w:val="008B0350"/>
    <w:rsid w:val="008B0AD3"/>
    <w:rsid w:val="008B1408"/>
    <w:rsid w:val="008B1B31"/>
    <w:rsid w:val="008B1FBC"/>
    <w:rsid w:val="008B22F8"/>
    <w:rsid w:val="008B2F10"/>
    <w:rsid w:val="008B4D86"/>
    <w:rsid w:val="008B4FA6"/>
    <w:rsid w:val="008B5282"/>
    <w:rsid w:val="008B5F76"/>
    <w:rsid w:val="008B682D"/>
    <w:rsid w:val="008B7C17"/>
    <w:rsid w:val="008C0989"/>
    <w:rsid w:val="008C0B7F"/>
    <w:rsid w:val="008C254F"/>
    <w:rsid w:val="008C2D01"/>
    <w:rsid w:val="008C2E17"/>
    <w:rsid w:val="008C305B"/>
    <w:rsid w:val="008C307A"/>
    <w:rsid w:val="008C40E6"/>
    <w:rsid w:val="008C4A68"/>
    <w:rsid w:val="008C4F8A"/>
    <w:rsid w:val="008C625B"/>
    <w:rsid w:val="008C6315"/>
    <w:rsid w:val="008C6A3A"/>
    <w:rsid w:val="008C732F"/>
    <w:rsid w:val="008D041E"/>
    <w:rsid w:val="008D0F7A"/>
    <w:rsid w:val="008D16A3"/>
    <w:rsid w:val="008D2317"/>
    <w:rsid w:val="008D281B"/>
    <w:rsid w:val="008D2AE8"/>
    <w:rsid w:val="008D2F8C"/>
    <w:rsid w:val="008D42DE"/>
    <w:rsid w:val="008D468C"/>
    <w:rsid w:val="008D4C0A"/>
    <w:rsid w:val="008D55D1"/>
    <w:rsid w:val="008D5A05"/>
    <w:rsid w:val="008D68E4"/>
    <w:rsid w:val="008D71F6"/>
    <w:rsid w:val="008D7780"/>
    <w:rsid w:val="008D7B9B"/>
    <w:rsid w:val="008D7E60"/>
    <w:rsid w:val="008E0431"/>
    <w:rsid w:val="008E0506"/>
    <w:rsid w:val="008E0CFF"/>
    <w:rsid w:val="008E1834"/>
    <w:rsid w:val="008E3355"/>
    <w:rsid w:val="008E3C70"/>
    <w:rsid w:val="008E3F83"/>
    <w:rsid w:val="008E4486"/>
    <w:rsid w:val="008E45A6"/>
    <w:rsid w:val="008E5D6B"/>
    <w:rsid w:val="008E5F9F"/>
    <w:rsid w:val="008E627E"/>
    <w:rsid w:val="008E76F0"/>
    <w:rsid w:val="008F0234"/>
    <w:rsid w:val="008F0E14"/>
    <w:rsid w:val="008F1095"/>
    <w:rsid w:val="008F15FE"/>
    <w:rsid w:val="008F16F9"/>
    <w:rsid w:val="008F18EF"/>
    <w:rsid w:val="008F1E99"/>
    <w:rsid w:val="008F29F2"/>
    <w:rsid w:val="008F2D29"/>
    <w:rsid w:val="008F455C"/>
    <w:rsid w:val="008F474C"/>
    <w:rsid w:val="008F5187"/>
    <w:rsid w:val="008F60D8"/>
    <w:rsid w:val="008F60DC"/>
    <w:rsid w:val="008F6A91"/>
    <w:rsid w:val="008F74F9"/>
    <w:rsid w:val="0090149E"/>
    <w:rsid w:val="0090241E"/>
    <w:rsid w:val="0090251B"/>
    <w:rsid w:val="00902727"/>
    <w:rsid w:val="00902FCF"/>
    <w:rsid w:val="0090310E"/>
    <w:rsid w:val="0090312B"/>
    <w:rsid w:val="00903F30"/>
    <w:rsid w:val="009049D8"/>
    <w:rsid w:val="009067A2"/>
    <w:rsid w:val="0090696B"/>
    <w:rsid w:val="00907A8E"/>
    <w:rsid w:val="00907FF6"/>
    <w:rsid w:val="009121C1"/>
    <w:rsid w:val="00912C83"/>
    <w:rsid w:val="009136D4"/>
    <w:rsid w:val="00913D22"/>
    <w:rsid w:val="00914413"/>
    <w:rsid w:val="009148D9"/>
    <w:rsid w:val="0091514C"/>
    <w:rsid w:val="00916D0D"/>
    <w:rsid w:val="00917338"/>
    <w:rsid w:val="0091736D"/>
    <w:rsid w:val="0092051C"/>
    <w:rsid w:val="009207AD"/>
    <w:rsid w:val="00921611"/>
    <w:rsid w:val="00921D96"/>
    <w:rsid w:val="00922C51"/>
    <w:rsid w:val="009236E2"/>
    <w:rsid w:val="00924497"/>
    <w:rsid w:val="00925E14"/>
    <w:rsid w:val="0092668A"/>
    <w:rsid w:val="009269A2"/>
    <w:rsid w:val="00926B31"/>
    <w:rsid w:val="00926BF6"/>
    <w:rsid w:val="0093037A"/>
    <w:rsid w:val="00930BB7"/>
    <w:rsid w:val="00931F8C"/>
    <w:rsid w:val="0093364B"/>
    <w:rsid w:val="00933C2D"/>
    <w:rsid w:val="00934C0F"/>
    <w:rsid w:val="00935056"/>
    <w:rsid w:val="009352A7"/>
    <w:rsid w:val="0093749B"/>
    <w:rsid w:val="00937980"/>
    <w:rsid w:val="00937AD1"/>
    <w:rsid w:val="00937EBD"/>
    <w:rsid w:val="0094015B"/>
    <w:rsid w:val="0094154D"/>
    <w:rsid w:val="00941DEB"/>
    <w:rsid w:val="00944337"/>
    <w:rsid w:val="0094536E"/>
    <w:rsid w:val="009460D8"/>
    <w:rsid w:val="009464B7"/>
    <w:rsid w:val="00946862"/>
    <w:rsid w:val="00947959"/>
    <w:rsid w:val="0095010E"/>
    <w:rsid w:val="0095010F"/>
    <w:rsid w:val="00951364"/>
    <w:rsid w:val="0095155F"/>
    <w:rsid w:val="0095175A"/>
    <w:rsid w:val="00952DE0"/>
    <w:rsid w:val="009533A7"/>
    <w:rsid w:val="00953487"/>
    <w:rsid w:val="00953C68"/>
    <w:rsid w:val="00954429"/>
    <w:rsid w:val="00954621"/>
    <w:rsid w:val="00954909"/>
    <w:rsid w:val="00955048"/>
    <w:rsid w:val="009563CE"/>
    <w:rsid w:val="0095715A"/>
    <w:rsid w:val="0096024E"/>
    <w:rsid w:val="00960AD5"/>
    <w:rsid w:val="00961F57"/>
    <w:rsid w:val="009621D9"/>
    <w:rsid w:val="00962434"/>
    <w:rsid w:val="00962925"/>
    <w:rsid w:val="00963D93"/>
    <w:rsid w:val="00964FC1"/>
    <w:rsid w:val="0096564F"/>
    <w:rsid w:val="00965AFB"/>
    <w:rsid w:val="00967407"/>
    <w:rsid w:val="00970F98"/>
    <w:rsid w:val="0097102B"/>
    <w:rsid w:val="009710C2"/>
    <w:rsid w:val="00972357"/>
    <w:rsid w:val="00973B1D"/>
    <w:rsid w:val="00974355"/>
    <w:rsid w:val="00974D90"/>
    <w:rsid w:val="00975F5F"/>
    <w:rsid w:val="00976249"/>
    <w:rsid w:val="00976328"/>
    <w:rsid w:val="0097680D"/>
    <w:rsid w:val="00977F68"/>
    <w:rsid w:val="0098004C"/>
    <w:rsid w:val="00981235"/>
    <w:rsid w:val="00982438"/>
    <w:rsid w:val="00982DB2"/>
    <w:rsid w:val="00983C9A"/>
    <w:rsid w:val="00983E07"/>
    <w:rsid w:val="0098404C"/>
    <w:rsid w:val="00984DC7"/>
    <w:rsid w:val="00984DD7"/>
    <w:rsid w:val="00985283"/>
    <w:rsid w:val="00985646"/>
    <w:rsid w:val="009870F9"/>
    <w:rsid w:val="00987A4E"/>
    <w:rsid w:val="00987CED"/>
    <w:rsid w:val="009904F4"/>
    <w:rsid w:val="009926ED"/>
    <w:rsid w:val="009926F3"/>
    <w:rsid w:val="00992CF1"/>
    <w:rsid w:val="00993869"/>
    <w:rsid w:val="00995992"/>
    <w:rsid w:val="00995993"/>
    <w:rsid w:val="00995A3F"/>
    <w:rsid w:val="00996EAC"/>
    <w:rsid w:val="00997316"/>
    <w:rsid w:val="00997EB7"/>
    <w:rsid w:val="009A01EB"/>
    <w:rsid w:val="009A03E5"/>
    <w:rsid w:val="009A0F3B"/>
    <w:rsid w:val="009A1651"/>
    <w:rsid w:val="009A1BB4"/>
    <w:rsid w:val="009A1CC3"/>
    <w:rsid w:val="009A2628"/>
    <w:rsid w:val="009A2E3A"/>
    <w:rsid w:val="009A30B1"/>
    <w:rsid w:val="009A3200"/>
    <w:rsid w:val="009A375F"/>
    <w:rsid w:val="009B0897"/>
    <w:rsid w:val="009B123F"/>
    <w:rsid w:val="009B1F33"/>
    <w:rsid w:val="009B2102"/>
    <w:rsid w:val="009B2602"/>
    <w:rsid w:val="009B38AD"/>
    <w:rsid w:val="009B46BA"/>
    <w:rsid w:val="009B6ABA"/>
    <w:rsid w:val="009B6D76"/>
    <w:rsid w:val="009B6F7E"/>
    <w:rsid w:val="009B7875"/>
    <w:rsid w:val="009B7A19"/>
    <w:rsid w:val="009B7BD9"/>
    <w:rsid w:val="009C00C6"/>
    <w:rsid w:val="009C0129"/>
    <w:rsid w:val="009C0A9E"/>
    <w:rsid w:val="009C0C50"/>
    <w:rsid w:val="009C2189"/>
    <w:rsid w:val="009C23C4"/>
    <w:rsid w:val="009C28C1"/>
    <w:rsid w:val="009C2E93"/>
    <w:rsid w:val="009C3659"/>
    <w:rsid w:val="009C53B6"/>
    <w:rsid w:val="009C62FD"/>
    <w:rsid w:val="009C6503"/>
    <w:rsid w:val="009C6B0E"/>
    <w:rsid w:val="009C7042"/>
    <w:rsid w:val="009C7B19"/>
    <w:rsid w:val="009C7DD5"/>
    <w:rsid w:val="009D03B5"/>
    <w:rsid w:val="009D0772"/>
    <w:rsid w:val="009D1502"/>
    <w:rsid w:val="009D1818"/>
    <w:rsid w:val="009D1FF6"/>
    <w:rsid w:val="009D22B7"/>
    <w:rsid w:val="009D2819"/>
    <w:rsid w:val="009D2BCC"/>
    <w:rsid w:val="009D3217"/>
    <w:rsid w:val="009D44E0"/>
    <w:rsid w:val="009D463E"/>
    <w:rsid w:val="009D4E13"/>
    <w:rsid w:val="009D7DC9"/>
    <w:rsid w:val="009E02A1"/>
    <w:rsid w:val="009E0E2C"/>
    <w:rsid w:val="009E1214"/>
    <w:rsid w:val="009E21E8"/>
    <w:rsid w:val="009E227D"/>
    <w:rsid w:val="009E2358"/>
    <w:rsid w:val="009E2745"/>
    <w:rsid w:val="009E31A6"/>
    <w:rsid w:val="009E4188"/>
    <w:rsid w:val="009E4AC2"/>
    <w:rsid w:val="009E4D7C"/>
    <w:rsid w:val="009E5019"/>
    <w:rsid w:val="009E5100"/>
    <w:rsid w:val="009E55EE"/>
    <w:rsid w:val="009E5EFF"/>
    <w:rsid w:val="009E6324"/>
    <w:rsid w:val="009E6455"/>
    <w:rsid w:val="009E767C"/>
    <w:rsid w:val="009F016A"/>
    <w:rsid w:val="009F06FC"/>
    <w:rsid w:val="009F24FB"/>
    <w:rsid w:val="009F31BF"/>
    <w:rsid w:val="009F364A"/>
    <w:rsid w:val="009F3979"/>
    <w:rsid w:val="009F4111"/>
    <w:rsid w:val="009F46F5"/>
    <w:rsid w:val="009F4F1B"/>
    <w:rsid w:val="009F540D"/>
    <w:rsid w:val="009F57CB"/>
    <w:rsid w:val="009F5846"/>
    <w:rsid w:val="009F5B6D"/>
    <w:rsid w:val="009F6AE9"/>
    <w:rsid w:val="00A0035D"/>
    <w:rsid w:val="00A004AB"/>
    <w:rsid w:val="00A00510"/>
    <w:rsid w:val="00A00EA1"/>
    <w:rsid w:val="00A02E17"/>
    <w:rsid w:val="00A043E4"/>
    <w:rsid w:val="00A04477"/>
    <w:rsid w:val="00A04F1B"/>
    <w:rsid w:val="00A0501B"/>
    <w:rsid w:val="00A06ACB"/>
    <w:rsid w:val="00A06E75"/>
    <w:rsid w:val="00A073F6"/>
    <w:rsid w:val="00A07B29"/>
    <w:rsid w:val="00A10AB1"/>
    <w:rsid w:val="00A11145"/>
    <w:rsid w:val="00A1127C"/>
    <w:rsid w:val="00A11EE9"/>
    <w:rsid w:val="00A13447"/>
    <w:rsid w:val="00A1441C"/>
    <w:rsid w:val="00A14947"/>
    <w:rsid w:val="00A14B38"/>
    <w:rsid w:val="00A150D1"/>
    <w:rsid w:val="00A15491"/>
    <w:rsid w:val="00A15575"/>
    <w:rsid w:val="00A16AE0"/>
    <w:rsid w:val="00A16F5F"/>
    <w:rsid w:val="00A1723A"/>
    <w:rsid w:val="00A20DA9"/>
    <w:rsid w:val="00A2192B"/>
    <w:rsid w:val="00A21C32"/>
    <w:rsid w:val="00A21F9A"/>
    <w:rsid w:val="00A23C17"/>
    <w:rsid w:val="00A241CB"/>
    <w:rsid w:val="00A25FEA"/>
    <w:rsid w:val="00A26B08"/>
    <w:rsid w:val="00A27FEE"/>
    <w:rsid w:val="00A305FF"/>
    <w:rsid w:val="00A32A83"/>
    <w:rsid w:val="00A33136"/>
    <w:rsid w:val="00A33267"/>
    <w:rsid w:val="00A334D7"/>
    <w:rsid w:val="00A33A21"/>
    <w:rsid w:val="00A34667"/>
    <w:rsid w:val="00A350E7"/>
    <w:rsid w:val="00A35337"/>
    <w:rsid w:val="00A35E39"/>
    <w:rsid w:val="00A368DB"/>
    <w:rsid w:val="00A3748E"/>
    <w:rsid w:val="00A37CE5"/>
    <w:rsid w:val="00A40172"/>
    <w:rsid w:val="00A402A8"/>
    <w:rsid w:val="00A40722"/>
    <w:rsid w:val="00A40888"/>
    <w:rsid w:val="00A41D22"/>
    <w:rsid w:val="00A4201A"/>
    <w:rsid w:val="00A423AA"/>
    <w:rsid w:val="00A42AD6"/>
    <w:rsid w:val="00A43A6C"/>
    <w:rsid w:val="00A46C52"/>
    <w:rsid w:val="00A47366"/>
    <w:rsid w:val="00A4753E"/>
    <w:rsid w:val="00A47B51"/>
    <w:rsid w:val="00A50A7F"/>
    <w:rsid w:val="00A51A0E"/>
    <w:rsid w:val="00A51E2B"/>
    <w:rsid w:val="00A52C02"/>
    <w:rsid w:val="00A52DA4"/>
    <w:rsid w:val="00A53996"/>
    <w:rsid w:val="00A53C02"/>
    <w:rsid w:val="00A53EC6"/>
    <w:rsid w:val="00A53FCB"/>
    <w:rsid w:val="00A5545F"/>
    <w:rsid w:val="00A55C0F"/>
    <w:rsid w:val="00A55C37"/>
    <w:rsid w:val="00A56EC0"/>
    <w:rsid w:val="00A60032"/>
    <w:rsid w:val="00A600B5"/>
    <w:rsid w:val="00A611C5"/>
    <w:rsid w:val="00A618EC"/>
    <w:rsid w:val="00A62A45"/>
    <w:rsid w:val="00A632AF"/>
    <w:rsid w:val="00A632D0"/>
    <w:rsid w:val="00A641DE"/>
    <w:rsid w:val="00A641F1"/>
    <w:rsid w:val="00A651D1"/>
    <w:rsid w:val="00A656FE"/>
    <w:rsid w:val="00A65DC3"/>
    <w:rsid w:val="00A662F6"/>
    <w:rsid w:val="00A67201"/>
    <w:rsid w:val="00A67839"/>
    <w:rsid w:val="00A7051B"/>
    <w:rsid w:val="00A70AC2"/>
    <w:rsid w:val="00A70D49"/>
    <w:rsid w:val="00A710C1"/>
    <w:rsid w:val="00A718B5"/>
    <w:rsid w:val="00A72158"/>
    <w:rsid w:val="00A736B5"/>
    <w:rsid w:val="00A7393D"/>
    <w:rsid w:val="00A7395E"/>
    <w:rsid w:val="00A73E00"/>
    <w:rsid w:val="00A74B66"/>
    <w:rsid w:val="00A74D77"/>
    <w:rsid w:val="00A752FC"/>
    <w:rsid w:val="00A754F8"/>
    <w:rsid w:val="00A76319"/>
    <w:rsid w:val="00A7661A"/>
    <w:rsid w:val="00A76E39"/>
    <w:rsid w:val="00A7743B"/>
    <w:rsid w:val="00A80A30"/>
    <w:rsid w:val="00A81A31"/>
    <w:rsid w:val="00A81BE0"/>
    <w:rsid w:val="00A81DC8"/>
    <w:rsid w:val="00A81F8B"/>
    <w:rsid w:val="00A82A61"/>
    <w:rsid w:val="00A83211"/>
    <w:rsid w:val="00A83EC3"/>
    <w:rsid w:val="00A83EDB"/>
    <w:rsid w:val="00A8493A"/>
    <w:rsid w:val="00A84FB5"/>
    <w:rsid w:val="00A85930"/>
    <w:rsid w:val="00A8713F"/>
    <w:rsid w:val="00A87C77"/>
    <w:rsid w:val="00A87CDF"/>
    <w:rsid w:val="00A87DA2"/>
    <w:rsid w:val="00A87E51"/>
    <w:rsid w:val="00A90BA1"/>
    <w:rsid w:val="00A921BA"/>
    <w:rsid w:val="00A922D7"/>
    <w:rsid w:val="00A92636"/>
    <w:rsid w:val="00A92A59"/>
    <w:rsid w:val="00A937A8"/>
    <w:rsid w:val="00A94891"/>
    <w:rsid w:val="00A9491A"/>
    <w:rsid w:val="00A95203"/>
    <w:rsid w:val="00A95289"/>
    <w:rsid w:val="00A956B7"/>
    <w:rsid w:val="00A95CEB"/>
    <w:rsid w:val="00A95D75"/>
    <w:rsid w:val="00A96557"/>
    <w:rsid w:val="00A965E2"/>
    <w:rsid w:val="00A96EE4"/>
    <w:rsid w:val="00A97A9A"/>
    <w:rsid w:val="00AA0376"/>
    <w:rsid w:val="00AA0671"/>
    <w:rsid w:val="00AA1960"/>
    <w:rsid w:val="00AA1C9D"/>
    <w:rsid w:val="00AA1FA2"/>
    <w:rsid w:val="00AA2151"/>
    <w:rsid w:val="00AA2531"/>
    <w:rsid w:val="00AA2C10"/>
    <w:rsid w:val="00AA301F"/>
    <w:rsid w:val="00AA3456"/>
    <w:rsid w:val="00AA36EA"/>
    <w:rsid w:val="00AA3BC6"/>
    <w:rsid w:val="00AA4C87"/>
    <w:rsid w:val="00AA5533"/>
    <w:rsid w:val="00AA78DC"/>
    <w:rsid w:val="00AB1475"/>
    <w:rsid w:val="00AB1655"/>
    <w:rsid w:val="00AB1E09"/>
    <w:rsid w:val="00AB2DE8"/>
    <w:rsid w:val="00AB2E29"/>
    <w:rsid w:val="00AB31D6"/>
    <w:rsid w:val="00AB5330"/>
    <w:rsid w:val="00AB56A9"/>
    <w:rsid w:val="00AB5F9E"/>
    <w:rsid w:val="00AB7747"/>
    <w:rsid w:val="00AB7C72"/>
    <w:rsid w:val="00AC08DA"/>
    <w:rsid w:val="00AC14CE"/>
    <w:rsid w:val="00AC2088"/>
    <w:rsid w:val="00AC2474"/>
    <w:rsid w:val="00AC28E2"/>
    <w:rsid w:val="00AC2A48"/>
    <w:rsid w:val="00AC2A56"/>
    <w:rsid w:val="00AC5687"/>
    <w:rsid w:val="00AC568F"/>
    <w:rsid w:val="00AC59F6"/>
    <w:rsid w:val="00AC64BC"/>
    <w:rsid w:val="00AC64E3"/>
    <w:rsid w:val="00AD055E"/>
    <w:rsid w:val="00AD0DAD"/>
    <w:rsid w:val="00AD22C2"/>
    <w:rsid w:val="00AD2A57"/>
    <w:rsid w:val="00AD32D3"/>
    <w:rsid w:val="00AD377B"/>
    <w:rsid w:val="00AD47A7"/>
    <w:rsid w:val="00AD5C26"/>
    <w:rsid w:val="00AD6A44"/>
    <w:rsid w:val="00AD6FBA"/>
    <w:rsid w:val="00AE01FE"/>
    <w:rsid w:val="00AE076F"/>
    <w:rsid w:val="00AE2896"/>
    <w:rsid w:val="00AE395E"/>
    <w:rsid w:val="00AE5611"/>
    <w:rsid w:val="00AE5769"/>
    <w:rsid w:val="00AE61C4"/>
    <w:rsid w:val="00AE6748"/>
    <w:rsid w:val="00AE7346"/>
    <w:rsid w:val="00AF0CBF"/>
    <w:rsid w:val="00AF10D4"/>
    <w:rsid w:val="00AF1688"/>
    <w:rsid w:val="00AF257F"/>
    <w:rsid w:val="00AF33CF"/>
    <w:rsid w:val="00AF34F0"/>
    <w:rsid w:val="00AF45A9"/>
    <w:rsid w:val="00AF4D50"/>
    <w:rsid w:val="00AF5004"/>
    <w:rsid w:val="00AF575B"/>
    <w:rsid w:val="00AF598A"/>
    <w:rsid w:val="00AF5D60"/>
    <w:rsid w:val="00AF6179"/>
    <w:rsid w:val="00AF7074"/>
    <w:rsid w:val="00AF7469"/>
    <w:rsid w:val="00AF74F7"/>
    <w:rsid w:val="00AF7BD1"/>
    <w:rsid w:val="00B00466"/>
    <w:rsid w:val="00B0136E"/>
    <w:rsid w:val="00B0184A"/>
    <w:rsid w:val="00B01E1D"/>
    <w:rsid w:val="00B0229C"/>
    <w:rsid w:val="00B031D4"/>
    <w:rsid w:val="00B032AF"/>
    <w:rsid w:val="00B056D5"/>
    <w:rsid w:val="00B06C34"/>
    <w:rsid w:val="00B06C42"/>
    <w:rsid w:val="00B06FDD"/>
    <w:rsid w:val="00B07B4D"/>
    <w:rsid w:val="00B10EFC"/>
    <w:rsid w:val="00B11482"/>
    <w:rsid w:val="00B11D9D"/>
    <w:rsid w:val="00B1295A"/>
    <w:rsid w:val="00B1343F"/>
    <w:rsid w:val="00B13BED"/>
    <w:rsid w:val="00B1571D"/>
    <w:rsid w:val="00B15727"/>
    <w:rsid w:val="00B15DEF"/>
    <w:rsid w:val="00B16102"/>
    <w:rsid w:val="00B1747B"/>
    <w:rsid w:val="00B174F6"/>
    <w:rsid w:val="00B20A45"/>
    <w:rsid w:val="00B21A88"/>
    <w:rsid w:val="00B21E32"/>
    <w:rsid w:val="00B22293"/>
    <w:rsid w:val="00B22C5C"/>
    <w:rsid w:val="00B247BA"/>
    <w:rsid w:val="00B24F30"/>
    <w:rsid w:val="00B267DD"/>
    <w:rsid w:val="00B26AFF"/>
    <w:rsid w:val="00B26FA4"/>
    <w:rsid w:val="00B30510"/>
    <w:rsid w:val="00B308B2"/>
    <w:rsid w:val="00B30C26"/>
    <w:rsid w:val="00B31ABF"/>
    <w:rsid w:val="00B32C53"/>
    <w:rsid w:val="00B33432"/>
    <w:rsid w:val="00B334AD"/>
    <w:rsid w:val="00B33BE3"/>
    <w:rsid w:val="00B33FB4"/>
    <w:rsid w:val="00B353F1"/>
    <w:rsid w:val="00B36FD3"/>
    <w:rsid w:val="00B3726A"/>
    <w:rsid w:val="00B3753B"/>
    <w:rsid w:val="00B406EB"/>
    <w:rsid w:val="00B40B98"/>
    <w:rsid w:val="00B40CFF"/>
    <w:rsid w:val="00B40D01"/>
    <w:rsid w:val="00B40EDF"/>
    <w:rsid w:val="00B42FE2"/>
    <w:rsid w:val="00B43D7E"/>
    <w:rsid w:val="00B44CCF"/>
    <w:rsid w:val="00B46FD9"/>
    <w:rsid w:val="00B47ED2"/>
    <w:rsid w:val="00B50A89"/>
    <w:rsid w:val="00B512AB"/>
    <w:rsid w:val="00B53B5D"/>
    <w:rsid w:val="00B6055E"/>
    <w:rsid w:val="00B60CFE"/>
    <w:rsid w:val="00B61812"/>
    <w:rsid w:val="00B622CC"/>
    <w:rsid w:val="00B62565"/>
    <w:rsid w:val="00B6284C"/>
    <w:rsid w:val="00B62E69"/>
    <w:rsid w:val="00B6317D"/>
    <w:rsid w:val="00B6513F"/>
    <w:rsid w:val="00B6630C"/>
    <w:rsid w:val="00B67EF7"/>
    <w:rsid w:val="00B703D6"/>
    <w:rsid w:val="00B706E5"/>
    <w:rsid w:val="00B70D4D"/>
    <w:rsid w:val="00B7369E"/>
    <w:rsid w:val="00B73818"/>
    <w:rsid w:val="00B73AB0"/>
    <w:rsid w:val="00B7416A"/>
    <w:rsid w:val="00B752D4"/>
    <w:rsid w:val="00B75361"/>
    <w:rsid w:val="00B767C4"/>
    <w:rsid w:val="00B76DBD"/>
    <w:rsid w:val="00B7723F"/>
    <w:rsid w:val="00B77920"/>
    <w:rsid w:val="00B802B0"/>
    <w:rsid w:val="00B802D4"/>
    <w:rsid w:val="00B80534"/>
    <w:rsid w:val="00B81125"/>
    <w:rsid w:val="00B81F93"/>
    <w:rsid w:val="00B82DE8"/>
    <w:rsid w:val="00B842E1"/>
    <w:rsid w:val="00B8433C"/>
    <w:rsid w:val="00B84BF3"/>
    <w:rsid w:val="00B852BB"/>
    <w:rsid w:val="00B865C0"/>
    <w:rsid w:val="00B86EEC"/>
    <w:rsid w:val="00B87491"/>
    <w:rsid w:val="00B87A83"/>
    <w:rsid w:val="00B87B53"/>
    <w:rsid w:val="00B900CF"/>
    <w:rsid w:val="00B90AB5"/>
    <w:rsid w:val="00B9253C"/>
    <w:rsid w:val="00B92751"/>
    <w:rsid w:val="00B92B5B"/>
    <w:rsid w:val="00B92C2E"/>
    <w:rsid w:val="00B92CF3"/>
    <w:rsid w:val="00B94812"/>
    <w:rsid w:val="00B94E90"/>
    <w:rsid w:val="00B96236"/>
    <w:rsid w:val="00B96497"/>
    <w:rsid w:val="00B974FC"/>
    <w:rsid w:val="00B977E5"/>
    <w:rsid w:val="00B97F15"/>
    <w:rsid w:val="00BA125F"/>
    <w:rsid w:val="00BA15FF"/>
    <w:rsid w:val="00BA29E9"/>
    <w:rsid w:val="00BA2D44"/>
    <w:rsid w:val="00BA3375"/>
    <w:rsid w:val="00BA34B0"/>
    <w:rsid w:val="00BA3872"/>
    <w:rsid w:val="00BA5099"/>
    <w:rsid w:val="00BA5164"/>
    <w:rsid w:val="00BA57F2"/>
    <w:rsid w:val="00BA5EC5"/>
    <w:rsid w:val="00BA62D1"/>
    <w:rsid w:val="00BA6E36"/>
    <w:rsid w:val="00BA7142"/>
    <w:rsid w:val="00BA7159"/>
    <w:rsid w:val="00BA7C15"/>
    <w:rsid w:val="00BA7D0B"/>
    <w:rsid w:val="00BB0B9D"/>
    <w:rsid w:val="00BB237C"/>
    <w:rsid w:val="00BB28D1"/>
    <w:rsid w:val="00BB2FCB"/>
    <w:rsid w:val="00BB41A3"/>
    <w:rsid w:val="00BB4EB6"/>
    <w:rsid w:val="00BB5926"/>
    <w:rsid w:val="00BB7F10"/>
    <w:rsid w:val="00BC1A01"/>
    <w:rsid w:val="00BC1C2E"/>
    <w:rsid w:val="00BC1CE6"/>
    <w:rsid w:val="00BC32DC"/>
    <w:rsid w:val="00BC3363"/>
    <w:rsid w:val="00BC35B6"/>
    <w:rsid w:val="00BC3851"/>
    <w:rsid w:val="00BC38F0"/>
    <w:rsid w:val="00BC40D3"/>
    <w:rsid w:val="00BC4797"/>
    <w:rsid w:val="00BC59AD"/>
    <w:rsid w:val="00BC65C9"/>
    <w:rsid w:val="00BC6F04"/>
    <w:rsid w:val="00BC74C7"/>
    <w:rsid w:val="00BC7D97"/>
    <w:rsid w:val="00BD063D"/>
    <w:rsid w:val="00BD0FDC"/>
    <w:rsid w:val="00BD15A7"/>
    <w:rsid w:val="00BD1B51"/>
    <w:rsid w:val="00BD33EB"/>
    <w:rsid w:val="00BD3881"/>
    <w:rsid w:val="00BD3E93"/>
    <w:rsid w:val="00BD4596"/>
    <w:rsid w:val="00BD45AC"/>
    <w:rsid w:val="00BD5EB9"/>
    <w:rsid w:val="00BD68E3"/>
    <w:rsid w:val="00BD6926"/>
    <w:rsid w:val="00BD6E40"/>
    <w:rsid w:val="00BD7225"/>
    <w:rsid w:val="00BD763E"/>
    <w:rsid w:val="00BE1405"/>
    <w:rsid w:val="00BE1B30"/>
    <w:rsid w:val="00BE312D"/>
    <w:rsid w:val="00BE3693"/>
    <w:rsid w:val="00BE39AD"/>
    <w:rsid w:val="00BE4405"/>
    <w:rsid w:val="00BE4659"/>
    <w:rsid w:val="00BE601A"/>
    <w:rsid w:val="00BE636B"/>
    <w:rsid w:val="00BE6C1A"/>
    <w:rsid w:val="00BE773C"/>
    <w:rsid w:val="00BE7A8F"/>
    <w:rsid w:val="00BF0320"/>
    <w:rsid w:val="00BF03F5"/>
    <w:rsid w:val="00BF06DB"/>
    <w:rsid w:val="00BF0B77"/>
    <w:rsid w:val="00BF104A"/>
    <w:rsid w:val="00BF13D9"/>
    <w:rsid w:val="00BF1C20"/>
    <w:rsid w:val="00BF2069"/>
    <w:rsid w:val="00BF2E7C"/>
    <w:rsid w:val="00BF2EE1"/>
    <w:rsid w:val="00BF3682"/>
    <w:rsid w:val="00BF56F3"/>
    <w:rsid w:val="00BF6AE9"/>
    <w:rsid w:val="00BF6B7D"/>
    <w:rsid w:val="00BF7C83"/>
    <w:rsid w:val="00C017A8"/>
    <w:rsid w:val="00C02050"/>
    <w:rsid w:val="00C0292F"/>
    <w:rsid w:val="00C03779"/>
    <w:rsid w:val="00C0382D"/>
    <w:rsid w:val="00C04198"/>
    <w:rsid w:val="00C042F1"/>
    <w:rsid w:val="00C05E39"/>
    <w:rsid w:val="00C05ECA"/>
    <w:rsid w:val="00C06C18"/>
    <w:rsid w:val="00C07674"/>
    <w:rsid w:val="00C10578"/>
    <w:rsid w:val="00C10C5C"/>
    <w:rsid w:val="00C112D9"/>
    <w:rsid w:val="00C123E0"/>
    <w:rsid w:val="00C135BC"/>
    <w:rsid w:val="00C141A1"/>
    <w:rsid w:val="00C15226"/>
    <w:rsid w:val="00C15C95"/>
    <w:rsid w:val="00C15E70"/>
    <w:rsid w:val="00C1663C"/>
    <w:rsid w:val="00C16BE9"/>
    <w:rsid w:val="00C16C3E"/>
    <w:rsid w:val="00C171A0"/>
    <w:rsid w:val="00C20CCD"/>
    <w:rsid w:val="00C20EBB"/>
    <w:rsid w:val="00C211DA"/>
    <w:rsid w:val="00C22B96"/>
    <w:rsid w:val="00C25657"/>
    <w:rsid w:val="00C2596A"/>
    <w:rsid w:val="00C262C9"/>
    <w:rsid w:val="00C26EF7"/>
    <w:rsid w:val="00C27537"/>
    <w:rsid w:val="00C30C2E"/>
    <w:rsid w:val="00C31735"/>
    <w:rsid w:val="00C31C6E"/>
    <w:rsid w:val="00C31E1E"/>
    <w:rsid w:val="00C325F6"/>
    <w:rsid w:val="00C328FE"/>
    <w:rsid w:val="00C33507"/>
    <w:rsid w:val="00C33769"/>
    <w:rsid w:val="00C33B46"/>
    <w:rsid w:val="00C33CC4"/>
    <w:rsid w:val="00C34345"/>
    <w:rsid w:val="00C35205"/>
    <w:rsid w:val="00C356F2"/>
    <w:rsid w:val="00C369A2"/>
    <w:rsid w:val="00C36C78"/>
    <w:rsid w:val="00C37A69"/>
    <w:rsid w:val="00C4010C"/>
    <w:rsid w:val="00C40653"/>
    <w:rsid w:val="00C41132"/>
    <w:rsid w:val="00C413CA"/>
    <w:rsid w:val="00C41708"/>
    <w:rsid w:val="00C41902"/>
    <w:rsid w:val="00C42063"/>
    <w:rsid w:val="00C42CFA"/>
    <w:rsid w:val="00C4409D"/>
    <w:rsid w:val="00C44E72"/>
    <w:rsid w:val="00C45A06"/>
    <w:rsid w:val="00C46EB5"/>
    <w:rsid w:val="00C47543"/>
    <w:rsid w:val="00C47E5B"/>
    <w:rsid w:val="00C50404"/>
    <w:rsid w:val="00C5186B"/>
    <w:rsid w:val="00C52656"/>
    <w:rsid w:val="00C54E88"/>
    <w:rsid w:val="00C55176"/>
    <w:rsid w:val="00C558E5"/>
    <w:rsid w:val="00C56728"/>
    <w:rsid w:val="00C56A48"/>
    <w:rsid w:val="00C57887"/>
    <w:rsid w:val="00C605C6"/>
    <w:rsid w:val="00C61BA6"/>
    <w:rsid w:val="00C61E4B"/>
    <w:rsid w:val="00C62570"/>
    <w:rsid w:val="00C62768"/>
    <w:rsid w:val="00C63DC9"/>
    <w:rsid w:val="00C64AF2"/>
    <w:rsid w:val="00C64BFF"/>
    <w:rsid w:val="00C65A01"/>
    <w:rsid w:val="00C66760"/>
    <w:rsid w:val="00C66C5D"/>
    <w:rsid w:val="00C67815"/>
    <w:rsid w:val="00C704E9"/>
    <w:rsid w:val="00C71896"/>
    <w:rsid w:val="00C7286D"/>
    <w:rsid w:val="00C728F0"/>
    <w:rsid w:val="00C729E2"/>
    <w:rsid w:val="00C73505"/>
    <w:rsid w:val="00C7410D"/>
    <w:rsid w:val="00C74215"/>
    <w:rsid w:val="00C755CD"/>
    <w:rsid w:val="00C763C9"/>
    <w:rsid w:val="00C80057"/>
    <w:rsid w:val="00C80B8D"/>
    <w:rsid w:val="00C80C99"/>
    <w:rsid w:val="00C81D0B"/>
    <w:rsid w:val="00C82232"/>
    <w:rsid w:val="00C82913"/>
    <w:rsid w:val="00C82F7C"/>
    <w:rsid w:val="00C83202"/>
    <w:rsid w:val="00C8361E"/>
    <w:rsid w:val="00C84C50"/>
    <w:rsid w:val="00C855E5"/>
    <w:rsid w:val="00C85BB5"/>
    <w:rsid w:val="00C864B1"/>
    <w:rsid w:val="00C8711A"/>
    <w:rsid w:val="00C9068D"/>
    <w:rsid w:val="00C945E2"/>
    <w:rsid w:val="00C95260"/>
    <w:rsid w:val="00C95A53"/>
    <w:rsid w:val="00C95E29"/>
    <w:rsid w:val="00C95FB2"/>
    <w:rsid w:val="00C96717"/>
    <w:rsid w:val="00C972B1"/>
    <w:rsid w:val="00C975B6"/>
    <w:rsid w:val="00C9772C"/>
    <w:rsid w:val="00C97DBE"/>
    <w:rsid w:val="00CA018A"/>
    <w:rsid w:val="00CA0D96"/>
    <w:rsid w:val="00CA0FD5"/>
    <w:rsid w:val="00CA1EDA"/>
    <w:rsid w:val="00CA2350"/>
    <w:rsid w:val="00CA2C38"/>
    <w:rsid w:val="00CA2CCE"/>
    <w:rsid w:val="00CA43FD"/>
    <w:rsid w:val="00CA49FA"/>
    <w:rsid w:val="00CA4EB9"/>
    <w:rsid w:val="00CA5739"/>
    <w:rsid w:val="00CA5788"/>
    <w:rsid w:val="00CA59EE"/>
    <w:rsid w:val="00CA6381"/>
    <w:rsid w:val="00CA6512"/>
    <w:rsid w:val="00CA76C5"/>
    <w:rsid w:val="00CA7706"/>
    <w:rsid w:val="00CA7B47"/>
    <w:rsid w:val="00CA7EF8"/>
    <w:rsid w:val="00CB0465"/>
    <w:rsid w:val="00CB085D"/>
    <w:rsid w:val="00CB0F23"/>
    <w:rsid w:val="00CB22E1"/>
    <w:rsid w:val="00CB25DD"/>
    <w:rsid w:val="00CB2710"/>
    <w:rsid w:val="00CB3070"/>
    <w:rsid w:val="00CB48AC"/>
    <w:rsid w:val="00CB7051"/>
    <w:rsid w:val="00CC0075"/>
    <w:rsid w:val="00CC0876"/>
    <w:rsid w:val="00CC0D78"/>
    <w:rsid w:val="00CC1766"/>
    <w:rsid w:val="00CC1F7B"/>
    <w:rsid w:val="00CC24C2"/>
    <w:rsid w:val="00CC3101"/>
    <w:rsid w:val="00CC489B"/>
    <w:rsid w:val="00CC50B5"/>
    <w:rsid w:val="00CC56FE"/>
    <w:rsid w:val="00CC58F8"/>
    <w:rsid w:val="00CC78DD"/>
    <w:rsid w:val="00CC7B1E"/>
    <w:rsid w:val="00CD06E0"/>
    <w:rsid w:val="00CD09CB"/>
    <w:rsid w:val="00CD17AD"/>
    <w:rsid w:val="00CD2478"/>
    <w:rsid w:val="00CD2BCD"/>
    <w:rsid w:val="00CD3589"/>
    <w:rsid w:val="00CD3900"/>
    <w:rsid w:val="00CD3A4C"/>
    <w:rsid w:val="00CD65E6"/>
    <w:rsid w:val="00CD68BC"/>
    <w:rsid w:val="00CD70CC"/>
    <w:rsid w:val="00CE04E5"/>
    <w:rsid w:val="00CE093A"/>
    <w:rsid w:val="00CE10E9"/>
    <w:rsid w:val="00CE19B3"/>
    <w:rsid w:val="00CE2910"/>
    <w:rsid w:val="00CE3FF2"/>
    <w:rsid w:val="00CE4662"/>
    <w:rsid w:val="00CE4C22"/>
    <w:rsid w:val="00CE4CBF"/>
    <w:rsid w:val="00CE5393"/>
    <w:rsid w:val="00CE54F9"/>
    <w:rsid w:val="00CE67EB"/>
    <w:rsid w:val="00CE6857"/>
    <w:rsid w:val="00CE6ACE"/>
    <w:rsid w:val="00CE6BC4"/>
    <w:rsid w:val="00CE7972"/>
    <w:rsid w:val="00CE7BF1"/>
    <w:rsid w:val="00CF0CB1"/>
    <w:rsid w:val="00CF0F2C"/>
    <w:rsid w:val="00CF1805"/>
    <w:rsid w:val="00CF1B64"/>
    <w:rsid w:val="00CF2C61"/>
    <w:rsid w:val="00CF36BE"/>
    <w:rsid w:val="00CF4EF7"/>
    <w:rsid w:val="00CF50E1"/>
    <w:rsid w:val="00CF56B6"/>
    <w:rsid w:val="00CF5C0F"/>
    <w:rsid w:val="00CF6000"/>
    <w:rsid w:val="00CF6207"/>
    <w:rsid w:val="00CF7446"/>
    <w:rsid w:val="00CF7B91"/>
    <w:rsid w:val="00D003F3"/>
    <w:rsid w:val="00D00C70"/>
    <w:rsid w:val="00D011E7"/>
    <w:rsid w:val="00D025CC"/>
    <w:rsid w:val="00D02A43"/>
    <w:rsid w:val="00D0347C"/>
    <w:rsid w:val="00D0364F"/>
    <w:rsid w:val="00D03D8D"/>
    <w:rsid w:val="00D04640"/>
    <w:rsid w:val="00D057F2"/>
    <w:rsid w:val="00D06834"/>
    <w:rsid w:val="00D105CA"/>
    <w:rsid w:val="00D113F2"/>
    <w:rsid w:val="00D118C8"/>
    <w:rsid w:val="00D12266"/>
    <w:rsid w:val="00D122E1"/>
    <w:rsid w:val="00D126D7"/>
    <w:rsid w:val="00D1272D"/>
    <w:rsid w:val="00D12867"/>
    <w:rsid w:val="00D12AD6"/>
    <w:rsid w:val="00D1386D"/>
    <w:rsid w:val="00D13B2D"/>
    <w:rsid w:val="00D14984"/>
    <w:rsid w:val="00D14F19"/>
    <w:rsid w:val="00D16B88"/>
    <w:rsid w:val="00D16D02"/>
    <w:rsid w:val="00D16FCD"/>
    <w:rsid w:val="00D17143"/>
    <w:rsid w:val="00D17AF8"/>
    <w:rsid w:val="00D17B3A"/>
    <w:rsid w:val="00D20B5D"/>
    <w:rsid w:val="00D222AE"/>
    <w:rsid w:val="00D222C0"/>
    <w:rsid w:val="00D22677"/>
    <w:rsid w:val="00D23761"/>
    <w:rsid w:val="00D23904"/>
    <w:rsid w:val="00D25131"/>
    <w:rsid w:val="00D25586"/>
    <w:rsid w:val="00D25BD1"/>
    <w:rsid w:val="00D27C0C"/>
    <w:rsid w:val="00D308ED"/>
    <w:rsid w:val="00D31701"/>
    <w:rsid w:val="00D32F89"/>
    <w:rsid w:val="00D33237"/>
    <w:rsid w:val="00D3456D"/>
    <w:rsid w:val="00D346DF"/>
    <w:rsid w:val="00D34B00"/>
    <w:rsid w:val="00D34E82"/>
    <w:rsid w:val="00D34EC5"/>
    <w:rsid w:val="00D35B0E"/>
    <w:rsid w:val="00D36921"/>
    <w:rsid w:val="00D36AE8"/>
    <w:rsid w:val="00D36D86"/>
    <w:rsid w:val="00D378F9"/>
    <w:rsid w:val="00D400F9"/>
    <w:rsid w:val="00D40AEA"/>
    <w:rsid w:val="00D40ECC"/>
    <w:rsid w:val="00D428AA"/>
    <w:rsid w:val="00D42AAC"/>
    <w:rsid w:val="00D42D09"/>
    <w:rsid w:val="00D46070"/>
    <w:rsid w:val="00D4713F"/>
    <w:rsid w:val="00D47631"/>
    <w:rsid w:val="00D47B07"/>
    <w:rsid w:val="00D50731"/>
    <w:rsid w:val="00D50A34"/>
    <w:rsid w:val="00D50AE0"/>
    <w:rsid w:val="00D52A0A"/>
    <w:rsid w:val="00D52EBE"/>
    <w:rsid w:val="00D53272"/>
    <w:rsid w:val="00D53EFA"/>
    <w:rsid w:val="00D54DAB"/>
    <w:rsid w:val="00D5740F"/>
    <w:rsid w:val="00D6028C"/>
    <w:rsid w:val="00D6051D"/>
    <w:rsid w:val="00D608FF"/>
    <w:rsid w:val="00D60B8E"/>
    <w:rsid w:val="00D60B91"/>
    <w:rsid w:val="00D6242F"/>
    <w:rsid w:val="00D63240"/>
    <w:rsid w:val="00D65705"/>
    <w:rsid w:val="00D65A0E"/>
    <w:rsid w:val="00D66C46"/>
    <w:rsid w:val="00D67269"/>
    <w:rsid w:val="00D67CE6"/>
    <w:rsid w:val="00D70A81"/>
    <w:rsid w:val="00D70CE4"/>
    <w:rsid w:val="00D71975"/>
    <w:rsid w:val="00D72A96"/>
    <w:rsid w:val="00D732FE"/>
    <w:rsid w:val="00D73F22"/>
    <w:rsid w:val="00D81112"/>
    <w:rsid w:val="00D81171"/>
    <w:rsid w:val="00D81D59"/>
    <w:rsid w:val="00D823B0"/>
    <w:rsid w:val="00D833A3"/>
    <w:rsid w:val="00D8488D"/>
    <w:rsid w:val="00D856A2"/>
    <w:rsid w:val="00D856AB"/>
    <w:rsid w:val="00D8596D"/>
    <w:rsid w:val="00D867EF"/>
    <w:rsid w:val="00D86CE9"/>
    <w:rsid w:val="00D90F8B"/>
    <w:rsid w:val="00D944D9"/>
    <w:rsid w:val="00D94667"/>
    <w:rsid w:val="00D94A7C"/>
    <w:rsid w:val="00D95896"/>
    <w:rsid w:val="00D95B5B"/>
    <w:rsid w:val="00D96E7F"/>
    <w:rsid w:val="00D972AE"/>
    <w:rsid w:val="00D97412"/>
    <w:rsid w:val="00DA0163"/>
    <w:rsid w:val="00DA0CC5"/>
    <w:rsid w:val="00DA2223"/>
    <w:rsid w:val="00DA2741"/>
    <w:rsid w:val="00DA3C3B"/>
    <w:rsid w:val="00DA3CBA"/>
    <w:rsid w:val="00DA49AA"/>
    <w:rsid w:val="00DA54E4"/>
    <w:rsid w:val="00DA6195"/>
    <w:rsid w:val="00DA66C3"/>
    <w:rsid w:val="00DA6BD6"/>
    <w:rsid w:val="00DA7620"/>
    <w:rsid w:val="00DA7909"/>
    <w:rsid w:val="00DA7BF3"/>
    <w:rsid w:val="00DB030D"/>
    <w:rsid w:val="00DB0700"/>
    <w:rsid w:val="00DB0B45"/>
    <w:rsid w:val="00DB1314"/>
    <w:rsid w:val="00DB1882"/>
    <w:rsid w:val="00DB1899"/>
    <w:rsid w:val="00DB2983"/>
    <w:rsid w:val="00DB394A"/>
    <w:rsid w:val="00DB3C86"/>
    <w:rsid w:val="00DB4BD6"/>
    <w:rsid w:val="00DB555A"/>
    <w:rsid w:val="00DC0530"/>
    <w:rsid w:val="00DC1257"/>
    <w:rsid w:val="00DC1CF0"/>
    <w:rsid w:val="00DC21C6"/>
    <w:rsid w:val="00DC2669"/>
    <w:rsid w:val="00DC3DC0"/>
    <w:rsid w:val="00DC4133"/>
    <w:rsid w:val="00DC4BE9"/>
    <w:rsid w:val="00DC5B2B"/>
    <w:rsid w:val="00DC67DE"/>
    <w:rsid w:val="00DC6F3A"/>
    <w:rsid w:val="00DC6FC8"/>
    <w:rsid w:val="00DC75B4"/>
    <w:rsid w:val="00DD0004"/>
    <w:rsid w:val="00DD0464"/>
    <w:rsid w:val="00DD128A"/>
    <w:rsid w:val="00DD14F5"/>
    <w:rsid w:val="00DD318D"/>
    <w:rsid w:val="00DD33D8"/>
    <w:rsid w:val="00DD4873"/>
    <w:rsid w:val="00DD5117"/>
    <w:rsid w:val="00DD5ADC"/>
    <w:rsid w:val="00DD69E2"/>
    <w:rsid w:val="00DD7855"/>
    <w:rsid w:val="00DE0081"/>
    <w:rsid w:val="00DE04B4"/>
    <w:rsid w:val="00DE1CB4"/>
    <w:rsid w:val="00DE1E90"/>
    <w:rsid w:val="00DE27B7"/>
    <w:rsid w:val="00DE2C2D"/>
    <w:rsid w:val="00DE35FB"/>
    <w:rsid w:val="00DE3604"/>
    <w:rsid w:val="00DE3DFE"/>
    <w:rsid w:val="00DE4961"/>
    <w:rsid w:val="00DE567F"/>
    <w:rsid w:val="00DE5741"/>
    <w:rsid w:val="00DE5796"/>
    <w:rsid w:val="00DE57EA"/>
    <w:rsid w:val="00DE5EFA"/>
    <w:rsid w:val="00DE728D"/>
    <w:rsid w:val="00DE760C"/>
    <w:rsid w:val="00DE7959"/>
    <w:rsid w:val="00DF05F3"/>
    <w:rsid w:val="00DF0B4D"/>
    <w:rsid w:val="00DF19DC"/>
    <w:rsid w:val="00DF2397"/>
    <w:rsid w:val="00DF24B6"/>
    <w:rsid w:val="00DF2643"/>
    <w:rsid w:val="00DF2B55"/>
    <w:rsid w:val="00DF2C06"/>
    <w:rsid w:val="00DF2E12"/>
    <w:rsid w:val="00DF37B1"/>
    <w:rsid w:val="00DF3E44"/>
    <w:rsid w:val="00DF42E6"/>
    <w:rsid w:val="00DF514A"/>
    <w:rsid w:val="00DF5F59"/>
    <w:rsid w:val="00DF5FAB"/>
    <w:rsid w:val="00DF6690"/>
    <w:rsid w:val="00DF6804"/>
    <w:rsid w:val="00DF792E"/>
    <w:rsid w:val="00E00AE7"/>
    <w:rsid w:val="00E01338"/>
    <w:rsid w:val="00E021B8"/>
    <w:rsid w:val="00E032AC"/>
    <w:rsid w:val="00E0358D"/>
    <w:rsid w:val="00E039D3"/>
    <w:rsid w:val="00E03ADD"/>
    <w:rsid w:val="00E040AB"/>
    <w:rsid w:val="00E04323"/>
    <w:rsid w:val="00E04BB1"/>
    <w:rsid w:val="00E05700"/>
    <w:rsid w:val="00E0695B"/>
    <w:rsid w:val="00E070A2"/>
    <w:rsid w:val="00E07A46"/>
    <w:rsid w:val="00E12585"/>
    <w:rsid w:val="00E12CFE"/>
    <w:rsid w:val="00E12F56"/>
    <w:rsid w:val="00E13238"/>
    <w:rsid w:val="00E15CA5"/>
    <w:rsid w:val="00E17185"/>
    <w:rsid w:val="00E206F8"/>
    <w:rsid w:val="00E2145B"/>
    <w:rsid w:val="00E21A72"/>
    <w:rsid w:val="00E21D25"/>
    <w:rsid w:val="00E2399F"/>
    <w:rsid w:val="00E2656A"/>
    <w:rsid w:val="00E26E45"/>
    <w:rsid w:val="00E27321"/>
    <w:rsid w:val="00E27C92"/>
    <w:rsid w:val="00E30399"/>
    <w:rsid w:val="00E30CC3"/>
    <w:rsid w:val="00E31263"/>
    <w:rsid w:val="00E3180D"/>
    <w:rsid w:val="00E31F57"/>
    <w:rsid w:val="00E32144"/>
    <w:rsid w:val="00E329B3"/>
    <w:rsid w:val="00E34718"/>
    <w:rsid w:val="00E352AF"/>
    <w:rsid w:val="00E3563E"/>
    <w:rsid w:val="00E35815"/>
    <w:rsid w:val="00E3582F"/>
    <w:rsid w:val="00E35B22"/>
    <w:rsid w:val="00E377BD"/>
    <w:rsid w:val="00E40385"/>
    <w:rsid w:val="00E4049F"/>
    <w:rsid w:val="00E40BCC"/>
    <w:rsid w:val="00E4125F"/>
    <w:rsid w:val="00E412D0"/>
    <w:rsid w:val="00E41FF5"/>
    <w:rsid w:val="00E422FA"/>
    <w:rsid w:val="00E425B5"/>
    <w:rsid w:val="00E4280A"/>
    <w:rsid w:val="00E4411D"/>
    <w:rsid w:val="00E446C3"/>
    <w:rsid w:val="00E4513E"/>
    <w:rsid w:val="00E458FF"/>
    <w:rsid w:val="00E46123"/>
    <w:rsid w:val="00E4641B"/>
    <w:rsid w:val="00E464D7"/>
    <w:rsid w:val="00E51FA6"/>
    <w:rsid w:val="00E52530"/>
    <w:rsid w:val="00E52C3B"/>
    <w:rsid w:val="00E52D4E"/>
    <w:rsid w:val="00E53725"/>
    <w:rsid w:val="00E5540F"/>
    <w:rsid w:val="00E55C51"/>
    <w:rsid w:val="00E56322"/>
    <w:rsid w:val="00E56963"/>
    <w:rsid w:val="00E60276"/>
    <w:rsid w:val="00E60982"/>
    <w:rsid w:val="00E614AF"/>
    <w:rsid w:val="00E6160F"/>
    <w:rsid w:val="00E61A0D"/>
    <w:rsid w:val="00E62356"/>
    <w:rsid w:val="00E6235F"/>
    <w:rsid w:val="00E62A34"/>
    <w:rsid w:val="00E62C62"/>
    <w:rsid w:val="00E6471D"/>
    <w:rsid w:val="00E648EF"/>
    <w:rsid w:val="00E649EA"/>
    <w:rsid w:val="00E654C1"/>
    <w:rsid w:val="00E65D97"/>
    <w:rsid w:val="00E6607B"/>
    <w:rsid w:val="00E6640E"/>
    <w:rsid w:val="00E67001"/>
    <w:rsid w:val="00E671C0"/>
    <w:rsid w:val="00E703F1"/>
    <w:rsid w:val="00E7047C"/>
    <w:rsid w:val="00E711AB"/>
    <w:rsid w:val="00E71771"/>
    <w:rsid w:val="00E720E4"/>
    <w:rsid w:val="00E72A5A"/>
    <w:rsid w:val="00E73354"/>
    <w:rsid w:val="00E747D3"/>
    <w:rsid w:val="00E74BDE"/>
    <w:rsid w:val="00E755FF"/>
    <w:rsid w:val="00E769E5"/>
    <w:rsid w:val="00E77D3F"/>
    <w:rsid w:val="00E818A0"/>
    <w:rsid w:val="00E82619"/>
    <w:rsid w:val="00E8347B"/>
    <w:rsid w:val="00E86659"/>
    <w:rsid w:val="00E869FD"/>
    <w:rsid w:val="00E87205"/>
    <w:rsid w:val="00E909C6"/>
    <w:rsid w:val="00E90C65"/>
    <w:rsid w:val="00E91F1D"/>
    <w:rsid w:val="00E9235A"/>
    <w:rsid w:val="00E9242D"/>
    <w:rsid w:val="00E92C88"/>
    <w:rsid w:val="00E93A4B"/>
    <w:rsid w:val="00E94131"/>
    <w:rsid w:val="00E954BA"/>
    <w:rsid w:val="00E96B09"/>
    <w:rsid w:val="00E96E7A"/>
    <w:rsid w:val="00E97D90"/>
    <w:rsid w:val="00E97DDD"/>
    <w:rsid w:val="00EA0B07"/>
    <w:rsid w:val="00EA0E14"/>
    <w:rsid w:val="00EA23A5"/>
    <w:rsid w:val="00EA3A1B"/>
    <w:rsid w:val="00EA5DCE"/>
    <w:rsid w:val="00EA7543"/>
    <w:rsid w:val="00EA7F1E"/>
    <w:rsid w:val="00EA7F29"/>
    <w:rsid w:val="00EB0484"/>
    <w:rsid w:val="00EB1A8B"/>
    <w:rsid w:val="00EB2E3E"/>
    <w:rsid w:val="00EB46FB"/>
    <w:rsid w:val="00EB4778"/>
    <w:rsid w:val="00EB5255"/>
    <w:rsid w:val="00EB5678"/>
    <w:rsid w:val="00EB5BC6"/>
    <w:rsid w:val="00EB5C47"/>
    <w:rsid w:val="00EB5F7C"/>
    <w:rsid w:val="00EB6231"/>
    <w:rsid w:val="00EB6E41"/>
    <w:rsid w:val="00EC02F4"/>
    <w:rsid w:val="00EC06B9"/>
    <w:rsid w:val="00EC08A4"/>
    <w:rsid w:val="00EC0F39"/>
    <w:rsid w:val="00EC1467"/>
    <w:rsid w:val="00EC14C9"/>
    <w:rsid w:val="00EC232A"/>
    <w:rsid w:val="00EC2F7C"/>
    <w:rsid w:val="00EC31A5"/>
    <w:rsid w:val="00EC35CA"/>
    <w:rsid w:val="00EC44E8"/>
    <w:rsid w:val="00EC571F"/>
    <w:rsid w:val="00EC6EA2"/>
    <w:rsid w:val="00EC7E1A"/>
    <w:rsid w:val="00ED0639"/>
    <w:rsid w:val="00ED0AA9"/>
    <w:rsid w:val="00ED0BF7"/>
    <w:rsid w:val="00ED0EF8"/>
    <w:rsid w:val="00ED11AE"/>
    <w:rsid w:val="00ED1F24"/>
    <w:rsid w:val="00ED1F37"/>
    <w:rsid w:val="00ED2224"/>
    <w:rsid w:val="00ED2958"/>
    <w:rsid w:val="00ED2A75"/>
    <w:rsid w:val="00ED2DD2"/>
    <w:rsid w:val="00ED322E"/>
    <w:rsid w:val="00ED3417"/>
    <w:rsid w:val="00ED3B3E"/>
    <w:rsid w:val="00ED3E0B"/>
    <w:rsid w:val="00ED52A5"/>
    <w:rsid w:val="00ED58F0"/>
    <w:rsid w:val="00ED7394"/>
    <w:rsid w:val="00ED7981"/>
    <w:rsid w:val="00ED7B8F"/>
    <w:rsid w:val="00EE03E5"/>
    <w:rsid w:val="00EE0A63"/>
    <w:rsid w:val="00EE1185"/>
    <w:rsid w:val="00EE1884"/>
    <w:rsid w:val="00EE384D"/>
    <w:rsid w:val="00EE3D4A"/>
    <w:rsid w:val="00EE3E10"/>
    <w:rsid w:val="00EE4B46"/>
    <w:rsid w:val="00EE510B"/>
    <w:rsid w:val="00EE5209"/>
    <w:rsid w:val="00EE5FF5"/>
    <w:rsid w:val="00EE7E0B"/>
    <w:rsid w:val="00EE7EC3"/>
    <w:rsid w:val="00EE7FEC"/>
    <w:rsid w:val="00EF2778"/>
    <w:rsid w:val="00EF32DF"/>
    <w:rsid w:val="00EF3331"/>
    <w:rsid w:val="00EF33A8"/>
    <w:rsid w:val="00EF42B1"/>
    <w:rsid w:val="00EF4755"/>
    <w:rsid w:val="00EF5B70"/>
    <w:rsid w:val="00EF600A"/>
    <w:rsid w:val="00EF6D14"/>
    <w:rsid w:val="00EF7135"/>
    <w:rsid w:val="00EF7B0D"/>
    <w:rsid w:val="00F0027F"/>
    <w:rsid w:val="00F00341"/>
    <w:rsid w:val="00F01017"/>
    <w:rsid w:val="00F027DB"/>
    <w:rsid w:val="00F02A5E"/>
    <w:rsid w:val="00F02D85"/>
    <w:rsid w:val="00F04882"/>
    <w:rsid w:val="00F0548B"/>
    <w:rsid w:val="00F06A2D"/>
    <w:rsid w:val="00F075BF"/>
    <w:rsid w:val="00F10939"/>
    <w:rsid w:val="00F113AB"/>
    <w:rsid w:val="00F11F76"/>
    <w:rsid w:val="00F12426"/>
    <w:rsid w:val="00F1437E"/>
    <w:rsid w:val="00F14A7A"/>
    <w:rsid w:val="00F14DF9"/>
    <w:rsid w:val="00F15699"/>
    <w:rsid w:val="00F1628E"/>
    <w:rsid w:val="00F16C7B"/>
    <w:rsid w:val="00F17363"/>
    <w:rsid w:val="00F17403"/>
    <w:rsid w:val="00F1756F"/>
    <w:rsid w:val="00F17DEB"/>
    <w:rsid w:val="00F20FCE"/>
    <w:rsid w:val="00F215E5"/>
    <w:rsid w:val="00F21776"/>
    <w:rsid w:val="00F2252F"/>
    <w:rsid w:val="00F228BC"/>
    <w:rsid w:val="00F22985"/>
    <w:rsid w:val="00F22BF9"/>
    <w:rsid w:val="00F23D92"/>
    <w:rsid w:val="00F240A7"/>
    <w:rsid w:val="00F24E43"/>
    <w:rsid w:val="00F25548"/>
    <w:rsid w:val="00F2752A"/>
    <w:rsid w:val="00F300E8"/>
    <w:rsid w:val="00F312D1"/>
    <w:rsid w:val="00F31A41"/>
    <w:rsid w:val="00F32ED0"/>
    <w:rsid w:val="00F3383E"/>
    <w:rsid w:val="00F33A23"/>
    <w:rsid w:val="00F33DD6"/>
    <w:rsid w:val="00F3404C"/>
    <w:rsid w:val="00F3570E"/>
    <w:rsid w:val="00F35B45"/>
    <w:rsid w:val="00F37106"/>
    <w:rsid w:val="00F40F58"/>
    <w:rsid w:val="00F41232"/>
    <w:rsid w:val="00F41502"/>
    <w:rsid w:val="00F42812"/>
    <w:rsid w:val="00F42ACB"/>
    <w:rsid w:val="00F465A7"/>
    <w:rsid w:val="00F46D98"/>
    <w:rsid w:val="00F472C0"/>
    <w:rsid w:val="00F47369"/>
    <w:rsid w:val="00F477F2"/>
    <w:rsid w:val="00F47AA2"/>
    <w:rsid w:val="00F50B7C"/>
    <w:rsid w:val="00F510F0"/>
    <w:rsid w:val="00F5123C"/>
    <w:rsid w:val="00F51991"/>
    <w:rsid w:val="00F51A9F"/>
    <w:rsid w:val="00F5247D"/>
    <w:rsid w:val="00F52BA5"/>
    <w:rsid w:val="00F52F8D"/>
    <w:rsid w:val="00F53819"/>
    <w:rsid w:val="00F54C52"/>
    <w:rsid w:val="00F54CE9"/>
    <w:rsid w:val="00F54E21"/>
    <w:rsid w:val="00F550E6"/>
    <w:rsid w:val="00F554B7"/>
    <w:rsid w:val="00F55878"/>
    <w:rsid w:val="00F558D0"/>
    <w:rsid w:val="00F55AA2"/>
    <w:rsid w:val="00F5605B"/>
    <w:rsid w:val="00F56470"/>
    <w:rsid w:val="00F5785B"/>
    <w:rsid w:val="00F57AD0"/>
    <w:rsid w:val="00F57E30"/>
    <w:rsid w:val="00F606FD"/>
    <w:rsid w:val="00F61252"/>
    <w:rsid w:val="00F61A18"/>
    <w:rsid w:val="00F62C42"/>
    <w:rsid w:val="00F63420"/>
    <w:rsid w:val="00F63A77"/>
    <w:rsid w:val="00F63BDA"/>
    <w:rsid w:val="00F63CD5"/>
    <w:rsid w:val="00F63E34"/>
    <w:rsid w:val="00F6468B"/>
    <w:rsid w:val="00F6537C"/>
    <w:rsid w:val="00F653DF"/>
    <w:rsid w:val="00F65D5F"/>
    <w:rsid w:val="00F664F1"/>
    <w:rsid w:val="00F66DAA"/>
    <w:rsid w:val="00F7007B"/>
    <w:rsid w:val="00F70DC0"/>
    <w:rsid w:val="00F71624"/>
    <w:rsid w:val="00F72621"/>
    <w:rsid w:val="00F72A39"/>
    <w:rsid w:val="00F74109"/>
    <w:rsid w:val="00F74345"/>
    <w:rsid w:val="00F7445C"/>
    <w:rsid w:val="00F754A7"/>
    <w:rsid w:val="00F75D10"/>
    <w:rsid w:val="00F77930"/>
    <w:rsid w:val="00F80014"/>
    <w:rsid w:val="00F80A0A"/>
    <w:rsid w:val="00F81967"/>
    <w:rsid w:val="00F82B19"/>
    <w:rsid w:val="00F841B1"/>
    <w:rsid w:val="00F867C4"/>
    <w:rsid w:val="00F86BF2"/>
    <w:rsid w:val="00F8744A"/>
    <w:rsid w:val="00F8794C"/>
    <w:rsid w:val="00F87E6A"/>
    <w:rsid w:val="00F90B34"/>
    <w:rsid w:val="00F91E2E"/>
    <w:rsid w:val="00F9212D"/>
    <w:rsid w:val="00F93A24"/>
    <w:rsid w:val="00F941EB"/>
    <w:rsid w:val="00F94428"/>
    <w:rsid w:val="00F94B62"/>
    <w:rsid w:val="00F951EF"/>
    <w:rsid w:val="00F95C8B"/>
    <w:rsid w:val="00F965DA"/>
    <w:rsid w:val="00F96CBC"/>
    <w:rsid w:val="00F96F43"/>
    <w:rsid w:val="00FA073B"/>
    <w:rsid w:val="00FA1AB8"/>
    <w:rsid w:val="00FA1B6E"/>
    <w:rsid w:val="00FA202F"/>
    <w:rsid w:val="00FA3569"/>
    <w:rsid w:val="00FA406A"/>
    <w:rsid w:val="00FA4999"/>
    <w:rsid w:val="00FA58B0"/>
    <w:rsid w:val="00FA66A4"/>
    <w:rsid w:val="00FA6B81"/>
    <w:rsid w:val="00FA74C0"/>
    <w:rsid w:val="00FA7560"/>
    <w:rsid w:val="00FA7E56"/>
    <w:rsid w:val="00FB0D40"/>
    <w:rsid w:val="00FB100F"/>
    <w:rsid w:val="00FB19CF"/>
    <w:rsid w:val="00FB1C31"/>
    <w:rsid w:val="00FB1E18"/>
    <w:rsid w:val="00FB2BE1"/>
    <w:rsid w:val="00FB3306"/>
    <w:rsid w:val="00FB3D68"/>
    <w:rsid w:val="00FB3FBE"/>
    <w:rsid w:val="00FB4500"/>
    <w:rsid w:val="00FB4E30"/>
    <w:rsid w:val="00FB4F67"/>
    <w:rsid w:val="00FB503A"/>
    <w:rsid w:val="00FB516C"/>
    <w:rsid w:val="00FB5790"/>
    <w:rsid w:val="00FB5B80"/>
    <w:rsid w:val="00FB5E97"/>
    <w:rsid w:val="00FB6AAE"/>
    <w:rsid w:val="00FB7155"/>
    <w:rsid w:val="00FB7200"/>
    <w:rsid w:val="00FC067E"/>
    <w:rsid w:val="00FC0ABE"/>
    <w:rsid w:val="00FC14B3"/>
    <w:rsid w:val="00FC1864"/>
    <w:rsid w:val="00FC4ECD"/>
    <w:rsid w:val="00FC5054"/>
    <w:rsid w:val="00FC6490"/>
    <w:rsid w:val="00FC6A0B"/>
    <w:rsid w:val="00FC763E"/>
    <w:rsid w:val="00FD0236"/>
    <w:rsid w:val="00FD0A13"/>
    <w:rsid w:val="00FD0A28"/>
    <w:rsid w:val="00FD18F4"/>
    <w:rsid w:val="00FD2329"/>
    <w:rsid w:val="00FD2E0E"/>
    <w:rsid w:val="00FD33A1"/>
    <w:rsid w:val="00FD470B"/>
    <w:rsid w:val="00FD4E75"/>
    <w:rsid w:val="00FD4F2F"/>
    <w:rsid w:val="00FD54DB"/>
    <w:rsid w:val="00FD5624"/>
    <w:rsid w:val="00FD5FE6"/>
    <w:rsid w:val="00FD6174"/>
    <w:rsid w:val="00FD619F"/>
    <w:rsid w:val="00FD6CC5"/>
    <w:rsid w:val="00FD6D87"/>
    <w:rsid w:val="00FD758E"/>
    <w:rsid w:val="00FD7911"/>
    <w:rsid w:val="00FE0285"/>
    <w:rsid w:val="00FE12BE"/>
    <w:rsid w:val="00FE3E20"/>
    <w:rsid w:val="00FE4C5F"/>
    <w:rsid w:val="00FE518E"/>
    <w:rsid w:val="00FE54DF"/>
    <w:rsid w:val="00FE57AD"/>
    <w:rsid w:val="00FE5952"/>
    <w:rsid w:val="00FE683E"/>
    <w:rsid w:val="00FE6BCD"/>
    <w:rsid w:val="00FE6F12"/>
    <w:rsid w:val="00FF0085"/>
    <w:rsid w:val="00FF0348"/>
    <w:rsid w:val="00FF09E0"/>
    <w:rsid w:val="00FF11E3"/>
    <w:rsid w:val="00FF1492"/>
    <w:rsid w:val="00FF1AE6"/>
    <w:rsid w:val="00FF2F53"/>
    <w:rsid w:val="00FF302C"/>
    <w:rsid w:val="00FF4AEE"/>
    <w:rsid w:val="00FF59CE"/>
    <w:rsid w:val="00FF7299"/>
    <w:rsid w:val="00FF73B1"/>
    <w:rsid w:val="00FF7730"/>
    <w:rsid w:val="00FF788D"/>
    <w:rsid w:val="00FF7B78"/>
    <w:rsid w:val="01200DBA"/>
    <w:rsid w:val="01290F7E"/>
    <w:rsid w:val="013E4C28"/>
    <w:rsid w:val="015D1E09"/>
    <w:rsid w:val="01655E65"/>
    <w:rsid w:val="01B27166"/>
    <w:rsid w:val="01B70CC2"/>
    <w:rsid w:val="021529B1"/>
    <w:rsid w:val="02315D47"/>
    <w:rsid w:val="02697903"/>
    <w:rsid w:val="02A24F36"/>
    <w:rsid w:val="02B96468"/>
    <w:rsid w:val="02F96569"/>
    <w:rsid w:val="0309108C"/>
    <w:rsid w:val="031F6DBB"/>
    <w:rsid w:val="034A70C0"/>
    <w:rsid w:val="03694F55"/>
    <w:rsid w:val="03EA7B21"/>
    <w:rsid w:val="03F62DA4"/>
    <w:rsid w:val="03F6739B"/>
    <w:rsid w:val="04175EC7"/>
    <w:rsid w:val="041C3581"/>
    <w:rsid w:val="04940CD0"/>
    <w:rsid w:val="04B14F1D"/>
    <w:rsid w:val="04DC643E"/>
    <w:rsid w:val="05196B5D"/>
    <w:rsid w:val="05393890"/>
    <w:rsid w:val="05542478"/>
    <w:rsid w:val="05F83EAE"/>
    <w:rsid w:val="06097DD5"/>
    <w:rsid w:val="063A771B"/>
    <w:rsid w:val="063E2D45"/>
    <w:rsid w:val="063E7D85"/>
    <w:rsid w:val="06491B22"/>
    <w:rsid w:val="067D3568"/>
    <w:rsid w:val="067D371E"/>
    <w:rsid w:val="06BC14B2"/>
    <w:rsid w:val="06CA5CAD"/>
    <w:rsid w:val="06D00631"/>
    <w:rsid w:val="07293586"/>
    <w:rsid w:val="07295285"/>
    <w:rsid w:val="074A3B33"/>
    <w:rsid w:val="07636392"/>
    <w:rsid w:val="07770C56"/>
    <w:rsid w:val="07876E2F"/>
    <w:rsid w:val="07961D7F"/>
    <w:rsid w:val="081D0CF1"/>
    <w:rsid w:val="08382F4C"/>
    <w:rsid w:val="08400A92"/>
    <w:rsid w:val="089805D5"/>
    <w:rsid w:val="092217DD"/>
    <w:rsid w:val="093A7294"/>
    <w:rsid w:val="09565A7D"/>
    <w:rsid w:val="09B83AB4"/>
    <w:rsid w:val="09D65B51"/>
    <w:rsid w:val="0A263993"/>
    <w:rsid w:val="0A2C5771"/>
    <w:rsid w:val="0A2D3AC2"/>
    <w:rsid w:val="0A5A153B"/>
    <w:rsid w:val="0A650C83"/>
    <w:rsid w:val="0A6B75FC"/>
    <w:rsid w:val="0A781198"/>
    <w:rsid w:val="0A975E86"/>
    <w:rsid w:val="0AA755DF"/>
    <w:rsid w:val="0AB22970"/>
    <w:rsid w:val="0ACE06D4"/>
    <w:rsid w:val="0AD43AAE"/>
    <w:rsid w:val="0ADA51CD"/>
    <w:rsid w:val="0B0247FC"/>
    <w:rsid w:val="0B120D44"/>
    <w:rsid w:val="0B907F82"/>
    <w:rsid w:val="0BB91287"/>
    <w:rsid w:val="0BD27BF6"/>
    <w:rsid w:val="0C0162C7"/>
    <w:rsid w:val="0C3B3C7D"/>
    <w:rsid w:val="0C411257"/>
    <w:rsid w:val="0C513E21"/>
    <w:rsid w:val="0C526FE5"/>
    <w:rsid w:val="0C8B4F1B"/>
    <w:rsid w:val="0CAB2EAE"/>
    <w:rsid w:val="0CF9285A"/>
    <w:rsid w:val="0D2E1801"/>
    <w:rsid w:val="0D5E3032"/>
    <w:rsid w:val="0D621C7D"/>
    <w:rsid w:val="0DAD0977"/>
    <w:rsid w:val="0DB52116"/>
    <w:rsid w:val="0DF33C34"/>
    <w:rsid w:val="0DFE7425"/>
    <w:rsid w:val="0E002AA3"/>
    <w:rsid w:val="0E1A1D85"/>
    <w:rsid w:val="0E3A41D5"/>
    <w:rsid w:val="0E511C4A"/>
    <w:rsid w:val="0E593334"/>
    <w:rsid w:val="0E73034D"/>
    <w:rsid w:val="0E8F6A62"/>
    <w:rsid w:val="0E9375BC"/>
    <w:rsid w:val="0E9B4435"/>
    <w:rsid w:val="0EB84C8D"/>
    <w:rsid w:val="0EC14BA3"/>
    <w:rsid w:val="0ED463D8"/>
    <w:rsid w:val="0EFD29EE"/>
    <w:rsid w:val="0F13775A"/>
    <w:rsid w:val="0F4406BD"/>
    <w:rsid w:val="0F483F12"/>
    <w:rsid w:val="0F5C43B2"/>
    <w:rsid w:val="0F5F45FE"/>
    <w:rsid w:val="0F772484"/>
    <w:rsid w:val="0F9658E5"/>
    <w:rsid w:val="0F9A112B"/>
    <w:rsid w:val="0FDC3304"/>
    <w:rsid w:val="10256AF3"/>
    <w:rsid w:val="103B6B80"/>
    <w:rsid w:val="103D1F47"/>
    <w:rsid w:val="10487E27"/>
    <w:rsid w:val="10494574"/>
    <w:rsid w:val="106D2F64"/>
    <w:rsid w:val="106F460A"/>
    <w:rsid w:val="10A32505"/>
    <w:rsid w:val="10B63710"/>
    <w:rsid w:val="10F10820"/>
    <w:rsid w:val="111C2F7A"/>
    <w:rsid w:val="114952B5"/>
    <w:rsid w:val="115F6379"/>
    <w:rsid w:val="11665CA1"/>
    <w:rsid w:val="116F149C"/>
    <w:rsid w:val="117619EB"/>
    <w:rsid w:val="117C370A"/>
    <w:rsid w:val="11816530"/>
    <w:rsid w:val="118A0FD0"/>
    <w:rsid w:val="11A025A1"/>
    <w:rsid w:val="11B03A6A"/>
    <w:rsid w:val="11F272A1"/>
    <w:rsid w:val="123F4757"/>
    <w:rsid w:val="12C624DB"/>
    <w:rsid w:val="12EB0686"/>
    <w:rsid w:val="12FB4B4E"/>
    <w:rsid w:val="13000FEA"/>
    <w:rsid w:val="13040F8F"/>
    <w:rsid w:val="13045582"/>
    <w:rsid w:val="13951726"/>
    <w:rsid w:val="13D848ED"/>
    <w:rsid w:val="141A7F1B"/>
    <w:rsid w:val="14396509"/>
    <w:rsid w:val="1452128F"/>
    <w:rsid w:val="145558C5"/>
    <w:rsid w:val="14B27E01"/>
    <w:rsid w:val="14C77D01"/>
    <w:rsid w:val="14DD2C3C"/>
    <w:rsid w:val="14E3669A"/>
    <w:rsid w:val="14F82861"/>
    <w:rsid w:val="15280A08"/>
    <w:rsid w:val="15793835"/>
    <w:rsid w:val="157E6EF5"/>
    <w:rsid w:val="15C575C9"/>
    <w:rsid w:val="15CB5640"/>
    <w:rsid w:val="15D92DDD"/>
    <w:rsid w:val="15EF3AF7"/>
    <w:rsid w:val="16087E1D"/>
    <w:rsid w:val="163A65CC"/>
    <w:rsid w:val="16404BF0"/>
    <w:rsid w:val="16AD21B4"/>
    <w:rsid w:val="16AE7FC9"/>
    <w:rsid w:val="16B000D0"/>
    <w:rsid w:val="16B0772A"/>
    <w:rsid w:val="16D74CB7"/>
    <w:rsid w:val="170512F9"/>
    <w:rsid w:val="17591B70"/>
    <w:rsid w:val="17701D14"/>
    <w:rsid w:val="17735226"/>
    <w:rsid w:val="17A77A0D"/>
    <w:rsid w:val="17B44FF8"/>
    <w:rsid w:val="17D26FEE"/>
    <w:rsid w:val="17E53404"/>
    <w:rsid w:val="183D0B4A"/>
    <w:rsid w:val="18634390"/>
    <w:rsid w:val="18655897"/>
    <w:rsid w:val="18700F1F"/>
    <w:rsid w:val="188F5764"/>
    <w:rsid w:val="189F624C"/>
    <w:rsid w:val="18A254E0"/>
    <w:rsid w:val="18C474BD"/>
    <w:rsid w:val="18D144BA"/>
    <w:rsid w:val="19121EF0"/>
    <w:rsid w:val="19266CBF"/>
    <w:rsid w:val="192C753C"/>
    <w:rsid w:val="19A25A77"/>
    <w:rsid w:val="19EB578B"/>
    <w:rsid w:val="1A17490B"/>
    <w:rsid w:val="1A1C66C0"/>
    <w:rsid w:val="1A381F10"/>
    <w:rsid w:val="1A42393B"/>
    <w:rsid w:val="1A48078E"/>
    <w:rsid w:val="1A4B5659"/>
    <w:rsid w:val="1A640552"/>
    <w:rsid w:val="1A7210AE"/>
    <w:rsid w:val="1AAD45DE"/>
    <w:rsid w:val="1B046F80"/>
    <w:rsid w:val="1B131963"/>
    <w:rsid w:val="1B1649A6"/>
    <w:rsid w:val="1B2D76A8"/>
    <w:rsid w:val="1B324BB2"/>
    <w:rsid w:val="1B3267B5"/>
    <w:rsid w:val="1B40161D"/>
    <w:rsid w:val="1B441859"/>
    <w:rsid w:val="1B6606B1"/>
    <w:rsid w:val="1C427D00"/>
    <w:rsid w:val="1C4F0B8B"/>
    <w:rsid w:val="1C5E7925"/>
    <w:rsid w:val="1C7444C3"/>
    <w:rsid w:val="1CA266AD"/>
    <w:rsid w:val="1CCD60E9"/>
    <w:rsid w:val="1CCE090A"/>
    <w:rsid w:val="1CE15268"/>
    <w:rsid w:val="1CF62BF1"/>
    <w:rsid w:val="1CFD070F"/>
    <w:rsid w:val="1D5F6196"/>
    <w:rsid w:val="1D6132A5"/>
    <w:rsid w:val="1D784489"/>
    <w:rsid w:val="1D8E56D5"/>
    <w:rsid w:val="1DFB128B"/>
    <w:rsid w:val="1E68518D"/>
    <w:rsid w:val="1E7A43DA"/>
    <w:rsid w:val="1ED146E2"/>
    <w:rsid w:val="1EFB4E1D"/>
    <w:rsid w:val="1F525BB0"/>
    <w:rsid w:val="1F5B75A1"/>
    <w:rsid w:val="1F626B9C"/>
    <w:rsid w:val="1F9F033C"/>
    <w:rsid w:val="1FA0512E"/>
    <w:rsid w:val="1FB03F46"/>
    <w:rsid w:val="1FE56DE3"/>
    <w:rsid w:val="1FE7539E"/>
    <w:rsid w:val="2039796E"/>
    <w:rsid w:val="20671BE0"/>
    <w:rsid w:val="20963CB8"/>
    <w:rsid w:val="209675E1"/>
    <w:rsid w:val="20A81A1B"/>
    <w:rsid w:val="20B07FB6"/>
    <w:rsid w:val="20B646FB"/>
    <w:rsid w:val="20F5133E"/>
    <w:rsid w:val="213B74B1"/>
    <w:rsid w:val="214B33D5"/>
    <w:rsid w:val="21535882"/>
    <w:rsid w:val="215A2310"/>
    <w:rsid w:val="21885277"/>
    <w:rsid w:val="21CF4A86"/>
    <w:rsid w:val="21DE318A"/>
    <w:rsid w:val="21EF5B80"/>
    <w:rsid w:val="2211698F"/>
    <w:rsid w:val="22256B37"/>
    <w:rsid w:val="222A65E3"/>
    <w:rsid w:val="224E4B29"/>
    <w:rsid w:val="22576990"/>
    <w:rsid w:val="227E0EF3"/>
    <w:rsid w:val="228C4BA7"/>
    <w:rsid w:val="22AA3280"/>
    <w:rsid w:val="22D16A5E"/>
    <w:rsid w:val="22F47480"/>
    <w:rsid w:val="22FF181D"/>
    <w:rsid w:val="23111551"/>
    <w:rsid w:val="232511C1"/>
    <w:rsid w:val="23425BAE"/>
    <w:rsid w:val="235A0180"/>
    <w:rsid w:val="23694EE9"/>
    <w:rsid w:val="23B3345C"/>
    <w:rsid w:val="23DC4C9A"/>
    <w:rsid w:val="23DE1C48"/>
    <w:rsid w:val="240210CD"/>
    <w:rsid w:val="24392B0D"/>
    <w:rsid w:val="24534A8E"/>
    <w:rsid w:val="24A110A6"/>
    <w:rsid w:val="24A75390"/>
    <w:rsid w:val="24B4623B"/>
    <w:rsid w:val="24BF09F7"/>
    <w:rsid w:val="24E011DB"/>
    <w:rsid w:val="252D53FE"/>
    <w:rsid w:val="25394A15"/>
    <w:rsid w:val="25737DA4"/>
    <w:rsid w:val="25BD20D7"/>
    <w:rsid w:val="25CA72B2"/>
    <w:rsid w:val="25EC2D81"/>
    <w:rsid w:val="26130513"/>
    <w:rsid w:val="26166560"/>
    <w:rsid w:val="261C26E6"/>
    <w:rsid w:val="262D044F"/>
    <w:rsid w:val="26B0517D"/>
    <w:rsid w:val="26B46D07"/>
    <w:rsid w:val="27133AE9"/>
    <w:rsid w:val="2732478D"/>
    <w:rsid w:val="27361586"/>
    <w:rsid w:val="2763381D"/>
    <w:rsid w:val="277057A2"/>
    <w:rsid w:val="27715C8F"/>
    <w:rsid w:val="278C389C"/>
    <w:rsid w:val="27E6001E"/>
    <w:rsid w:val="282D5012"/>
    <w:rsid w:val="283D61A0"/>
    <w:rsid w:val="28654ADC"/>
    <w:rsid w:val="288E0F4E"/>
    <w:rsid w:val="28AC3EC8"/>
    <w:rsid w:val="28EB1A38"/>
    <w:rsid w:val="2914516F"/>
    <w:rsid w:val="29206EB8"/>
    <w:rsid w:val="2934650A"/>
    <w:rsid w:val="29357A83"/>
    <w:rsid w:val="29595666"/>
    <w:rsid w:val="29874881"/>
    <w:rsid w:val="29D37560"/>
    <w:rsid w:val="29E325E0"/>
    <w:rsid w:val="29E76B67"/>
    <w:rsid w:val="29FA2D3E"/>
    <w:rsid w:val="2A0D18E3"/>
    <w:rsid w:val="2A452503"/>
    <w:rsid w:val="2A495A74"/>
    <w:rsid w:val="2A6B1546"/>
    <w:rsid w:val="2A832D34"/>
    <w:rsid w:val="2AD23439"/>
    <w:rsid w:val="2B075F1F"/>
    <w:rsid w:val="2B681F2A"/>
    <w:rsid w:val="2BA32F62"/>
    <w:rsid w:val="2BA936A8"/>
    <w:rsid w:val="2BB05DAB"/>
    <w:rsid w:val="2BDA1A1F"/>
    <w:rsid w:val="2C0F0D1A"/>
    <w:rsid w:val="2C242F1B"/>
    <w:rsid w:val="2C273711"/>
    <w:rsid w:val="2C315A5A"/>
    <w:rsid w:val="2C3E4D17"/>
    <w:rsid w:val="2C4B1C25"/>
    <w:rsid w:val="2C9111D4"/>
    <w:rsid w:val="2C9D13B6"/>
    <w:rsid w:val="2CA330CD"/>
    <w:rsid w:val="2CA35285"/>
    <w:rsid w:val="2CB24683"/>
    <w:rsid w:val="2CD7381C"/>
    <w:rsid w:val="2CF30308"/>
    <w:rsid w:val="2CF709E9"/>
    <w:rsid w:val="2D175908"/>
    <w:rsid w:val="2D1F0559"/>
    <w:rsid w:val="2D3E1F7A"/>
    <w:rsid w:val="2D4649A8"/>
    <w:rsid w:val="2D9E56F5"/>
    <w:rsid w:val="2DAE0720"/>
    <w:rsid w:val="2DB068A4"/>
    <w:rsid w:val="2DB66F7C"/>
    <w:rsid w:val="2DCA0C7A"/>
    <w:rsid w:val="2DF1175B"/>
    <w:rsid w:val="2E4513B8"/>
    <w:rsid w:val="2E667F96"/>
    <w:rsid w:val="2E803EBE"/>
    <w:rsid w:val="2E8226AB"/>
    <w:rsid w:val="2E823843"/>
    <w:rsid w:val="2ED0406E"/>
    <w:rsid w:val="2EDA313F"/>
    <w:rsid w:val="2F0D60FE"/>
    <w:rsid w:val="2F18104D"/>
    <w:rsid w:val="2F5D4F06"/>
    <w:rsid w:val="2F6A44C2"/>
    <w:rsid w:val="2F837896"/>
    <w:rsid w:val="2FAD7C24"/>
    <w:rsid w:val="2FC24B13"/>
    <w:rsid w:val="2FD065E6"/>
    <w:rsid w:val="2FD96870"/>
    <w:rsid w:val="30113460"/>
    <w:rsid w:val="30580BC9"/>
    <w:rsid w:val="306727B0"/>
    <w:rsid w:val="30730D51"/>
    <w:rsid w:val="30E37320"/>
    <w:rsid w:val="311E2ED7"/>
    <w:rsid w:val="313905F0"/>
    <w:rsid w:val="315619EE"/>
    <w:rsid w:val="315C449C"/>
    <w:rsid w:val="319E48F7"/>
    <w:rsid w:val="31B82709"/>
    <w:rsid w:val="31CD7198"/>
    <w:rsid w:val="31D05482"/>
    <w:rsid w:val="322A2424"/>
    <w:rsid w:val="322E4FC2"/>
    <w:rsid w:val="3237618E"/>
    <w:rsid w:val="32400B34"/>
    <w:rsid w:val="324B3992"/>
    <w:rsid w:val="324F7CE6"/>
    <w:rsid w:val="329E6876"/>
    <w:rsid w:val="32B207B9"/>
    <w:rsid w:val="333015F2"/>
    <w:rsid w:val="334B6320"/>
    <w:rsid w:val="33576B0C"/>
    <w:rsid w:val="336B5AD3"/>
    <w:rsid w:val="33A669C4"/>
    <w:rsid w:val="33B54CB8"/>
    <w:rsid w:val="33CD4726"/>
    <w:rsid w:val="33D934D4"/>
    <w:rsid w:val="33EE30FE"/>
    <w:rsid w:val="33F6144D"/>
    <w:rsid w:val="33FE2F6A"/>
    <w:rsid w:val="34033884"/>
    <w:rsid w:val="340E07E5"/>
    <w:rsid w:val="34235BF7"/>
    <w:rsid w:val="346E3835"/>
    <w:rsid w:val="347656B7"/>
    <w:rsid w:val="349E0604"/>
    <w:rsid w:val="34A22009"/>
    <w:rsid w:val="34C04B85"/>
    <w:rsid w:val="354873DC"/>
    <w:rsid w:val="35497409"/>
    <w:rsid w:val="358C5FA8"/>
    <w:rsid w:val="35972E34"/>
    <w:rsid w:val="35B212E5"/>
    <w:rsid w:val="35C15DF1"/>
    <w:rsid w:val="35D433F2"/>
    <w:rsid w:val="3600792F"/>
    <w:rsid w:val="36074A7F"/>
    <w:rsid w:val="36171AA8"/>
    <w:rsid w:val="361862C1"/>
    <w:rsid w:val="36910096"/>
    <w:rsid w:val="36923549"/>
    <w:rsid w:val="36A93B22"/>
    <w:rsid w:val="36A95791"/>
    <w:rsid w:val="36B204FD"/>
    <w:rsid w:val="36B75FBF"/>
    <w:rsid w:val="36BD0C45"/>
    <w:rsid w:val="36E27742"/>
    <w:rsid w:val="36EA5004"/>
    <w:rsid w:val="36ED5D04"/>
    <w:rsid w:val="37022309"/>
    <w:rsid w:val="37022674"/>
    <w:rsid w:val="372431A9"/>
    <w:rsid w:val="375F68D7"/>
    <w:rsid w:val="378D591E"/>
    <w:rsid w:val="37B00912"/>
    <w:rsid w:val="37C91822"/>
    <w:rsid w:val="37E00298"/>
    <w:rsid w:val="38B302F9"/>
    <w:rsid w:val="38F12CD3"/>
    <w:rsid w:val="38F94775"/>
    <w:rsid w:val="38FE7A29"/>
    <w:rsid w:val="3907537D"/>
    <w:rsid w:val="390E32F6"/>
    <w:rsid w:val="392576AC"/>
    <w:rsid w:val="392971ED"/>
    <w:rsid w:val="39325651"/>
    <w:rsid w:val="39547B69"/>
    <w:rsid w:val="397C551E"/>
    <w:rsid w:val="39D200A7"/>
    <w:rsid w:val="39D3547C"/>
    <w:rsid w:val="3A7724DE"/>
    <w:rsid w:val="3A872856"/>
    <w:rsid w:val="3AD57AD7"/>
    <w:rsid w:val="3B082DE1"/>
    <w:rsid w:val="3B2F036E"/>
    <w:rsid w:val="3B3763D1"/>
    <w:rsid w:val="3B733902"/>
    <w:rsid w:val="3B8373F1"/>
    <w:rsid w:val="3BF35840"/>
    <w:rsid w:val="3C2F6E1E"/>
    <w:rsid w:val="3C3417FB"/>
    <w:rsid w:val="3C371A00"/>
    <w:rsid w:val="3C395948"/>
    <w:rsid w:val="3C4F64BA"/>
    <w:rsid w:val="3C615E62"/>
    <w:rsid w:val="3C760130"/>
    <w:rsid w:val="3C7A0E64"/>
    <w:rsid w:val="3CCF005B"/>
    <w:rsid w:val="3CDA245A"/>
    <w:rsid w:val="3CEA487B"/>
    <w:rsid w:val="3CED249E"/>
    <w:rsid w:val="3D1D0DC6"/>
    <w:rsid w:val="3D1E06B7"/>
    <w:rsid w:val="3D2C2291"/>
    <w:rsid w:val="3D2F4532"/>
    <w:rsid w:val="3D346110"/>
    <w:rsid w:val="3D657E06"/>
    <w:rsid w:val="3D7D2220"/>
    <w:rsid w:val="3DA15708"/>
    <w:rsid w:val="3DC512A1"/>
    <w:rsid w:val="3DDC2A2F"/>
    <w:rsid w:val="3DF00289"/>
    <w:rsid w:val="3DF53AF1"/>
    <w:rsid w:val="3E0D342E"/>
    <w:rsid w:val="3EA370A9"/>
    <w:rsid w:val="3EC3599D"/>
    <w:rsid w:val="3ECA495B"/>
    <w:rsid w:val="3EDA0523"/>
    <w:rsid w:val="3F0A537A"/>
    <w:rsid w:val="3F1D02F0"/>
    <w:rsid w:val="3F334945"/>
    <w:rsid w:val="3F4D5267"/>
    <w:rsid w:val="3F6F2B7D"/>
    <w:rsid w:val="3F7950FB"/>
    <w:rsid w:val="3F82255F"/>
    <w:rsid w:val="3F86520E"/>
    <w:rsid w:val="3FA73C06"/>
    <w:rsid w:val="3FAA5FEF"/>
    <w:rsid w:val="3FBD063E"/>
    <w:rsid w:val="3FD12164"/>
    <w:rsid w:val="3FFB6E4E"/>
    <w:rsid w:val="3FFF4649"/>
    <w:rsid w:val="400E729C"/>
    <w:rsid w:val="40387CC5"/>
    <w:rsid w:val="40644F5E"/>
    <w:rsid w:val="407A6407"/>
    <w:rsid w:val="40FA4A80"/>
    <w:rsid w:val="40FD414E"/>
    <w:rsid w:val="40FE0F0E"/>
    <w:rsid w:val="41380917"/>
    <w:rsid w:val="4139769D"/>
    <w:rsid w:val="417A4E6F"/>
    <w:rsid w:val="419929E5"/>
    <w:rsid w:val="41BE1C6A"/>
    <w:rsid w:val="41E023C2"/>
    <w:rsid w:val="41E952A1"/>
    <w:rsid w:val="41F579BA"/>
    <w:rsid w:val="4200449D"/>
    <w:rsid w:val="423A3BCC"/>
    <w:rsid w:val="423A7D24"/>
    <w:rsid w:val="424B1F31"/>
    <w:rsid w:val="424B3F05"/>
    <w:rsid w:val="424E57D2"/>
    <w:rsid w:val="425D0C69"/>
    <w:rsid w:val="426E51C1"/>
    <w:rsid w:val="42A87384"/>
    <w:rsid w:val="42B26C49"/>
    <w:rsid w:val="42E83C16"/>
    <w:rsid w:val="42EE0B0F"/>
    <w:rsid w:val="433A6FE6"/>
    <w:rsid w:val="43480868"/>
    <w:rsid w:val="4349650B"/>
    <w:rsid w:val="4350713C"/>
    <w:rsid w:val="436653E0"/>
    <w:rsid w:val="43980D72"/>
    <w:rsid w:val="439D4A0F"/>
    <w:rsid w:val="43AE2905"/>
    <w:rsid w:val="43C4431A"/>
    <w:rsid w:val="44011802"/>
    <w:rsid w:val="443F4B94"/>
    <w:rsid w:val="444255B6"/>
    <w:rsid w:val="447A2AD1"/>
    <w:rsid w:val="448F5D18"/>
    <w:rsid w:val="44AB315B"/>
    <w:rsid w:val="44B951CC"/>
    <w:rsid w:val="44C16537"/>
    <w:rsid w:val="44CD14E0"/>
    <w:rsid w:val="44E958DF"/>
    <w:rsid w:val="44EB6AC4"/>
    <w:rsid w:val="44F20B0B"/>
    <w:rsid w:val="450B7991"/>
    <w:rsid w:val="452E5F4C"/>
    <w:rsid w:val="45372C41"/>
    <w:rsid w:val="45481025"/>
    <w:rsid w:val="45576302"/>
    <w:rsid w:val="45612018"/>
    <w:rsid w:val="457C5F26"/>
    <w:rsid w:val="458946E9"/>
    <w:rsid w:val="45A47C0E"/>
    <w:rsid w:val="45D87F80"/>
    <w:rsid w:val="45E82AAA"/>
    <w:rsid w:val="462F56C6"/>
    <w:rsid w:val="46577FD6"/>
    <w:rsid w:val="46786335"/>
    <w:rsid w:val="468227CF"/>
    <w:rsid w:val="469A6FE4"/>
    <w:rsid w:val="46B300A5"/>
    <w:rsid w:val="46B502C1"/>
    <w:rsid w:val="46D955A7"/>
    <w:rsid w:val="46E24919"/>
    <w:rsid w:val="47133957"/>
    <w:rsid w:val="471C71E0"/>
    <w:rsid w:val="472316BA"/>
    <w:rsid w:val="47897222"/>
    <w:rsid w:val="47A07E0C"/>
    <w:rsid w:val="47B2156C"/>
    <w:rsid w:val="47E14CCD"/>
    <w:rsid w:val="47F24BA4"/>
    <w:rsid w:val="47F95F8C"/>
    <w:rsid w:val="48313978"/>
    <w:rsid w:val="48425B85"/>
    <w:rsid w:val="484B6BDE"/>
    <w:rsid w:val="485458B8"/>
    <w:rsid w:val="48612DD2"/>
    <w:rsid w:val="4870272E"/>
    <w:rsid w:val="48AB58D0"/>
    <w:rsid w:val="48CF2995"/>
    <w:rsid w:val="48E9484C"/>
    <w:rsid w:val="49506EA2"/>
    <w:rsid w:val="495E69EE"/>
    <w:rsid w:val="49782B31"/>
    <w:rsid w:val="49855FD9"/>
    <w:rsid w:val="49861AA1"/>
    <w:rsid w:val="499C726F"/>
    <w:rsid w:val="49AB0BC8"/>
    <w:rsid w:val="49B77EAC"/>
    <w:rsid w:val="49DC7715"/>
    <w:rsid w:val="49DF038B"/>
    <w:rsid w:val="49E669E4"/>
    <w:rsid w:val="49FE3463"/>
    <w:rsid w:val="4A023139"/>
    <w:rsid w:val="4A133A43"/>
    <w:rsid w:val="4A1967D4"/>
    <w:rsid w:val="4A2509B6"/>
    <w:rsid w:val="4A501080"/>
    <w:rsid w:val="4A7B576F"/>
    <w:rsid w:val="4A7B6F65"/>
    <w:rsid w:val="4AF4055F"/>
    <w:rsid w:val="4AF561A9"/>
    <w:rsid w:val="4B1A3CAD"/>
    <w:rsid w:val="4B931B59"/>
    <w:rsid w:val="4BCB2B40"/>
    <w:rsid w:val="4BED0001"/>
    <w:rsid w:val="4BF52F0E"/>
    <w:rsid w:val="4C234753"/>
    <w:rsid w:val="4C325706"/>
    <w:rsid w:val="4C4A0649"/>
    <w:rsid w:val="4C5F36AF"/>
    <w:rsid w:val="4C6B0D41"/>
    <w:rsid w:val="4C7E5ECA"/>
    <w:rsid w:val="4C876AA5"/>
    <w:rsid w:val="4C9461E1"/>
    <w:rsid w:val="4CA77A95"/>
    <w:rsid w:val="4D0E00FB"/>
    <w:rsid w:val="4D176606"/>
    <w:rsid w:val="4D3A5CC6"/>
    <w:rsid w:val="4DBC3CE3"/>
    <w:rsid w:val="4DEC4FB0"/>
    <w:rsid w:val="4DF23BA9"/>
    <w:rsid w:val="4E075D8A"/>
    <w:rsid w:val="4E082F43"/>
    <w:rsid w:val="4E172D37"/>
    <w:rsid w:val="4E296E9F"/>
    <w:rsid w:val="4E327823"/>
    <w:rsid w:val="4E4852CC"/>
    <w:rsid w:val="4E7A0045"/>
    <w:rsid w:val="4E952691"/>
    <w:rsid w:val="4EAD187E"/>
    <w:rsid w:val="4EB8182E"/>
    <w:rsid w:val="4EC00FAD"/>
    <w:rsid w:val="4ECC660A"/>
    <w:rsid w:val="4ED2557F"/>
    <w:rsid w:val="4EEE2FCC"/>
    <w:rsid w:val="4F9843DC"/>
    <w:rsid w:val="4FA0465B"/>
    <w:rsid w:val="4FC62A8C"/>
    <w:rsid w:val="4FCE5FEA"/>
    <w:rsid w:val="4FDA2B47"/>
    <w:rsid w:val="4FE20F0D"/>
    <w:rsid w:val="4FE51552"/>
    <w:rsid w:val="4FF84D7B"/>
    <w:rsid w:val="4FFE4A87"/>
    <w:rsid w:val="501E6ED7"/>
    <w:rsid w:val="50233C4F"/>
    <w:rsid w:val="50447FC0"/>
    <w:rsid w:val="50504C4B"/>
    <w:rsid w:val="50664415"/>
    <w:rsid w:val="506E6624"/>
    <w:rsid w:val="507E5755"/>
    <w:rsid w:val="509C6E7C"/>
    <w:rsid w:val="50CD0B80"/>
    <w:rsid w:val="50D14BB5"/>
    <w:rsid w:val="50DE1CAF"/>
    <w:rsid w:val="5162104E"/>
    <w:rsid w:val="516A518B"/>
    <w:rsid w:val="51981410"/>
    <w:rsid w:val="51B7529F"/>
    <w:rsid w:val="51F223CA"/>
    <w:rsid w:val="52093B49"/>
    <w:rsid w:val="520D51E4"/>
    <w:rsid w:val="528B1996"/>
    <w:rsid w:val="535C55CC"/>
    <w:rsid w:val="53672943"/>
    <w:rsid w:val="538610B8"/>
    <w:rsid w:val="53A039CC"/>
    <w:rsid w:val="53A1505A"/>
    <w:rsid w:val="53B5138F"/>
    <w:rsid w:val="53C20C47"/>
    <w:rsid w:val="53DF072C"/>
    <w:rsid w:val="53E04E54"/>
    <w:rsid w:val="53E34AE9"/>
    <w:rsid w:val="53EB5322"/>
    <w:rsid w:val="54014B46"/>
    <w:rsid w:val="54063E08"/>
    <w:rsid w:val="540A07FD"/>
    <w:rsid w:val="54175631"/>
    <w:rsid w:val="543437E8"/>
    <w:rsid w:val="545F7ABE"/>
    <w:rsid w:val="546F1220"/>
    <w:rsid w:val="547F3CBD"/>
    <w:rsid w:val="54A44524"/>
    <w:rsid w:val="54B266C9"/>
    <w:rsid w:val="54DC4C6B"/>
    <w:rsid w:val="54F73313"/>
    <w:rsid w:val="54F80955"/>
    <w:rsid w:val="553E5926"/>
    <w:rsid w:val="555170A7"/>
    <w:rsid w:val="556A3FF8"/>
    <w:rsid w:val="5587536D"/>
    <w:rsid w:val="559B174B"/>
    <w:rsid w:val="55CE0CF4"/>
    <w:rsid w:val="55DF7FEE"/>
    <w:rsid w:val="55EA1E35"/>
    <w:rsid w:val="55EE4C56"/>
    <w:rsid w:val="56044479"/>
    <w:rsid w:val="561C5C67"/>
    <w:rsid w:val="56A02AE1"/>
    <w:rsid w:val="56AB0D99"/>
    <w:rsid w:val="56B22A9C"/>
    <w:rsid w:val="56FC7131"/>
    <w:rsid w:val="56FF4B41"/>
    <w:rsid w:val="570F757A"/>
    <w:rsid w:val="5729679C"/>
    <w:rsid w:val="576A0646"/>
    <w:rsid w:val="578D198F"/>
    <w:rsid w:val="57AF48B9"/>
    <w:rsid w:val="57B72A76"/>
    <w:rsid w:val="57C3426C"/>
    <w:rsid w:val="57CE1F93"/>
    <w:rsid w:val="57CF18FE"/>
    <w:rsid w:val="5847689F"/>
    <w:rsid w:val="588743D1"/>
    <w:rsid w:val="5887701A"/>
    <w:rsid w:val="58917618"/>
    <w:rsid w:val="58917A79"/>
    <w:rsid w:val="58A67A6A"/>
    <w:rsid w:val="58B24473"/>
    <w:rsid w:val="58C425E6"/>
    <w:rsid w:val="590029F6"/>
    <w:rsid w:val="591075D9"/>
    <w:rsid w:val="599844A9"/>
    <w:rsid w:val="59BD048F"/>
    <w:rsid w:val="59C0439F"/>
    <w:rsid w:val="59E3084A"/>
    <w:rsid w:val="5A0554BD"/>
    <w:rsid w:val="5A5C34F4"/>
    <w:rsid w:val="5AAF21EE"/>
    <w:rsid w:val="5ABE2233"/>
    <w:rsid w:val="5ADB3CBD"/>
    <w:rsid w:val="5B3F269E"/>
    <w:rsid w:val="5B615ECA"/>
    <w:rsid w:val="5B6E42B9"/>
    <w:rsid w:val="5B8A2962"/>
    <w:rsid w:val="5BBB4441"/>
    <w:rsid w:val="5BDF5D95"/>
    <w:rsid w:val="5BFE7528"/>
    <w:rsid w:val="5C36460D"/>
    <w:rsid w:val="5C423F4D"/>
    <w:rsid w:val="5C45471A"/>
    <w:rsid w:val="5C94421A"/>
    <w:rsid w:val="5CEB0141"/>
    <w:rsid w:val="5D1A0A26"/>
    <w:rsid w:val="5D3F66DF"/>
    <w:rsid w:val="5D6E4AE7"/>
    <w:rsid w:val="5DB3780B"/>
    <w:rsid w:val="5DCE3659"/>
    <w:rsid w:val="5DDC5C7E"/>
    <w:rsid w:val="5DE2505B"/>
    <w:rsid w:val="5E1A31D5"/>
    <w:rsid w:val="5E2467F1"/>
    <w:rsid w:val="5EB01642"/>
    <w:rsid w:val="5EBD3D5F"/>
    <w:rsid w:val="5EE671F7"/>
    <w:rsid w:val="5EF818FC"/>
    <w:rsid w:val="5F1A2B43"/>
    <w:rsid w:val="5F387C43"/>
    <w:rsid w:val="5F3B6A32"/>
    <w:rsid w:val="5F422797"/>
    <w:rsid w:val="5F613AD9"/>
    <w:rsid w:val="5FA568C3"/>
    <w:rsid w:val="5FB837BB"/>
    <w:rsid w:val="5FC627A0"/>
    <w:rsid w:val="5FF85648"/>
    <w:rsid w:val="603F3257"/>
    <w:rsid w:val="608C23F6"/>
    <w:rsid w:val="60A061D4"/>
    <w:rsid w:val="60B62814"/>
    <w:rsid w:val="60B90D99"/>
    <w:rsid w:val="60C43183"/>
    <w:rsid w:val="60CC405A"/>
    <w:rsid w:val="610E08A2"/>
    <w:rsid w:val="61170D91"/>
    <w:rsid w:val="61381225"/>
    <w:rsid w:val="617641C0"/>
    <w:rsid w:val="617F354E"/>
    <w:rsid w:val="61A3598A"/>
    <w:rsid w:val="61BA6082"/>
    <w:rsid w:val="61E215D8"/>
    <w:rsid w:val="61F9702B"/>
    <w:rsid w:val="621B3775"/>
    <w:rsid w:val="62364782"/>
    <w:rsid w:val="6237240F"/>
    <w:rsid w:val="62F35FA1"/>
    <w:rsid w:val="633028D2"/>
    <w:rsid w:val="6394356A"/>
    <w:rsid w:val="63C61B2C"/>
    <w:rsid w:val="63D40BE9"/>
    <w:rsid w:val="63DB6012"/>
    <w:rsid w:val="64025D70"/>
    <w:rsid w:val="64102431"/>
    <w:rsid w:val="64773D90"/>
    <w:rsid w:val="64922AC6"/>
    <w:rsid w:val="649966D5"/>
    <w:rsid w:val="64A5243A"/>
    <w:rsid w:val="64C37BF6"/>
    <w:rsid w:val="64F531DE"/>
    <w:rsid w:val="65373578"/>
    <w:rsid w:val="653A1C66"/>
    <w:rsid w:val="65493162"/>
    <w:rsid w:val="65841133"/>
    <w:rsid w:val="659104EB"/>
    <w:rsid w:val="659155FE"/>
    <w:rsid w:val="65A658DB"/>
    <w:rsid w:val="65C43C25"/>
    <w:rsid w:val="6628507D"/>
    <w:rsid w:val="66384703"/>
    <w:rsid w:val="66C20165"/>
    <w:rsid w:val="66D1515F"/>
    <w:rsid w:val="66DC6D4D"/>
    <w:rsid w:val="671F124A"/>
    <w:rsid w:val="67452B44"/>
    <w:rsid w:val="676272DE"/>
    <w:rsid w:val="676A36E6"/>
    <w:rsid w:val="677A33C6"/>
    <w:rsid w:val="67A05409"/>
    <w:rsid w:val="681F6961"/>
    <w:rsid w:val="68392BB1"/>
    <w:rsid w:val="68610A2F"/>
    <w:rsid w:val="68805514"/>
    <w:rsid w:val="688431F8"/>
    <w:rsid w:val="68B61BDB"/>
    <w:rsid w:val="68C74C17"/>
    <w:rsid w:val="692D19E3"/>
    <w:rsid w:val="69316E2F"/>
    <w:rsid w:val="694E2071"/>
    <w:rsid w:val="6965127B"/>
    <w:rsid w:val="69653029"/>
    <w:rsid w:val="69766163"/>
    <w:rsid w:val="697A3B33"/>
    <w:rsid w:val="69BA1180"/>
    <w:rsid w:val="69C86AD4"/>
    <w:rsid w:val="69D44760"/>
    <w:rsid w:val="69EA26B3"/>
    <w:rsid w:val="6A161408"/>
    <w:rsid w:val="6A250150"/>
    <w:rsid w:val="6A520EC7"/>
    <w:rsid w:val="6A984024"/>
    <w:rsid w:val="6AA23439"/>
    <w:rsid w:val="6AB24607"/>
    <w:rsid w:val="6AB6231D"/>
    <w:rsid w:val="6AD30254"/>
    <w:rsid w:val="6AE12B83"/>
    <w:rsid w:val="6AF87E20"/>
    <w:rsid w:val="6B2036AC"/>
    <w:rsid w:val="6B322639"/>
    <w:rsid w:val="6B336DF1"/>
    <w:rsid w:val="6BA3779C"/>
    <w:rsid w:val="6BC63A28"/>
    <w:rsid w:val="6BF56FBD"/>
    <w:rsid w:val="6C400E69"/>
    <w:rsid w:val="6C4C5815"/>
    <w:rsid w:val="6C545131"/>
    <w:rsid w:val="6C547ACA"/>
    <w:rsid w:val="6C636C38"/>
    <w:rsid w:val="6CCA091C"/>
    <w:rsid w:val="6CCC4204"/>
    <w:rsid w:val="6D113EC9"/>
    <w:rsid w:val="6D3818BC"/>
    <w:rsid w:val="6D455EE0"/>
    <w:rsid w:val="6D4B57F1"/>
    <w:rsid w:val="6D560EAF"/>
    <w:rsid w:val="6D5B0955"/>
    <w:rsid w:val="6D760039"/>
    <w:rsid w:val="6D7B72BF"/>
    <w:rsid w:val="6DA85BDA"/>
    <w:rsid w:val="6DB14A8F"/>
    <w:rsid w:val="6DB34098"/>
    <w:rsid w:val="6DB545B6"/>
    <w:rsid w:val="6DD703B2"/>
    <w:rsid w:val="6DE02FB4"/>
    <w:rsid w:val="6DF15F7B"/>
    <w:rsid w:val="6E1227CE"/>
    <w:rsid w:val="6E24261A"/>
    <w:rsid w:val="6E514CED"/>
    <w:rsid w:val="6E8606A6"/>
    <w:rsid w:val="6EB563D5"/>
    <w:rsid w:val="6ECE1D12"/>
    <w:rsid w:val="6ED92677"/>
    <w:rsid w:val="6EF30BEF"/>
    <w:rsid w:val="6F0201AE"/>
    <w:rsid w:val="6F225983"/>
    <w:rsid w:val="6F270CA0"/>
    <w:rsid w:val="6F56569E"/>
    <w:rsid w:val="6F6D3F5B"/>
    <w:rsid w:val="6F83245B"/>
    <w:rsid w:val="6F901577"/>
    <w:rsid w:val="6FF11ABB"/>
    <w:rsid w:val="6FFC5590"/>
    <w:rsid w:val="700D7F77"/>
    <w:rsid w:val="70143B2C"/>
    <w:rsid w:val="701C5698"/>
    <w:rsid w:val="706202C3"/>
    <w:rsid w:val="706D1DD0"/>
    <w:rsid w:val="70856B87"/>
    <w:rsid w:val="70893AA1"/>
    <w:rsid w:val="70BE7F7D"/>
    <w:rsid w:val="70D107AA"/>
    <w:rsid w:val="70D527EE"/>
    <w:rsid w:val="70D8620A"/>
    <w:rsid w:val="712D08D1"/>
    <w:rsid w:val="713E0DE6"/>
    <w:rsid w:val="714A2B80"/>
    <w:rsid w:val="715B5300"/>
    <w:rsid w:val="71D27F8A"/>
    <w:rsid w:val="71EC253A"/>
    <w:rsid w:val="72553024"/>
    <w:rsid w:val="72734A09"/>
    <w:rsid w:val="72BD0C78"/>
    <w:rsid w:val="73005B71"/>
    <w:rsid w:val="73122968"/>
    <w:rsid w:val="731F5D5E"/>
    <w:rsid w:val="733817AF"/>
    <w:rsid w:val="73477311"/>
    <w:rsid w:val="736856FA"/>
    <w:rsid w:val="739F0CFB"/>
    <w:rsid w:val="73AB3D2F"/>
    <w:rsid w:val="73C51AD5"/>
    <w:rsid w:val="73F41B31"/>
    <w:rsid w:val="741E793C"/>
    <w:rsid w:val="74327E3A"/>
    <w:rsid w:val="744A79EB"/>
    <w:rsid w:val="745E3944"/>
    <w:rsid w:val="747B32BE"/>
    <w:rsid w:val="747B3474"/>
    <w:rsid w:val="748D0186"/>
    <w:rsid w:val="753722BF"/>
    <w:rsid w:val="754E350B"/>
    <w:rsid w:val="757840E4"/>
    <w:rsid w:val="7592164A"/>
    <w:rsid w:val="75D27C98"/>
    <w:rsid w:val="7620778A"/>
    <w:rsid w:val="7635099D"/>
    <w:rsid w:val="76392FBE"/>
    <w:rsid w:val="763F6851"/>
    <w:rsid w:val="7662726E"/>
    <w:rsid w:val="7682346D"/>
    <w:rsid w:val="769958BB"/>
    <w:rsid w:val="76A01B45"/>
    <w:rsid w:val="76ED601D"/>
    <w:rsid w:val="772938E8"/>
    <w:rsid w:val="772E53A2"/>
    <w:rsid w:val="772F1524"/>
    <w:rsid w:val="77366005"/>
    <w:rsid w:val="775416EA"/>
    <w:rsid w:val="77762421"/>
    <w:rsid w:val="77A411C1"/>
    <w:rsid w:val="77B56B1F"/>
    <w:rsid w:val="77C62469"/>
    <w:rsid w:val="77E4568D"/>
    <w:rsid w:val="780F09F4"/>
    <w:rsid w:val="78283BA0"/>
    <w:rsid w:val="78A90480"/>
    <w:rsid w:val="78D1790D"/>
    <w:rsid w:val="79064EBE"/>
    <w:rsid w:val="79250840"/>
    <w:rsid w:val="79360309"/>
    <w:rsid w:val="793933F0"/>
    <w:rsid w:val="79430114"/>
    <w:rsid w:val="7A0423EA"/>
    <w:rsid w:val="7A364017"/>
    <w:rsid w:val="7A3C725B"/>
    <w:rsid w:val="7A5C5D83"/>
    <w:rsid w:val="7A664E53"/>
    <w:rsid w:val="7A8265E1"/>
    <w:rsid w:val="7A977614"/>
    <w:rsid w:val="7ACA4115"/>
    <w:rsid w:val="7B2E2163"/>
    <w:rsid w:val="7B4F1619"/>
    <w:rsid w:val="7B686D42"/>
    <w:rsid w:val="7B841746"/>
    <w:rsid w:val="7BC231C6"/>
    <w:rsid w:val="7BC23531"/>
    <w:rsid w:val="7BC260B9"/>
    <w:rsid w:val="7C046812"/>
    <w:rsid w:val="7C146F3B"/>
    <w:rsid w:val="7C6C5AC7"/>
    <w:rsid w:val="7C7575D0"/>
    <w:rsid w:val="7C772F8A"/>
    <w:rsid w:val="7C7D5389"/>
    <w:rsid w:val="7C8C5751"/>
    <w:rsid w:val="7C8D4483"/>
    <w:rsid w:val="7C9C5993"/>
    <w:rsid w:val="7CAD0B17"/>
    <w:rsid w:val="7CC6544B"/>
    <w:rsid w:val="7CD04806"/>
    <w:rsid w:val="7CFD050B"/>
    <w:rsid w:val="7D0239FF"/>
    <w:rsid w:val="7D0B583E"/>
    <w:rsid w:val="7D4E40A8"/>
    <w:rsid w:val="7D5C220F"/>
    <w:rsid w:val="7D5E40CD"/>
    <w:rsid w:val="7D603DDC"/>
    <w:rsid w:val="7D6F7B6C"/>
    <w:rsid w:val="7D8255AF"/>
    <w:rsid w:val="7DCD56F2"/>
    <w:rsid w:val="7DE1316F"/>
    <w:rsid w:val="7DF16019"/>
    <w:rsid w:val="7E412015"/>
    <w:rsid w:val="7E6D67B0"/>
    <w:rsid w:val="7E895EDA"/>
    <w:rsid w:val="7EAB0094"/>
    <w:rsid w:val="7EB01FE8"/>
    <w:rsid w:val="7EF941AB"/>
    <w:rsid w:val="7F001CE7"/>
    <w:rsid w:val="7F443B8F"/>
    <w:rsid w:val="7F62208D"/>
    <w:rsid w:val="7F896EA4"/>
    <w:rsid w:val="7FE47E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qFormat="1" w:unhideWhenUsed="0" w:uiPriority="0" w:semiHidden="0" w:name="index 1" w:locked="1"/>
    <w:lsdException w:qFormat="1" w:unhideWhenUsed="0" w:uiPriority="0" w:semiHidden="0" w:name="index 2" w:locked="1"/>
    <w:lsdException w:qFormat="1" w:unhideWhenUsed="0" w:uiPriority="0" w:semiHidden="0" w:name="index 3" w:locked="1"/>
    <w:lsdException w:qFormat="1" w:unhideWhenUsed="0" w:uiPriority="0" w:semiHidden="0" w:name="index 4" w:locked="1"/>
    <w:lsdException w:qFormat="1" w:unhideWhenUsed="0" w:uiPriority="0" w:semiHidden="0" w:name="index 5" w:locked="1"/>
    <w:lsdException w:qFormat="1" w:unhideWhenUsed="0" w:uiPriority="0" w:semiHidden="0" w:name="index 6" w:locked="1"/>
    <w:lsdException w:qFormat="1" w:unhideWhenUsed="0" w:uiPriority="0" w:semiHidden="0" w:name="index 7" w:locked="1"/>
    <w:lsdException w:qFormat="1" w:unhideWhenUsed="0" w:uiPriority="0" w:semiHidden="0" w:name="index 8" w:locked="1"/>
    <w:lsdException w:qFormat="1" w:unhideWhenUsed="0" w:uiPriority="0" w:semiHidden="0" w:name="index 9" w:locked="1"/>
    <w:lsdException w:qFormat="1" w:unhideWhenUsed="0" w:uiPriority="0" w:semiHidden="0" w:name="toc 1" w:locked="1"/>
    <w:lsdException w:qFormat="1" w:unhideWhenUsed="0" w:uiPriority="0" w:semiHidden="0" w:name="toc 2" w:locked="1"/>
    <w:lsdException w:qFormat="1" w:unhideWhenUsed="0" w:uiPriority="0" w:semiHidden="0" w:name="toc 3" w:locked="1"/>
    <w:lsdException w:qFormat="1" w:unhideWhenUsed="0" w:uiPriority="0" w:semiHidden="0" w:name="toc 4" w:locked="1"/>
    <w:lsdException w:qFormat="1" w:unhideWhenUsed="0" w:uiPriority="0" w:semiHidden="0" w:name="toc 5" w:locked="1"/>
    <w:lsdException w:qFormat="1" w:unhideWhenUsed="0" w:uiPriority="0" w:semiHidden="0" w:name="toc 6" w:locked="1"/>
    <w:lsdException w:qFormat="1" w:unhideWhenUsed="0" w:uiPriority="0" w:semiHidden="0" w:name="toc 7" w:locked="1"/>
    <w:lsdException w:qFormat="1" w:unhideWhenUsed="0" w:uiPriority="0" w:semiHidden="0" w:name="toc 8" w:locked="1"/>
    <w:lsdException w:qFormat="1" w:unhideWhenUsed="0" w:uiPriority="0" w:semiHidden="0" w:name="toc 9" w:locked="1"/>
    <w:lsdException w:qFormat="1" w:unhideWhenUsed="0" w:uiPriority="0" w:semiHidden="0" w:name="Normal Indent" w:locked="1"/>
    <w:lsdException w:qFormat="1" w:unhideWhenUsed="0" w:uiPriority="0" w:semiHidden="0" w:name="footnote text" w:locked="1"/>
    <w:lsdException w:qFormat="1" w:unhideWhenUsed="0" w:uiPriority="0" w:name="annotation text"/>
    <w:lsdException w:qFormat="1" w:unhideWhenUsed="0" w:uiPriority="0" w:semiHidden="0" w:name="header"/>
    <w:lsdException w:qFormat="1" w:unhideWhenUsed="0" w:uiPriority="99" w:semiHidden="0" w:name="footer"/>
    <w:lsdException w:qFormat="1" w:unhideWhenUsed="0" w:uiPriority="0" w:semiHidden="0" w:name="index heading" w:locked="1"/>
    <w:lsdException w:qFormat="1" w:unhideWhenUsed="0" w:uiPriority="35" w:semiHidden="0" w:name="caption" w:locked="1"/>
    <w:lsdException w:qFormat="1" w:unhideWhenUsed="0" w:uiPriority="0" w:semiHidden="0" w:name="table of figures" w:locked="1"/>
    <w:lsdException w:qFormat="1" w:unhideWhenUsed="0" w:uiPriority="0" w:semiHidden="0" w:name="envelope address" w:locked="1"/>
    <w:lsdException w:qFormat="1" w:unhideWhenUsed="0" w:uiPriority="0" w:semiHidden="0" w:name="envelope return" w:locked="1"/>
    <w:lsdException w:unhideWhenUsed="0" w:uiPriority="0" w:semiHidden="0" w:name="footnote reference" w:locked="1"/>
    <w:lsdException w:qFormat="1" w:unhideWhenUsed="0" w:uiPriority="0"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qFormat="1" w:unhideWhenUsed="0" w:uiPriority="0" w:semiHidden="0" w:name="endnote text" w:locked="1"/>
    <w:lsdException w:qFormat="1" w:unhideWhenUsed="0" w:uiPriority="0" w:semiHidden="0" w:name="table of authorities" w:locked="1"/>
    <w:lsdException w:qFormat="1" w:unhideWhenUsed="0" w:uiPriority="0" w:semiHidden="0" w:name="macro" w:locked="1"/>
    <w:lsdException w:qFormat="1" w:unhideWhenUsed="0" w:uiPriority="0" w:semiHidden="0" w:name="toa heading" w:locked="1"/>
    <w:lsdException w:qFormat="1" w:unhideWhenUsed="0" w:uiPriority="0" w:semiHidden="0" w:name="List" w:locked="1"/>
    <w:lsdException w:qFormat="1" w:unhideWhenUsed="0" w:uiPriority="0" w:semiHidden="0" w:name="List Bullet" w:locked="1"/>
    <w:lsdException w:qFormat="1" w:unhideWhenUsed="0" w:uiPriority="0" w:semiHidden="0" w:name="List Number" w:locked="1"/>
    <w:lsdException w:qFormat="1" w:unhideWhenUsed="0" w:uiPriority="0" w:semiHidden="0" w:name="List 2" w:locked="1"/>
    <w:lsdException w:qFormat="1" w:unhideWhenUsed="0" w:uiPriority="0" w:semiHidden="0" w:name="List 3" w:locked="1"/>
    <w:lsdException w:qFormat="1" w:unhideWhenUsed="0" w:uiPriority="0" w:semiHidden="0" w:name="List 4" w:locked="1"/>
    <w:lsdException w:qFormat="1" w:unhideWhenUsed="0" w:uiPriority="0" w:semiHidden="0" w:name="List 5" w:locked="1"/>
    <w:lsdException w:qFormat="1" w:unhideWhenUsed="0" w:uiPriority="0" w:semiHidden="0" w:name="List Bullet 2" w:locked="1"/>
    <w:lsdException w:qFormat="1" w:unhideWhenUsed="0" w:uiPriority="0" w:semiHidden="0" w:name="List Bullet 3" w:locked="1"/>
    <w:lsdException w:qFormat="1" w:unhideWhenUsed="0" w:uiPriority="0" w:semiHidden="0" w:name="List Bullet 4" w:locked="1"/>
    <w:lsdException w:qFormat="1" w:unhideWhenUsed="0" w:uiPriority="0" w:semiHidden="0" w:name="List Bullet 5" w:locked="1"/>
    <w:lsdException w:qFormat="1" w:unhideWhenUsed="0" w:uiPriority="0" w:semiHidden="0" w:name="List Number 2" w:locked="1"/>
    <w:lsdException w:qFormat="1" w:unhideWhenUsed="0" w:uiPriority="0" w:semiHidden="0" w:name="List Number 3" w:locked="1"/>
    <w:lsdException w:qFormat="1" w:unhideWhenUsed="0" w:uiPriority="0" w:semiHidden="0" w:name="List Number 4" w:locked="1"/>
    <w:lsdException w:qFormat="1" w:unhideWhenUsed="0" w:uiPriority="0" w:semiHidden="0" w:name="List Number 5" w:locked="1"/>
    <w:lsdException w:qFormat="1" w:unhideWhenUsed="0" w:uiPriority="0" w:semiHidden="0" w:name="Title" w:locked="1"/>
    <w:lsdException w:qFormat="1" w:unhideWhenUsed="0" w:uiPriority="0" w:semiHidden="0" w:name="Closing" w:locked="1"/>
    <w:lsdException w:qFormat="1" w:unhideWhenUsed="0" w:uiPriority="0" w:semiHidden="0" w:name="Signature" w:locked="1"/>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ocked="1"/>
    <w:lsdException w:qFormat="1" w:unhideWhenUsed="0" w:uiPriority="0" w:semiHidden="0" w:name="List Continue 2" w:locked="1"/>
    <w:lsdException w:qFormat="1" w:unhideWhenUsed="0" w:uiPriority="0" w:semiHidden="0" w:name="List Continue 3" w:locked="1"/>
    <w:lsdException w:qFormat="1" w:unhideWhenUsed="0" w:uiPriority="0" w:semiHidden="0" w:name="List Continue 4" w:locked="1"/>
    <w:lsdException w:qFormat="1" w:unhideWhenUsed="0" w:uiPriority="0" w:semiHidden="0" w:name="List Continue 5" w:locked="1"/>
    <w:lsdException w:qFormat="1" w:unhideWhenUsed="0" w:uiPriority="0" w:semiHidden="0" w:name="Message Header" w:locked="1"/>
    <w:lsdException w:qFormat="1" w:unhideWhenUsed="0" w:uiPriority="0" w:semiHidden="0" w:name="Subtitle" w:locked="1"/>
    <w:lsdException w:qFormat="1" w:unhideWhenUsed="0" w:uiPriority="0" w:semiHidden="0" w:name="Salutation" w:locked="1"/>
    <w:lsdException w:qFormat="1" w:unhideWhenUsed="0" w:uiPriority="0" w:semiHidden="0" w:name="Date"/>
    <w:lsdException w:qFormat="1" w:unhideWhenUsed="0" w:uiPriority="0" w:semiHidden="0" w:name="Body Text First Indent" w:locked="1"/>
    <w:lsdException w:qFormat="1" w:unhideWhenUsed="0" w:uiPriority="0" w:semiHidden="0" w:name="Body Text First Indent 2" w:locked="1"/>
    <w:lsdException w:qFormat="1" w:unhideWhenUsed="0" w:uiPriority="0" w:semiHidden="0" w:name="Note Heading" w:locked="1"/>
    <w:lsdException w:qFormat="1" w:unhideWhenUsed="0" w:uiPriority="0" w:semiHidden="0" w:name="Body Text 2" w:locked="1"/>
    <w:lsdException w:qFormat="1" w:unhideWhenUsed="0" w:uiPriority="0" w:semiHidden="0" w:name="Body Text 3" w:locked="1"/>
    <w:lsdException w:qFormat="1" w:unhideWhenUsed="0" w:uiPriority="0" w:semiHidden="0" w:name="Body Text Indent 2" w:locked="1"/>
    <w:lsdException w:qFormat="1" w:unhideWhenUsed="0" w:uiPriority="0" w:semiHidden="0" w:name="Body Text Indent 3" w:locked="1"/>
    <w:lsdException w:qFormat="1" w:unhideWhenUsed="0" w:uiPriority="0" w:semiHidden="0" w:name="Block Text" w:locked="1"/>
    <w:lsdException w:qFormat="1" w:unhideWhenUsed="0" w:uiPriority="99" w:semiHidden="0" w:name="Hyperlink" w:locked="1"/>
    <w:lsdException w:unhideWhenUsed="0" w:uiPriority="0" w:semiHidden="0" w:name="FollowedHyperlink" w:locked="1"/>
    <w:lsdException w:qFormat="1" w:unhideWhenUsed="0" w:uiPriority="0" w:semiHidden="0" w:name="Strong" w:locked="1"/>
    <w:lsdException w:qFormat="1" w:unhideWhenUsed="0" w:uiPriority="0" w:semiHidden="0" w:name="Emphasis" w:locked="1"/>
    <w:lsdException w:qFormat="1" w:unhideWhenUsed="0" w:uiPriority="0" w:semiHidden="0" w:name="Document Map" w:locked="1"/>
    <w:lsdException w:qFormat="1" w:unhideWhenUsed="0" w:uiPriority="0" w:semiHidden="0" w:name="Plain Text" w:locked="1"/>
    <w:lsdException w:qFormat="1" w:unhideWhenUsed="0" w:uiPriority="0" w:semiHidden="0" w:name="E-mail Signature" w:locked="1"/>
    <w:lsdException w:qFormat="1" w:unhideWhenUsed="0" w:uiPriority="0" w:semiHidden="0" w:name="Normal (Web)"/>
    <w:lsdException w:unhideWhenUsed="0" w:uiPriority="0" w:semiHidden="0" w:name="HTML Acronym" w:locked="1"/>
    <w:lsdException w:qFormat="1" w:unhideWhenUsed="0" w:uiPriority="0" w:semiHidden="0" w:name="HTML Address" w:locked="1"/>
    <w:lsdException w:unhideWhenUsed="0" w:uiPriority="0" w:semiHidden="0" w:name="HTML Cite" w:locked="1"/>
    <w:lsdException w:unhideWhenUsed="0" w:uiPriority="0" w:semiHidden="0" w:name="HTML Code" w:locked="1"/>
    <w:lsdException w:unhideWhenUsed="0" w:uiPriority="0" w:semiHidden="0" w:name="HTML Definition" w:locked="1"/>
    <w:lsdException w:unhideWhenUsed="0" w:uiPriority="0" w:semiHidden="0" w:name="HTML Keyboard" w:locked="1"/>
    <w:lsdException w:qFormat="1" w:unhideWhenUsed="0" w:uiPriority="0" w:semiHidden="0" w:name="HTML Preformatted" w:locked="1"/>
    <w:lsdException w:unhideWhenUsed="0" w:uiPriority="0" w:semiHidden="0" w:name="HTML Sample" w:locked="1"/>
    <w:lsdException w:unhideWhenUsed="0" w:uiPriority="0" w:semiHidden="0" w:name="HTML Typewriter" w:locked="1"/>
    <w:lsdException w:unhideWhenUsed="0" w:uiPriority="0" w:semiHidden="0" w:name="HTML Variable" w:locked="1"/>
    <w:lsdException w:qFormat="1" w:uiPriority="99" w:name="Normal Table"/>
    <w:lsdException w:qFormat="1" w:unhideWhenUsed="0" w:uiPriority="0" w:name="annotation subject"/>
    <w:lsdException w:uiPriority="0" w:name="Table Simple 1" w:locked="1"/>
    <w:lsdException w:uiPriority="0" w:name="Table Simple 2" w:locked="1"/>
    <w:lsdException w:uiPriority="0" w:name="Table Simple 3" w:locked="1"/>
    <w:lsdException w:uiPriority="0" w:name="Table Classic 1" w:locked="1"/>
    <w:lsdException w:uiPriority="0" w:name="Table Classic 2" w:locked="1"/>
    <w:lsdException w:uiPriority="0" w:name="Table Classic 3" w:locked="1"/>
    <w:lsdException w:uiPriority="0" w:name="Table Classic 4" w:locked="1"/>
    <w:lsdException w:uiPriority="0" w:name="Table Colorful 1" w:locked="1"/>
    <w:lsdException w:uiPriority="0" w:name="Table Colorful 2" w:locked="1"/>
    <w:lsdException w:uiPriority="0" w:name="Table Colorful 3" w:locked="1"/>
    <w:lsdException w:uiPriority="0" w:name="Table Columns 1" w:locked="1"/>
    <w:lsdException w:uiPriority="0" w:name="Table Columns 2" w:locked="1"/>
    <w:lsdException w:uiPriority="0" w:name="Table Columns 3" w:locked="1"/>
    <w:lsdException w:uiPriority="0" w:name="Table Columns 4" w:locked="1"/>
    <w:lsdException w:uiPriority="0" w:name="Table Columns 5" w:locked="1"/>
    <w:lsdException w:uiPriority="0" w:name="Table Grid 1" w:locked="1"/>
    <w:lsdException w:uiPriority="0" w:name="Table Grid 2" w:locked="1"/>
    <w:lsdException w:uiPriority="0" w:name="Table Grid 3" w:locked="1"/>
    <w:lsdException w:uiPriority="0" w:name="Table Grid 4" w:locked="1"/>
    <w:lsdException w:uiPriority="0" w:name="Table Grid 5" w:locked="1"/>
    <w:lsdException w:uiPriority="0" w:name="Table Grid 6" w:locked="1"/>
    <w:lsdException w:uiPriority="0" w:name="Table Grid 7" w:locked="1"/>
    <w:lsdException w:uiPriority="0" w:name="Table Grid 8" w:locked="1"/>
    <w:lsdException w:uiPriority="0" w:name="Table List 1" w:locked="1"/>
    <w:lsdException w:uiPriority="0" w:name="Table List 2" w:locked="1"/>
    <w:lsdException w:uiPriority="0" w:name="Table List 3" w:locked="1"/>
    <w:lsdException w:uiPriority="0" w:name="Table List 4" w:locked="1"/>
    <w:lsdException w:uiPriority="0" w:name="Table List 5" w:locked="1"/>
    <w:lsdException w:uiPriority="0" w:name="Table List 6" w:locked="1"/>
    <w:lsdException w:uiPriority="0" w:name="Table List 7" w:locked="1"/>
    <w:lsdException w:uiPriority="0" w:name="Table List 8" w:locked="1"/>
    <w:lsdException w:uiPriority="0" w:name="Table 3D effects 1" w:locked="1"/>
    <w:lsdException w:uiPriority="0" w:name="Table 3D effects 2" w:locked="1"/>
    <w:lsdException w:uiPriority="0" w:name="Table 3D effects 3" w:locked="1"/>
    <w:lsdException w:uiPriority="0" w:name="Table Contemporary" w:locked="1"/>
    <w:lsdException w:uiPriority="0" w:name="Table Elegant" w:locked="1"/>
    <w:lsdException w:uiPriority="0" w:name="Table Professional" w:locked="1"/>
    <w:lsdException w:uiPriority="0" w:name="Table Subtle 1" w:locked="1"/>
    <w:lsdException w:uiPriority="0" w:name="Table Subtle 2" w:locked="1"/>
    <w:lsdException w:uiPriority="0" w:name="Table Web 1" w:locked="1"/>
    <w:lsdException w:uiPriority="0" w:name="Table Web 2" w:locked="1"/>
    <w:lsdException w:uiPriority="0" w:name="Table Web 3" w:locked="1"/>
    <w:lsdException w:qFormat="1" w:unhideWhenUsed="0" w:uiPriority="0" w:name="Balloon Text"/>
    <w:lsdException w:qFormat="1" w:unhideWhenUsed="0" w:uiPriority="39" w:semiHidden="0" w:name="Table Grid"/>
    <w:lsdException w:uiPriority="0" w:name="Table Theme" w:locked="1"/>
    <w:lsdException w:qFormat="1" w:uiPriority="99" w:semiHidden="0" w:name="Placeholder Text"/>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99" w:semiHidden="0" w:name="Quote"/>
    <w:lsdException w:qFormat="1" w:unhideWhenUsed="0" w:uiPriority="99"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locked/>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4">
    <w:name w:val="heading 2"/>
    <w:basedOn w:val="1"/>
    <w:next w:val="1"/>
    <w:link w:val="137"/>
    <w:semiHidden/>
    <w:unhideWhenUsed/>
    <w:qFormat/>
    <w:locked/>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138"/>
    <w:semiHidden/>
    <w:unhideWhenUsed/>
    <w:qFormat/>
    <w:locked/>
    <w:uiPriority w:val="0"/>
    <w:pPr>
      <w:keepNext/>
      <w:keepLines/>
      <w:spacing w:before="260" w:after="260" w:line="416" w:lineRule="auto"/>
      <w:outlineLvl w:val="2"/>
    </w:pPr>
    <w:rPr>
      <w:b/>
      <w:bCs/>
      <w:sz w:val="32"/>
      <w:szCs w:val="32"/>
    </w:rPr>
  </w:style>
  <w:style w:type="paragraph" w:styleId="6">
    <w:name w:val="heading 4"/>
    <w:basedOn w:val="1"/>
    <w:next w:val="1"/>
    <w:link w:val="139"/>
    <w:semiHidden/>
    <w:unhideWhenUsed/>
    <w:qFormat/>
    <w:locked/>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7">
    <w:name w:val="heading 5"/>
    <w:basedOn w:val="1"/>
    <w:next w:val="1"/>
    <w:link w:val="140"/>
    <w:semiHidden/>
    <w:unhideWhenUsed/>
    <w:qFormat/>
    <w:locked/>
    <w:uiPriority w:val="0"/>
    <w:pPr>
      <w:keepNext/>
      <w:keepLines/>
      <w:spacing w:before="280" w:after="290" w:line="376" w:lineRule="auto"/>
      <w:outlineLvl w:val="4"/>
    </w:pPr>
    <w:rPr>
      <w:b/>
      <w:bCs/>
      <w:sz w:val="28"/>
      <w:szCs w:val="28"/>
    </w:rPr>
  </w:style>
  <w:style w:type="paragraph" w:styleId="8">
    <w:name w:val="heading 6"/>
    <w:basedOn w:val="1"/>
    <w:next w:val="1"/>
    <w:link w:val="141"/>
    <w:semiHidden/>
    <w:unhideWhenUsed/>
    <w:qFormat/>
    <w:locked/>
    <w:uiPriority w:val="0"/>
    <w:pPr>
      <w:keepNext/>
      <w:keepLines/>
      <w:spacing w:before="240" w:after="64" w:line="320" w:lineRule="auto"/>
      <w:outlineLvl w:val="5"/>
    </w:pPr>
    <w:rPr>
      <w:rFonts w:asciiTheme="majorHAnsi" w:hAnsiTheme="majorHAnsi" w:eastAsiaTheme="majorEastAsia" w:cstheme="majorBidi"/>
      <w:b/>
      <w:bCs/>
      <w:sz w:val="24"/>
    </w:rPr>
  </w:style>
  <w:style w:type="paragraph" w:styleId="9">
    <w:name w:val="heading 7"/>
    <w:basedOn w:val="1"/>
    <w:next w:val="1"/>
    <w:link w:val="142"/>
    <w:semiHidden/>
    <w:unhideWhenUsed/>
    <w:qFormat/>
    <w:locked/>
    <w:uiPriority w:val="0"/>
    <w:pPr>
      <w:keepNext/>
      <w:keepLines/>
      <w:spacing w:before="240" w:after="64" w:line="320" w:lineRule="auto"/>
      <w:outlineLvl w:val="6"/>
    </w:pPr>
    <w:rPr>
      <w:b/>
      <w:bCs/>
      <w:sz w:val="24"/>
    </w:rPr>
  </w:style>
  <w:style w:type="paragraph" w:styleId="10">
    <w:name w:val="heading 8"/>
    <w:basedOn w:val="1"/>
    <w:next w:val="1"/>
    <w:link w:val="143"/>
    <w:semiHidden/>
    <w:unhideWhenUsed/>
    <w:qFormat/>
    <w:locked/>
    <w:uiPriority w:val="0"/>
    <w:pPr>
      <w:keepNext/>
      <w:keepLines/>
      <w:spacing w:before="240" w:after="64" w:line="320" w:lineRule="auto"/>
      <w:outlineLvl w:val="7"/>
    </w:pPr>
    <w:rPr>
      <w:rFonts w:asciiTheme="majorHAnsi" w:hAnsiTheme="majorHAnsi" w:eastAsiaTheme="majorEastAsia" w:cstheme="majorBidi"/>
      <w:sz w:val="24"/>
    </w:rPr>
  </w:style>
  <w:style w:type="paragraph" w:styleId="11">
    <w:name w:val="heading 9"/>
    <w:basedOn w:val="1"/>
    <w:next w:val="1"/>
    <w:link w:val="144"/>
    <w:semiHidden/>
    <w:unhideWhenUsed/>
    <w:qFormat/>
    <w:locked/>
    <w:uiPriority w:val="0"/>
    <w:pPr>
      <w:keepNext/>
      <w:keepLines/>
      <w:spacing w:before="240" w:after="64" w:line="320" w:lineRule="auto"/>
      <w:outlineLvl w:val="8"/>
    </w:pPr>
    <w:rPr>
      <w:rFonts w:asciiTheme="majorHAnsi" w:hAnsiTheme="majorHAnsi" w:eastAsiaTheme="majorEastAsia" w:cstheme="majorBidi"/>
      <w:szCs w:val="21"/>
    </w:rPr>
  </w:style>
  <w:style w:type="character" w:default="1" w:styleId="92">
    <w:name w:val="Default Paragraph Font"/>
    <w:semiHidden/>
    <w:unhideWhenUsed/>
    <w:qFormat/>
    <w:uiPriority w:val="1"/>
  </w:style>
  <w:style w:type="table" w:default="1" w:styleId="90">
    <w:name w:val="Normal Table"/>
    <w:semiHidden/>
    <w:unhideWhenUsed/>
    <w:qFormat/>
    <w:uiPriority w:val="99"/>
    <w:tblPr>
      <w:tblCellMar>
        <w:top w:w="0" w:type="dxa"/>
        <w:left w:w="108" w:type="dxa"/>
        <w:bottom w:w="0" w:type="dxa"/>
        <w:right w:w="108" w:type="dxa"/>
      </w:tblCellMar>
    </w:tblPr>
  </w:style>
  <w:style w:type="paragraph" w:styleId="3">
    <w:name w:val="macro"/>
    <w:link w:val="149"/>
    <w:qFormat/>
    <w:locked/>
    <w:uiPriority w:val="0"/>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eastAsia="宋体" w:cs="Courier New"/>
      <w:kern w:val="2"/>
      <w:sz w:val="24"/>
      <w:szCs w:val="24"/>
      <w:lang w:val="en-US" w:eastAsia="zh-CN" w:bidi="ar-SA"/>
    </w:rPr>
  </w:style>
  <w:style w:type="paragraph" w:styleId="12">
    <w:name w:val="List 3"/>
    <w:basedOn w:val="1"/>
    <w:qFormat/>
    <w:locked/>
    <w:uiPriority w:val="0"/>
    <w:pPr>
      <w:ind w:left="100" w:leftChars="400" w:hanging="200" w:hangingChars="200"/>
      <w:contextualSpacing/>
    </w:pPr>
  </w:style>
  <w:style w:type="paragraph" w:styleId="13">
    <w:name w:val="toc 7"/>
    <w:basedOn w:val="1"/>
    <w:next w:val="1"/>
    <w:qFormat/>
    <w:locked/>
    <w:uiPriority w:val="0"/>
    <w:pPr>
      <w:ind w:left="2520" w:leftChars="1200"/>
    </w:pPr>
  </w:style>
  <w:style w:type="paragraph" w:styleId="14">
    <w:name w:val="List Number 2"/>
    <w:basedOn w:val="1"/>
    <w:qFormat/>
    <w:locked/>
    <w:uiPriority w:val="0"/>
    <w:pPr>
      <w:numPr>
        <w:ilvl w:val="0"/>
        <w:numId w:val="1"/>
      </w:numPr>
      <w:contextualSpacing/>
    </w:pPr>
  </w:style>
  <w:style w:type="paragraph" w:styleId="15">
    <w:name w:val="table of authorities"/>
    <w:basedOn w:val="1"/>
    <w:next w:val="1"/>
    <w:qFormat/>
    <w:locked/>
    <w:uiPriority w:val="0"/>
    <w:pPr>
      <w:ind w:left="420" w:leftChars="200"/>
    </w:pPr>
  </w:style>
  <w:style w:type="paragraph" w:styleId="16">
    <w:name w:val="Note Heading"/>
    <w:basedOn w:val="1"/>
    <w:next w:val="1"/>
    <w:link w:val="167"/>
    <w:qFormat/>
    <w:locked/>
    <w:uiPriority w:val="0"/>
    <w:pPr>
      <w:jc w:val="center"/>
    </w:pPr>
  </w:style>
  <w:style w:type="paragraph" w:styleId="17">
    <w:name w:val="List Bullet 4"/>
    <w:basedOn w:val="1"/>
    <w:qFormat/>
    <w:locked/>
    <w:uiPriority w:val="0"/>
    <w:pPr>
      <w:numPr>
        <w:ilvl w:val="0"/>
        <w:numId w:val="2"/>
      </w:numPr>
      <w:contextualSpacing/>
    </w:pPr>
  </w:style>
  <w:style w:type="paragraph" w:styleId="18">
    <w:name w:val="index 8"/>
    <w:basedOn w:val="1"/>
    <w:next w:val="1"/>
    <w:qFormat/>
    <w:locked/>
    <w:uiPriority w:val="0"/>
    <w:pPr>
      <w:ind w:left="1400" w:leftChars="1400"/>
    </w:pPr>
  </w:style>
  <w:style w:type="paragraph" w:styleId="19">
    <w:name w:val="E-mail Signature"/>
    <w:basedOn w:val="1"/>
    <w:link w:val="147"/>
    <w:qFormat/>
    <w:locked/>
    <w:uiPriority w:val="0"/>
  </w:style>
  <w:style w:type="paragraph" w:styleId="20">
    <w:name w:val="List Number"/>
    <w:basedOn w:val="1"/>
    <w:qFormat/>
    <w:locked/>
    <w:uiPriority w:val="0"/>
    <w:pPr>
      <w:numPr>
        <w:ilvl w:val="0"/>
        <w:numId w:val="3"/>
      </w:numPr>
      <w:contextualSpacing/>
    </w:pPr>
  </w:style>
  <w:style w:type="paragraph" w:styleId="21">
    <w:name w:val="Normal Indent"/>
    <w:basedOn w:val="1"/>
    <w:next w:val="22"/>
    <w:link w:val="96"/>
    <w:qFormat/>
    <w:locked/>
    <w:uiPriority w:val="0"/>
    <w:pPr>
      <w:ind w:firstLine="420"/>
    </w:pPr>
  </w:style>
  <w:style w:type="paragraph" w:customStyle="1" w:styleId="22">
    <w:name w:val="样式 正文文本 + 首行缩进:  2 字符"/>
    <w:basedOn w:val="23"/>
    <w:qFormat/>
    <w:uiPriority w:val="0"/>
    <w:pPr>
      <w:widowControl/>
      <w:snapToGrid w:val="0"/>
      <w:spacing w:before="60" w:after="200" w:line="480" w:lineRule="exact"/>
      <w:ind w:right="113" w:firstLine="480" w:firstLineChars="200"/>
    </w:pPr>
    <w:rPr>
      <w:rFonts w:ascii="宋体" w:hAnsi="宋体"/>
      <w:sz w:val="24"/>
      <w:szCs w:val="20"/>
    </w:rPr>
  </w:style>
  <w:style w:type="paragraph" w:styleId="23">
    <w:name w:val="Body Text"/>
    <w:basedOn w:val="1"/>
    <w:next w:val="24"/>
    <w:link w:val="99"/>
    <w:qFormat/>
    <w:uiPriority w:val="0"/>
    <w:pPr>
      <w:widowControl/>
      <w:snapToGrid w:val="0"/>
      <w:spacing w:before="60" w:after="160" w:line="259" w:lineRule="auto"/>
      <w:ind w:right="113"/>
    </w:pPr>
    <w:rPr>
      <w:kern w:val="0"/>
      <w:sz w:val="18"/>
      <w:szCs w:val="20"/>
    </w:rPr>
  </w:style>
  <w:style w:type="paragraph" w:customStyle="1" w:styleId="24">
    <w:name w:val="默认段落"/>
    <w:basedOn w:val="1"/>
    <w:qFormat/>
    <w:uiPriority w:val="99"/>
  </w:style>
  <w:style w:type="paragraph" w:styleId="25">
    <w:name w:val="caption"/>
    <w:basedOn w:val="1"/>
    <w:next w:val="1"/>
    <w:link w:val="97"/>
    <w:qFormat/>
    <w:locked/>
    <w:uiPriority w:val="35"/>
    <w:pPr>
      <w:jc w:val="center"/>
    </w:pPr>
    <w:rPr>
      <w:rFonts w:ascii="宋体" w:hAnsi="Arial"/>
      <w:b/>
      <w:szCs w:val="20"/>
    </w:rPr>
  </w:style>
  <w:style w:type="paragraph" w:styleId="26">
    <w:name w:val="index 5"/>
    <w:basedOn w:val="1"/>
    <w:next w:val="1"/>
    <w:qFormat/>
    <w:locked/>
    <w:uiPriority w:val="0"/>
    <w:pPr>
      <w:ind w:left="800" w:leftChars="800"/>
    </w:pPr>
  </w:style>
  <w:style w:type="paragraph" w:styleId="27">
    <w:name w:val="List Bullet"/>
    <w:basedOn w:val="1"/>
    <w:qFormat/>
    <w:locked/>
    <w:uiPriority w:val="0"/>
    <w:pPr>
      <w:numPr>
        <w:ilvl w:val="0"/>
        <w:numId w:val="4"/>
      </w:numPr>
      <w:contextualSpacing/>
    </w:pPr>
  </w:style>
  <w:style w:type="paragraph" w:styleId="28">
    <w:name w:val="envelope address"/>
    <w:basedOn w:val="1"/>
    <w:qFormat/>
    <w:locked/>
    <w:uiPriority w:val="0"/>
    <w:pPr>
      <w:framePr w:w="7920" w:h="1980" w:hRule="exact" w:hSpace="180" w:wrap="around" w:vAnchor="margin" w:hAnchor="page" w:xAlign="center" w:yAlign="bottom"/>
      <w:snapToGrid w:val="0"/>
      <w:ind w:left="100" w:leftChars="1400"/>
    </w:pPr>
    <w:rPr>
      <w:rFonts w:asciiTheme="majorHAnsi" w:hAnsiTheme="majorHAnsi" w:eastAsiaTheme="majorEastAsia" w:cstheme="majorBidi"/>
      <w:sz w:val="24"/>
    </w:rPr>
  </w:style>
  <w:style w:type="paragraph" w:styleId="29">
    <w:name w:val="Document Map"/>
    <w:basedOn w:val="1"/>
    <w:link w:val="157"/>
    <w:qFormat/>
    <w:locked/>
    <w:uiPriority w:val="0"/>
    <w:rPr>
      <w:rFonts w:ascii="Microsoft YaHei UI" w:eastAsia="Microsoft YaHei UI"/>
      <w:sz w:val="18"/>
      <w:szCs w:val="18"/>
    </w:rPr>
  </w:style>
  <w:style w:type="paragraph" w:styleId="30">
    <w:name w:val="toa heading"/>
    <w:basedOn w:val="1"/>
    <w:next w:val="1"/>
    <w:qFormat/>
    <w:locked/>
    <w:uiPriority w:val="0"/>
    <w:pPr>
      <w:spacing w:before="120"/>
    </w:pPr>
    <w:rPr>
      <w:rFonts w:asciiTheme="majorHAnsi" w:hAnsiTheme="majorHAnsi" w:eastAsiaTheme="majorEastAsia" w:cstheme="majorBidi"/>
      <w:sz w:val="24"/>
    </w:rPr>
  </w:style>
  <w:style w:type="paragraph" w:styleId="31">
    <w:name w:val="annotation text"/>
    <w:basedOn w:val="1"/>
    <w:link w:val="98"/>
    <w:semiHidden/>
    <w:qFormat/>
    <w:uiPriority w:val="0"/>
    <w:pPr>
      <w:jc w:val="left"/>
    </w:pPr>
    <w:rPr>
      <w:kern w:val="0"/>
      <w:sz w:val="24"/>
      <w:szCs w:val="20"/>
    </w:rPr>
  </w:style>
  <w:style w:type="paragraph" w:styleId="32">
    <w:name w:val="index 6"/>
    <w:basedOn w:val="1"/>
    <w:next w:val="1"/>
    <w:qFormat/>
    <w:locked/>
    <w:uiPriority w:val="0"/>
    <w:pPr>
      <w:ind w:left="1000" w:leftChars="1000"/>
    </w:pPr>
  </w:style>
  <w:style w:type="paragraph" w:styleId="33">
    <w:name w:val="Salutation"/>
    <w:basedOn w:val="1"/>
    <w:next w:val="1"/>
    <w:link w:val="145"/>
    <w:qFormat/>
    <w:locked/>
    <w:uiPriority w:val="0"/>
  </w:style>
  <w:style w:type="paragraph" w:styleId="34">
    <w:name w:val="Body Text 3"/>
    <w:basedOn w:val="1"/>
    <w:link w:val="163"/>
    <w:qFormat/>
    <w:locked/>
    <w:uiPriority w:val="0"/>
    <w:pPr>
      <w:spacing w:after="120"/>
    </w:pPr>
    <w:rPr>
      <w:sz w:val="16"/>
      <w:szCs w:val="16"/>
    </w:rPr>
  </w:style>
  <w:style w:type="paragraph" w:styleId="35">
    <w:name w:val="Closing"/>
    <w:basedOn w:val="1"/>
    <w:link w:val="151"/>
    <w:qFormat/>
    <w:locked/>
    <w:uiPriority w:val="0"/>
    <w:pPr>
      <w:ind w:left="100" w:leftChars="2100"/>
    </w:pPr>
  </w:style>
  <w:style w:type="paragraph" w:styleId="36">
    <w:name w:val="List Bullet 3"/>
    <w:basedOn w:val="1"/>
    <w:qFormat/>
    <w:locked/>
    <w:uiPriority w:val="0"/>
    <w:pPr>
      <w:numPr>
        <w:ilvl w:val="0"/>
        <w:numId w:val="5"/>
      </w:numPr>
      <w:contextualSpacing/>
    </w:pPr>
  </w:style>
  <w:style w:type="paragraph" w:styleId="37">
    <w:name w:val="Body Text Indent"/>
    <w:basedOn w:val="1"/>
    <w:link w:val="100"/>
    <w:qFormat/>
    <w:uiPriority w:val="0"/>
    <w:pPr>
      <w:spacing w:after="120"/>
      <w:ind w:left="420" w:leftChars="200"/>
    </w:pPr>
    <w:rPr>
      <w:kern w:val="0"/>
      <w:sz w:val="24"/>
      <w:szCs w:val="20"/>
    </w:rPr>
  </w:style>
  <w:style w:type="paragraph" w:styleId="38">
    <w:name w:val="List Number 3"/>
    <w:basedOn w:val="1"/>
    <w:qFormat/>
    <w:locked/>
    <w:uiPriority w:val="0"/>
    <w:pPr>
      <w:numPr>
        <w:ilvl w:val="0"/>
        <w:numId w:val="6"/>
      </w:numPr>
      <w:contextualSpacing/>
    </w:pPr>
  </w:style>
  <w:style w:type="paragraph" w:styleId="39">
    <w:name w:val="List 2"/>
    <w:basedOn w:val="1"/>
    <w:qFormat/>
    <w:locked/>
    <w:uiPriority w:val="0"/>
    <w:pPr>
      <w:ind w:left="100" w:leftChars="200" w:hanging="200" w:hangingChars="200"/>
      <w:contextualSpacing/>
    </w:pPr>
  </w:style>
  <w:style w:type="paragraph" w:styleId="40">
    <w:name w:val="List Continue"/>
    <w:basedOn w:val="1"/>
    <w:qFormat/>
    <w:locked/>
    <w:uiPriority w:val="0"/>
    <w:pPr>
      <w:spacing w:after="120"/>
      <w:ind w:left="420" w:leftChars="200"/>
      <w:contextualSpacing/>
    </w:pPr>
  </w:style>
  <w:style w:type="paragraph" w:styleId="41">
    <w:name w:val="Block Text"/>
    <w:basedOn w:val="1"/>
    <w:qFormat/>
    <w:locked/>
    <w:uiPriority w:val="0"/>
    <w:pPr>
      <w:spacing w:after="120"/>
      <w:ind w:left="1440" w:leftChars="700" w:right="1440" w:rightChars="700"/>
    </w:pPr>
  </w:style>
  <w:style w:type="paragraph" w:styleId="42">
    <w:name w:val="List Bullet 2"/>
    <w:basedOn w:val="1"/>
    <w:qFormat/>
    <w:locked/>
    <w:uiPriority w:val="0"/>
    <w:pPr>
      <w:numPr>
        <w:ilvl w:val="0"/>
        <w:numId w:val="7"/>
      </w:numPr>
      <w:contextualSpacing/>
    </w:pPr>
  </w:style>
  <w:style w:type="paragraph" w:styleId="43">
    <w:name w:val="HTML Address"/>
    <w:basedOn w:val="1"/>
    <w:link w:val="133"/>
    <w:qFormat/>
    <w:locked/>
    <w:uiPriority w:val="0"/>
    <w:rPr>
      <w:i/>
      <w:iCs/>
    </w:rPr>
  </w:style>
  <w:style w:type="paragraph" w:styleId="44">
    <w:name w:val="index 4"/>
    <w:basedOn w:val="1"/>
    <w:next w:val="1"/>
    <w:qFormat/>
    <w:locked/>
    <w:uiPriority w:val="0"/>
    <w:pPr>
      <w:ind w:left="600" w:leftChars="600"/>
    </w:pPr>
  </w:style>
  <w:style w:type="paragraph" w:styleId="45">
    <w:name w:val="toc 5"/>
    <w:basedOn w:val="1"/>
    <w:next w:val="1"/>
    <w:qFormat/>
    <w:locked/>
    <w:uiPriority w:val="0"/>
    <w:pPr>
      <w:ind w:left="1680" w:leftChars="800"/>
    </w:pPr>
  </w:style>
  <w:style w:type="paragraph" w:styleId="46">
    <w:name w:val="toc 3"/>
    <w:basedOn w:val="1"/>
    <w:next w:val="1"/>
    <w:qFormat/>
    <w:locked/>
    <w:uiPriority w:val="0"/>
    <w:pPr>
      <w:ind w:left="840" w:leftChars="400"/>
    </w:pPr>
  </w:style>
  <w:style w:type="paragraph" w:styleId="47">
    <w:name w:val="Plain Text"/>
    <w:basedOn w:val="1"/>
    <w:link w:val="146"/>
    <w:qFormat/>
    <w:locked/>
    <w:uiPriority w:val="0"/>
    <w:rPr>
      <w:rFonts w:hAnsi="Courier New" w:cs="Courier New" w:asciiTheme="minorEastAsia" w:eastAsiaTheme="minorEastAsia"/>
    </w:rPr>
  </w:style>
  <w:style w:type="paragraph" w:styleId="48">
    <w:name w:val="List Bullet 5"/>
    <w:basedOn w:val="1"/>
    <w:qFormat/>
    <w:locked/>
    <w:uiPriority w:val="0"/>
    <w:pPr>
      <w:numPr>
        <w:ilvl w:val="0"/>
        <w:numId w:val="8"/>
      </w:numPr>
      <w:contextualSpacing/>
    </w:pPr>
  </w:style>
  <w:style w:type="paragraph" w:styleId="49">
    <w:name w:val="List Number 4"/>
    <w:basedOn w:val="1"/>
    <w:qFormat/>
    <w:locked/>
    <w:uiPriority w:val="0"/>
    <w:pPr>
      <w:numPr>
        <w:ilvl w:val="0"/>
        <w:numId w:val="9"/>
      </w:numPr>
      <w:contextualSpacing/>
    </w:pPr>
  </w:style>
  <w:style w:type="paragraph" w:styleId="50">
    <w:name w:val="toc 8"/>
    <w:basedOn w:val="1"/>
    <w:next w:val="1"/>
    <w:qFormat/>
    <w:locked/>
    <w:uiPriority w:val="0"/>
    <w:pPr>
      <w:ind w:left="2940" w:leftChars="1400"/>
    </w:pPr>
  </w:style>
  <w:style w:type="paragraph" w:styleId="51">
    <w:name w:val="index 3"/>
    <w:basedOn w:val="1"/>
    <w:next w:val="1"/>
    <w:qFormat/>
    <w:locked/>
    <w:uiPriority w:val="0"/>
    <w:pPr>
      <w:ind w:left="400" w:leftChars="400"/>
    </w:pPr>
  </w:style>
  <w:style w:type="paragraph" w:styleId="52">
    <w:name w:val="Date"/>
    <w:basedOn w:val="1"/>
    <w:next w:val="1"/>
    <w:link w:val="101"/>
    <w:qFormat/>
    <w:uiPriority w:val="0"/>
    <w:pPr>
      <w:ind w:left="100" w:leftChars="2500"/>
    </w:pPr>
    <w:rPr>
      <w:kern w:val="0"/>
      <w:sz w:val="24"/>
      <w:szCs w:val="20"/>
    </w:rPr>
  </w:style>
  <w:style w:type="paragraph" w:styleId="53">
    <w:name w:val="Body Text Indent 2"/>
    <w:basedOn w:val="1"/>
    <w:link w:val="165"/>
    <w:qFormat/>
    <w:locked/>
    <w:uiPriority w:val="0"/>
    <w:pPr>
      <w:spacing w:after="120" w:line="480" w:lineRule="auto"/>
      <w:ind w:left="420" w:leftChars="200"/>
    </w:pPr>
  </w:style>
  <w:style w:type="paragraph" w:styleId="54">
    <w:name w:val="endnote text"/>
    <w:basedOn w:val="1"/>
    <w:link w:val="156"/>
    <w:qFormat/>
    <w:locked/>
    <w:uiPriority w:val="0"/>
    <w:pPr>
      <w:snapToGrid w:val="0"/>
      <w:jc w:val="left"/>
    </w:pPr>
  </w:style>
  <w:style w:type="paragraph" w:styleId="55">
    <w:name w:val="List Continue 5"/>
    <w:basedOn w:val="1"/>
    <w:qFormat/>
    <w:locked/>
    <w:uiPriority w:val="0"/>
    <w:pPr>
      <w:spacing w:after="120"/>
      <w:ind w:left="2100" w:leftChars="1000"/>
      <w:contextualSpacing/>
    </w:pPr>
  </w:style>
  <w:style w:type="paragraph" w:styleId="56">
    <w:name w:val="Balloon Text"/>
    <w:basedOn w:val="1"/>
    <w:link w:val="102"/>
    <w:semiHidden/>
    <w:qFormat/>
    <w:uiPriority w:val="0"/>
    <w:rPr>
      <w:kern w:val="0"/>
      <w:sz w:val="18"/>
      <w:szCs w:val="20"/>
    </w:rPr>
  </w:style>
  <w:style w:type="paragraph" w:styleId="57">
    <w:name w:val="footer"/>
    <w:basedOn w:val="1"/>
    <w:link w:val="103"/>
    <w:qFormat/>
    <w:uiPriority w:val="99"/>
    <w:pPr>
      <w:tabs>
        <w:tab w:val="center" w:pos="4153"/>
        <w:tab w:val="right" w:pos="8306"/>
      </w:tabs>
      <w:snapToGrid w:val="0"/>
      <w:jc w:val="left"/>
    </w:pPr>
    <w:rPr>
      <w:kern w:val="0"/>
      <w:sz w:val="18"/>
      <w:szCs w:val="20"/>
    </w:rPr>
  </w:style>
  <w:style w:type="paragraph" w:styleId="58">
    <w:name w:val="envelope return"/>
    <w:basedOn w:val="1"/>
    <w:qFormat/>
    <w:locked/>
    <w:uiPriority w:val="0"/>
    <w:pPr>
      <w:snapToGrid w:val="0"/>
    </w:pPr>
    <w:rPr>
      <w:rFonts w:asciiTheme="majorHAnsi" w:hAnsiTheme="majorHAnsi" w:eastAsiaTheme="majorEastAsia" w:cstheme="majorBidi"/>
    </w:rPr>
  </w:style>
  <w:style w:type="paragraph" w:styleId="59">
    <w:name w:val="header"/>
    <w:basedOn w:val="1"/>
    <w:link w:val="104"/>
    <w:qFormat/>
    <w:uiPriority w:val="0"/>
    <w:pPr>
      <w:pBdr>
        <w:bottom w:val="single" w:color="auto" w:sz="6" w:space="1"/>
      </w:pBdr>
      <w:tabs>
        <w:tab w:val="center" w:pos="4153"/>
        <w:tab w:val="right" w:pos="8306"/>
      </w:tabs>
      <w:snapToGrid w:val="0"/>
      <w:jc w:val="center"/>
    </w:pPr>
    <w:rPr>
      <w:kern w:val="0"/>
      <w:sz w:val="18"/>
      <w:szCs w:val="20"/>
    </w:rPr>
  </w:style>
  <w:style w:type="paragraph" w:styleId="60">
    <w:name w:val="Signature"/>
    <w:basedOn w:val="1"/>
    <w:link w:val="154"/>
    <w:qFormat/>
    <w:locked/>
    <w:uiPriority w:val="0"/>
    <w:pPr>
      <w:ind w:left="100" w:leftChars="2100"/>
    </w:pPr>
  </w:style>
  <w:style w:type="paragraph" w:styleId="61">
    <w:name w:val="toc 1"/>
    <w:basedOn w:val="1"/>
    <w:next w:val="1"/>
    <w:qFormat/>
    <w:locked/>
    <w:uiPriority w:val="0"/>
    <w:pPr>
      <w:adjustRightInd w:val="0"/>
      <w:snapToGrid w:val="0"/>
      <w:spacing w:line="320" w:lineRule="exact"/>
      <w:jc w:val="center"/>
    </w:pPr>
    <w:rPr>
      <w:rFonts w:ascii="宋体" w:hAnsi="宋体"/>
      <w:szCs w:val="20"/>
    </w:rPr>
  </w:style>
  <w:style w:type="paragraph" w:styleId="62">
    <w:name w:val="List Continue 4"/>
    <w:basedOn w:val="1"/>
    <w:qFormat/>
    <w:locked/>
    <w:uiPriority w:val="0"/>
    <w:pPr>
      <w:spacing w:after="120"/>
      <w:ind w:left="1680" w:leftChars="800"/>
      <w:contextualSpacing/>
    </w:pPr>
  </w:style>
  <w:style w:type="paragraph" w:styleId="63">
    <w:name w:val="toc 4"/>
    <w:basedOn w:val="1"/>
    <w:next w:val="1"/>
    <w:qFormat/>
    <w:locked/>
    <w:uiPriority w:val="0"/>
    <w:pPr>
      <w:ind w:left="1260" w:leftChars="600"/>
    </w:pPr>
  </w:style>
  <w:style w:type="paragraph" w:styleId="64">
    <w:name w:val="index heading"/>
    <w:basedOn w:val="1"/>
    <w:next w:val="65"/>
    <w:qFormat/>
    <w:locked/>
    <w:uiPriority w:val="0"/>
    <w:rPr>
      <w:rFonts w:asciiTheme="majorHAnsi" w:hAnsiTheme="majorHAnsi" w:eastAsiaTheme="majorEastAsia" w:cstheme="majorBidi"/>
      <w:b/>
      <w:bCs/>
    </w:rPr>
  </w:style>
  <w:style w:type="paragraph" w:styleId="65">
    <w:name w:val="index 1"/>
    <w:basedOn w:val="1"/>
    <w:next w:val="1"/>
    <w:qFormat/>
    <w:locked/>
    <w:uiPriority w:val="0"/>
  </w:style>
  <w:style w:type="paragraph" w:styleId="66">
    <w:name w:val="Subtitle"/>
    <w:basedOn w:val="1"/>
    <w:next w:val="1"/>
    <w:link w:val="148"/>
    <w:qFormat/>
    <w:locked/>
    <w:uiPriority w:val="0"/>
    <w:pPr>
      <w:spacing w:before="240" w:after="60" w:line="312" w:lineRule="auto"/>
      <w:jc w:val="center"/>
      <w:outlineLvl w:val="1"/>
    </w:pPr>
    <w:rPr>
      <w:rFonts w:asciiTheme="minorHAnsi" w:hAnsiTheme="minorHAnsi" w:eastAsiaTheme="minorEastAsia" w:cstheme="minorBidi"/>
      <w:b/>
      <w:bCs/>
      <w:kern w:val="28"/>
      <w:sz w:val="32"/>
      <w:szCs w:val="32"/>
    </w:rPr>
  </w:style>
  <w:style w:type="paragraph" w:styleId="67">
    <w:name w:val="List Number 5"/>
    <w:basedOn w:val="1"/>
    <w:qFormat/>
    <w:locked/>
    <w:uiPriority w:val="0"/>
    <w:pPr>
      <w:numPr>
        <w:ilvl w:val="0"/>
        <w:numId w:val="10"/>
      </w:numPr>
      <w:contextualSpacing/>
    </w:pPr>
  </w:style>
  <w:style w:type="paragraph" w:styleId="68">
    <w:name w:val="List"/>
    <w:basedOn w:val="1"/>
    <w:qFormat/>
    <w:locked/>
    <w:uiPriority w:val="0"/>
    <w:pPr>
      <w:ind w:left="200" w:hanging="200" w:hangingChars="200"/>
      <w:contextualSpacing/>
    </w:pPr>
  </w:style>
  <w:style w:type="paragraph" w:styleId="69">
    <w:name w:val="footnote text"/>
    <w:basedOn w:val="1"/>
    <w:link w:val="150"/>
    <w:qFormat/>
    <w:locked/>
    <w:uiPriority w:val="0"/>
    <w:pPr>
      <w:snapToGrid w:val="0"/>
      <w:jc w:val="left"/>
    </w:pPr>
    <w:rPr>
      <w:sz w:val="18"/>
      <w:szCs w:val="18"/>
    </w:rPr>
  </w:style>
  <w:style w:type="paragraph" w:styleId="70">
    <w:name w:val="toc 6"/>
    <w:basedOn w:val="1"/>
    <w:next w:val="1"/>
    <w:qFormat/>
    <w:locked/>
    <w:uiPriority w:val="0"/>
    <w:pPr>
      <w:ind w:left="2100" w:leftChars="1000"/>
    </w:pPr>
  </w:style>
  <w:style w:type="paragraph" w:styleId="71">
    <w:name w:val="List 5"/>
    <w:basedOn w:val="1"/>
    <w:qFormat/>
    <w:locked/>
    <w:uiPriority w:val="0"/>
    <w:pPr>
      <w:ind w:left="100" w:leftChars="800" w:hanging="200" w:hangingChars="200"/>
      <w:contextualSpacing/>
    </w:pPr>
  </w:style>
  <w:style w:type="paragraph" w:styleId="72">
    <w:name w:val="Body Text Indent 3"/>
    <w:basedOn w:val="1"/>
    <w:link w:val="166"/>
    <w:qFormat/>
    <w:locked/>
    <w:uiPriority w:val="0"/>
    <w:pPr>
      <w:spacing w:after="120"/>
      <w:ind w:left="420" w:leftChars="200"/>
    </w:pPr>
    <w:rPr>
      <w:sz w:val="16"/>
      <w:szCs w:val="16"/>
    </w:rPr>
  </w:style>
  <w:style w:type="paragraph" w:styleId="73">
    <w:name w:val="index 7"/>
    <w:basedOn w:val="1"/>
    <w:next w:val="1"/>
    <w:qFormat/>
    <w:locked/>
    <w:uiPriority w:val="0"/>
    <w:pPr>
      <w:ind w:left="1200" w:leftChars="1200"/>
    </w:pPr>
  </w:style>
  <w:style w:type="paragraph" w:styleId="74">
    <w:name w:val="index 9"/>
    <w:basedOn w:val="1"/>
    <w:next w:val="1"/>
    <w:qFormat/>
    <w:locked/>
    <w:uiPriority w:val="0"/>
    <w:pPr>
      <w:ind w:left="1600" w:leftChars="1600"/>
    </w:pPr>
  </w:style>
  <w:style w:type="paragraph" w:styleId="75">
    <w:name w:val="table of figures"/>
    <w:basedOn w:val="1"/>
    <w:next w:val="1"/>
    <w:qFormat/>
    <w:locked/>
    <w:uiPriority w:val="0"/>
    <w:pPr>
      <w:ind w:left="200" w:leftChars="200" w:hanging="200" w:hangingChars="200"/>
    </w:pPr>
  </w:style>
  <w:style w:type="paragraph" w:styleId="76">
    <w:name w:val="toc 2"/>
    <w:basedOn w:val="1"/>
    <w:next w:val="1"/>
    <w:qFormat/>
    <w:locked/>
    <w:uiPriority w:val="0"/>
    <w:pPr>
      <w:ind w:left="420" w:leftChars="200"/>
    </w:pPr>
  </w:style>
  <w:style w:type="paragraph" w:styleId="77">
    <w:name w:val="toc 9"/>
    <w:basedOn w:val="1"/>
    <w:next w:val="1"/>
    <w:qFormat/>
    <w:locked/>
    <w:uiPriority w:val="0"/>
    <w:pPr>
      <w:ind w:left="3360" w:leftChars="1600"/>
    </w:pPr>
  </w:style>
  <w:style w:type="paragraph" w:styleId="78">
    <w:name w:val="Body Text 2"/>
    <w:basedOn w:val="1"/>
    <w:link w:val="162"/>
    <w:qFormat/>
    <w:locked/>
    <w:uiPriority w:val="0"/>
    <w:pPr>
      <w:spacing w:after="120" w:line="480" w:lineRule="auto"/>
    </w:pPr>
  </w:style>
  <w:style w:type="paragraph" w:styleId="79">
    <w:name w:val="List 4"/>
    <w:basedOn w:val="1"/>
    <w:qFormat/>
    <w:locked/>
    <w:uiPriority w:val="0"/>
    <w:pPr>
      <w:ind w:left="100" w:leftChars="600" w:hanging="200" w:hangingChars="200"/>
      <w:contextualSpacing/>
    </w:pPr>
  </w:style>
  <w:style w:type="paragraph" w:styleId="80">
    <w:name w:val="List Continue 2"/>
    <w:basedOn w:val="1"/>
    <w:qFormat/>
    <w:locked/>
    <w:uiPriority w:val="0"/>
    <w:pPr>
      <w:spacing w:after="120"/>
      <w:ind w:left="840" w:leftChars="400"/>
      <w:contextualSpacing/>
    </w:pPr>
  </w:style>
  <w:style w:type="paragraph" w:styleId="81">
    <w:name w:val="Message Header"/>
    <w:basedOn w:val="1"/>
    <w:link w:val="159"/>
    <w:qFormat/>
    <w:locked/>
    <w:uiPriority w:val="0"/>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Theme="majorHAnsi" w:hAnsiTheme="majorHAnsi" w:eastAsiaTheme="majorEastAsia" w:cstheme="majorBidi"/>
      <w:sz w:val="24"/>
    </w:rPr>
  </w:style>
  <w:style w:type="paragraph" w:styleId="82">
    <w:name w:val="HTML Preformatted"/>
    <w:basedOn w:val="1"/>
    <w:link w:val="134"/>
    <w:qFormat/>
    <w:locked/>
    <w:uiPriority w:val="0"/>
    <w:rPr>
      <w:rFonts w:ascii="Courier New" w:hAnsi="Courier New" w:cs="Courier New"/>
      <w:sz w:val="20"/>
      <w:szCs w:val="20"/>
    </w:rPr>
  </w:style>
  <w:style w:type="paragraph" w:styleId="83">
    <w:name w:val="Normal (Web)"/>
    <w:basedOn w:val="1"/>
    <w:link w:val="105"/>
    <w:qFormat/>
    <w:uiPriority w:val="0"/>
    <w:pPr>
      <w:widowControl/>
      <w:spacing w:before="100" w:beforeAutospacing="1" w:after="100" w:afterAutospacing="1"/>
      <w:jc w:val="left"/>
    </w:pPr>
    <w:rPr>
      <w:rFonts w:ascii="宋体" w:hAnsi="宋体"/>
      <w:kern w:val="0"/>
      <w:sz w:val="24"/>
      <w:szCs w:val="20"/>
    </w:rPr>
  </w:style>
  <w:style w:type="paragraph" w:styleId="84">
    <w:name w:val="List Continue 3"/>
    <w:basedOn w:val="1"/>
    <w:qFormat/>
    <w:locked/>
    <w:uiPriority w:val="0"/>
    <w:pPr>
      <w:spacing w:after="120"/>
      <w:ind w:left="1260" w:leftChars="600"/>
      <w:contextualSpacing/>
    </w:pPr>
  </w:style>
  <w:style w:type="paragraph" w:styleId="85">
    <w:name w:val="index 2"/>
    <w:basedOn w:val="1"/>
    <w:next w:val="1"/>
    <w:qFormat/>
    <w:locked/>
    <w:uiPriority w:val="0"/>
    <w:pPr>
      <w:ind w:left="200" w:leftChars="200"/>
    </w:pPr>
  </w:style>
  <w:style w:type="paragraph" w:styleId="86">
    <w:name w:val="Title"/>
    <w:basedOn w:val="1"/>
    <w:next w:val="1"/>
    <w:link w:val="136"/>
    <w:qFormat/>
    <w:locked/>
    <w:uiPriority w:val="0"/>
    <w:pPr>
      <w:spacing w:before="240" w:after="60"/>
      <w:jc w:val="center"/>
      <w:outlineLvl w:val="0"/>
    </w:pPr>
    <w:rPr>
      <w:rFonts w:asciiTheme="majorHAnsi" w:hAnsiTheme="majorHAnsi" w:eastAsiaTheme="majorEastAsia" w:cstheme="majorBidi"/>
      <w:b/>
      <w:bCs/>
      <w:sz w:val="32"/>
      <w:szCs w:val="32"/>
    </w:rPr>
  </w:style>
  <w:style w:type="paragraph" w:styleId="87">
    <w:name w:val="annotation subject"/>
    <w:basedOn w:val="31"/>
    <w:next w:val="31"/>
    <w:link w:val="106"/>
    <w:semiHidden/>
    <w:qFormat/>
    <w:uiPriority w:val="0"/>
    <w:rPr>
      <w:b/>
    </w:rPr>
  </w:style>
  <w:style w:type="paragraph" w:styleId="88">
    <w:name w:val="Body Text First Indent"/>
    <w:basedOn w:val="23"/>
    <w:link w:val="164"/>
    <w:qFormat/>
    <w:locked/>
    <w:uiPriority w:val="0"/>
    <w:pPr>
      <w:widowControl w:val="0"/>
      <w:snapToGrid/>
      <w:spacing w:before="0" w:after="120" w:line="240" w:lineRule="auto"/>
      <w:ind w:right="0" w:firstLine="420" w:firstLineChars="100"/>
    </w:pPr>
    <w:rPr>
      <w:kern w:val="2"/>
      <w:sz w:val="21"/>
      <w:szCs w:val="24"/>
    </w:rPr>
  </w:style>
  <w:style w:type="paragraph" w:styleId="89">
    <w:name w:val="Body Text First Indent 2"/>
    <w:basedOn w:val="37"/>
    <w:link w:val="107"/>
    <w:qFormat/>
    <w:locked/>
    <w:uiPriority w:val="0"/>
    <w:pPr>
      <w:ind w:firstLine="420" w:firstLineChars="200"/>
    </w:pPr>
    <w:rPr>
      <w:kern w:val="2"/>
      <w:sz w:val="21"/>
      <w:szCs w:val="24"/>
    </w:rPr>
  </w:style>
  <w:style w:type="table" w:styleId="91">
    <w:name w:val="Table Grid"/>
    <w:basedOn w:val="9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3">
    <w:name w:val="page number"/>
    <w:basedOn w:val="92"/>
    <w:qFormat/>
    <w:locked/>
    <w:uiPriority w:val="0"/>
  </w:style>
  <w:style w:type="character" w:styleId="94">
    <w:name w:val="Hyperlink"/>
    <w:qFormat/>
    <w:locked/>
    <w:uiPriority w:val="99"/>
    <w:rPr>
      <w:color w:val="0563C1"/>
      <w:u w:val="single"/>
    </w:rPr>
  </w:style>
  <w:style w:type="character" w:styleId="95">
    <w:name w:val="annotation reference"/>
    <w:semiHidden/>
    <w:qFormat/>
    <w:uiPriority w:val="0"/>
    <w:rPr>
      <w:sz w:val="21"/>
    </w:rPr>
  </w:style>
  <w:style w:type="character" w:customStyle="1" w:styleId="96">
    <w:name w:val="正文缩进 字符"/>
    <w:link w:val="21"/>
    <w:qFormat/>
    <w:uiPriority w:val="0"/>
    <w:rPr>
      <w:kern w:val="2"/>
      <w:sz w:val="21"/>
      <w:szCs w:val="24"/>
    </w:rPr>
  </w:style>
  <w:style w:type="character" w:customStyle="1" w:styleId="97">
    <w:name w:val="题注 字符"/>
    <w:link w:val="25"/>
    <w:qFormat/>
    <w:uiPriority w:val="35"/>
    <w:rPr>
      <w:rFonts w:ascii="宋体" w:hAnsi="Arial"/>
      <w:b/>
      <w:kern w:val="2"/>
      <w:sz w:val="21"/>
    </w:rPr>
  </w:style>
  <w:style w:type="character" w:customStyle="1" w:styleId="98">
    <w:name w:val="批注文字 字符"/>
    <w:link w:val="31"/>
    <w:qFormat/>
    <w:locked/>
    <w:uiPriority w:val="0"/>
    <w:rPr>
      <w:rFonts w:ascii="Times New Roman" w:hAnsi="Times New Roman" w:eastAsia="宋体"/>
      <w:sz w:val="24"/>
    </w:rPr>
  </w:style>
  <w:style w:type="character" w:customStyle="1" w:styleId="99">
    <w:name w:val="正文文本 字符"/>
    <w:link w:val="23"/>
    <w:qFormat/>
    <w:locked/>
    <w:uiPriority w:val="0"/>
    <w:rPr>
      <w:sz w:val="18"/>
    </w:rPr>
  </w:style>
  <w:style w:type="character" w:customStyle="1" w:styleId="100">
    <w:name w:val="正文文本缩进 字符"/>
    <w:link w:val="37"/>
    <w:semiHidden/>
    <w:qFormat/>
    <w:locked/>
    <w:uiPriority w:val="0"/>
    <w:rPr>
      <w:rFonts w:ascii="Times New Roman" w:hAnsi="Times New Roman" w:eastAsia="宋体"/>
      <w:sz w:val="24"/>
    </w:rPr>
  </w:style>
  <w:style w:type="character" w:customStyle="1" w:styleId="101">
    <w:name w:val="日期 字符1"/>
    <w:link w:val="52"/>
    <w:qFormat/>
    <w:locked/>
    <w:uiPriority w:val="0"/>
    <w:rPr>
      <w:rFonts w:ascii="Times New Roman" w:hAnsi="Times New Roman" w:eastAsia="宋体"/>
      <w:sz w:val="24"/>
    </w:rPr>
  </w:style>
  <w:style w:type="character" w:customStyle="1" w:styleId="102">
    <w:name w:val="批注框文本 字符"/>
    <w:link w:val="56"/>
    <w:semiHidden/>
    <w:qFormat/>
    <w:locked/>
    <w:uiPriority w:val="0"/>
    <w:rPr>
      <w:rFonts w:ascii="Times New Roman" w:hAnsi="Times New Roman" w:eastAsia="宋体"/>
      <w:sz w:val="18"/>
    </w:rPr>
  </w:style>
  <w:style w:type="character" w:customStyle="1" w:styleId="103">
    <w:name w:val="页脚 字符1"/>
    <w:link w:val="57"/>
    <w:qFormat/>
    <w:locked/>
    <w:uiPriority w:val="99"/>
    <w:rPr>
      <w:sz w:val="18"/>
    </w:rPr>
  </w:style>
  <w:style w:type="character" w:customStyle="1" w:styleId="104">
    <w:name w:val="页眉 字符"/>
    <w:link w:val="59"/>
    <w:qFormat/>
    <w:locked/>
    <w:uiPriority w:val="0"/>
    <w:rPr>
      <w:sz w:val="18"/>
    </w:rPr>
  </w:style>
  <w:style w:type="character" w:customStyle="1" w:styleId="105">
    <w:name w:val="普通(网站) 字符"/>
    <w:link w:val="83"/>
    <w:qFormat/>
    <w:locked/>
    <w:uiPriority w:val="0"/>
    <w:rPr>
      <w:rFonts w:ascii="宋体" w:hAnsi="宋体" w:eastAsia="宋体"/>
      <w:sz w:val="24"/>
    </w:rPr>
  </w:style>
  <w:style w:type="character" w:customStyle="1" w:styleId="106">
    <w:name w:val="批注主题 字符"/>
    <w:link w:val="87"/>
    <w:semiHidden/>
    <w:qFormat/>
    <w:locked/>
    <w:uiPriority w:val="0"/>
    <w:rPr>
      <w:rFonts w:ascii="Times New Roman" w:hAnsi="Times New Roman" w:eastAsia="宋体"/>
      <w:b/>
      <w:kern w:val="2"/>
      <w:sz w:val="24"/>
    </w:rPr>
  </w:style>
  <w:style w:type="character" w:customStyle="1" w:styleId="107">
    <w:name w:val="正文文本首行缩进 2 字符"/>
    <w:link w:val="89"/>
    <w:qFormat/>
    <w:uiPriority w:val="0"/>
    <w:rPr>
      <w:rFonts w:ascii="Times New Roman" w:hAnsi="Times New Roman" w:eastAsia="宋体"/>
      <w:kern w:val="2"/>
      <w:sz w:val="21"/>
      <w:szCs w:val="24"/>
    </w:rPr>
  </w:style>
  <w:style w:type="character" w:customStyle="1" w:styleId="108">
    <w:name w:val="页脚 字符"/>
    <w:qFormat/>
    <w:uiPriority w:val="99"/>
  </w:style>
  <w:style w:type="character" w:customStyle="1" w:styleId="109">
    <w:name w:val="正文文本 字符1"/>
    <w:semiHidden/>
    <w:qFormat/>
    <w:uiPriority w:val="0"/>
    <w:rPr>
      <w:rFonts w:ascii="Times New Roman" w:hAnsi="Times New Roman" w:eastAsia="宋体"/>
      <w:sz w:val="24"/>
    </w:rPr>
  </w:style>
  <w:style w:type="character" w:customStyle="1" w:styleId="110">
    <w:name w:val="表格 Char"/>
    <w:link w:val="111"/>
    <w:qFormat/>
    <w:locked/>
    <w:uiPriority w:val="0"/>
    <w:rPr>
      <w:rFonts w:ascii="宋体"/>
      <w:sz w:val="21"/>
    </w:rPr>
  </w:style>
  <w:style w:type="paragraph" w:customStyle="1" w:styleId="111">
    <w:name w:val="表格"/>
    <w:basedOn w:val="1"/>
    <w:next w:val="1"/>
    <w:link w:val="110"/>
    <w:qFormat/>
    <w:uiPriority w:val="0"/>
    <w:pPr>
      <w:adjustRightInd w:val="0"/>
      <w:snapToGrid w:val="0"/>
      <w:spacing w:beforeLines="10" w:afterLines="10" w:line="259" w:lineRule="auto"/>
      <w:jc w:val="center"/>
    </w:pPr>
    <w:rPr>
      <w:rFonts w:ascii="宋体"/>
      <w:kern w:val="0"/>
      <w:szCs w:val="20"/>
    </w:rPr>
  </w:style>
  <w:style w:type="character" w:customStyle="1" w:styleId="112">
    <w:name w:val="日期 字符"/>
    <w:semiHidden/>
    <w:qFormat/>
    <w:uiPriority w:val="0"/>
    <w:rPr>
      <w:rFonts w:ascii="Times New Roman" w:hAnsi="Times New Roman" w:eastAsia="宋体"/>
      <w:sz w:val="24"/>
    </w:rPr>
  </w:style>
  <w:style w:type="character" w:customStyle="1" w:styleId="113">
    <w:name w:val="批注文字 字符1"/>
    <w:semiHidden/>
    <w:qFormat/>
    <w:uiPriority w:val="0"/>
    <w:rPr>
      <w:rFonts w:ascii="Times New Roman" w:hAnsi="Times New Roman" w:eastAsia="宋体"/>
      <w:sz w:val="24"/>
    </w:rPr>
  </w:style>
  <w:style w:type="paragraph" w:customStyle="1" w:styleId="114">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15">
    <w:name w:val="普通(网站)2"/>
    <w:basedOn w:val="1"/>
    <w:qFormat/>
    <w:uiPriority w:val="0"/>
    <w:pPr>
      <w:widowControl/>
      <w:spacing w:before="100" w:beforeAutospacing="1" w:after="100" w:afterAutospacing="1"/>
      <w:jc w:val="left"/>
    </w:pPr>
    <w:rPr>
      <w:rFonts w:ascii="宋体" w:hAnsi="宋体"/>
      <w:sz w:val="24"/>
      <w:szCs w:val="20"/>
    </w:rPr>
  </w:style>
  <w:style w:type="paragraph" w:customStyle="1" w:styleId="116">
    <w:name w:val="报告正文"/>
    <w:basedOn w:val="1"/>
    <w:qFormat/>
    <w:uiPriority w:val="0"/>
    <w:pPr>
      <w:spacing w:line="480" w:lineRule="exact"/>
      <w:ind w:firstLine="480" w:firstLineChars="200"/>
    </w:pPr>
    <w:rPr>
      <w:sz w:val="24"/>
      <w:szCs w:val="22"/>
    </w:rPr>
  </w:style>
  <w:style w:type="paragraph" w:customStyle="1" w:styleId="117">
    <w:name w:val="表格内容"/>
    <w:basedOn w:val="1"/>
    <w:qFormat/>
    <w:uiPriority w:val="0"/>
    <w:pPr>
      <w:overflowPunct w:val="0"/>
      <w:adjustRightInd w:val="0"/>
      <w:snapToGrid w:val="0"/>
      <w:spacing w:line="360" w:lineRule="exact"/>
      <w:jc w:val="center"/>
      <w:textAlignment w:val="baseline"/>
    </w:pPr>
    <w:rPr>
      <w:kern w:val="0"/>
    </w:rPr>
  </w:style>
  <w:style w:type="paragraph" w:customStyle="1" w:styleId="118">
    <w:name w:val="_Style 47"/>
    <w:basedOn w:val="1"/>
    <w:qFormat/>
    <w:uiPriority w:val="0"/>
    <w:rPr>
      <w:szCs w:val="20"/>
    </w:rPr>
  </w:style>
  <w:style w:type="paragraph" w:customStyle="1" w:styleId="119">
    <w:name w:val="样式1"/>
    <w:basedOn w:val="1"/>
    <w:link w:val="120"/>
    <w:qFormat/>
    <w:uiPriority w:val="0"/>
    <w:pPr>
      <w:suppressAutoHyphens/>
      <w:spacing w:line="360" w:lineRule="exact"/>
      <w:ind w:firstLine="420" w:firstLineChars="200"/>
    </w:pPr>
    <w:rPr>
      <w:spacing w:val="18"/>
      <w:kern w:val="0"/>
      <w:sz w:val="32"/>
      <w:szCs w:val="20"/>
    </w:rPr>
  </w:style>
  <w:style w:type="character" w:customStyle="1" w:styleId="120">
    <w:name w:val="样式1 Char"/>
    <w:link w:val="119"/>
    <w:qFormat/>
    <w:uiPriority w:val="0"/>
    <w:rPr>
      <w:spacing w:val="18"/>
      <w:sz w:val="32"/>
    </w:rPr>
  </w:style>
  <w:style w:type="character" w:customStyle="1" w:styleId="121">
    <w:name w:val="表头 Char Char"/>
    <w:qFormat/>
    <w:uiPriority w:val="0"/>
    <w:rPr>
      <w:rFonts w:ascii="宋体" w:hAnsi="宋体" w:eastAsia="黑体"/>
      <w:b/>
      <w:kern w:val="2"/>
      <w:sz w:val="24"/>
      <w:szCs w:val="24"/>
      <w:lang w:val="en-US" w:eastAsia="zh-CN" w:bidi="ar-SA"/>
      <w14:shadow w14:blurRad="50800" w14:dist="38100" w14:dir="2700000" w14:sx="100000" w14:sy="100000" w14:kx="0" w14:ky="0" w14:algn="tl">
        <w14:srgbClr w14:val="000000">
          <w14:alpha w14:val="60000"/>
        </w14:srgbClr>
      </w14:shadow>
    </w:rPr>
  </w:style>
  <w:style w:type="character" w:customStyle="1" w:styleId="122">
    <w:name w:val="正文2 Char"/>
    <w:link w:val="123"/>
    <w:qFormat/>
    <w:uiPriority w:val="99"/>
    <w:rPr>
      <w:rFonts w:ascii="宋体" w:hAnsi="宋体"/>
      <w:kern w:val="2"/>
      <w:sz w:val="24"/>
      <w:szCs w:val="21"/>
    </w:rPr>
  </w:style>
  <w:style w:type="paragraph" w:customStyle="1" w:styleId="123">
    <w:name w:val="正文2"/>
    <w:basedOn w:val="1"/>
    <w:link w:val="122"/>
    <w:qFormat/>
    <w:uiPriority w:val="0"/>
    <w:pPr>
      <w:spacing w:line="360" w:lineRule="auto"/>
      <w:ind w:firstLine="480" w:firstLineChars="200"/>
    </w:pPr>
    <w:rPr>
      <w:rFonts w:ascii="宋体" w:hAnsi="宋体"/>
      <w:sz w:val="24"/>
      <w:szCs w:val="21"/>
    </w:rPr>
  </w:style>
  <w:style w:type="paragraph" w:styleId="124">
    <w:name w:val="List Paragraph"/>
    <w:basedOn w:val="1"/>
    <w:qFormat/>
    <w:uiPriority w:val="34"/>
    <w:pPr>
      <w:ind w:firstLine="420" w:firstLineChars="200"/>
    </w:pPr>
  </w:style>
  <w:style w:type="paragraph" w:customStyle="1" w:styleId="125">
    <w:name w:val="中文报告书样式"/>
    <w:basedOn w:val="1"/>
    <w:qFormat/>
    <w:uiPriority w:val="0"/>
    <w:pPr>
      <w:adjustRightInd w:val="0"/>
      <w:spacing w:line="480" w:lineRule="atLeast"/>
      <w:ind w:firstLine="482"/>
    </w:pPr>
    <w:rPr>
      <w:kern w:val="24"/>
      <w:sz w:val="24"/>
      <w:szCs w:val="20"/>
    </w:rPr>
  </w:style>
  <w:style w:type="paragraph" w:customStyle="1" w:styleId="126">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27">
    <w:name w:val="正文内容"/>
    <w:basedOn w:val="1"/>
    <w:qFormat/>
    <w:uiPriority w:val="0"/>
    <w:pPr>
      <w:spacing w:line="360" w:lineRule="auto"/>
      <w:ind w:firstLine="624"/>
    </w:pPr>
    <w:rPr>
      <w:rFonts w:ascii="宋体"/>
      <w:sz w:val="24"/>
    </w:rPr>
  </w:style>
  <w:style w:type="paragraph" w:customStyle="1" w:styleId="128">
    <w:name w:val="样式 样式 样式 四号 左侧:  1.53 厘米 + 首行缩进:  2 字符 + 居中 左侧:  2 字符 首行缩进:  2..."/>
    <w:basedOn w:val="1"/>
    <w:qFormat/>
    <w:uiPriority w:val="0"/>
    <w:pPr>
      <w:adjustRightInd w:val="0"/>
      <w:snapToGrid w:val="0"/>
      <w:spacing w:line="500" w:lineRule="exact"/>
      <w:ind w:left="200" w:leftChars="200"/>
      <w:jc w:val="center"/>
    </w:pPr>
    <w:rPr>
      <w:rFonts w:eastAsia="华文中宋" w:cs="华康简仿宋"/>
      <w:w w:val="90"/>
      <w:sz w:val="28"/>
      <w:szCs w:val="20"/>
    </w:rPr>
  </w:style>
  <w:style w:type="character" w:customStyle="1" w:styleId="129">
    <w:name w:val="正文文字 Char"/>
    <w:qFormat/>
    <w:uiPriority w:val="0"/>
    <w:rPr>
      <w:rFonts w:eastAsia="宋体"/>
      <w:kern w:val="2"/>
      <w:sz w:val="24"/>
      <w:szCs w:val="24"/>
      <w:lang w:val="en-US" w:eastAsia="zh-CN" w:bidi="ar-SA"/>
    </w:rPr>
  </w:style>
  <w:style w:type="paragraph" w:customStyle="1" w:styleId="130">
    <w:name w:val="书正文"/>
    <w:basedOn w:val="1"/>
    <w:qFormat/>
    <w:uiPriority w:val="0"/>
    <w:pPr>
      <w:spacing w:line="500" w:lineRule="exact"/>
      <w:ind w:firstLine="640" w:firstLineChars="200"/>
    </w:pPr>
  </w:style>
  <w:style w:type="character" w:customStyle="1" w:styleId="131">
    <w:name w:val="表格正文 Char"/>
    <w:link w:val="132"/>
    <w:qFormat/>
    <w:locked/>
    <w:uiPriority w:val="0"/>
    <w:rPr>
      <w:kern w:val="2"/>
      <w:sz w:val="21"/>
      <w:szCs w:val="24"/>
    </w:rPr>
  </w:style>
  <w:style w:type="paragraph" w:customStyle="1" w:styleId="132">
    <w:name w:val="表格正文"/>
    <w:basedOn w:val="1"/>
    <w:link w:val="131"/>
    <w:qFormat/>
    <w:uiPriority w:val="0"/>
    <w:pPr>
      <w:jc w:val="center"/>
    </w:pPr>
  </w:style>
  <w:style w:type="character" w:customStyle="1" w:styleId="133">
    <w:name w:val="HTML 地址 字符"/>
    <w:basedOn w:val="92"/>
    <w:link w:val="43"/>
    <w:qFormat/>
    <w:uiPriority w:val="0"/>
    <w:rPr>
      <w:i/>
      <w:iCs/>
      <w:kern w:val="2"/>
      <w:sz w:val="21"/>
      <w:szCs w:val="24"/>
    </w:rPr>
  </w:style>
  <w:style w:type="character" w:customStyle="1" w:styleId="134">
    <w:name w:val="HTML 预设格式 字符"/>
    <w:basedOn w:val="92"/>
    <w:link w:val="82"/>
    <w:qFormat/>
    <w:uiPriority w:val="0"/>
    <w:rPr>
      <w:rFonts w:ascii="Courier New" w:hAnsi="Courier New" w:cs="Courier New"/>
      <w:kern w:val="2"/>
    </w:rPr>
  </w:style>
  <w:style w:type="paragraph" w:customStyle="1" w:styleId="135">
    <w:name w:val="TOC Heading"/>
    <w:basedOn w:val="2"/>
    <w:next w:val="1"/>
    <w:semiHidden/>
    <w:unhideWhenUsed/>
    <w:qFormat/>
    <w:uiPriority w:val="39"/>
    <w:pPr>
      <w:keepLines/>
      <w:overflowPunct/>
      <w:snapToGrid/>
      <w:spacing w:before="340" w:after="330" w:line="578" w:lineRule="auto"/>
      <w:ind w:left="0" w:firstLine="0"/>
      <w:outlineLvl w:val="9"/>
    </w:pPr>
    <w:rPr>
      <w:rFonts w:eastAsia="宋体"/>
      <w:color w:val="auto"/>
      <w:sz w:val="44"/>
      <w:szCs w:val="44"/>
    </w:rPr>
  </w:style>
  <w:style w:type="character" w:customStyle="1" w:styleId="136">
    <w:name w:val="标题 字符"/>
    <w:basedOn w:val="92"/>
    <w:link w:val="86"/>
    <w:qFormat/>
    <w:uiPriority w:val="0"/>
    <w:rPr>
      <w:rFonts w:asciiTheme="majorHAnsi" w:hAnsiTheme="majorHAnsi" w:eastAsiaTheme="majorEastAsia" w:cstheme="majorBidi"/>
      <w:b/>
      <w:bCs/>
      <w:kern w:val="2"/>
      <w:sz w:val="32"/>
      <w:szCs w:val="32"/>
    </w:rPr>
  </w:style>
  <w:style w:type="character" w:customStyle="1" w:styleId="137">
    <w:name w:val="标题 2 字符"/>
    <w:basedOn w:val="92"/>
    <w:link w:val="4"/>
    <w:semiHidden/>
    <w:qFormat/>
    <w:uiPriority w:val="0"/>
    <w:rPr>
      <w:rFonts w:asciiTheme="majorHAnsi" w:hAnsiTheme="majorHAnsi" w:eastAsiaTheme="majorEastAsia" w:cstheme="majorBidi"/>
      <w:b/>
      <w:bCs/>
      <w:kern w:val="2"/>
      <w:sz w:val="32"/>
      <w:szCs w:val="32"/>
    </w:rPr>
  </w:style>
  <w:style w:type="character" w:customStyle="1" w:styleId="138">
    <w:name w:val="标题 3 字符"/>
    <w:basedOn w:val="92"/>
    <w:link w:val="5"/>
    <w:semiHidden/>
    <w:qFormat/>
    <w:uiPriority w:val="0"/>
    <w:rPr>
      <w:b/>
      <w:bCs/>
      <w:kern w:val="2"/>
      <w:sz w:val="32"/>
      <w:szCs w:val="32"/>
    </w:rPr>
  </w:style>
  <w:style w:type="character" w:customStyle="1" w:styleId="139">
    <w:name w:val="标题 4 字符"/>
    <w:basedOn w:val="92"/>
    <w:link w:val="6"/>
    <w:semiHidden/>
    <w:qFormat/>
    <w:uiPriority w:val="0"/>
    <w:rPr>
      <w:rFonts w:asciiTheme="majorHAnsi" w:hAnsiTheme="majorHAnsi" w:eastAsiaTheme="majorEastAsia" w:cstheme="majorBidi"/>
      <w:b/>
      <w:bCs/>
      <w:kern w:val="2"/>
      <w:sz w:val="28"/>
      <w:szCs w:val="28"/>
    </w:rPr>
  </w:style>
  <w:style w:type="character" w:customStyle="1" w:styleId="140">
    <w:name w:val="标题 5 字符"/>
    <w:basedOn w:val="92"/>
    <w:link w:val="7"/>
    <w:semiHidden/>
    <w:qFormat/>
    <w:uiPriority w:val="0"/>
    <w:rPr>
      <w:b/>
      <w:bCs/>
      <w:kern w:val="2"/>
      <w:sz w:val="28"/>
      <w:szCs w:val="28"/>
    </w:rPr>
  </w:style>
  <w:style w:type="character" w:customStyle="1" w:styleId="141">
    <w:name w:val="标题 6 字符"/>
    <w:basedOn w:val="92"/>
    <w:link w:val="8"/>
    <w:semiHidden/>
    <w:qFormat/>
    <w:uiPriority w:val="0"/>
    <w:rPr>
      <w:rFonts w:asciiTheme="majorHAnsi" w:hAnsiTheme="majorHAnsi" w:eastAsiaTheme="majorEastAsia" w:cstheme="majorBidi"/>
      <w:b/>
      <w:bCs/>
      <w:kern w:val="2"/>
      <w:sz w:val="24"/>
      <w:szCs w:val="24"/>
    </w:rPr>
  </w:style>
  <w:style w:type="character" w:customStyle="1" w:styleId="142">
    <w:name w:val="标题 7 字符"/>
    <w:basedOn w:val="92"/>
    <w:link w:val="9"/>
    <w:semiHidden/>
    <w:qFormat/>
    <w:uiPriority w:val="0"/>
    <w:rPr>
      <w:b/>
      <w:bCs/>
      <w:kern w:val="2"/>
      <w:sz w:val="24"/>
      <w:szCs w:val="24"/>
    </w:rPr>
  </w:style>
  <w:style w:type="character" w:customStyle="1" w:styleId="143">
    <w:name w:val="标题 8 字符"/>
    <w:basedOn w:val="92"/>
    <w:link w:val="10"/>
    <w:semiHidden/>
    <w:qFormat/>
    <w:uiPriority w:val="0"/>
    <w:rPr>
      <w:rFonts w:asciiTheme="majorHAnsi" w:hAnsiTheme="majorHAnsi" w:eastAsiaTheme="majorEastAsia" w:cstheme="majorBidi"/>
      <w:kern w:val="2"/>
      <w:sz w:val="24"/>
      <w:szCs w:val="24"/>
    </w:rPr>
  </w:style>
  <w:style w:type="character" w:customStyle="1" w:styleId="144">
    <w:name w:val="标题 9 字符"/>
    <w:basedOn w:val="92"/>
    <w:link w:val="11"/>
    <w:semiHidden/>
    <w:qFormat/>
    <w:uiPriority w:val="0"/>
    <w:rPr>
      <w:rFonts w:asciiTheme="majorHAnsi" w:hAnsiTheme="majorHAnsi" w:eastAsiaTheme="majorEastAsia" w:cstheme="majorBidi"/>
      <w:kern w:val="2"/>
      <w:sz w:val="21"/>
      <w:szCs w:val="21"/>
    </w:rPr>
  </w:style>
  <w:style w:type="character" w:customStyle="1" w:styleId="145">
    <w:name w:val="称呼 字符"/>
    <w:basedOn w:val="92"/>
    <w:link w:val="33"/>
    <w:qFormat/>
    <w:uiPriority w:val="0"/>
    <w:rPr>
      <w:kern w:val="2"/>
      <w:sz w:val="21"/>
      <w:szCs w:val="24"/>
    </w:rPr>
  </w:style>
  <w:style w:type="character" w:customStyle="1" w:styleId="146">
    <w:name w:val="纯文本 字符"/>
    <w:basedOn w:val="92"/>
    <w:link w:val="47"/>
    <w:qFormat/>
    <w:uiPriority w:val="0"/>
    <w:rPr>
      <w:rFonts w:hAnsi="Courier New" w:cs="Courier New" w:asciiTheme="minorEastAsia" w:eastAsiaTheme="minorEastAsia"/>
      <w:kern w:val="2"/>
      <w:sz w:val="21"/>
      <w:szCs w:val="24"/>
    </w:rPr>
  </w:style>
  <w:style w:type="character" w:customStyle="1" w:styleId="147">
    <w:name w:val="电子邮件签名 字符"/>
    <w:basedOn w:val="92"/>
    <w:link w:val="19"/>
    <w:qFormat/>
    <w:uiPriority w:val="0"/>
    <w:rPr>
      <w:kern w:val="2"/>
      <w:sz w:val="21"/>
      <w:szCs w:val="24"/>
    </w:rPr>
  </w:style>
  <w:style w:type="character" w:customStyle="1" w:styleId="148">
    <w:name w:val="副标题 字符"/>
    <w:basedOn w:val="92"/>
    <w:link w:val="66"/>
    <w:qFormat/>
    <w:uiPriority w:val="0"/>
    <w:rPr>
      <w:rFonts w:asciiTheme="minorHAnsi" w:hAnsiTheme="minorHAnsi" w:eastAsiaTheme="minorEastAsia" w:cstheme="minorBidi"/>
      <w:b/>
      <w:bCs/>
      <w:kern w:val="28"/>
      <w:sz w:val="32"/>
      <w:szCs w:val="32"/>
    </w:rPr>
  </w:style>
  <w:style w:type="character" w:customStyle="1" w:styleId="149">
    <w:name w:val="宏文本 字符"/>
    <w:basedOn w:val="92"/>
    <w:link w:val="3"/>
    <w:qFormat/>
    <w:uiPriority w:val="0"/>
    <w:rPr>
      <w:rFonts w:ascii="Courier New" w:hAnsi="Courier New" w:cs="Courier New"/>
      <w:kern w:val="2"/>
      <w:sz w:val="24"/>
      <w:szCs w:val="24"/>
    </w:rPr>
  </w:style>
  <w:style w:type="character" w:customStyle="1" w:styleId="150">
    <w:name w:val="脚注文本 字符"/>
    <w:basedOn w:val="92"/>
    <w:link w:val="69"/>
    <w:qFormat/>
    <w:uiPriority w:val="0"/>
    <w:rPr>
      <w:kern w:val="2"/>
      <w:sz w:val="18"/>
      <w:szCs w:val="18"/>
    </w:rPr>
  </w:style>
  <w:style w:type="character" w:customStyle="1" w:styleId="151">
    <w:name w:val="结束语 字符"/>
    <w:basedOn w:val="92"/>
    <w:link w:val="35"/>
    <w:qFormat/>
    <w:uiPriority w:val="0"/>
    <w:rPr>
      <w:kern w:val="2"/>
      <w:sz w:val="21"/>
      <w:szCs w:val="24"/>
    </w:rPr>
  </w:style>
  <w:style w:type="paragraph" w:styleId="152">
    <w:name w:val="Intense Quote"/>
    <w:basedOn w:val="1"/>
    <w:next w:val="1"/>
    <w:link w:val="153"/>
    <w:qFormat/>
    <w:uiPriority w:val="99"/>
    <w:pPr>
      <w:pBdr>
        <w:top w:val="single" w:color="4472C4" w:themeColor="accent1" w:sz="4" w:space="10"/>
        <w:bottom w:val="single" w:color="4472C4" w:themeColor="accent1" w:sz="4" w:space="10"/>
      </w:pBdr>
      <w:spacing w:before="360" w:after="360"/>
      <w:ind w:left="864" w:right="864"/>
      <w:jc w:val="center"/>
    </w:pPr>
    <w:rPr>
      <w:i/>
      <w:iCs/>
      <w:color w:val="4472C4" w:themeColor="accent1"/>
      <w14:textFill>
        <w14:solidFill>
          <w14:schemeClr w14:val="accent1"/>
        </w14:solidFill>
      </w14:textFill>
    </w:rPr>
  </w:style>
  <w:style w:type="character" w:customStyle="1" w:styleId="153">
    <w:name w:val="明显引用 字符"/>
    <w:basedOn w:val="92"/>
    <w:link w:val="152"/>
    <w:qFormat/>
    <w:uiPriority w:val="99"/>
    <w:rPr>
      <w:i/>
      <w:iCs/>
      <w:color w:val="4472C4" w:themeColor="accent1"/>
      <w:kern w:val="2"/>
      <w:sz w:val="21"/>
      <w:szCs w:val="24"/>
      <w14:textFill>
        <w14:solidFill>
          <w14:schemeClr w14:val="accent1"/>
        </w14:solidFill>
      </w14:textFill>
    </w:rPr>
  </w:style>
  <w:style w:type="character" w:customStyle="1" w:styleId="154">
    <w:name w:val="签名 字符"/>
    <w:basedOn w:val="92"/>
    <w:link w:val="60"/>
    <w:qFormat/>
    <w:uiPriority w:val="0"/>
    <w:rPr>
      <w:kern w:val="2"/>
      <w:sz w:val="21"/>
      <w:szCs w:val="24"/>
    </w:rPr>
  </w:style>
  <w:style w:type="paragraph" w:customStyle="1" w:styleId="155">
    <w:name w:val="Bibliography"/>
    <w:basedOn w:val="1"/>
    <w:next w:val="1"/>
    <w:semiHidden/>
    <w:unhideWhenUsed/>
    <w:qFormat/>
    <w:uiPriority w:val="37"/>
  </w:style>
  <w:style w:type="character" w:customStyle="1" w:styleId="156">
    <w:name w:val="尾注文本 字符"/>
    <w:basedOn w:val="92"/>
    <w:link w:val="54"/>
    <w:qFormat/>
    <w:uiPriority w:val="0"/>
    <w:rPr>
      <w:kern w:val="2"/>
      <w:sz w:val="21"/>
      <w:szCs w:val="24"/>
    </w:rPr>
  </w:style>
  <w:style w:type="character" w:customStyle="1" w:styleId="157">
    <w:name w:val="文档结构图 字符"/>
    <w:basedOn w:val="92"/>
    <w:link w:val="29"/>
    <w:qFormat/>
    <w:uiPriority w:val="0"/>
    <w:rPr>
      <w:rFonts w:ascii="Microsoft YaHei UI" w:eastAsia="Microsoft YaHei UI"/>
      <w:kern w:val="2"/>
      <w:sz w:val="18"/>
      <w:szCs w:val="18"/>
    </w:rPr>
  </w:style>
  <w:style w:type="paragraph" w:styleId="158">
    <w:name w:val="No Spacing"/>
    <w:qFormat/>
    <w:uiPriority w:val="99"/>
    <w:pPr>
      <w:widowControl w:val="0"/>
      <w:jc w:val="both"/>
    </w:pPr>
    <w:rPr>
      <w:rFonts w:ascii="Times New Roman" w:hAnsi="Times New Roman" w:eastAsia="宋体" w:cs="Times New Roman"/>
      <w:kern w:val="2"/>
      <w:sz w:val="21"/>
      <w:szCs w:val="24"/>
      <w:lang w:val="en-US" w:eastAsia="zh-CN" w:bidi="ar-SA"/>
    </w:rPr>
  </w:style>
  <w:style w:type="character" w:customStyle="1" w:styleId="159">
    <w:name w:val="信息标题 字符"/>
    <w:basedOn w:val="92"/>
    <w:link w:val="81"/>
    <w:qFormat/>
    <w:uiPriority w:val="0"/>
    <w:rPr>
      <w:rFonts w:asciiTheme="majorHAnsi" w:hAnsiTheme="majorHAnsi" w:eastAsiaTheme="majorEastAsia" w:cstheme="majorBidi"/>
      <w:kern w:val="2"/>
      <w:sz w:val="24"/>
      <w:szCs w:val="24"/>
      <w:shd w:val="pct20" w:color="auto" w:fill="auto"/>
    </w:rPr>
  </w:style>
  <w:style w:type="paragraph" w:styleId="160">
    <w:name w:val="Quote"/>
    <w:basedOn w:val="1"/>
    <w:next w:val="1"/>
    <w:link w:val="161"/>
    <w:qFormat/>
    <w:uiPriority w:val="99"/>
    <w:pPr>
      <w:spacing w:before="200" w:after="160"/>
      <w:ind w:left="864" w:right="864"/>
      <w:jc w:val="center"/>
    </w:pPr>
    <w:rPr>
      <w:i/>
      <w:iCs/>
      <w:color w:val="404040" w:themeColor="text1" w:themeTint="BF"/>
      <w14:textFill>
        <w14:solidFill>
          <w14:schemeClr w14:val="tx1">
            <w14:lumMod w14:val="75000"/>
            <w14:lumOff w14:val="25000"/>
          </w14:schemeClr>
        </w14:solidFill>
      </w14:textFill>
    </w:rPr>
  </w:style>
  <w:style w:type="character" w:customStyle="1" w:styleId="161">
    <w:name w:val="引用 字符"/>
    <w:basedOn w:val="92"/>
    <w:link w:val="160"/>
    <w:qFormat/>
    <w:uiPriority w:val="99"/>
    <w:rPr>
      <w:i/>
      <w:iCs/>
      <w:color w:val="404040" w:themeColor="text1" w:themeTint="BF"/>
      <w:kern w:val="2"/>
      <w:sz w:val="21"/>
      <w:szCs w:val="24"/>
      <w14:textFill>
        <w14:solidFill>
          <w14:schemeClr w14:val="tx1">
            <w14:lumMod w14:val="75000"/>
            <w14:lumOff w14:val="25000"/>
          </w14:schemeClr>
        </w14:solidFill>
      </w14:textFill>
    </w:rPr>
  </w:style>
  <w:style w:type="character" w:customStyle="1" w:styleId="162">
    <w:name w:val="正文文本 2 字符"/>
    <w:basedOn w:val="92"/>
    <w:link w:val="78"/>
    <w:qFormat/>
    <w:uiPriority w:val="0"/>
    <w:rPr>
      <w:kern w:val="2"/>
      <w:sz w:val="21"/>
      <w:szCs w:val="24"/>
    </w:rPr>
  </w:style>
  <w:style w:type="character" w:customStyle="1" w:styleId="163">
    <w:name w:val="正文文本 3 字符"/>
    <w:basedOn w:val="92"/>
    <w:link w:val="34"/>
    <w:qFormat/>
    <w:uiPriority w:val="0"/>
    <w:rPr>
      <w:kern w:val="2"/>
      <w:sz w:val="16"/>
      <w:szCs w:val="16"/>
    </w:rPr>
  </w:style>
  <w:style w:type="character" w:customStyle="1" w:styleId="164">
    <w:name w:val="正文文本首行缩进 字符"/>
    <w:basedOn w:val="99"/>
    <w:link w:val="88"/>
    <w:qFormat/>
    <w:uiPriority w:val="0"/>
    <w:rPr>
      <w:kern w:val="2"/>
      <w:sz w:val="21"/>
      <w:szCs w:val="24"/>
    </w:rPr>
  </w:style>
  <w:style w:type="character" w:customStyle="1" w:styleId="165">
    <w:name w:val="正文文本缩进 2 字符"/>
    <w:basedOn w:val="92"/>
    <w:link w:val="53"/>
    <w:qFormat/>
    <w:uiPriority w:val="0"/>
    <w:rPr>
      <w:kern w:val="2"/>
      <w:sz w:val="21"/>
      <w:szCs w:val="24"/>
    </w:rPr>
  </w:style>
  <w:style w:type="character" w:customStyle="1" w:styleId="166">
    <w:name w:val="正文文本缩进 3 字符"/>
    <w:basedOn w:val="92"/>
    <w:link w:val="72"/>
    <w:qFormat/>
    <w:uiPriority w:val="0"/>
    <w:rPr>
      <w:kern w:val="2"/>
      <w:sz w:val="16"/>
      <w:szCs w:val="16"/>
    </w:rPr>
  </w:style>
  <w:style w:type="character" w:customStyle="1" w:styleId="167">
    <w:name w:val="注释标题 字符"/>
    <w:basedOn w:val="92"/>
    <w:link w:val="16"/>
    <w:qFormat/>
    <w:uiPriority w:val="0"/>
    <w:rPr>
      <w:kern w:val="2"/>
      <w:sz w:val="21"/>
      <w:szCs w:val="24"/>
    </w:rPr>
  </w:style>
  <w:style w:type="paragraph" w:customStyle="1" w:styleId="168">
    <w:name w:val="Table Paragraph"/>
    <w:basedOn w:val="1"/>
    <w:qFormat/>
    <w:uiPriority w:val="1"/>
    <w:pPr>
      <w:autoSpaceDE w:val="0"/>
      <w:autoSpaceDN w:val="0"/>
      <w:jc w:val="left"/>
    </w:pPr>
    <w:rPr>
      <w:rFonts w:ascii="宋体" w:hAnsi="宋体" w:cs="宋体"/>
      <w:kern w:val="0"/>
      <w:sz w:val="22"/>
      <w:szCs w:val="22"/>
      <w:lang w:val="zh-CN" w:bidi="zh-CN"/>
    </w:rPr>
  </w:style>
  <w:style w:type="character" w:styleId="169">
    <w:name w:val="Placeholder Text"/>
    <w:basedOn w:val="92"/>
    <w:unhideWhenUsed/>
    <w:qFormat/>
    <w:uiPriority w:val="99"/>
    <w:rPr>
      <w:color w:val="808080"/>
    </w:rPr>
  </w:style>
  <w:style w:type="character" w:customStyle="1" w:styleId="170">
    <w:name w:val="题注 Char"/>
    <w:semiHidden/>
    <w:qFormat/>
    <w:locked/>
    <w:uiPriority w:val="35"/>
    <w:rPr>
      <w:rFonts w:ascii="黑体" w:hAnsi="黑体" w:eastAsia="黑体" w:cs="Times New Roman"/>
      <w:kern w:val="21"/>
      <w:sz w:val="21"/>
    </w:rPr>
  </w:style>
  <w:style w:type="paragraph" w:customStyle="1" w:styleId="171">
    <w:name w:val="表格文字"/>
    <w:qFormat/>
    <w:uiPriority w:val="0"/>
    <w:pPr>
      <w:spacing w:beforeLines="10" w:line="0" w:lineRule="atLeast"/>
      <w:jc w:val="center"/>
    </w:pPr>
    <w:rPr>
      <w:rFonts w:ascii="Times New Roman" w:hAnsi="Times New Roman" w:eastAsia="宋体" w:cs="Times New Roman"/>
      <w:kern w:val="2"/>
      <w:sz w:val="18"/>
      <w:szCs w:val="21"/>
      <w:lang w:val="en-US" w:eastAsia="zh-CN" w:bidi="ar-SA"/>
    </w:rPr>
  </w:style>
  <w:style w:type="character" w:customStyle="1" w:styleId="172">
    <w:name w:val="mord"/>
    <w:basedOn w:val="92"/>
    <w:qFormat/>
    <w:uiPriority w:val="0"/>
  </w:style>
  <w:style w:type="character" w:customStyle="1" w:styleId="173">
    <w:name w:val="vlist-s"/>
    <w:basedOn w:val="92"/>
    <w:qFormat/>
    <w:uiPriority w:val="0"/>
  </w:style>
  <w:style w:type="paragraph" w:customStyle="1" w:styleId="174">
    <w:name w:val="表头"/>
    <w:basedOn w:val="1"/>
    <w:next w:val="1"/>
    <w:qFormat/>
    <w:uiPriority w:val="0"/>
    <w:pPr>
      <w:spacing w:beforeLines="100" w:line="240" w:lineRule="exact"/>
      <w:ind w:firstLine="243" w:firstLineChars="100"/>
      <w:jc w:val="center"/>
    </w:pPr>
    <w:rPr>
      <w:rFonts w:ascii="黑体" w:eastAsia="黑体"/>
      <w:kern w:val="0"/>
      <w:sz w:val="24"/>
      <w:szCs w:val="20"/>
    </w:rPr>
  </w:style>
  <w:style w:type="paragraph" w:customStyle="1" w:styleId="175">
    <w:name w:val="7表格内容7"/>
    <w:basedOn w:val="1"/>
    <w:qFormat/>
    <w:uiPriority w:val="0"/>
    <w:pPr>
      <w:widowControl/>
      <w:jc w:val="center"/>
    </w:pPr>
    <w:rPr>
      <w:rFonts w:ascii="宋体" w:hAnsi="宋体"/>
      <w:kern w:val="0"/>
      <w:szCs w:val="21"/>
    </w:rPr>
  </w:style>
  <w:style w:type="character" w:customStyle="1" w:styleId="176">
    <w:name w:val="mrel"/>
    <w:basedOn w:val="92"/>
    <w:qFormat/>
    <w:uiPriority w:val="0"/>
  </w:style>
  <w:style w:type="character" w:customStyle="1" w:styleId="177">
    <w:name w:val="mop"/>
    <w:basedOn w:val="92"/>
    <w:qFormat/>
    <w:uiPriority w:val="0"/>
  </w:style>
  <w:style w:type="character" w:customStyle="1" w:styleId="178">
    <w:name w:val="delimsizing"/>
    <w:basedOn w:val="92"/>
    <w:qFormat/>
    <w:uiPriority w:val="0"/>
  </w:style>
  <w:style w:type="character" w:customStyle="1" w:styleId="179">
    <w:name w:val="mbin"/>
    <w:basedOn w:val="92"/>
    <w:qFormat/>
    <w:uiPriority w:val="0"/>
  </w:style>
  <w:style w:type="character" w:customStyle="1" w:styleId="180">
    <w:name w:val="font21"/>
    <w:qFormat/>
    <w:uiPriority w:val="0"/>
    <w:rPr>
      <w:rFonts w:hint="eastAsia" w:ascii="宋体" w:hAnsi="宋体" w:eastAsia="宋体"/>
      <w:color w:val="000000"/>
      <w:sz w:val="24"/>
      <w:szCs w:val="24"/>
      <w:u w:val="none"/>
    </w:rPr>
  </w:style>
  <w:style w:type="paragraph" w:customStyle="1" w:styleId="181">
    <w:name w:val="aaa正文"/>
    <w:basedOn w:val="1"/>
    <w:qFormat/>
    <w:uiPriority w:val="0"/>
    <w:pPr>
      <w:spacing w:line="360" w:lineRule="auto"/>
      <w:ind w:firstLine="200" w:firstLineChars="200"/>
    </w:pPr>
    <w:rPr>
      <w:kern w:val="0"/>
      <w:sz w:val="24"/>
      <w:szCs w:val="20"/>
    </w:rPr>
  </w:style>
  <w:style w:type="paragraph" w:customStyle="1" w:styleId="182">
    <w:name w:val="lh-正文-报告表"/>
    <w:basedOn w:val="1"/>
    <w:qFormat/>
    <w:uiPriority w:val="0"/>
    <w:pPr>
      <w:spacing w:line="360" w:lineRule="auto"/>
      <w:ind w:firstLine="480" w:firstLineChars="200"/>
    </w:pPr>
    <w:rPr>
      <w:kern w:val="0"/>
      <w:sz w:val="24"/>
      <w:szCs w:val="21"/>
    </w:rPr>
  </w:style>
  <w:style w:type="paragraph" w:customStyle="1" w:styleId="183">
    <w:name w:val="reader-word-layer"/>
    <w:basedOn w:val="1"/>
    <w:qFormat/>
    <w:uiPriority w:val="0"/>
    <w:pPr>
      <w:widowControl/>
      <w:spacing w:before="100" w:beforeAutospacing="1" w:after="100" w:afterAutospacing="1"/>
    </w:pPr>
    <w:rPr>
      <w:rFonts w:ascii="宋体" w:hAnsi="宋体" w:cs="宋体"/>
      <w:szCs w:val="21"/>
    </w:rPr>
  </w:style>
  <w:style w:type="paragraph" w:customStyle="1" w:styleId="184">
    <w:name w:val="1、大表格内"/>
    <w:basedOn w:val="1"/>
    <w:qFormat/>
    <w:uiPriority w:val="0"/>
    <w:pPr>
      <w:keepNext/>
      <w:keepLines/>
      <w:autoSpaceDE w:val="0"/>
      <w:autoSpaceDN w:val="0"/>
      <w:adjustRightInd w:val="0"/>
      <w:spacing w:line="360" w:lineRule="auto"/>
      <w:ind w:firstLine="480" w:firstLineChars="200"/>
      <w:textAlignment w:val="bottom"/>
    </w:pPr>
    <w:rPr>
      <w:kern w:val="0"/>
      <w:sz w:val="24"/>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customXml" Target="../customXml/item2.xml"/><Relationship Id="rId3" Type="http://schemas.openxmlformats.org/officeDocument/2006/relationships/footer" Target="foot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5.png"/><Relationship Id="rId26" Type="http://schemas.openxmlformats.org/officeDocument/2006/relationships/image" Target="media/image14.emf"/><Relationship Id="rId25" Type="http://schemas.openxmlformats.org/officeDocument/2006/relationships/image" Target="media/image13.png"/><Relationship Id="rId24" Type="http://schemas.openxmlformats.org/officeDocument/2006/relationships/image" Target="media/image12.png"/><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wmf"/><Relationship Id="rId16" Type="http://schemas.openxmlformats.org/officeDocument/2006/relationships/oleObject" Target="embeddings/oleObject3.bin"/><Relationship Id="rId15" Type="http://schemas.openxmlformats.org/officeDocument/2006/relationships/image" Target="media/image4.wmf"/><Relationship Id="rId14" Type="http://schemas.openxmlformats.org/officeDocument/2006/relationships/image" Target="media/image3.wmf"/><Relationship Id="rId13" Type="http://schemas.openxmlformats.org/officeDocument/2006/relationships/image" Target="media/image2.emf"/><Relationship Id="rId12" Type="http://schemas.openxmlformats.org/officeDocument/2006/relationships/oleObject" Target="embeddings/oleObject2.bin"/><Relationship Id="rId11" Type="http://schemas.openxmlformats.org/officeDocument/2006/relationships/image" Target="media/image1.emf"/><Relationship Id="rId10" Type="http://schemas.openxmlformats.org/officeDocument/2006/relationships/oleObject" Target="embeddings/oleObject1.bin"/><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A4F4890-AA4D-4220-B75F-478CDA1CC675}">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49</Pages>
  <Words>123</Words>
  <Characters>149</Characters>
  <Lines>302</Lines>
  <Paragraphs>85</Paragraphs>
  <TotalTime>0</TotalTime>
  <ScaleCrop>false</ScaleCrop>
  <LinksUpToDate>false</LinksUpToDate>
  <CharactersWithSpaces>199</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2025-04-30T07:42:00Z</dcterms:created>
  <dc:creator>lhj</dc:creator>
  <cp:lastModifiedBy>LYQ</cp:lastModifiedBy>
  <cp:lastPrinted>2022-04-07T03:38:00Z</cp:lastPrinted>
  <dcterms:modified xsi:type="dcterms:W3CDTF">2025-11-04T02:03:22Z</dcterms:modified>
  <dc:title>附件2</dc:title>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ContentTypeId">
    <vt:lpwstr>0x01010023A6C7103635FC4A8ED20EE334460673</vt:lpwstr>
  </property>
  <property fmtid="{D5CDD505-2E9C-101B-9397-08002B2CF9AE}" pid="4" name="ICV">
    <vt:lpwstr>98B7F6F0DB2843559C66221B2AB7654D</vt:lpwstr>
  </property>
  <property fmtid="{D5CDD505-2E9C-101B-9397-08002B2CF9AE}" pid="5" name="KSOTemplateDocerSaveRecord">
    <vt:lpwstr>eyJoZGlkIjoiZTU5MDlhN2E1NDMyNDdiMDhkOTM2YTU4OGZkODVlM2MiLCJ1c2VySWQiOiI0MjkxMDczMTIifQ==</vt:lpwstr>
  </property>
</Properties>
</file>