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仿宋_GB2312" w:eastAsia="仿宋_GB2312"/>
          <w:color w:val="000000"/>
          <w:sz w:val="32"/>
          <w:szCs w:val="32"/>
        </w:rPr>
      </w:pPr>
    </w:p>
    <w:p>
      <w:pPr>
        <w:rPr>
          <w:rFonts w:ascii="仿宋_GB2312" w:eastAsia="仿宋_GB2312"/>
          <w:color w:val="000000"/>
          <w:sz w:val="32"/>
          <w:szCs w:val="32"/>
        </w:rPr>
      </w:pPr>
    </w:p>
    <w:p>
      <w:pPr>
        <w:rPr>
          <w:rFonts w:ascii="仿宋_GB2312" w:eastAsia="仿宋_GB2312"/>
          <w:color w:val="000000"/>
          <w:sz w:val="32"/>
          <w:szCs w:val="32"/>
        </w:rPr>
      </w:pPr>
    </w:p>
    <w:p>
      <w:pPr>
        <w:rPr>
          <w:rFonts w:ascii="仿宋_GB2312" w:eastAsia="仿宋_GB2312"/>
          <w:color w:val="000000"/>
          <w:sz w:val="32"/>
          <w:szCs w:val="32"/>
        </w:rPr>
      </w:pPr>
    </w:p>
    <w:p>
      <w:pPr>
        <w:rPr>
          <w:rFonts w:ascii="仿宋_GB2312" w:eastAsia="仿宋_GB2312"/>
          <w:color w:val="000000"/>
          <w:sz w:val="32"/>
          <w:szCs w:val="32"/>
        </w:rPr>
      </w:pPr>
    </w:p>
    <w:p>
      <w:pPr>
        <w:keepNext w:val="0"/>
        <w:keepLines w:val="0"/>
        <w:pageBreakBefore w:val="0"/>
        <w:widowControl w:val="0"/>
        <w:kinsoku/>
        <w:wordWrap/>
        <w:overflowPunct/>
        <w:topLinePunct w:val="0"/>
        <w:autoSpaceDE/>
        <w:autoSpaceDN/>
        <w:bidi w:val="0"/>
        <w:adjustRightInd/>
        <w:snapToGrid/>
        <w:spacing w:after="313" w:afterLines="100"/>
        <w:textAlignment w:val="auto"/>
        <w:rPr>
          <w:rFonts w:ascii="仿宋_GB2312" w:eastAsia="仿宋_GB2312"/>
          <w:color w:val="000000"/>
          <w:sz w:val="32"/>
          <w:szCs w:val="32"/>
        </w:rPr>
      </w:pPr>
    </w:p>
    <w:p>
      <w:pPr>
        <w:ind w:left="31680" w:hanging="105" w:hangingChars="50"/>
        <w:rPr>
          <w:rFonts w:hint="eastAsia" w:ascii="仿宋" w:hAnsi="仿宋" w:eastAsia="仿宋"/>
          <w:color w:val="000000"/>
          <w:sz w:val="32"/>
          <w:szCs w:val="32"/>
          <w:lang w:eastAsia="zh-CN"/>
        </w:rPr>
      </w:pPr>
      <w:r>
        <mc:AlternateContent>
          <mc:Choice Requires="wps">
            <w:drawing>
              <wp:anchor distT="0" distB="0" distL="114300" distR="114300" simplePos="0" relativeHeight="251660288" behindDoc="0" locked="1" layoutInCell="1" allowOverlap="1">
                <wp:simplePos x="0" y="0"/>
                <wp:positionH relativeFrom="column">
                  <wp:align>center</wp:align>
                </wp:positionH>
                <wp:positionV relativeFrom="paragraph">
                  <wp:posOffset>431800</wp:posOffset>
                </wp:positionV>
                <wp:extent cx="5615940" cy="8255"/>
                <wp:effectExtent l="0" t="7620" r="3810" b="12700"/>
                <wp:wrapNone/>
                <wp:docPr id="2" name="自选图形 2"/>
                <wp:cNvGraphicFramePr/>
                <a:graphic xmlns:a="http://schemas.openxmlformats.org/drawingml/2006/main">
                  <a:graphicData uri="http://schemas.microsoft.com/office/word/2010/wordprocessingShape">
                    <wps:wsp>
                      <wps:cNvCnPr/>
                      <wps:spPr>
                        <a:xfrm flipV="1">
                          <a:off x="0" y="0"/>
                          <a:ext cx="5615940" cy="8255"/>
                        </a:xfrm>
                        <a:prstGeom prst="straightConnector1">
                          <a:avLst/>
                        </a:prstGeom>
                        <a:ln w="15875" cap="flat" cmpd="sng">
                          <a:solidFill>
                            <a:srgbClr val="FFFFFF"/>
                          </a:solidFill>
                          <a:prstDash val="solid"/>
                          <a:headEnd type="none" w="med" len="med"/>
                          <a:tailEnd type="none" w="med" len="med"/>
                        </a:ln>
                      </wps:spPr>
                      <wps:bodyPr/>
                    </wps:wsp>
                  </a:graphicData>
                </a:graphic>
              </wp:anchor>
            </w:drawing>
          </mc:Choice>
          <mc:Fallback>
            <w:pict>
              <v:shape id="自选图形 2" o:spid="_x0000_s1026" o:spt="32" type="#_x0000_t32" style="position:absolute;left:0pt;flip:y;margin-top:34pt;height:0.65pt;width:442.2pt;mso-position-horizontal:center;z-index:251660288;mso-width-relative:page;mso-height-relative:page;" filled="f" stroked="t" coordsize="21600,21600" o:gfxdata="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LD0fvbVAAAABgEA&#10;AA8AAAAAAAAAAQAgAAAAIgAAAGRycy9kb3ducmV2LnhtbFBLAQIUABQAAAAIAIdO4kBY+6I15AEA&#10;AKMDAAAOAAAAAAAAAAEAIAAAACQBAABkcnMvZTJvRG9jLnhtbFBLBQYAAAAABgAGAFkBAAB6BQAA&#10;AAA=&#10;">
                <v:fill on="f" focussize="0,0"/>
                <v:stroke weight="1.25pt" color="#FFFFFF" joinstyle="round"/>
                <v:imagedata o:title=""/>
                <o:lock v:ext="edit" aspectratio="f"/>
                <w10:anchorlock/>
              </v:shape>
            </w:pict>
          </mc:Fallback>
        </mc:AlternateContent>
      </w:r>
      <w:r>
        <mc:AlternateContent>
          <mc:Choice Requires="wps">
            <w:drawing>
              <wp:anchor distT="0" distB="0" distL="114300" distR="114300" simplePos="0" relativeHeight="251659264" behindDoc="0" locked="0" layoutInCell="1" allowOverlap="1">
                <wp:simplePos x="0" y="0"/>
                <wp:positionH relativeFrom="column">
                  <wp:align>center</wp:align>
                </wp:positionH>
                <wp:positionV relativeFrom="page">
                  <wp:posOffset>2602865</wp:posOffset>
                </wp:positionV>
                <wp:extent cx="6120130" cy="828040"/>
                <wp:effectExtent l="4445" t="4445" r="9525" b="5715"/>
                <wp:wrapNone/>
                <wp:docPr id="1" name="文本框 3"/>
                <wp:cNvGraphicFramePr/>
                <a:graphic xmlns:a="http://schemas.openxmlformats.org/drawingml/2006/main">
                  <a:graphicData uri="http://schemas.microsoft.com/office/word/2010/wordprocessingShape">
                    <wps:wsp>
                      <wps:cNvSpPr txBox="1"/>
                      <wps:spPr>
                        <a:xfrm>
                          <a:off x="0" y="0"/>
                          <a:ext cx="6120130" cy="828040"/>
                        </a:xfrm>
                        <a:prstGeom prst="rect">
                          <a:avLst/>
                        </a:prstGeom>
                        <a:solidFill>
                          <a:srgbClr val="FFFFFF"/>
                        </a:solidFill>
                        <a:ln w="9525" cap="flat" cmpd="sng">
                          <a:solidFill>
                            <a:srgbClr val="FFFFFF"/>
                          </a:solidFill>
                          <a:prstDash val="solid"/>
                          <a:miter/>
                          <a:headEnd type="none" w="med" len="med"/>
                          <a:tailEnd type="none" w="med" len="med"/>
                        </a:ln>
                      </wps:spPr>
                      <wps:txbx>
                        <w:txbxContent>
                          <w:p>
                            <w:pPr>
                              <w:rPr>
                                <w:rFonts w:ascii="方正小标宋简体" w:eastAsia="方正小标宋简体"/>
                                <w:b/>
                                <w:color w:val="FFFFFF"/>
                                <w:w w:val="52"/>
                                <w:sz w:val="100"/>
                                <w:szCs w:val="100"/>
                              </w:rPr>
                            </w:pPr>
                            <w:r>
                              <w:rPr>
                                <w:rFonts w:hint="eastAsia" w:ascii="方正小标宋简体" w:eastAsia="方正小标宋简体"/>
                                <w:b/>
                                <w:color w:val="FFFFFF"/>
                                <w:w w:val="52"/>
                                <w:sz w:val="100"/>
                                <w:szCs w:val="100"/>
                              </w:rPr>
                              <w:t>秦皇岛市抚宁区城市管理综合执法局文件</w:t>
                            </w:r>
                          </w:p>
                          <w:p/>
                        </w:txbxContent>
                      </wps:txbx>
                      <wps:bodyPr lIns="0" tIns="0" rIns="0" bIns="0" anchor="ctr" anchorCtr="0" upright="1"/>
                    </wps:wsp>
                  </a:graphicData>
                </a:graphic>
              </wp:anchor>
            </w:drawing>
          </mc:Choice>
          <mc:Fallback>
            <w:pict>
              <v:shape id="文本框 3" o:spid="_x0000_s1026" o:spt="202" type="#_x0000_t202" style="position:absolute;left:0pt;margin-top:204.95pt;height:65.2pt;width:481.9pt;mso-position-horizontal:center;mso-position-vertical-relative:page;z-index:251659264;v-text-anchor:middle;mso-width-relative:page;mso-height-relative:page;" fillcolor="#FFFFFF" filled="t" stroked="t" coordsize="21600,21600" o:gfxdata="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VGnvRNgAAAAIAQAADwAAAAAAAAABACAAAAAi&#10;AAAAZHJzL2Rvd25yZXYueG1sUEsBAhQAFAAAAAgAh07iQOANcSQKAgAAJwQAAA4AAAAAAAAAAQAg&#10;AAAAJwEAAGRycy9lMm9Eb2MueG1sUEsFBgAAAAAGAAYAWQEAAKMFAAAAAA==&#10;">
                <v:fill on="t" focussize="0,0"/>
                <v:stroke color="#FFFFFF" joinstyle="miter"/>
                <v:imagedata o:title=""/>
                <o:lock v:ext="edit" aspectratio="f"/>
                <v:textbox inset="0mm,0mm,0mm,0mm">
                  <w:txbxContent>
                    <w:p>
                      <w:pPr>
                        <w:rPr>
                          <w:rFonts w:ascii="方正小标宋简体" w:eastAsia="方正小标宋简体"/>
                          <w:b/>
                          <w:color w:val="FFFFFF"/>
                          <w:w w:val="52"/>
                          <w:sz w:val="100"/>
                          <w:szCs w:val="100"/>
                        </w:rPr>
                      </w:pPr>
                      <w:r>
                        <w:rPr>
                          <w:rFonts w:hint="eastAsia" w:ascii="方正小标宋简体" w:eastAsia="方正小标宋简体"/>
                          <w:b/>
                          <w:color w:val="FFFFFF"/>
                          <w:w w:val="52"/>
                          <w:sz w:val="100"/>
                          <w:szCs w:val="100"/>
                        </w:rPr>
                        <w:t>秦皇岛市抚宁区城市管理综合执法局文件</w:t>
                      </w:r>
                    </w:p>
                    <w:p/>
                  </w:txbxContent>
                </v:textbox>
              </v:shape>
            </w:pict>
          </mc:Fallback>
        </mc:AlternateContent>
      </w:r>
      <w:r>
        <w:rPr>
          <w:rFonts w:ascii="仿宋_GB2312" w:eastAsia="仿宋_GB2312"/>
          <w:color w:val="000000"/>
          <w:sz w:val="32"/>
          <w:szCs w:val="32"/>
        </w:rPr>
        <w:t xml:space="preserve">  </w:t>
      </w:r>
      <w:r>
        <w:rPr>
          <w:rFonts w:hint="eastAsia" w:ascii="仿宋" w:hAnsi="仿宋" w:eastAsia="仿宋"/>
          <w:color w:val="000000"/>
          <w:sz w:val="32"/>
          <w:szCs w:val="32"/>
        </w:rPr>
        <w:t>抚城字</w:t>
      </w:r>
      <w:r>
        <w:rPr>
          <w:rFonts w:hint="eastAsia" w:ascii="仿宋_GB2312" w:hAnsi="仿宋_GB2312" w:eastAsia="仿宋_GB2312" w:cs="仿宋_GB2312"/>
          <w:color w:val="000000"/>
          <w:sz w:val="32"/>
          <w:szCs w:val="32"/>
        </w:rPr>
        <w:t>﹝202</w:t>
      </w: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color w:val="000000"/>
          <w:sz w:val="32"/>
          <w:szCs w:val="32"/>
          <w:lang w:val="en-US" w:eastAsia="zh-CN"/>
        </w:rPr>
        <w:t>8</w:t>
      </w:r>
      <w:r>
        <w:rPr>
          <w:rFonts w:hint="eastAsia" w:ascii="仿宋" w:hAnsi="仿宋" w:eastAsia="仿宋"/>
          <w:color w:val="000000"/>
          <w:sz w:val="32"/>
          <w:szCs w:val="32"/>
        </w:rPr>
        <w:t>号</w:t>
      </w:r>
      <w:r>
        <w:rPr>
          <w:rFonts w:ascii="仿宋" w:hAnsi="仿宋" w:eastAsia="仿宋"/>
          <w:color w:val="000000"/>
          <w:sz w:val="32"/>
          <w:szCs w:val="32"/>
        </w:rPr>
        <w:t xml:space="preserve">                     </w:t>
      </w:r>
      <w:r>
        <w:rPr>
          <w:rFonts w:hint="eastAsia" w:ascii="仿宋" w:hAnsi="仿宋" w:eastAsia="仿宋"/>
          <w:color w:val="000000"/>
          <w:sz w:val="32"/>
          <w:szCs w:val="32"/>
        </w:rPr>
        <w:t>签发人：</w:t>
      </w:r>
      <w:r>
        <w:rPr>
          <w:rFonts w:hint="eastAsia" w:ascii="楷体_GB2312" w:hAnsi="楷体_GB2312" w:eastAsia="楷体_GB2312" w:cs="楷体_GB2312"/>
          <w:color w:val="000000"/>
          <w:sz w:val="32"/>
          <w:szCs w:val="32"/>
          <w:lang w:eastAsia="zh-CN"/>
        </w:rPr>
        <w:t>张立强</w:t>
      </w:r>
    </w:p>
    <w:p>
      <w:pPr>
        <w:ind w:left="31680" w:hanging="160" w:hangingChars="50"/>
        <w:rPr>
          <w:rFonts w:ascii="华文楷体" w:hAnsi="华文楷体" w:eastAsia="华文楷体"/>
          <w:color w:val="000000"/>
          <w:sz w:val="32"/>
          <w:szCs w:val="32"/>
        </w:rPr>
      </w:pPr>
    </w:p>
    <w:p>
      <w:pPr>
        <w:keepNext w:val="0"/>
        <w:keepLines w:val="0"/>
        <w:pageBreakBefore w:val="0"/>
        <w:kinsoku/>
        <w:wordWrap/>
        <w:overflowPunct/>
        <w:topLinePunct w:val="0"/>
        <w:autoSpaceDE/>
        <w:autoSpaceDN/>
        <w:bidi w:val="0"/>
        <w:adjustRightInd/>
        <w:snapToGrid/>
        <w:spacing w:line="660" w:lineRule="exact"/>
        <w:ind w:left="31680" w:hanging="160" w:hangingChars="50"/>
        <w:textAlignment w:val="auto"/>
        <w:rPr>
          <w:rFonts w:ascii="华文楷体" w:hAnsi="华文楷体" w:eastAsia="华文楷体"/>
          <w:color w:val="000000"/>
          <w:sz w:val="32"/>
          <w:szCs w:val="32"/>
        </w:rPr>
      </w:pPr>
    </w:p>
    <w:p>
      <w:pPr>
        <w:keepNext w:val="0"/>
        <w:keepLines w:val="0"/>
        <w:pageBreakBefore w:val="0"/>
        <w:widowControl/>
        <w:shd w:val="clear" w:color="auto" w:fill="FFFFFF"/>
        <w:kinsoku/>
        <w:wordWrap/>
        <w:overflowPunct/>
        <w:topLinePunct w:val="0"/>
        <w:autoSpaceDE/>
        <w:autoSpaceDN/>
        <w:bidi w:val="0"/>
        <w:adjustRightInd/>
        <w:snapToGrid/>
        <w:spacing w:line="660" w:lineRule="exact"/>
        <w:jc w:val="center"/>
        <w:textAlignment w:val="auto"/>
        <w:rPr>
          <w:rFonts w:ascii="方正小标宋简体" w:eastAsia="方正小标宋简体" w:cs="方正小标宋简体"/>
          <w:color w:val="000000"/>
          <w:kern w:val="0"/>
          <w:sz w:val="44"/>
          <w:szCs w:val="44"/>
          <w:shd w:val="clear" w:color="auto" w:fill="FFFFFF"/>
        </w:rPr>
      </w:pPr>
      <w:r>
        <w:rPr>
          <w:rFonts w:hint="eastAsia" w:ascii="方正小标宋简体" w:hAnsi="宋体" w:eastAsia="方正小标宋简体" w:cs="方正小标宋简体"/>
          <w:color w:val="000000"/>
          <w:kern w:val="0"/>
          <w:sz w:val="44"/>
          <w:szCs w:val="44"/>
          <w:shd w:val="clear" w:color="auto" w:fill="FFFFFF"/>
        </w:rPr>
        <w:t>秦皇岛市抚宁区城市管理综合行政执法局</w:t>
      </w:r>
    </w:p>
    <w:p>
      <w:pPr>
        <w:keepNext w:val="0"/>
        <w:keepLines w:val="0"/>
        <w:pageBreakBefore w:val="0"/>
        <w:widowControl/>
        <w:shd w:val="clear" w:color="auto" w:fill="FFFFFF"/>
        <w:kinsoku/>
        <w:wordWrap/>
        <w:overflowPunct/>
        <w:topLinePunct w:val="0"/>
        <w:autoSpaceDE/>
        <w:autoSpaceDN/>
        <w:bidi w:val="0"/>
        <w:adjustRightInd/>
        <w:snapToGrid/>
        <w:spacing w:line="660" w:lineRule="exact"/>
        <w:jc w:val="both"/>
        <w:textAlignment w:val="auto"/>
        <w:rPr>
          <w:rFonts w:hint="eastAsia" w:ascii="方正小标宋简体" w:hAnsi="宋体" w:eastAsia="方正小标宋简体" w:cs="方正小标宋简体"/>
          <w:color w:val="000000"/>
          <w:kern w:val="0"/>
          <w:sz w:val="44"/>
          <w:szCs w:val="44"/>
          <w:shd w:val="clear" w:color="auto" w:fill="FFFFFF"/>
        </w:rPr>
      </w:pPr>
      <w:r>
        <w:rPr>
          <w:rFonts w:hint="eastAsia" w:ascii="方正小标宋简体" w:hAnsi="宋体" w:eastAsia="方正小标宋简体" w:cs="方正小标宋简体"/>
          <w:color w:val="000000"/>
          <w:kern w:val="0"/>
          <w:sz w:val="44"/>
          <w:szCs w:val="44"/>
          <w:shd w:val="clear" w:color="auto" w:fill="FFFFFF"/>
        </w:rPr>
        <w:t>2025年度 “双随机、一公开”工作实施方案</w:t>
      </w:r>
    </w:p>
    <w:p>
      <w:pPr>
        <w:keepNext w:val="0"/>
        <w:keepLines w:val="0"/>
        <w:pageBreakBefore w:val="0"/>
        <w:widowControl/>
        <w:shd w:val="clear" w:color="auto" w:fill="FFFFFF"/>
        <w:kinsoku/>
        <w:wordWrap/>
        <w:overflowPunct/>
        <w:topLinePunct w:val="0"/>
        <w:autoSpaceDE/>
        <w:autoSpaceDN/>
        <w:bidi w:val="0"/>
        <w:adjustRightInd/>
        <w:snapToGrid/>
        <w:spacing w:line="560" w:lineRule="exact"/>
        <w:jc w:val="left"/>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val="0"/>
        <w:spacing w:line="560" w:lineRule="exact"/>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各股室、中队 ：</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sz w:val="32"/>
          <w:szCs w:val="32"/>
        </w:rPr>
        <w:t>现将《2025年度“双随机、一公开”工作实施方案》印发给你们，请按照方案要求和职责分工，认真抓好贯彻落实。</w:t>
      </w:r>
    </w:p>
    <w:p>
      <w:pPr>
        <w:spacing w:line="520" w:lineRule="exact"/>
        <w:jc w:val="left"/>
        <w:rPr>
          <w:rFonts w:ascii="仿宋" w:hAnsi="仿宋" w:eastAsia="仿宋"/>
          <w:sz w:val="32"/>
          <w:szCs w:val="32"/>
        </w:rPr>
      </w:pPr>
    </w:p>
    <w:p>
      <w:pPr>
        <w:spacing w:line="520" w:lineRule="exact"/>
        <w:ind w:firstLine="2880" w:firstLineChars="900"/>
        <w:jc w:val="left"/>
        <w:rPr>
          <w:rFonts w:ascii="仿宋" w:hAnsi="仿宋" w:eastAsia="仿宋"/>
          <w:sz w:val="32"/>
          <w:szCs w:val="32"/>
        </w:rPr>
      </w:pPr>
      <w:r>
        <w:rPr>
          <w:rFonts w:hint="eastAsia" w:ascii="仿宋" w:hAnsi="仿宋" w:eastAsia="仿宋"/>
          <w:sz w:val="32"/>
          <w:szCs w:val="32"/>
        </w:rPr>
        <w:t>秦皇岛市抚宁区城市管理综合行政执法局</w:t>
      </w:r>
    </w:p>
    <w:p>
      <w:pPr>
        <w:tabs>
          <w:tab w:val="center" w:pos="4423"/>
        </w:tabs>
        <w:spacing w:line="520" w:lineRule="exact"/>
        <w:ind w:firstLine="5120" w:firstLineChars="1600"/>
        <w:jc w:val="left"/>
        <w:rPr>
          <w:rFonts w:ascii="仿宋_GB2312" w:eastAsia="仿宋_GB2312"/>
          <w:color w:val="000000"/>
          <w:sz w:val="32"/>
          <w:szCs w:val="32"/>
        </w:rPr>
      </w:pPr>
      <w:r>
        <w:rPr>
          <w:rFonts w:ascii="仿宋" w:hAnsi="仿宋" w:eastAsia="仿宋"/>
          <w:color w:val="000000"/>
          <w:sz w:val="32"/>
          <w:szCs w:val="32"/>
        </w:rPr>
        <w:t>20</w:t>
      </w:r>
      <w:r>
        <w:rPr>
          <w:rFonts w:hint="eastAsia" w:ascii="仿宋" w:hAnsi="仿宋" w:eastAsia="仿宋"/>
          <w:color w:val="000000"/>
          <w:sz w:val="32"/>
          <w:szCs w:val="32"/>
          <w:lang w:val="en-US" w:eastAsia="zh-CN"/>
        </w:rPr>
        <w:t>25</w:t>
      </w:r>
      <w:r>
        <w:rPr>
          <w:rFonts w:hint="eastAsia" w:ascii="仿宋" w:hAnsi="仿宋" w:eastAsia="仿宋"/>
          <w:color w:val="000000"/>
          <w:sz w:val="32"/>
          <w:szCs w:val="32"/>
        </w:rPr>
        <w:t>年</w:t>
      </w:r>
      <w:r>
        <w:rPr>
          <w:rFonts w:hint="eastAsia" w:ascii="仿宋" w:hAnsi="仿宋" w:eastAsia="仿宋"/>
          <w:color w:val="000000"/>
          <w:sz w:val="32"/>
          <w:szCs w:val="32"/>
          <w:lang w:val="en-US" w:eastAsia="zh-CN"/>
        </w:rPr>
        <w:t>1</w:t>
      </w:r>
      <w:r>
        <w:rPr>
          <w:rFonts w:hint="eastAsia" w:ascii="仿宋" w:hAnsi="仿宋" w:eastAsia="仿宋"/>
          <w:color w:val="000000"/>
          <w:sz w:val="32"/>
          <w:szCs w:val="32"/>
        </w:rPr>
        <w:t>月</w:t>
      </w:r>
      <w:r>
        <w:rPr>
          <w:rFonts w:hint="eastAsia" w:ascii="仿宋" w:hAnsi="仿宋" w:eastAsia="仿宋"/>
          <w:color w:val="000000"/>
          <w:sz w:val="32"/>
          <w:szCs w:val="32"/>
          <w:lang w:val="en-US" w:eastAsia="zh-CN"/>
        </w:rPr>
        <w:t>24</w:t>
      </w:r>
      <w:r>
        <w:rPr>
          <w:rFonts w:hint="eastAsia" w:ascii="仿宋" w:hAnsi="仿宋" w:eastAsia="仿宋"/>
          <w:color w:val="000000"/>
          <w:sz w:val="32"/>
          <w:szCs w:val="32"/>
        </w:rPr>
        <w:t>日</w:t>
      </w:r>
    </w:p>
    <w:p>
      <w:pPr>
        <w:keepNext w:val="0"/>
        <w:keepLines w:val="0"/>
        <w:pageBreakBefore w:val="0"/>
        <w:widowControl w:val="0"/>
        <w:kinsoku/>
        <w:wordWrap/>
        <w:overflowPunct/>
        <w:topLinePunct/>
        <w:autoSpaceDE/>
        <w:autoSpaceDN/>
        <w:bidi w:val="0"/>
        <w:adjustRightInd w:val="0"/>
        <w:snapToGrid w:val="0"/>
        <w:spacing w:line="660" w:lineRule="exact"/>
        <w:jc w:val="center"/>
        <w:textAlignment w:val="auto"/>
        <w:rPr>
          <w:rFonts w:hint="eastAsia" w:ascii="方正小标宋简体" w:hAnsi="方正小标宋简体" w:eastAsia="方正小标宋简体" w:cs="方正小标宋简体"/>
          <w:sz w:val="44"/>
          <w:szCs w:val="44"/>
          <w:shd w:val="clear" w:color="auto" w:fill="FFFFFF"/>
          <w:lang w:val="en-US" w:eastAsia="zh-CN"/>
        </w:rPr>
      </w:pPr>
    </w:p>
    <w:p>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br w:type="textWrapping"/>
      </w:r>
      <w:r>
        <w:rPr>
          <w:rFonts w:hint="eastAsia" w:ascii="方正小标宋简体" w:hAnsi="方正小标宋简体" w:eastAsia="方正小标宋简体" w:cs="方正小标宋简体"/>
          <w:bCs/>
          <w:sz w:val="44"/>
          <w:szCs w:val="44"/>
        </w:rPr>
        <w:t>秦皇岛市抚宁区城市管理综合行政执法局</w:t>
      </w:r>
    </w:p>
    <w:p>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2025年度 “双随机、一公开</w:t>
      </w: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bCs/>
          <w:sz w:val="44"/>
          <w:szCs w:val="44"/>
        </w:rPr>
        <w:t>工作</w:t>
      </w:r>
    </w:p>
    <w:p>
      <w:pPr>
        <w:snapToGrid w:val="0"/>
        <w:spacing w:line="660" w:lineRule="exact"/>
        <w:jc w:val="center"/>
        <w:rPr>
          <w:rFonts w:ascii="方正小标宋简体" w:hAnsi="方正小标宋简体" w:eastAsia="方正小标宋简体" w:cs="方正小标宋简体"/>
          <w:bCs/>
          <w:sz w:val="44"/>
          <w:szCs w:val="44"/>
        </w:rPr>
      </w:pPr>
      <w:r>
        <w:rPr>
          <w:rFonts w:hint="eastAsia" w:ascii="方正小标宋简体" w:hAnsi="方正小标宋简体" w:eastAsia="方正小标宋简体" w:cs="方正小标宋简体"/>
          <w:bCs/>
          <w:sz w:val="44"/>
          <w:szCs w:val="44"/>
        </w:rPr>
        <w:t>实施方案</w:t>
      </w:r>
    </w:p>
    <w:p>
      <w:pPr>
        <w:snapToGrid w:val="0"/>
        <w:spacing w:line="360" w:lineRule="auto"/>
        <w:rPr>
          <w:rFonts w:ascii="仿宋" w:hAnsi="仿宋" w:eastAsia="仿宋"/>
          <w:sz w:val="32"/>
          <w:szCs w:val="32"/>
        </w:rPr>
      </w:pP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为深入贯彻落实上级工作安排，推进“双随机、一公开”监管与企业信用风险分级分类相结合，实现 “双随机、一公开”监管抽查事项全覆盖、监管方式常态化、抽查检查精准化，进一步推进我局“双随机、一公开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监管工作持续、广泛、深入开展，结合我局实际，决定开展“双随机、一公开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抽查工作，制定如下方案。</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一、抽查时间</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2025年 2月 2</w:t>
      </w:r>
      <w:r>
        <w:rPr>
          <w:rFonts w:ascii="仿宋_GB2312" w:hAnsi="仿宋_GB2312" w:eastAsia="仿宋_GB2312" w:cs="仿宋_GB2312"/>
          <w:sz w:val="32"/>
          <w:szCs w:val="32"/>
        </w:rPr>
        <w:t>8</w:t>
      </w:r>
      <w:r>
        <w:rPr>
          <w:rFonts w:hint="eastAsia" w:ascii="仿宋_GB2312" w:hAnsi="仿宋_GB2312" w:eastAsia="仿宋_GB2312" w:cs="仿宋_GB2312"/>
          <w:sz w:val="32"/>
          <w:szCs w:val="32"/>
        </w:rPr>
        <w:t>日至2025年 12月31日</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二、抽查对象及范围</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截止到202</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年 12月31日之前成立的，</w:t>
      </w:r>
      <w:r>
        <w:rPr>
          <w:rFonts w:hint="eastAsia" w:ascii="仿宋_GB2312" w:hAnsi="仿宋_GB2312" w:eastAsia="仿宋_GB2312" w:cs="仿宋_GB2312"/>
          <w:sz w:val="32"/>
          <w:szCs w:val="32"/>
          <w:lang w:eastAsia="zh-CN"/>
        </w:rPr>
        <w:t>202</w:t>
      </w:r>
      <w:r>
        <w:rPr>
          <w:rFonts w:ascii="仿宋_GB2312" w:hAnsi="仿宋_GB2312" w:eastAsia="仿宋_GB2312" w:cs="仿宋_GB2312"/>
          <w:sz w:val="32"/>
          <w:szCs w:val="32"/>
          <w:lang w:eastAsia="zh-CN"/>
        </w:rPr>
        <w:t>4</w:t>
      </w:r>
      <w:r>
        <w:rPr>
          <w:rFonts w:hint="eastAsia" w:ascii="仿宋_GB2312" w:hAnsi="仿宋_GB2312" w:eastAsia="仿宋_GB2312" w:cs="仿宋_GB2312"/>
          <w:sz w:val="32"/>
          <w:szCs w:val="32"/>
        </w:rPr>
        <w:t>年度全区范围内状态为已成立的市场主体。</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三、抽查内容</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（一）依据</w:t>
      </w:r>
      <w:r>
        <w:rPr>
          <w:rFonts w:ascii="仿宋_GB2312" w:hAnsi="仿宋_GB2312" w:eastAsia="仿宋_GB2312" w:cs="仿宋_GB2312"/>
          <w:sz w:val="32"/>
          <w:szCs w:val="32"/>
        </w:rPr>
        <w:t>《中华人民共和国行政许可法》</w:t>
      </w:r>
      <w:r>
        <w:rPr>
          <w:rFonts w:hint="eastAsia" w:ascii="仿宋_GB2312" w:hAnsi="仿宋_GB2312" w:eastAsia="仿宋_GB2312" w:cs="仿宋_GB2312"/>
          <w:sz w:val="32"/>
          <w:szCs w:val="32"/>
        </w:rPr>
        <w:t>、《城镇燃气管理条例》、《河北省燃气管理条例》、</w:t>
      </w:r>
      <w:r>
        <w:rPr>
          <w:rFonts w:ascii="仿宋_GB2312" w:hAnsi="仿宋_GB2312" w:eastAsia="仿宋_GB2312" w:cs="仿宋_GB2312"/>
          <w:sz w:val="32"/>
          <w:szCs w:val="32"/>
        </w:rPr>
        <w:t>《城镇燃气经营安全重大隐患判定标准》</w:t>
      </w:r>
      <w:r>
        <w:rPr>
          <w:rFonts w:hint="eastAsia" w:ascii="仿宋_GB2312" w:hAnsi="仿宋_GB2312" w:eastAsia="仿宋_GB2312" w:cs="仿宋_GB2312"/>
          <w:sz w:val="32"/>
          <w:szCs w:val="32"/>
        </w:rPr>
        <w:t>， 对于抽查对象是否符合燃气企业经营许可所要求的各项条件和标准；安全设施、设备是否齐全； 罐、站等设 施是否符合国家规范； 技术力量是否达到相关标准； 是否存在经营等方面的违法违规行为；是否执行了国家有关燃气 方面的强制性标准及规章制度</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是否</w:t>
      </w:r>
      <w:r>
        <w:rPr>
          <w:rFonts w:ascii="仿宋_GB2312" w:hAnsi="仿宋_GB2312" w:eastAsia="仿宋_GB2312" w:cs="仿宋_GB2312"/>
          <w:sz w:val="32"/>
          <w:szCs w:val="32"/>
        </w:rPr>
        <w:t>存在燃气经营安全重大隐患</w:t>
      </w:r>
      <w:r>
        <w:rPr>
          <w:rFonts w:hint="eastAsia" w:ascii="仿宋_GB2312" w:hAnsi="仿宋_GB2312" w:eastAsia="仿宋_GB2312" w:cs="仿宋_GB2312"/>
          <w:sz w:val="32"/>
          <w:szCs w:val="32"/>
        </w:rPr>
        <w:t>等，依法进行抽查。</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（二）依据</w:t>
      </w:r>
      <w:r>
        <w:rPr>
          <w:rFonts w:ascii="Segoe UI" w:hAnsi="Segoe UI" w:eastAsia="Segoe UI" w:cs="Segoe UI"/>
          <w:i w:val="0"/>
          <w:iCs w:val="0"/>
          <w:caps w:val="0"/>
          <w:smallCaps w:val="0"/>
          <w:color w:val="151515"/>
          <w:spacing w:val="0"/>
          <w:sz w:val="21"/>
          <w:szCs w:val="21"/>
          <w:shd w:val="clear" w:color="auto" w:fill="FFFFFF"/>
        </w:rPr>
        <w:t>《</w:t>
      </w:r>
      <w:r>
        <w:rPr>
          <w:rFonts w:hint="eastAsia" w:ascii="仿宋_GB2312" w:hAnsi="仿宋_GB2312" w:eastAsia="仿宋_GB2312" w:cs="仿宋_GB2312"/>
          <w:sz w:val="32"/>
          <w:szCs w:val="32"/>
        </w:rPr>
        <w:t>中华人民共和国水污染防治法》、《中华人民共和国行政许可法》、《城镇排水与污水处理条例》，对于抽查主体是否符合规定要求运行维护和保护，城镇污水排入排水管网许可落实及具体实施情况</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是否将排水许可资料及时按规定进行归档等，依法进行抽查。</w:t>
      </w:r>
    </w:p>
    <w:p>
      <w:pPr>
        <w:snapToGrid w:val="0"/>
        <w:spacing w:line="560" w:lineRule="exact"/>
        <w:ind w:firstLine="320" w:firstLineChars="1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（三）依据《城市供水水质管理规定》、《河北省城镇供水用水管理办法》，对于抽查主体城市供水水质是否达标，依法进行抽查。</w:t>
      </w:r>
    </w:p>
    <w:p>
      <w:pPr>
        <w:snapToGrid w:val="0"/>
        <w:spacing w:line="560" w:lineRule="exact"/>
        <w:ind w:firstLine="320" w:firstLineChars="100"/>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（四）</w:t>
      </w:r>
      <w:r>
        <w:rPr>
          <w:rFonts w:hint="eastAsia" w:ascii="仿宋_GB2312" w:hAnsi="仿宋_GB2312" w:eastAsia="仿宋_GB2312" w:cs="仿宋_GB2312"/>
          <w:sz w:val="32"/>
          <w:szCs w:val="32"/>
          <w:lang w:val="en-US" w:eastAsia="zh-CN"/>
        </w:rPr>
        <w:t>依据《河北省供热用热管理规定》</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《河北省供热用热办法》</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河北省供热经营许可管理办法（试行）》，对于抽查主体是否符合供热企业经营许可所要求的各项条件，安全设施、设备是否齐全，设施是否符合国家规范；技术力量是否达到相关标准；是否存在经营等方面的违法违规行为；是否执行了国家有关供热方面的强制性标准及规章制度等，依法进行抽查。</w:t>
      </w:r>
    </w:p>
    <w:p>
      <w:pPr>
        <w:snapToGrid w:val="0"/>
        <w:spacing w:line="560" w:lineRule="exact"/>
        <w:ind w:firstLine="320" w:firstLineChars="1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（五）</w:t>
      </w:r>
      <w:r>
        <w:rPr>
          <w:rFonts w:hint="eastAsia" w:ascii="仿宋_GB2312" w:hAnsi="仿宋_GB2312" w:eastAsia="仿宋_GB2312" w:cs="仿宋_GB2312"/>
          <w:bCs/>
          <w:sz w:val="32"/>
          <w:szCs w:val="32"/>
          <w:lang w:val="en-US" w:eastAsia="zh-CN"/>
        </w:rPr>
        <w:t>依据</w:t>
      </w:r>
      <w:r>
        <w:rPr>
          <w:rFonts w:hint="eastAsia" w:ascii="仿宋_GB2312" w:hAnsi="仿宋_GB2312" w:eastAsia="仿宋_GB2312" w:cs="仿宋_GB2312"/>
          <w:sz w:val="32"/>
          <w:szCs w:val="32"/>
        </w:rPr>
        <w:t>《中华人民共和国固体废物污染环境防治法》</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《河北省城市市容环境卫生条例》</w:t>
      </w:r>
      <w:r>
        <w:rPr>
          <w:rFonts w:hint="eastAsia" w:ascii="仿宋_GB2312" w:hAnsi="仿宋_GB2312" w:eastAsia="仿宋_GB2312" w:cs="仿宋_GB2312"/>
          <w:bCs/>
          <w:sz w:val="32"/>
          <w:szCs w:val="32"/>
        </w:rPr>
        <w:t>、</w:t>
      </w:r>
      <w:r>
        <w:rPr>
          <w:rFonts w:hint="eastAsia" w:ascii="仿宋_GB2312" w:hAnsi="仿宋_GB2312" w:eastAsia="仿宋_GB2312" w:cs="仿宋_GB2312"/>
          <w:sz w:val="32"/>
          <w:szCs w:val="32"/>
        </w:rPr>
        <w:t>《河北省餐厨废弃物管理办法》，</w:t>
      </w:r>
      <w:r>
        <w:rPr>
          <w:rFonts w:hint="eastAsia" w:ascii="仿宋_GB2312" w:hAnsi="仿宋_GB2312" w:eastAsia="仿宋_GB2312" w:cs="仿宋_GB2312"/>
          <w:sz w:val="32"/>
          <w:szCs w:val="32"/>
          <w:lang w:val="en-US" w:eastAsia="zh-CN"/>
        </w:rPr>
        <w:t>对于抽查主体</w:t>
      </w:r>
      <w:r>
        <w:rPr>
          <w:rFonts w:hint="eastAsia" w:ascii="仿宋_GB2312" w:hAnsi="仿宋_GB2312" w:eastAsia="仿宋_GB2312" w:cs="仿宋_GB2312"/>
          <w:sz w:val="32"/>
          <w:szCs w:val="32"/>
        </w:rPr>
        <w:t>是否符合城市生活垃圾及餐厨废弃物收集、运输和处置许可所要求的各项条件和标准；设施、设备、人员、注册资本、安全制度等是否符合要求；是否存在生产经营等方面的违法违规行为</w:t>
      </w:r>
      <w:r>
        <w:rPr>
          <w:rFonts w:hint="eastAsia" w:ascii="仿宋_GB2312" w:hAnsi="仿宋_GB2312" w:eastAsia="仿宋_GB2312" w:cs="仿宋_GB2312"/>
          <w:bCs/>
          <w:sz w:val="32"/>
          <w:szCs w:val="32"/>
        </w:rPr>
        <w:t>依法进行抽查。</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四、检查人员</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全局执法人员随机抽取。</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五、名单派发</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以 202</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年底前全区范围内市场主体名录库中状态为已成立的市场主体为基数，</w:t>
      </w:r>
      <w:r>
        <w:rPr>
          <w:rFonts w:hint="eastAsia" w:ascii="仿宋_GB2312" w:hAnsi="仿宋_GB2312" w:eastAsia="仿宋_GB2312" w:cs="仿宋_GB2312"/>
          <w:snapToGrid w:val="0"/>
          <w:sz w:val="32"/>
          <w:szCs w:val="32"/>
        </w:rPr>
        <w:t>建立健全与企业信用风险分级分类相适应的随机抽查机制，推进企业信用风险差异化随机抽查，</w:t>
      </w:r>
      <w:r>
        <w:rPr>
          <w:rFonts w:hint="eastAsia" w:ascii="仿宋_GB2312" w:hAnsi="仿宋_GB2312" w:eastAsia="仿宋_GB2312" w:cs="仿宋_GB2312"/>
          <w:sz w:val="32"/>
          <w:szCs w:val="32"/>
        </w:rPr>
        <w:t>通过省双随机综合监管平台随机抽取</w:t>
      </w:r>
      <w:r>
        <w:rPr>
          <w:rFonts w:hint="eastAsia" w:ascii="仿宋_GB2312" w:hAnsi="仿宋_GB2312" w:eastAsia="仿宋_GB2312" w:cs="仿宋_GB2312"/>
          <w:sz w:val="32"/>
          <w:szCs w:val="32"/>
          <w:lang w:eastAsia="zh-CN"/>
        </w:rPr>
        <w:t>企业名单</w:t>
      </w:r>
      <w:r>
        <w:rPr>
          <w:rFonts w:hint="eastAsia" w:ascii="仿宋_GB2312" w:hAnsi="仿宋_GB2312" w:eastAsia="仿宋_GB2312" w:cs="仿宋_GB2312"/>
          <w:sz w:val="32"/>
          <w:szCs w:val="32"/>
        </w:rPr>
        <w:t>。</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执法人员从全局执法检查人员名录库中产生，按照执法权限、执法部门、执法地域等， 通过省双随机综合监管平台随机抽取。</w:t>
      </w:r>
    </w:p>
    <w:p>
      <w:pPr>
        <w:snapToGrid w:val="0"/>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抽查名单派发： 对被抽查的市场主体、执法人员通过省双随机综合监管平台派发。</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六、组织实施</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（一）采取实地核查的方式，严格按照各业务条线制定的检查工作规范进行。</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（二）对市场主体进行实地核查时，检查人员不得少于2 人 ，检查人员按检查表单进行核查检查，最后由被检查市场主体法定代表人（负 责人）签字并拍照取证。</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（三）对市场主体实施检查时，市场主体监管条线分别与被抽查市场主体相对应的业务条线积极联合，对确定的检查事项和内容，一次性完成检查。</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七、工作要求</w:t>
      </w:r>
    </w:p>
    <w:p>
      <w:pPr>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（一）全员要高度重视 “双随机、一公开</w:t>
      </w:r>
      <w:r>
        <w:rPr>
          <w:rFonts w:hint="default"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 xml:space="preserve"> 抽查工作，按照区“双随机、一公开” 监督改革领导小组办公室统一部署，积极筹划，精心组织，严格按照要求，按时完成检查工作。</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（二）加强沟通联系， 密切协调配合。各相关部门及执法人员要按照抽查的工作安排，密切协作，办公室（法规）做好抽查 的组织实施， 确保抽查有序开展。</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（三）统一监管服务，减轻企业负担 。在抽查工作中， 执法人员要注重服务与监管相统一，检查人员在监督检查工作中要廉 政执法，依法行政。</w:t>
      </w:r>
    </w:p>
    <w:p>
      <w:pPr>
        <w:snapToGrid w:val="0"/>
        <w:spacing w:line="560" w:lineRule="exact"/>
        <w:ind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（四）做好信息公示，促进信用监管。做好检查结果的公示，严格按照要求，及时回填检查结果，抽查结果由系统完成数据交换自动归集到市场主体名下，通过“国家企业信用信息公示系统（河北）</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向社会公示，促进形成企业诚信自律的社会氛围。</w:t>
      </w:r>
    </w:p>
    <w:p>
      <w:pPr>
        <w:keepNext w:val="0"/>
        <w:keepLines w:val="0"/>
        <w:pageBreakBefore w:val="0"/>
        <w:widowControl w:val="0"/>
        <w:kinsoku/>
        <w:wordWrap/>
        <w:overflowPunct/>
        <w:topLinePunct w:val="0"/>
        <w:autoSpaceDE/>
        <w:autoSpaceDN/>
        <w:bidi w:val="0"/>
        <w:adjustRightInd/>
        <w:spacing w:line="560" w:lineRule="exact"/>
        <w:ind w:left="1598" w:leftChars="304" w:hanging="960" w:hangingChars="300"/>
        <w:textAlignment w:val="auto"/>
        <w:rPr>
          <w:rFonts w:hint="eastAsia" w:ascii="仿宋_GB2312" w:hAnsi="仿宋" w:eastAsia="仿宋_GB2312"/>
          <w:sz w:val="32"/>
          <w:szCs w:val="32"/>
          <w:lang w:eastAsia="zh-CN"/>
        </w:rPr>
      </w:pPr>
    </w:p>
    <w:p>
      <w:pPr>
        <w:keepNext w:val="0"/>
        <w:keepLines w:val="0"/>
        <w:pageBreakBefore w:val="0"/>
        <w:widowControl w:val="0"/>
        <w:kinsoku/>
        <w:wordWrap/>
        <w:overflowPunct/>
        <w:topLinePunct w:val="0"/>
        <w:autoSpaceDE/>
        <w:autoSpaceDN/>
        <w:bidi w:val="0"/>
        <w:adjustRightInd/>
        <w:spacing w:line="560" w:lineRule="exact"/>
        <w:ind w:left="1598" w:leftChars="304" w:hanging="960" w:hangingChars="300"/>
        <w:textAlignment w:val="auto"/>
        <w:rPr>
          <w:rFonts w:hint="eastAsia" w:ascii="仿宋_GB2312" w:hAnsi="仿宋" w:eastAsia="仿宋_GB2312"/>
          <w:sz w:val="32"/>
          <w:szCs w:val="32"/>
          <w:lang w:eastAsia="zh-CN"/>
        </w:rPr>
      </w:pPr>
      <w:r>
        <w:rPr>
          <w:rFonts w:hint="eastAsia" w:ascii="仿宋_GB2312" w:hAnsi="仿宋" w:eastAsia="仿宋_GB2312"/>
          <w:sz w:val="32"/>
          <w:szCs w:val="32"/>
          <w:lang w:eastAsia="zh-CN"/>
        </w:rPr>
        <w:t>附件：抚宁区城管局2025年度部门联合随机抽查工作计划</w:t>
      </w: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仿宋_GB2312" w:hAnsi="仿宋" w:eastAsia="仿宋_GB2312"/>
          <w:sz w:val="32"/>
          <w:szCs w:val="32"/>
        </w:rPr>
      </w:pPr>
    </w:p>
    <w:p>
      <w:pPr>
        <w:keepNext w:val="0"/>
        <w:keepLines w:val="0"/>
        <w:pageBreakBefore w:val="0"/>
        <w:widowControl w:val="0"/>
        <w:kinsoku/>
        <w:wordWrap/>
        <w:overflowPunct/>
        <w:topLinePunct w:val="0"/>
        <w:autoSpaceDE/>
        <w:autoSpaceDN/>
        <w:bidi w:val="0"/>
        <w:adjustRightInd/>
        <w:spacing w:line="560" w:lineRule="exact"/>
        <w:ind w:firstLine="640" w:firstLineChars="200"/>
        <w:textAlignment w:val="auto"/>
        <w:rPr>
          <w:rFonts w:ascii="仿宋_GB2312" w:hAnsi="仿宋" w:eastAsia="仿宋_GB2312"/>
          <w:sz w:val="32"/>
          <w:szCs w:val="32"/>
        </w:rPr>
      </w:pPr>
    </w:p>
    <w:p>
      <w:pPr>
        <w:keepNext w:val="0"/>
        <w:keepLines w:val="0"/>
        <w:pageBreakBefore w:val="0"/>
        <w:widowControl w:val="0"/>
        <w:kinsoku/>
        <w:wordWrap/>
        <w:overflowPunct/>
        <w:topLinePunct w:val="0"/>
        <w:autoSpaceDE/>
        <w:autoSpaceDN/>
        <w:bidi w:val="0"/>
        <w:adjustRightInd/>
        <w:spacing w:line="560" w:lineRule="exact"/>
        <w:textAlignment w:val="auto"/>
        <w:rPr>
          <w:rFonts w:ascii="仿宋_GB2312" w:hAnsi="仿宋" w:eastAsia="仿宋_GB2312"/>
          <w:sz w:val="32"/>
          <w:szCs w:val="32"/>
        </w:rPr>
      </w:pPr>
    </w:p>
    <w:p>
      <w:pPr>
        <w:spacing w:line="500" w:lineRule="exact"/>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bookmarkStart w:id="0" w:name="_GoBack"/>
      <w:bookmarkEnd w:id="0"/>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pStyle w:val="2"/>
        <w:rPr>
          <w:rFonts w:ascii="仿宋_GB2312" w:hAnsi="仿宋" w:eastAsia="仿宋_GB2312"/>
          <w:sz w:val="32"/>
          <w:szCs w:val="32"/>
        </w:rPr>
      </w:pPr>
    </w:p>
    <w:p>
      <w:pPr>
        <w:spacing w:line="500" w:lineRule="exact"/>
        <w:rPr>
          <w:rFonts w:ascii="仿宋_GB2312" w:hAnsi="仿宋" w:eastAsia="仿宋_GB2312"/>
          <w:sz w:val="32"/>
          <w:szCs w:val="32"/>
        </w:rPr>
      </w:pPr>
    </w:p>
    <w:p>
      <w:pPr>
        <w:pStyle w:val="2"/>
      </w:pPr>
    </w:p>
    <w:p>
      <w:pPr>
        <w:spacing w:line="560" w:lineRule="exact"/>
        <w:jc w:val="left"/>
        <w:rPr>
          <w:rFonts w:hint="eastAsia" w:ascii="仿宋_GB2312" w:hAnsi="仿宋" w:eastAsia="仿宋_GB2312" w:cs="仿宋_GB2312"/>
          <w:color w:val="000000"/>
          <w:sz w:val="28"/>
          <w:szCs w:val="28"/>
        </w:rPr>
      </w:pPr>
      <w:r>
        <mc:AlternateContent>
          <mc:Choice Requires="wps">
            <w:drawing>
              <wp:anchor distT="0" distB="0" distL="114300" distR="114300" simplePos="0" relativeHeight="251662336" behindDoc="0" locked="0" layoutInCell="1" allowOverlap="1">
                <wp:simplePos x="0" y="0"/>
                <wp:positionH relativeFrom="column">
                  <wp:posOffset>-36830</wp:posOffset>
                </wp:positionH>
                <wp:positionV relativeFrom="paragraph">
                  <wp:posOffset>382270</wp:posOffset>
                </wp:positionV>
                <wp:extent cx="5657850" cy="9525"/>
                <wp:effectExtent l="0" t="0" r="0" b="0"/>
                <wp:wrapNone/>
                <wp:docPr id="4" name="自选图形 4"/>
                <wp:cNvGraphicFramePr/>
                <a:graphic xmlns:a="http://schemas.openxmlformats.org/drawingml/2006/main">
                  <a:graphicData uri="http://schemas.microsoft.com/office/word/2010/wordprocessingShape">
                    <wps:wsp>
                      <wps:cNvCnPr/>
                      <wps:spPr>
                        <a:xfrm>
                          <a:off x="0" y="0"/>
                          <a:ext cx="565785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自选图形 4" o:spid="_x0000_s1026" o:spt="32" type="#_x0000_t32" style="position:absolute;left:0pt;margin-left:-2.9pt;margin-top:30.1pt;height:0.75pt;width:445.5pt;z-index:251662336;mso-width-relative:page;mso-height-relative:page;" filled="f" stroked="t" coordsize="21600,21600" o:gfxdata="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GlghbDUAAAACAEAAA8AAAAAAAAA&#10;AQAgAAAAIgAAAGRycy9kb3ducmV2LnhtbFBLAQIUABQAAAAIAIdO4kDPQHs63AEAAJkDAAAOAAAA&#10;AAAAAAEAIAAAACMBAABkcnMvZTJvRG9jLnhtbFBLBQYAAAAABgAGAFkBAABxBQAAAAA=&#10;">
                <v:fill on="f" focussize="0,0"/>
                <v:stroke weight="1.5pt" color="#000000" joinstyle="round"/>
                <v:imagedata o:title=""/>
                <o:lock v:ext="edit" aspectratio="f"/>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-36830</wp:posOffset>
                </wp:positionH>
                <wp:positionV relativeFrom="paragraph">
                  <wp:posOffset>48895</wp:posOffset>
                </wp:positionV>
                <wp:extent cx="5657850" cy="9525"/>
                <wp:effectExtent l="0" t="0" r="0" b="0"/>
                <wp:wrapNone/>
                <wp:docPr id="3" name="自选图形 5"/>
                <wp:cNvGraphicFramePr/>
                <a:graphic xmlns:a="http://schemas.openxmlformats.org/drawingml/2006/main">
                  <a:graphicData uri="http://schemas.microsoft.com/office/word/2010/wordprocessingShape">
                    <wps:wsp>
                      <wps:cNvCnPr/>
                      <wps:spPr>
                        <a:xfrm>
                          <a:off x="0" y="0"/>
                          <a:ext cx="5657850" cy="9525"/>
                        </a:xfrm>
                        <a:prstGeom prst="straightConnector1">
                          <a:avLst/>
                        </a:prstGeom>
                        <a:ln w="19050" cap="flat" cmpd="sng">
                          <a:solidFill>
                            <a:srgbClr val="000000"/>
                          </a:solidFill>
                          <a:prstDash val="solid"/>
                          <a:headEnd type="none" w="med" len="med"/>
                          <a:tailEnd type="none" w="med" len="med"/>
                        </a:ln>
                      </wps:spPr>
                      <wps:bodyPr/>
                    </wps:wsp>
                  </a:graphicData>
                </a:graphic>
              </wp:anchor>
            </w:drawing>
          </mc:Choice>
          <mc:Fallback>
            <w:pict>
              <v:shape id="自选图形 5" o:spid="_x0000_s1026" o:spt="32" type="#_x0000_t32" style="position:absolute;left:0pt;margin-left:-2.9pt;margin-top:3.85pt;height:0.75pt;width:445.5pt;z-index:251661312;mso-width-relative:page;mso-height-relative:page;" filled="f" stroked="t" coordsize="21600,21600" o:gfxdata="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8b2vl0wAAAAYBAAAPAAAAAAAA&#10;AAEAIAAAACIAAABkcnMvZG93bnJldi54bWxQSwECFAAUAAAACACHTuJAq9m6WN4BAACZAwAADgAA&#10;AAAAAAABACAAAAAiAQAAZHJzL2Uyb0RvYy54bWxQSwUGAAAAAAYABgBZAQAAcgUAAAAA&#10;">
                <v:fill on="f" focussize="0,0"/>
                <v:stroke weight="1.5pt" color="#000000" joinstyle="round"/>
                <v:imagedata o:title=""/>
                <o:lock v:ext="edit" aspectratio="f"/>
              </v:shape>
            </w:pict>
          </mc:Fallback>
        </mc:AlternateContent>
      </w:r>
      <w:r>
        <w:rPr>
          <w:rFonts w:hint="eastAsia" w:ascii="仿宋_GB2312" w:hAnsi="仿宋" w:eastAsia="仿宋_GB2312" w:cs="仿宋_GB2312"/>
          <w:color w:val="000000"/>
          <w:sz w:val="28"/>
          <w:szCs w:val="28"/>
        </w:rPr>
        <w:t>秦皇岛市抚宁区城市管理综合行政执法局</w:t>
      </w:r>
      <w:r>
        <w:rPr>
          <w:rFonts w:ascii="仿宋_GB2312" w:hAnsi="仿宋" w:eastAsia="仿宋_GB2312" w:cs="仿宋_GB2312"/>
          <w:color w:val="000000"/>
          <w:sz w:val="28"/>
          <w:szCs w:val="28"/>
        </w:rPr>
        <w:t xml:space="preserve">   </w:t>
      </w:r>
      <w:r>
        <w:rPr>
          <w:rFonts w:hint="eastAsia" w:ascii="仿宋_GB2312" w:hAnsi="仿宋" w:eastAsia="仿宋_GB2312" w:cs="仿宋_GB2312"/>
          <w:color w:val="000000"/>
          <w:sz w:val="28"/>
          <w:szCs w:val="28"/>
          <w:lang w:val="en-US" w:eastAsia="zh-CN"/>
        </w:rPr>
        <w:t xml:space="preserve">  </w:t>
      </w:r>
      <w:r>
        <w:rPr>
          <w:rFonts w:ascii="仿宋_GB2312" w:hAnsi="仿宋" w:eastAsia="仿宋_GB2312" w:cs="仿宋_GB2312"/>
          <w:color w:val="000000"/>
          <w:sz w:val="28"/>
          <w:szCs w:val="28"/>
        </w:rPr>
        <w:t xml:space="preserve">   </w:t>
      </w:r>
      <w:r>
        <w:rPr>
          <w:rFonts w:hint="eastAsia" w:ascii="仿宋_GB2312" w:hAnsi="仿宋" w:eastAsia="仿宋_GB2312" w:cs="仿宋_GB2312"/>
          <w:color w:val="000000"/>
          <w:sz w:val="28"/>
          <w:szCs w:val="28"/>
          <w:lang w:val="en-US" w:eastAsia="zh-CN"/>
        </w:rPr>
        <w:t>2025</w:t>
      </w:r>
      <w:r>
        <w:rPr>
          <w:rFonts w:hint="eastAsia" w:ascii="仿宋_GB2312" w:hAnsi="仿宋" w:eastAsia="仿宋_GB2312" w:cs="仿宋_GB2312"/>
          <w:color w:val="000000"/>
          <w:sz w:val="28"/>
          <w:szCs w:val="28"/>
        </w:rPr>
        <w:t>年</w:t>
      </w:r>
      <w:r>
        <w:rPr>
          <w:rFonts w:hint="eastAsia" w:ascii="仿宋_GB2312" w:hAnsi="仿宋" w:eastAsia="仿宋_GB2312" w:cs="仿宋_GB2312"/>
          <w:color w:val="000000"/>
          <w:sz w:val="28"/>
          <w:szCs w:val="28"/>
          <w:lang w:val="en-US" w:eastAsia="zh-CN"/>
        </w:rPr>
        <w:t>1</w:t>
      </w:r>
      <w:r>
        <w:rPr>
          <w:rFonts w:hint="eastAsia" w:ascii="仿宋_GB2312" w:hAnsi="仿宋" w:eastAsia="仿宋_GB2312" w:cs="仿宋_GB2312"/>
          <w:color w:val="000000"/>
          <w:sz w:val="28"/>
          <w:szCs w:val="28"/>
        </w:rPr>
        <w:t>月</w:t>
      </w:r>
      <w:r>
        <w:rPr>
          <w:rFonts w:hint="eastAsia" w:ascii="仿宋_GB2312" w:hAnsi="仿宋" w:eastAsia="仿宋_GB2312" w:cs="仿宋_GB2312"/>
          <w:color w:val="000000"/>
          <w:sz w:val="28"/>
          <w:szCs w:val="28"/>
          <w:lang w:val="en-US" w:eastAsia="zh-CN"/>
        </w:rPr>
        <w:t>24</w:t>
      </w:r>
      <w:r>
        <w:rPr>
          <w:rFonts w:hint="eastAsia" w:ascii="仿宋_GB2312" w:hAnsi="仿宋" w:eastAsia="仿宋_GB2312" w:cs="仿宋_GB2312"/>
          <w:color w:val="000000"/>
          <w:sz w:val="28"/>
          <w:szCs w:val="28"/>
        </w:rPr>
        <w:t>日印发</w:t>
      </w:r>
    </w:p>
    <w:sectPr>
      <w:headerReference r:id="rId5" w:type="first"/>
      <w:footerReference r:id="rId8" w:type="first"/>
      <w:headerReference r:id="rId3" w:type="default"/>
      <w:footerReference r:id="rId6" w:type="default"/>
      <w:headerReference r:id="rId4" w:type="even"/>
      <w:footerReference r:id="rId7" w:type="even"/>
      <w:pgSz w:w="11906" w:h="16838"/>
      <w:pgMar w:top="2098" w:right="1474" w:bottom="1984" w:left="1587" w:header="851" w:footer="992" w:gutter="0"/>
      <w:pgNumType w:fmt="numberInDash"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简体">
    <w:altName w:val="宋体"/>
    <w:panose1 w:val="02010601030101010101"/>
    <w:charset w:val="86"/>
    <w:family w:val="auto"/>
    <w:pitch w:val="default"/>
    <w:sig w:usb0="00000000" w:usb1="00000000" w:usb2="00000000" w:usb3="00000000" w:csb0="00040000" w:csb1="00000000"/>
  </w:font>
  <w:font w:name="MS Sans Serif">
    <w:altName w:val="Arial"/>
    <w:panose1 w:val="00000000000000000000"/>
    <w:charset w:val="00"/>
    <w:family w:val="swiss"/>
    <w:pitch w:val="default"/>
    <w:sig w:usb0="00000000" w:usb1="00000000" w:usb2="00000000" w:usb3="00000000" w:csb0="0000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Segoe UI">
    <w:panose1 w:val="020B0502040204020203"/>
    <w:charset w:val="00"/>
    <w:family w:val="auto"/>
    <w:pitch w:val="default"/>
    <w:sig w:usb0="E10022FF" w:usb1="C000E47F" w:usb2="00000029" w:usb3="00000000" w:csb0="200001DF" w:csb1="2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60" w:firstLine="280" w:firstLineChars="100"/>
      <w:jc w:val="right"/>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- 7 -</w:t>
    </w:r>
    <w:r>
      <w:rPr>
        <w:sz w:val="28"/>
        <w:szCs w:val="28"/>
      </w:rPr>
      <w:fldChar w:fldCharType="end"/>
    </w:r>
    <w:r>
      <w:rPr>
        <w:sz w:val="28"/>
        <w:szCs w:val="28"/>
      </w:rPr>
      <w:t xml:space="preserve">  </w:t>
    </w:r>
  </w:p>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560" w:firstLineChars="200"/>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w:t>
    </w:r>
    <w:r>
      <w:rPr>
        <w:sz w:val="28"/>
        <w:szCs w:val="28"/>
      </w:rPr>
      <w:t xml:space="preserve"> </w:t>
    </w:r>
    <w:r>
      <w:rPr>
        <w:sz w:val="28"/>
        <w:szCs w:val="28"/>
        <w:lang w:val="zh-CN"/>
      </w:rPr>
      <w:t>6</w:t>
    </w:r>
    <w:r>
      <w:rPr>
        <w:sz w:val="28"/>
        <w:szCs w:val="28"/>
      </w:rPr>
      <w:t xml:space="preserve"> -</w:t>
    </w:r>
    <w:r>
      <w:rPr>
        <w:sz w:val="28"/>
        <w:szCs w:val="28"/>
      </w:rPr>
      <w:fldChar w:fldCharType="end"/>
    </w:r>
    <w:r>
      <w:rPr>
        <w:sz w:val="28"/>
        <w:szCs w:val="28"/>
      </w:rPr>
      <w:t xml:space="preserve">  </w:t>
    </w:r>
  </w:p>
  <w:p>
    <w:pPr>
      <w:pStyle w:val="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59303A"/>
    <w:multiLevelType w:val="singleLevel"/>
    <w:tmpl w:val="1959303A"/>
    <w:lvl w:ilvl="0" w:tentative="0">
      <w:start w:val="1"/>
      <w:numFmt w:val="bullet"/>
      <w:pStyle w:val="4"/>
      <w:lvlText w:val=""/>
      <w:lvlJc w:val="left"/>
      <w:pPr>
        <w:tabs>
          <w:tab w:val="left" w:pos="360"/>
        </w:tabs>
        <w:ind w:left="36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5B1"/>
    <w:rsid w:val="000011C4"/>
    <w:rsid w:val="00001F57"/>
    <w:rsid w:val="000036F8"/>
    <w:rsid w:val="0000561C"/>
    <w:rsid w:val="00013D4E"/>
    <w:rsid w:val="0001644F"/>
    <w:rsid w:val="000224FA"/>
    <w:rsid w:val="00024258"/>
    <w:rsid w:val="00036F89"/>
    <w:rsid w:val="0004248B"/>
    <w:rsid w:val="00042B78"/>
    <w:rsid w:val="00044ED5"/>
    <w:rsid w:val="000502B3"/>
    <w:rsid w:val="00050A18"/>
    <w:rsid w:val="00052C96"/>
    <w:rsid w:val="0005462B"/>
    <w:rsid w:val="00055C31"/>
    <w:rsid w:val="00060CDE"/>
    <w:rsid w:val="00074A46"/>
    <w:rsid w:val="00081CD5"/>
    <w:rsid w:val="000902B4"/>
    <w:rsid w:val="00094C92"/>
    <w:rsid w:val="00095CFE"/>
    <w:rsid w:val="000A09FB"/>
    <w:rsid w:val="000A0B1E"/>
    <w:rsid w:val="000A0D8A"/>
    <w:rsid w:val="000A180D"/>
    <w:rsid w:val="000A3791"/>
    <w:rsid w:val="000A680C"/>
    <w:rsid w:val="000B1A3D"/>
    <w:rsid w:val="000C45B1"/>
    <w:rsid w:val="000D1C26"/>
    <w:rsid w:val="000D1C40"/>
    <w:rsid w:val="000D6EB3"/>
    <w:rsid w:val="000D7414"/>
    <w:rsid w:val="000E32EE"/>
    <w:rsid w:val="000E4C63"/>
    <w:rsid w:val="000E5C92"/>
    <w:rsid w:val="000E65D6"/>
    <w:rsid w:val="000F1C39"/>
    <w:rsid w:val="000F3E54"/>
    <w:rsid w:val="000F5B44"/>
    <w:rsid w:val="00100FEE"/>
    <w:rsid w:val="0010389E"/>
    <w:rsid w:val="001068E1"/>
    <w:rsid w:val="00107E69"/>
    <w:rsid w:val="00111B11"/>
    <w:rsid w:val="001123B5"/>
    <w:rsid w:val="0011346A"/>
    <w:rsid w:val="001145C4"/>
    <w:rsid w:val="00116514"/>
    <w:rsid w:val="00117C8D"/>
    <w:rsid w:val="00120256"/>
    <w:rsid w:val="00126C97"/>
    <w:rsid w:val="001374B1"/>
    <w:rsid w:val="0014684F"/>
    <w:rsid w:val="00151D76"/>
    <w:rsid w:val="00151FE1"/>
    <w:rsid w:val="00152AB0"/>
    <w:rsid w:val="00152C1C"/>
    <w:rsid w:val="001540CD"/>
    <w:rsid w:val="001541AA"/>
    <w:rsid w:val="0016005E"/>
    <w:rsid w:val="0016023F"/>
    <w:rsid w:val="00170572"/>
    <w:rsid w:val="00187272"/>
    <w:rsid w:val="00187DBA"/>
    <w:rsid w:val="00190433"/>
    <w:rsid w:val="001946D2"/>
    <w:rsid w:val="001A279D"/>
    <w:rsid w:val="001A3D10"/>
    <w:rsid w:val="001A69D2"/>
    <w:rsid w:val="001A6B2A"/>
    <w:rsid w:val="001B2298"/>
    <w:rsid w:val="001B2E40"/>
    <w:rsid w:val="001B7159"/>
    <w:rsid w:val="001C3463"/>
    <w:rsid w:val="001D23B9"/>
    <w:rsid w:val="001D72FF"/>
    <w:rsid w:val="001E56B6"/>
    <w:rsid w:val="001F2E6E"/>
    <w:rsid w:val="001F403A"/>
    <w:rsid w:val="00202E7E"/>
    <w:rsid w:val="00203CCE"/>
    <w:rsid w:val="00204A66"/>
    <w:rsid w:val="002051BC"/>
    <w:rsid w:val="002075DF"/>
    <w:rsid w:val="00212408"/>
    <w:rsid w:val="0021247F"/>
    <w:rsid w:val="002129CE"/>
    <w:rsid w:val="00222A26"/>
    <w:rsid w:val="0022598C"/>
    <w:rsid w:val="0022666C"/>
    <w:rsid w:val="00227C18"/>
    <w:rsid w:val="002305B1"/>
    <w:rsid w:val="00230B9B"/>
    <w:rsid w:val="00230E5D"/>
    <w:rsid w:val="0023618D"/>
    <w:rsid w:val="00241392"/>
    <w:rsid w:val="0024311B"/>
    <w:rsid w:val="0025084E"/>
    <w:rsid w:val="00254701"/>
    <w:rsid w:val="002562F5"/>
    <w:rsid w:val="0025710F"/>
    <w:rsid w:val="002604B8"/>
    <w:rsid w:val="00262207"/>
    <w:rsid w:val="002632D0"/>
    <w:rsid w:val="00265983"/>
    <w:rsid w:val="00267AC7"/>
    <w:rsid w:val="00270642"/>
    <w:rsid w:val="0027197C"/>
    <w:rsid w:val="0027323D"/>
    <w:rsid w:val="00276814"/>
    <w:rsid w:val="002811A4"/>
    <w:rsid w:val="002838AF"/>
    <w:rsid w:val="0028446D"/>
    <w:rsid w:val="0029070E"/>
    <w:rsid w:val="002966D9"/>
    <w:rsid w:val="00297910"/>
    <w:rsid w:val="002A6AE3"/>
    <w:rsid w:val="002A76EC"/>
    <w:rsid w:val="002B29B3"/>
    <w:rsid w:val="002B2E62"/>
    <w:rsid w:val="002B6303"/>
    <w:rsid w:val="002C0BE6"/>
    <w:rsid w:val="002D04B2"/>
    <w:rsid w:val="002D28B1"/>
    <w:rsid w:val="002D2FC3"/>
    <w:rsid w:val="002D49E2"/>
    <w:rsid w:val="002D7D6C"/>
    <w:rsid w:val="002E3AD4"/>
    <w:rsid w:val="002F2087"/>
    <w:rsid w:val="002F658D"/>
    <w:rsid w:val="002F6E8E"/>
    <w:rsid w:val="00300847"/>
    <w:rsid w:val="00301CCF"/>
    <w:rsid w:val="0030254F"/>
    <w:rsid w:val="00307698"/>
    <w:rsid w:val="00321235"/>
    <w:rsid w:val="003253BE"/>
    <w:rsid w:val="00330C92"/>
    <w:rsid w:val="00331D13"/>
    <w:rsid w:val="00340E11"/>
    <w:rsid w:val="00343BBC"/>
    <w:rsid w:val="00346819"/>
    <w:rsid w:val="003506D1"/>
    <w:rsid w:val="00351C77"/>
    <w:rsid w:val="003536E4"/>
    <w:rsid w:val="003545CA"/>
    <w:rsid w:val="003608FA"/>
    <w:rsid w:val="00361A28"/>
    <w:rsid w:val="0037233A"/>
    <w:rsid w:val="00372C26"/>
    <w:rsid w:val="00374ABA"/>
    <w:rsid w:val="00376930"/>
    <w:rsid w:val="00384ED5"/>
    <w:rsid w:val="0039048D"/>
    <w:rsid w:val="003969BC"/>
    <w:rsid w:val="003A3ABF"/>
    <w:rsid w:val="003A5841"/>
    <w:rsid w:val="003A765C"/>
    <w:rsid w:val="003C1598"/>
    <w:rsid w:val="003C26FA"/>
    <w:rsid w:val="003C2FB1"/>
    <w:rsid w:val="003D2837"/>
    <w:rsid w:val="003D60F0"/>
    <w:rsid w:val="003E0E51"/>
    <w:rsid w:val="003E5474"/>
    <w:rsid w:val="003F21A4"/>
    <w:rsid w:val="003F2D22"/>
    <w:rsid w:val="003F5756"/>
    <w:rsid w:val="00401A75"/>
    <w:rsid w:val="0040247B"/>
    <w:rsid w:val="00403665"/>
    <w:rsid w:val="004043F3"/>
    <w:rsid w:val="00405BFE"/>
    <w:rsid w:val="004068CC"/>
    <w:rsid w:val="004124A3"/>
    <w:rsid w:val="00412E34"/>
    <w:rsid w:val="00413FC2"/>
    <w:rsid w:val="0041416D"/>
    <w:rsid w:val="00415E02"/>
    <w:rsid w:val="004201AF"/>
    <w:rsid w:val="00420D75"/>
    <w:rsid w:val="00421830"/>
    <w:rsid w:val="004221BB"/>
    <w:rsid w:val="00427C14"/>
    <w:rsid w:val="004303F1"/>
    <w:rsid w:val="00436874"/>
    <w:rsid w:val="00445593"/>
    <w:rsid w:val="00454598"/>
    <w:rsid w:val="0045783E"/>
    <w:rsid w:val="00457F59"/>
    <w:rsid w:val="004639A2"/>
    <w:rsid w:val="00471E7C"/>
    <w:rsid w:val="00472C48"/>
    <w:rsid w:val="00481338"/>
    <w:rsid w:val="00482D3F"/>
    <w:rsid w:val="00484A65"/>
    <w:rsid w:val="00486772"/>
    <w:rsid w:val="004924AD"/>
    <w:rsid w:val="00497CE9"/>
    <w:rsid w:val="004A429E"/>
    <w:rsid w:val="004A4D14"/>
    <w:rsid w:val="004A5CD6"/>
    <w:rsid w:val="004A5E2E"/>
    <w:rsid w:val="004B0C45"/>
    <w:rsid w:val="004B1781"/>
    <w:rsid w:val="004B1F44"/>
    <w:rsid w:val="004B2B8E"/>
    <w:rsid w:val="004B49F5"/>
    <w:rsid w:val="004B4CDA"/>
    <w:rsid w:val="004B7565"/>
    <w:rsid w:val="004C176C"/>
    <w:rsid w:val="004C1F18"/>
    <w:rsid w:val="004D210B"/>
    <w:rsid w:val="004D5B60"/>
    <w:rsid w:val="004E2F92"/>
    <w:rsid w:val="004E3052"/>
    <w:rsid w:val="004E57DA"/>
    <w:rsid w:val="004E62F6"/>
    <w:rsid w:val="004E6BE1"/>
    <w:rsid w:val="004F1957"/>
    <w:rsid w:val="004F1D26"/>
    <w:rsid w:val="004F4798"/>
    <w:rsid w:val="004F6B91"/>
    <w:rsid w:val="004F7934"/>
    <w:rsid w:val="00506380"/>
    <w:rsid w:val="00506B6B"/>
    <w:rsid w:val="00510509"/>
    <w:rsid w:val="005144A9"/>
    <w:rsid w:val="00515E22"/>
    <w:rsid w:val="0051670E"/>
    <w:rsid w:val="0052622B"/>
    <w:rsid w:val="005274BD"/>
    <w:rsid w:val="00527D4E"/>
    <w:rsid w:val="005303FB"/>
    <w:rsid w:val="00536937"/>
    <w:rsid w:val="005438F8"/>
    <w:rsid w:val="00561500"/>
    <w:rsid w:val="005651E3"/>
    <w:rsid w:val="005659B4"/>
    <w:rsid w:val="00565C8D"/>
    <w:rsid w:val="00566A30"/>
    <w:rsid w:val="00574D3B"/>
    <w:rsid w:val="00575192"/>
    <w:rsid w:val="00582F99"/>
    <w:rsid w:val="005860C8"/>
    <w:rsid w:val="005916C8"/>
    <w:rsid w:val="005A2212"/>
    <w:rsid w:val="005A39D4"/>
    <w:rsid w:val="005B31EC"/>
    <w:rsid w:val="005B3500"/>
    <w:rsid w:val="005B6B34"/>
    <w:rsid w:val="005B79DA"/>
    <w:rsid w:val="005C047F"/>
    <w:rsid w:val="005C733E"/>
    <w:rsid w:val="005D0EC9"/>
    <w:rsid w:val="005D2966"/>
    <w:rsid w:val="005D3604"/>
    <w:rsid w:val="005E43C2"/>
    <w:rsid w:val="005E5947"/>
    <w:rsid w:val="005F088F"/>
    <w:rsid w:val="005F7F81"/>
    <w:rsid w:val="00601873"/>
    <w:rsid w:val="0060572A"/>
    <w:rsid w:val="00622724"/>
    <w:rsid w:val="0063290E"/>
    <w:rsid w:val="00636577"/>
    <w:rsid w:val="00636799"/>
    <w:rsid w:val="006421B1"/>
    <w:rsid w:val="006429FE"/>
    <w:rsid w:val="0065619E"/>
    <w:rsid w:val="006636A9"/>
    <w:rsid w:val="00664B48"/>
    <w:rsid w:val="006730BA"/>
    <w:rsid w:val="00676628"/>
    <w:rsid w:val="0068173F"/>
    <w:rsid w:val="0068292A"/>
    <w:rsid w:val="00683BD2"/>
    <w:rsid w:val="0069014F"/>
    <w:rsid w:val="0069095F"/>
    <w:rsid w:val="006938AF"/>
    <w:rsid w:val="0069484F"/>
    <w:rsid w:val="00695376"/>
    <w:rsid w:val="0069697F"/>
    <w:rsid w:val="006A308A"/>
    <w:rsid w:val="006A691F"/>
    <w:rsid w:val="006B06A4"/>
    <w:rsid w:val="006C12C9"/>
    <w:rsid w:val="006D2600"/>
    <w:rsid w:val="006D3FFB"/>
    <w:rsid w:val="006E6423"/>
    <w:rsid w:val="006E64D2"/>
    <w:rsid w:val="006E65D4"/>
    <w:rsid w:val="006F090B"/>
    <w:rsid w:val="0070405C"/>
    <w:rsid w:val="00707DFE"/>
    <w:rsid w:val="00707EB1"/>
    <w:rsid w:val="00711AD8"/>
    <w:rsid w:val="00723385"/>
    <w:rsid w:val="007305D0"/>
    <w:rsid w:val="0073086B"/>
    <w:rsid w:val="0073651A"/>
    <w:rsid w:val="00736AF1"/>
    <w:rsid w:val="00736F45"/>
    <w:rsid w:val="007371FE"/>
    <w:rsid w:val="007421DF"/>
    <w:rsid w:val="00747477"/>
    <w:rsid w:val="00747C41"/>
    <w:rsid w:val="0076062E"/>
    <w:rsid w:val="0076279F"/>
    <w:rsid w:val="00762A62"/>
    <w:rsid w:val="00762F35"/>
    <w:rsid w:val="007741F8"/>
    <w:rsid w:val="0078113C"/>
    <w:rsid w:val="00782506"/>
    <w:rsid w:val="007856B1"/>
    <w:rsid w:val="007874E0"/>
    <w:rsid w:val="007946FF"/>
    <w:rsid w:val="007964F3"/>
    <w:rsid w:val="007A4C25"/>
    <w:rsid w:val="007B012B"/>
    <w:rsid w:val="007B2766"/>
    <w:rsid w:val="007B4BAC"/>
    <w:rsid w:val="007B6237"/>
    <w:rsid w:val="007C0DA5"/>
    <w:rsid w:val="007C28F5"/>
    <w:rsid w:val="007D2F9B"/>
    <w:rsid w:val="007D31F7"/>
    <w:rsid w:val="007D4A00"/>
    <w:rsid w:val="007E0755"/>
    <w:rsid w:val="007E0F1D"/>
    <w:rsid w:val="007E2F3C"/>
    <w:rsid w:val="007E6769"/>
    <w:rsid w:val="007F3B3C"/>
    <w:rsid w:val="007F6156"/>
    <w:rsid w:val="007F7D29"/>
    <w:rsid w:val="00812432"/>
    <w:rsid w:val="00815C8B"/>
    <w:rsid w:val="00817D65"/>
    <w:rsid w:val="00820237"/>
    <w:rsid w:val="008219C0"/>
    <w:rsid w:val="00823CED"/>
    <w:rsid w:val="008332ED"/>
    <w:rsid w:val="008363D4"/>
    <w:rsid w:val="00836462"/>
    <w:rsid w:val="00845D36"/>
    <w:rsid w:val="0084798E"/>
    <w:rsid w:val="00860398"/>
    <w:rsid w:val="00867ED1"/>
    <w:rsid w:val="00870716"/>
    <w:rsid w:val="008731EA"/>
    <w:rsid w:val="00882B39"/>
    <w:rsid w:val="00883FCA"/>
    <w:rsid w:val="0088428E"/>
    <w:rsid w:val="0088772C"/>
    <w:rsid w:val="00890B9C"/>
    <w:rsid w:val="00892E5A"/>
    <w:rsid w:val="008A3FF5"/>
    <w:rsid w:val="008A4BA5"/>
    <w:rsid w:val="008B21FD"/>
    <w:rsid w:val="008B5048"/>
    <w:rsid w:val="008B529B"/>
    <w:rsid w:val="008B79EF"/>
    <w:rsid w:val="008C3E8F"/>
    <w:rsid w:val="008C57F9"/>
    <w:rsid w:val="008C5EC0"/>
    <w:rsid w:val="008D1290"/>
    <w:rsid w:val="008D1B82"/>
    <w:rsid w:val="008D2E9F"/>
    <w:rsid w:val="008D3FC5"/>
    <w:rsid w:val="008E01A9"/>
    <w:rsid w:val="008E3AAA"/>
    <w:rsid w:val="008F0B10"/>
    <w:rsid w:val="008F6EE2"/>
    <w:rsid w:val="009033BF"/>
    <w:rsid w:val="00903409"/>
    <w:rsid w:val="009053FD"/>
    <w:rsid w:val="009129B7"/>
    <w:rsid w:val="00912ABA"/>
    <w:rsid w:val="00912B72"/>
    <w:rsid w:val="00914E2A"/>
    <w:rsid w:val="0091741D"/>
    <w:rsid w:val="00926BDF"/>
    <w:rsid w:val="00942BDD"/>
    <w:rsid w:val="00950DB3"/>
    <w:rsid w:val="009517EC"/>
    <w:rsid w:val="0095240E"/>
    <w:rsid w:val="00960707"/>
    <w:rsid w:val="00964129"/>
    <w:rsid w:val="009641E2"/>
    <w:rsid w:val="00970B04"/>
    <w:rsid w:val="00970C31"/>
    <w:rsid w:val="00971B38"/>
    <w:rsid w:val="009755C9"/>
    <w:rsid w:val="009761DA"/>
    <w:rsid w:val="009765C7"/>
    <w:rsid w:val="00980066"/>
    <w:rsid w:val="009801CA"/>
    <w:rsid w:val="00983D29"/>
    <w:rsid w:val="00986C45"/>
    <w:rsid w:val="009942B3"/>
    <w:rsid w:val="00994AA7"/>
    <w:rsid w:val="009A0232"/>
    <w:rsid w:val="009A2AF8"/>
    <w:rsid w:val="009A2CA2"/>
    <w:rsid w:val="009A3771"/>
    <w:rsid w:val="009A494E"/>
    <w:rsid w:val="009B1C08"/>
    <w:rsid w:val="009B2B2C"/>
    <w:rsid w:val="009B4100"/>
    <w:rsid w:val="009C2A6A"/>
    <w:rsid w:val="009C4B1C"/>
    <w:rsid w:val="009C7407"/>
    <w:rsid w:val="009E04BA"/>
    <w:rsid w:val="009E19F6"/>
    <w:rsid w:val="009E455C"/>
    <w:rsid w:val="009E45D6"/>
    <w:rsid w:val="009E4A6E"/>
    <w:rsid w:val="009E6227"/>
    <w:rsid w:val="009E7A3F"/>
    <w:rsid w:val="009F4CAE"/>
    <w:rsid w:val="009F5634"/>
    <w:rsid w:val="009F5FEC"/>
    <w:rsid w:val="009F7144"/>
    <w:rsid w:val="00A047E6"/>
    <w:rsid w:val="00A113DA"/>
    <w:rsid w:val="00A12F18"/>
    <w:rsid w:val="00A134A6"/>
    <w:rsid w:val="00A24719"/>
    <w:rsid w:val="00A3043F"/>
    <w:rsid w:val="00A30F81"/>
    <w:rsid w:val="00A32173"/>
    <w:rsid w:val="00A3351F"/>
    <w:rsid w:val="00A33CC7"/>
    <w:rsid w:val="00A343DD"/>
    <w:rsid w:val="00A3516E"/>
    <w:rsid w:val="00A43927"/>
    <w:rsid w:val="00A44589"/>
    <w:rsid w:val="00A46D3A"/>
    <w:rsid w:val="00A50510"/>
    <w:rsid w:val="00A50A64"/>
    <w:rsid w:val="00A52E26"/>
    <w:rsid w:val="00A54AA3"/>
    <w:rsid w:val="00A640E7"/>
    <w:rsid w:val="00A658C4"/>
    <w:rsid w:val="00A71A84"/>
    <w:rsid w:val="00A767F6"/>
    <w:rsid w:val="00A80F26"/>
    <w:rsid w:val="00A81FAD"/>
    <w:rsid w:val="00A90D44"/>
    <w:rsid w:val="00A94E13"/>
    <w:rsid w:val="00A97B83"/>
    <w:rsid w:val="00AA55C0"/>
    <w:rsid w:val="00AB0293"/>
    <w:rsid w:val="00AC6615"/>
    <w:rsid w:val="00AD2502"/>
    <w:rsid w:val="00AD42BB"/>
    <w:rsid w:val="00AD592A"/>
    <w:rsid w:val="00AD6422"/>
    <w:rsid w:val="00AE3A79"/>
    <w:rsid w:val="00AE3E1A"/>
    <w:rsid w:val="00AF156D"/>
    <w:rsid w:val="00AF15B5"/>
    <w:rsid w:val="00B07E65"/>
    <w:rsid w:val="00B1485B"/>
    <w:rsid w:val="00B1693D"/>
    <w:rsid w:val="00B16EE5"/>
    <w:rsid w:val="00B170AF"/>
    <w:rsid w:val="00B17D7A"/>
    <w:rsid w:val="00B22279"/>
    <w:rsid w:val="00B226EE"/>
    <w:rsid w:val="00B2358B"/>
    <w:rsid w:val="00B24621"/>
    <w:rsid w:val="00B254CE"/>
    <w:rsid w:val="00B3319E"/>
    <w:rsid w:val="00B333A2"/>
    <w:rsid w:val="00B334EF"/>
    <w:rsid w:val="00B3450C"/>
    <w:rsid w:val="00B34996"/>
    <w:rsid w:val="00B52D99"/>
    <w:rsid w:val="00B55827"/>
    <w:rsid w:val="00B57C5F"/>
    <w:rsid w:val="00B66295"/>
    <w:rsid w:val="00B80EC9"/>
    <w:rsid w:val="00B843C7"/>
    <w:rsid w:val="00B84DD0"/>
    <w:rsid w:val="00B86A2C"/>
    <w:rsid w:val="00B90709"/>
    <w:rsid w:val="00B90C7C"/>
    <w:rsid w:val="00B92A57"/>
    <w:rsid w:val="00B92D06"/>
    <w:rsid w:val="00B93562"/>
    <w:rsid w:val="00B9457C"/>
    <w:rsid w:val="00B9763F"/>
    <w:rsid w:val="00BA1803"/>
    <w:rsid w:val="00BB2260"/>
    <w:rsid w:val="00BC0508"/>
    <w:rsid w:val="00BC54A5"/>
    <w:rsid w:val="00BC55D4"/>
    <w:rsid w:val="00BD3E0D"/>
    <w:rsid w:val="00BD6853"/>
    <w:rsid w:val="00BE3893"/>
    <w:rsid w:val="00BE722C"/>
    <w:rsid w:val="00BF0CFB"/>
    <w:rsid w:val="00BF178A"/>
    <w:rsid w:val="00BF21BC"/>
    <w:rsid w:val="00BF29B5"/>
    <w:rsid w:val="00BF61A3"/>
    <w:rsid w:val="00C1604E"/>
    <w:rsid w:val="00C240D0"/>
    <w:rsid w:val="00C37A22"/>
    <w:rsid w:val="00C54CA1"/>
    <w:rsid w:val="00C6004C"/>
    <w:rsid w:val="00C70F6E"/>
    <w:rsid w:val="00C866F5"/>
    <w:rsid w:val="00C87BB8"/>
    <w:rsid w:val="00C905B0"/>
    <w:rsid w:val="00C9156C"/>
    <w:rsid w:val="00CA14C2"/>
    <w:rsid w:val="00CA1C70"/>
    <w:rsid w:val="00CA730C"/>
    <w:rsid w:val="00CB22BC"/>
    <w:rsid w:val="00CB3328"/>
    <w:rsid w:val="00CB3C06"/>
    <w:rsid w:val="00CB40C6"/>
    <w:rsid w:val="00CB48F1"/>
    <w:rsid w:val="00CC4B4D"/>
    <w:rsid w:val="00CC5E36"/>
    <w:rsid w:val="00CD532E"/>
    <w:rsid w:val="00CE1D87"/>
    <w:rsid w:val="00CE649C"/>
    <w:rsid w:val="00CE7521"/>
    <w:rsid w:val="00CF1206"/>
    <w:rsid w:val="00CF6AA2"/>
    <w:rsid w:val="00D11B07"/>
    <w:rsid w:val="00D13D66"/>
    <w:rsid w:val="00D14557"/>
    <w:rsid w:val="00D1795C"/>
    <w:rsid w:val="00D31940"/>
    <w:rsid w:val="00D32C44"/>
    <w:rsid w:val="00D34C6A"/>
    <w:rsid w:val="00D37854"/>
    <w:rsid w:val="00D427BD"/>
    <w:rsid w:val="00D46910"/>
    <w:rsid w:val="00D57549"/>
    <w:rsid w:val="00D61BEA"/>
    <w:rsid w:val="00D677D7"/>
    <w:rsid w:val="00D67EB6"/>
    <w:rsid w:val="00D77CE6"/>
    <w:rsid w:val="00D80424"/>
    <w:rsid w:val="00D96C18"/>
    <w:rsid w:val="00DA0407"/>
    <w:rsid w:val="00DA14F7"/>
    <w:rsid w:val="00DA1D16"/>
    <w:rsid w:val="00DB2E56"/>
    <w:rsid w:val="00DB30EF"/>
    <w:rsid w:val="00DC7A8A"/>
    <w:rsid w:val="00DC7FE1"/>
    <w:rsid w:val="00DD2422"/>
    <w:rsid w:val="00DD38F0"/>
    <w:rsid w:val="00DD49F1"/>
    <w:rsid w:val="00DE0B61"/>
    <w:rsid w:val="00DE55AB"/>
    <w:rsid w:val="00DE6C0E"/>
    <w:rsid w:val="00DF1D11"/>
    <w:rsid w:val="00DF574D"/>
    <w:rsid w:val="00DF5FA6"/>
    <w:rsid w:val="00DF6434"/>
    <w:rsid w:val="00E01A21"/>
    <w:rsid w:val="00E05207"/>
    <w:rsid w:val="00E07417"/>
    <w:rsid w:val="00E07CB1"/>
    <w:rsid w:val="00E122A1"/>
    <w:rsid w:val="00E170B5"/>
    <w:rsid w:val="00E1736B"/>
    <w:rsid w:val="00E173B3"/>
    <w:rsid w:val="00E179A3"/>
    <w:rsid w:val="00E206E6"/>
    <w:rsid w:val="00E23220"/>
    <w:rsid w:val="00E32EDC"/>
    <w:rsid w:val="00E33C5D"/>
    <w:rsid w:val="00E43D31"/>
    <w:rsid w:val="00E54244"/>
    <w:rsid w:val="00E557BB"/>
    <w:rsid w:val="00E559FE"/>
    <w:rsid w:val="00E65091"/>
    <w:rsid w:val="00E71667"/>
    <w:rsid w:val="00E71A44"/>
    <w:rsid w:val="00E73D4B"/>
    <w:rsid w:val="00E7549A"/>
    <w:rsid w:val="00E768D1"/>
    <w:rsid w:val="00E76AE5"/>
    <w:rsid w:val="00E853DF"/>
    <w:rsid w:val="00E85D3F"/>
    <w:rsid w:val="00E86409"/>
    <w:rsid w:val="00E90258"/>
    <w:rsid w:val="00E905A4"/>
    <w:rsid w:val="00E9274E"/>
    <w:rsid w:val="00E942C8"/>
    <w:rsid w:val="00E948E5"/>
    <w:rsid w:val="00EA468A"/>
    <w:rsid w:val="00EA675C"/>
    <w:rsid w:val="00EA6996"/>
    <w:rsid w:val="00EB0163"/>
    <w:rsid w:val="00EB54B9"/>
    <w:rsid w:val="00EB600C"/>
    <w:rsid w:val="00EB666F"/>
    <w:rsid w:val="00EC3134"/>
    <w:rsid w:val="00EC5CD0"/>
    <w:rsid w:val="00EC7D0E"/>
    <w:rsid w:val="00ED0820"/>
    <w:rsid w:val="00ED2B1A"/>
    <w:rsid w:val="00EE073D"/>
    <w:rsid w:val="00EE5B79"/>
    <w:rsid w:val="00EE5D0A"/>
    <w:rsid w:val="00EF1831"/>
    <w:rsid w:val="00EF1DE1"/>
    <w:rsid w:val="00EF1F53"/>
    <w:rsid w:val="00EF6AE7"/>
    <w:rsid w:val="00F115DB"/>
    <w:rsid w:val="00F11CCB"/>
    <w:rsid w:val="00F13ECD"/>
    <w:rsid w:val="00F15A38"/>
    <w:rsid w:val="00F1747C"/>
    <w:rsid w:val="00F17945"/>
    <w:rsid w:val="00F2335A"/>
    <w:rsid w:val="00F234D0"/>
    <w:rsid w:val="00F27CD0"/>
    <w:rsid w:val="00F54716"/>
    <w:rsid w:val="00F6446D"/>
    <w:rsid w:val="00F67AB5"/>
    <w:rsid w:val="00F728AF"/>
    <w:rsid w:val="00F758A3"/>
    <w:rsid w:val="00F77D40"/>
    <w:rsid w:val="00F8291F"/>
    <w:rsid w:val="00F9207D"/>
    <w:rsid w:val="00F96161"/>
    <w:rsid w:val="00F961B2"/>
    <w:rsid w:val="00F96F1A"/>
    <w:rsid w:val="00FA48F6"/>
    <w:rsid w:val="00FB127F"/>
    <w:rsid w:val="00FB1525"/>
    <w:rsid w:val="00FB3412"/>
    <w:rsid w:val="00FB40A1"/>
    <w:rsid w:val="00FB61B2"/>
    <w:rsid w:val="00FC0C11"/>
    <w:rsid w:val="00FC12F4"/>
    <w:rsid w:val="00FC4263"/>
    <w:rsid w:val="00FC637B"/>
    <w:rsid w:val="00FD2880"/>
    <w:rsid w:val="00FD65A5"/>
    <w:rsid w:val="00FF179D"/>
    <w:rsid w:val="00FF2792"/>
    <w:rsid w:val="00FF3094"/>
    <w:rsid w:val="00FF5AA6"/>
    <w:rsid w:val="00FF783F"/>
    <w:rsid w:val="05A67A96"/>
    <w:rsid w:val="05CF3A8C"/>
    <w:rsid w:val="12837C53"/>
    <w:rsid w:val="17587863"/>
    <w:rsid w:val="1A11607C"/>
    <w:rsid w:val="20871A22"/>
    <w:rsid w:val="24F01719"/>
    <w:rsid w:val="2FDC3C72"/>
    <w:rsid w:val="3E98088A"/>
    <w:rsid w:val="40C027B9"/>
    <w:rsid w:val="40C82ED3"/>
    <w:rsid w:val="43B44940"/>
    <w:rsid w:val="49DD1D3E"/>
    <w:rsid w:val="4B5049C8"/>
    <w:rsid w:val="4BA517D3"/>
    <w:rsid w:val="4DD928CB"/>
    <w:rsid w:val="51B60707"/>
    <w:rsid w:val="55F7161B"/>
    <w:rsid w:val="5ADE204E"/>
    <w:rsid w:val="6E377C9E"/>
    <w:rsid w:val="790A0470"/>
    <w:rsid w:val="7B4F42B9"/>
    <w:rsid w:val="7BB227A3"/>
    <w:rsid w:val="7BFF6523"/>
    <w:rsid w:val="7D386E13"/>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qFormat="1"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1">
    <w:name w:val="Default Paragraph Font"/>
    <w:semiHidden/>
    <w:uiPriority w:val="99"/>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99"/>
    <w:pPr>
      <w:keepNext/>
      <w:keepLines/>
      <w:spacing w:line="380" w:lineRule="exact"/>
      <w:ind w:firstLine="480"/>
      <w:jc w:val="left"/>
      <w:outlineLvl w:val="3"/>
    </w:pPr>
    <w:rPr>
      <w:rFonts w:eastAsia="方正书宋简体"/>
      <w:b/>
      <w:bCs/>
      <w:sz w:val="28"/>
      <w:szCs w:val="28"/>
    </w:rPr>
  </w:style>
  <w:style w:type="paragraph" w:styleId="3">
    <w:name w:val="Body Text Indent"/>
    <w:basedOn w:val="1"/>
    <w:qFormat/>
    <w:uiPriority w:val="0"/>
    <w:pPr>
      <w:widowControl/>
      <w:overflowPunct w:val="0"/>
      <w:autoSpaceDE w:val="0"/>
      <w:autoSpaceDN w:val="0"/>
      <w:adjustRightInd w:val="0"/>
      <w:spacing w:line="360" w:lineRule="auto"/>
      <w:ind w:firstLine="540"/>
      <w:textAlignment w:val="baseline"/>
    </w:pPr>
    <w:rPr>
      <w:rFonts w:ascii="宋体" w:hAnsi="MS Sans Serif"/>
      <w:spacing w:val="12"/>
      <w:kern w:val="0"/>
      <w:sz w:val="24"/>
    </w:rPr>
  </w:style>
  <w:style w:type="paragraph" w:styleId="4">
    <w:name w:val="List Bullet"/>
    <w:basedOn w:val="1"/>
    <w:semiHidden/>
    <w:unhideWhenUsed/>
    <w:qFormat/>
    <w:uiPriority w:val="99"/>
    <w:pPr>
      <w:numPr>
        <w:ilvl w:val="0"/>
        <w:numId w:val="1"/>
      </w:numPr>
    </w:pPr>
  </w:style>
  <w:style w:type="paragraph" w:styleId="5">
    <w:name w:val="Date"/>
    <w:basedOn w:val="1"/>
    <w:next w:val="1"/>
    <w:link w:val="12"/>
    <w:semiHidden/>
    <w:qFormat/>
    <w:uiPriority w:val="99"/>
    <w:pPr>
      <w:ind w:left="100" w:leftChars="2500"/>
    </w:pPr>
  </w:style>
  <w:style w:type="paragraph" w:styleId="6">
    <w:name w:val="Balloon Text"/>
    <w:basedOn w:val="1"/>
    <w:link w:val="13"/>
    <w:semiHidden/>
    <w:qFormat/>
    <w:uiPriority w:val="99"/>
    <w:rPr>
      <w:sz w:val="18"/>
      <w:szCs w:val="18"/>
    </w:rPr>
  </w:style>
  <w:style w:type="paragraph" w:styleId="7">
    <w:name w:val="footer"/>
    <w:basedOn w:val="1"/>
    <w:link w:val="14"/>
    <w:qFormat/>
    <w:uiPriority w:val="99"/>
    <w:pPr>
      <w:tabs>
        <w:tab w:val="center" w:pos="4153"/>
        <w:tab w:val="right" w:pos="8306"/>
      </w:tabs>
      <w:snapToGrid w:val="0"/>
      <w:jc w:val="left"/>
    </w:pPr>
    <w:rPr>
      <w:sz w:val="18"/>
      <w:szCs w:val="18"/>
    </w:rPr>
  </w:style>
  <w:style w:type="paragraph" w:styleId="8">
    <w:name w:val="header"/>
    <w:basedOn w:val="1"/>
    <w:link w:val="15"/>
    <w:semiHidden/>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customStyle="1" w:styleId="12">
    <w:name w:val="Date Char"/>
    <w:basedOn w:val="11"/>
    <w:link w:val="5"/>
    <w:semiHidden/>
    <w:qFormat/>
    <w:locked/>
    <w:uiPriority w:val="99"/>
    <w:rPr>
      <w:rFonts w:cs="Times New Roman"/>
    </w:rPr>
  </w:style>
  <w:style w:type="character" w:customStyle="1" w:styleId="13">
    <w:name w:val="Balloon Text Char"/>
    <w:basedOn w:val="11"/>
    <w:link w:val="6"/>
    <w:semiHidden/>
    <w:qFormat/>
    <w:locked/>
    <w:uiPriority w:val="99"/>
    <w:rPr>
      <w:rFonts w:cs="Times New Roman"/>
      <w:sz w:val="18"/>
      <w:szCs w:val="18"/>
    </w:rPr>
  </w:style>
  <w:style w:type="character" w:customStyle="1" w:styleId="14">
    <w:name w:val="Footer Char"/>
    <w:basedOn w:val="11"/>
    <w:link w:val="7"/>
    <w:qFormat/>
    <w:locked/>
    <w:uiPriority w:val="99"/>
    <w:rPr>
      <w:rFonts w:cs="Times New Roman"/>
      <w:sz w:val="18"/>
      <w:szCs w:val="18"/>
    </w:rPr>
  </w:style>
  <w:style w:type="character" w:customStyle="1" w:styleId="15">
    <w:name w:val="Header Char"/>
    <w:basedOn w:val="11"/>
    <w:link w:val="8"/>
    <w:semiHidden/>
    <w:qFormat/>
    <w:locked/>
    <w:uiPriority w:val="99"/>
    <w:rPr>
      <w:rFonts w:cs="Times New Roman"/>
      <w:sz w:val="18"/>
      <w:szCs w:val="18"/>
    </w:rPr>
  </w:style>
  <w:style w:type="paragraph" w:customStyle="1" w:styleId="16">
    <w:name w:val="默认段落字体 Para Char Char Char Char"/>
    <w:basedOn w:val="1"/>
    <w:qFormat/>
    <w:uiPriority w:val="99"/>
    <w:rPr>
      <w:rFonts w:ascii="Times New Roman" w:hAnsi="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抚宁县城市管理行政执法局</Company>
  <Pages>6</Pages>
  <Words>1690</Words>
  <Characters>1734</Characters>
  <Lines>0</Lines>
  <Paragraphs>0</Paragraphs>
  <TotalTime>0</TotalTime>
  <ScaleCrop>false</ScaleCrop>
  <LinksUpToDate>false</LinksUpToDate>
  <CharactersWithSpaces>1795</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2019-03-11T09:11:00Z</dcterms:created>
  <dc:creator>BGS</dc:creator>
  <cp:lastModifiedBy>XXK</cp:lastModifiedBy>
  <cp:lastPrinted>2025-02-13T02:28:00Z</cp:lastPrinted>
  <dcterms:modified xsi:type="dcterms:W3CDTF">2025-05-13T00:26:46Z</dcterms:modified>
  <dc:title>  抚城呈字[2016]6号                     签发人：赵  晗</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KSOTemplateDocerSaveRecord">
    <vt:lpwstr>eyJoZGlkIjoiNzQ0OTY0ZjJlNGEzNzlhMjhhNjc1YzZmZTYyYzVhOTAifQ==</vt:lpwstr>
  </property>
  <property fmtid="{D5CDD505-2E9C-101B-9397-08002B2CF9AE}" pid="4" name="ICV">
    <vt:lpwstr>88084C7C94414E9C818C8850746B5565_12</vt:lpwstr>
  </property>
</Properties>
</file>