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9BE0DE">
      <w:pPr>
        <w:spacing w:line="560" w:lineRule="exact"/>
        <w:jc w:val="center"/>
        <w:rPr>
          <w:rFonts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秦皇岛市抚宁区市场监督管理局</w:t>
      </w:r>
    </w:p>
    <w:p w14:paraId="5E02D32E">
      <w:pPr>
        <w:spacing w:line="560" w:lineRule="exact"/>
        <w:jc w:val="center"/>
        <w:rPr>
          <w:rFonts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行政处罚告知书</w:t>
      </w:r>
    </w:p>
    <w:p w14:paraId="4AC42699">
      <w:pPr>
        <w:tabs>
          <w:tab w:val="left" w:pos="2955"/>
        </w:tabs>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秦抚市监罚告〔2025〕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CD-</w:t>
      </w:r>
      <w:r>
        <w:rPr>
          <w:rFonts w:hint="eastAsia" w:ascii="仿宋_GB2312" w:hAnsi="仿宋_GB2312" w:eastAsia="仿宋_GB2312" w:cs="仿宋_GB2312"/>
          <w:color w:val="000000" w:themeColor="text1"/>
          <w:sz w:val="32"/>
          <w:szCs w:val="32"/>
          <w14:textFill>
            <w14:solidFill>
              <w14:schemeClr w14:val="tx1"/>
            </w14:solidFill>
          </w14:textFill>
        </w:rPr>
        <w:t>01号</w:t>
      </w:r>
    </w:p>
    <w:p w14:paraId="3C5562FD">
      <w:pPr>
        <w:tabs>
          <w:tab w:val="left" w:pos="3728"/>
        </w:tabs>
        <w:spacing w:line="560" w:lineRule="exact"/>
        <w:rPr>
          <w:rFonts w:ascii="仿宋" w:hAnsi="仿宋" w:eastAsia="仿宋" w:cs="仿宋"/>
          <w:color w:val="000000" w:themeColor="text1"/>
          <w:sz w:val="32"/>
          <w:szCs w:val="32"/>
          <w:u w:val="single"/>
          <w14:textFill>
            <w14:solidFill>
              <w14:schemeClr w14:val="tx1"/>
            </w14:solidFill>
          </w14:textFill>
        </w:rPr>
      </w:pPr>
    </w:p>
    <w:p w14:paraId="73AA5EAF">
      <w:pPr>
        <w:tabs>
          <w:tab w:val="left" w:pos="3728"/>
        </w:tabs>
        <w:spacing w:line="560" w:lineRule="exact"/>
        <w:rPr>
          <w:rFonts w:ascii="仿宋" w:hAnsi="仿宋" w:eastAsia="宋体" w:cs="仿宋"/>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u w:val="single"/>
          <w14:textFill>
            <w14:solidFill>
              <w14:schemeClr w14:val="tx1"/>
            </w14:solidFill>
          </w14:textFill>
        </w:rPr>
        <w:t>秦皇岛耀富防水保温材料有限公司</w:t>
      </w:r>
      <w:r>
        <w:rPr>
          <w:rFonts w:hint="eastAsia" w:ascii="仿宋_GB2312" w:hAnsi="仿宋_GB2312" w:eastAsia="仿宋_GB2312" w:cs="仿宋_GB2312"/>
          <w:color w:val="000000" w:themeColor="text1"/>
          <w:sz w:val="32"/>
          <w:szCs w:val="32"/>
          <w:u w:val="single"/>
          <w:lang w:eastAsia="zh-CN"/>
          <w14:textFill>
            <w14:solidFill>
              <w14:schemeClr w14:val="tx1"/>
            </w14:solidFill>
          </w14:textFill>
        </w:rPr>
        <w:t>等</w:t>
      </w:r>
      <w:r>
        <w:rPr>
          <w:rFonts w:hint="eastAsia" w:ascii="仿宋_GB2312" w:hAnsi="仿宋_GB2312" w:eastAsia="仿宋_GB2312" w:cs="仿宋_GB2312"/>
          <w:color w:val="000000" w:themeColor="text1"/>
          <w:sz w:val="32"/>
          <w:szCs w:val="32"/>
          <w:u w:val="single"/>
          <w:lang w:val="en-US" w:eastAsia="zh-CN"/>
          <w14:textFill>
            <w14:solidFill>
              <w14:schemeClr w14:val="tx1"/>
            </w14:solidFill>
          </w14:textFill>
        </w:rPr>
        <w:t>11户</w:t>
      </w:r>
      <w:r>
        <w:rPr>
          <w:rFonts w:hint="eastAsia" w:ascii="仿宋" w:hAnsi="仿宋" w:eastAsia="仿宋" w:cs="仿宋"/>
          <w:color w:val="000000" w:themeColor="text1"/>
          <w:sz w:val="32"/>
          <w:szCs w:val="32"/>
          <w14:textFill>
            <w14:solidFill>
              <w14:schemeClr w14:val="tx1"/>
            </w14:solidFill>
          </w14:textFill>
        </w:rPr>
        <w:t>：</w:t>
      </w:r>
    </w:p>
    <w:p w14:paraId="37445E1E">
      <w:pPr>
        <w:spacing w:line="560" w:lineRule="exact"/>
        <w:ind w:firstLine="640" w:firstLineChars="200"/>
        <w:jc w:val="both"/>
        <w:rPr>
          <w:rFonts w:ascii="仿宋_GB2312" w:hAnsi="仿宋_GB2312" w:eastAsia="仿宋_GB2312" w:cs="仿宋_GB2312"/>
          <w:color w:val="000000" w:themeColor="text1"/>
          <w:sz w:val="32"/>
          <w:szCs w:val="32"/>
          <w:u w:val="single"/>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由本局立案调查的你（单位）涉嫌</w:t>
      </w:r>
      <w:r>
        <w:rPr>
          <w:rFonts w:hint="eastAsia" w:ascii="仿宋_GB2312" w:hAnsi="仿宋_GB2312" w:eastAsia="仿宋_GB2312" w:cs="仿宋_GB2312"/>
          <w:color w:val="000000" w:themeColor="text1"/>
          <w:sz w:val="32"/>
          <w:szCs w:val="32"/>
          <w:u w:val="single"/>
          <w14:textFill>
            <w14:solidFill>
              <w14:schemeClr w14:val="tx1"/>
            </w14:solidFill>
          </w14:textFill>
        </w:rPr>
        <w:t>连续2年未按规定报送年度报告被列入经营异常名录未改正，且通过登记的住所或者经营场所无法取得联系</w:t>
      </w:r>
      <w:r>
        <w:rPr>
          <w:rFonts w:hint="eastAsia" w:ascii="仿宋_GB2312" w:hAnsi="仿宋_GB2312" w:eastAsia="仿宋_GB2312" w:cs="仿宋_GB2312"/>
          <w:color w:val="000000" w:themeColor="text1"/>
          <w:sz w:val="32"/>
          <w:szCs w:val="32"/>
          <w14:textFill>
            <w14:solidFill>
              <w14:schemeClr w14:val="tx1"/>
            </w14:solidFill>
          </w14:textFill>
        </w:rPr>
        <w:t>一案，已调查终结。依据《中华人民共和国行政处罚法》第四十四条的规定，现将本局拟作出行政处罚的内容及事实、理由、依据告知如下：</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你单位连续2年未按规定报送年度报告被列入经营异常名录未改正，且通过登记的住所或者经营场所无法取得联系的行为，违反了《企业信息公示暂行条例》第八条“企业应当于每年1月1日至6月30日，通过国家企业信用信息公示系统向市场监督管理部门报送上一年度年度报告，并向社会公示。当年设立登记的企业，自下一年起报送并公示年度报告。”的规定，依据《企业信息公示暂行条例》第十八条“企业未按照本条例规定的期限公示年度报告或者未按照市场监督管理部门责令的期限公示有关企业信息的，由县级以上市场监督管理部门列入经营异常名录，并依法给予行政处罚。企业因连续2年未按规定报送年度报告被列入经营异常名录未改正，且通过登记的住所或者经营场所无法取得联系的，由县级以上市场监督管理部门吊销营业执照。”的规定，拟作出如下行政处罚：吊销营业执照。  </w:t>
      </w:r>
    </w:p>
    <w:p w14:paraId="68FAEA66">
      <w:pPr>
        <w:spacing w:line="56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☑依据《中华人民共和国行政处罚法》第四十四条、第四十五条、第六十三条、第六十四条第一项，以及《市场监督管理行政处罚听证办法》第五条/</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冀政函〔1997〕46号</w:t>
      </w:r>
      <w:r>
        <w:rPr>
          <w:rFonts w:hint="eastAsia" w:ascii="仿宋_GB2312" w:hAnsi="仿宋_GB2312" w:eastAsia="仿宋_GB2312" w:cs="仿宋_GB2312"/>
          <w:color w:val="000000" w:themeColor="text1"/>
          <w:sz w:val="32"/>
          <w:szCs w:val="32"/>
          <w14:textFill>
            <w14:solidFill>
              <w14:schemeClr w14:val="tx1"/>
            </w14:solidFill>
          </w14:textFill>
        </w:rPr>
        <w:t>的规定，你（单位）有权进行陈述、申辩，并可以要求听证。自收到本告知书之日起五个工作日内未行使陈述、申辩权，未要求听证的，视为放弃此权利。</w:t>
      </w:r>
    </w:p>
    <w:p w14:paraId="5122A4F5">
      <w:pPr>
        <w:spacing w:line="56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p>
    <w:p w14:paraId="5C033F1E">
      <w:pPr>
        <w:spacing w:line="560" w:lineRule="exact"/>
        <w:ind w:firstLine="640" w:firstLineChars="200"/>
        <w:rPr>
          <w:rFonts w:ascii="仿宋_GB2312" w:hAnsi="仿宋_GB2312" w:eastAsia="仿宋_GB2312" w:cs="仿宋_GB2312"/>
          <w:color w:val="000000" w:themeColor="text1"/>
          <w:sz w:val="32"/>
          <w:szCs w:val="32"/>
          <w:u w:val="single"/>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联系人：</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娄海英、白志兴  </w:t>
      </w:r>
      <w:r>
        <w:rPr>
          <w:rFonts w:hint="eastAsia" w:ascii="仿宋_GB2312" w:hAnsi="仿宋_GB2312" w:eastAsia="仿宋_GB2312" w:cs="仿宋_GB2312"/>
          <w:color w:val="000000" w:themeColor="text1"/>
          <w:sz w:val="32"/>
          <w:szCs w:val="32"/>
          <w14:textFill>
            <w14:solidFill>
              <w14:schemeClr w14:val="tx1"/>
            </w14:solidFill>
          </w14:textFill>
        </w:rPr>
        <w:t>联系电话：</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0335-6073315  </w:t>
      </w:r>
    </w:p>
    <w:p w14:paraId="5B27F505">
      <w:pPr>
        <w:spacing w:line="560" w:lineRule="exact"/>
        <w:ind w:firstLine="640" w:firstLineChars="200"/>
        <w:jc w:val="both"/>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联系地址：</w:t>
      </w:r>
      <w:r>
        <w:rPr>
          <w:rFonts w:hint="eastAsia" w:ascii="仿宋_GB2312" w:hAnsi="仿宋_GB2312" w:eastAsia="仿宋_GB2312" w:cs="仿宋_GB2312"/>
          <w:color w:val="000000" w:themeColor="text1"/>
          <w:sz w:val="32"/>
          <w:szCs w:val="32"/>
          <w:u w:val="single"/>
          <w14:textFill>
            <w14:solidFill>
              <w14:schemeClr w14:val="tx1"/>
            </w14:solidFill>
          </w14:textFill>
        </w:rPr>
        <w:t>秦皇岛市抚宁区市场监督管理局曹东庄分局</w:t>
      </w:r>
    </w:p>
    <w:p w14:paraId="674D8544">
      <w:pPr>
        <w:tabs>
          <w:tab w:val="left" w:pos="5667"/>
        </w:tabs>
        <w:spacing w:line="560" w:lineRule="exact"/>
        <w:jc w:val="righ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p>
    <w:p w14:paraId="28D548CD">
      <w:pPr>
        <w:tabs>
          <w:tab w:val="left" w:pos="5667"/>
        </w:tabs>
        <w:spacing w:line="560" w:lineRule="exact"/>
        <w:jc w:val="right"/>
        <w:rPr>
          <w:rFonts w:ascii="仿宋_GB2312" w:hAnsi="仿宋_GB2312" w:eastAsia="仿宋_GB2312" w:cs="仿宋_GB2312"/>
          <w:color w:val="000000" w:themeColor="text1"/>
          <w:sz w:val="32"/>
          <w:szCs w:val="32"/>
          <w14:textFill>
            <w14:solidFill>
              <w14:schemeClr w14:val="tx1"/>
            </w14:solidFill>
          </w14:textFill>
        </w:rPr>
      </w:pPr>
    </w:p>
    <w:p w14:paraId="1E93BADC">
      <w:pPr>
        <w:tabs>
          <w:tab w:val="left" w:pos="5667"/>
        </w:tabs>
        <w:spacing w:line="560" w:lineRule="exact"/>
        <w:jc w:val="righ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w:t>
      </w:r>
    </w:p>
    <w:p w14:paraId="68E4D2C0">
      <w:pPr>
        <w:tabs>
          <w:tab w:val="left" w:pos="5667"/>
        </w:tabs>
        <w:spacing w:line="560" w:lineRule="exact"/>
        <w:jc w:val="right"/>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秦皇岛市抚宁区市场监督管理局 </w:t>
      </w:r>
    </w:p>
    <w:p w14:paraId="3427F2B1">
      <w:pPr>
        <w:tabs>
          <w:tab w:val="left" w:pos="5667"/>
        </w:tabs>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（印 章）  </w:t>
      </w:r>
    </w:p>
    <w:p w14:paraId="76A4589A">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 xml:space="preserve">                             2025年10月17日</w:t>
      </w:r>
    </w:p>
    <w:p w14:paraId="1F4CB978">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p>
    <w:p w14:paraId="52494201">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bookmarkStart w:id="0" w:name="_GoBack"/>
      <w:bookmarkEnd w:id="0"/>
    </w:p>
    <w:p w14:paraId="729F200C">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p>
    <w:p w14:paraId="12AB7EA8">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p>
    <w:p w14:paraId="3DA6D734">
      <w:pPr>
        <w:spacing w:line="560" w:lineRule="exact"/>
        <w:jc w:val="center"/>
        <w:rPr>
          <w:rFonts w:ascii="仿宋_GB2312" w:hAnsi="仿宋_GB2312" w:eastAsia="仿宋_GB2312" w:cs="仿宋_GB2312"/>
          <w:color w:val="000000" w:themeColor="text1"/>
          <w:sz w:val="32"/>
          <w:szCs w:val="32"/>
          <w14:textFill>
            <w14:solidFill>
              <w14:schemeClr w14:val="tx1"/>
            </w14:solidFill>
          </w14:textFill>
        </w:rPr>
      </w:pPr>
    </w:p>
    <w:p w14:paraId="78E3B6E4">
      <w:pPr>
        <w:spacing w:line="380" w:lineRule="exact"/>
        <w:textAlignment w:val="center"/>
        <w:rPr>
          <w:color w:val="000000" w:themeColor="text1"/>
          <w14:textFill>
            <w14:solidFill>
              <w14:schemeClr w14:val="tx1"/>
            </w14:solidFill>
          </w14:textFill>
        </w:rPr>
      </w:pPr>
      <w:r>
        <w:rPr>
          <w:color w:val="000000" w:themeColor="text1"/>
          <w14:textFill>
            <w14:solidFill>
              <w14:schemeClr w14:val="tx1"/>
            </w14:solidFill>
          </w14:textFill>
        </w:rPr>
        <w:drawing>
          <wp:inline distT="0" distB="0" distL="0" distR="0">
            <wp:extent cx="5550535" cy="15875"/>
            <wp:effectExtent l="0" t="0" r="0" b="0"/>
            <wp:docPr id="25" name="IM 8"/>
            <wp:cNvGraphicFramePr/>
            <a:graphic xmlns:a="http://schemas.openxmlformats.org/drawingml/2006/main">
              <a:graphicData uri="http://schemas.openxmlformats.org/drawingml/2006/picture">
                <pic:pic xmlns:pic="http://schemas.openxmlformats.org/drawingml/2006/picture">
                  <pic:nvPicPr>
                    <pic:cNvPr id="25" name="IM 8"/>
                    <pic:cNvPicPr/>
                  </pic:nvPicPr>
                  <pic:blipFill>
                    <a:blip r:embed="rId4" cstate="print"/>
                    <a:stretch>
                      <a:fillRect/>
                    </a:stretch>
                  </pic:blipFill>
                  <pic:spPr>
                    <a:xfrm>
                      <a:off x="0" y="0"/>
                      <a:ext cx="5550535" cy="16509"/>
                    </a:xfrm>
                    <a:prstGeom prst="rect">
                      <a:avLst/>
                    </a:prstGeom>
                  </pic:spPr>
                </pic:pic>
              </a:graphicData>
            </a:graphic>
          </wp:inline>
        </w:drawing>
      </w:r>
    </w:p>
    <w:p w14:paraId="20A27C1D">
      <w:pPr>
        <w:spacing w:line="380" w:lineRule="exact"/>
        <w:jc w:val="center"/>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本文书一式</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二  </w:t>
      </w:r>
      <w:r>
        <w:rPr>
          <w:rFonts w:hint="eastAsia" w:ascii="仿宋_GB2312" w:hAnsi="仿宋_GB2312" w:eastAsia="仿宋_GB2312" w:cs="仿宋_GB2312"/>
          <w:color w:val="000000" w:themeColor="text1"/>
          <w:sz w:val="32"/>
          <w:szCs w:val="32"/>
          <w14:textFill>
            <w14:solidFill>
              <w14:schemeClr w14:val="tx1"/>
            </w14:solidFill>
          </w14:textFill>
        </w:rPr>
        <w:t>份，</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一  </w:t>
      </w:r>
      <w:r>
        <w:rPr>
          <w:rFonts w:hint="eastAsia" w:ascii="仿宋_GB2312" w:hAnsi="仿宋_GB2312" w:eastAsia="仿宋_GB2312" w:cs="仿宋_GB2312"/>
          <w:color w:val="000000" w:themeColor="text1"/>
          <w:sz w:val="32"/>
          <w:szCs w:val="32"/>
          <w14:textFill>
            <w14:solidFill>
              <w14:schemeClr w14:val="tx1"/>
            </w14:solidFill>
          </w14:textFill>
        </w:rPr>
        <w:t>份送达，一份归档，</w:t>
      </w:r>
      <w:r>
        <w:rPr>
          <w:rFonts w:hint="eastAsia" w:ascii="仿宋_GB2312" w:hAnsi="仿宋_GB2312" w:eastAsia="仿宋_GB2312" w:cs="仿宋_GB2312"/>
          <w:color w:val="000000" w:themeColor="text1"/>
          <w:sz w:val="32"/>
          <w:szCs w:val="32"/>
          <w:u w:val="single"/>
          <w14:textFill>
            <w14:solidFill>
              <w14:schemeClr w14:val="tx1"/>
            </w14:solidFill>
          </w14:textFill>
        </w:rPr>
        <w:t xml:space="preserve">   /    </w:t>
      </w:r>
      <w:r>
        <w:rPr>
          <w:rFonts w:hint="eastAsia" w:ascii="仿宋_GB2312" w:hAnsi="仿宋_GB2312" w:eastAsia="仿宋_GB2312" w:cs="仿宋_GB2312"/>
          <w:color w:val="000000" w:themeColor="text1"/>
          <w:sz w:val="32"/>
          <w:szCs w:val="32"/>
          <w14:textFill>
            <w14:solidFill>
              <w14:schemeClr w14:val="tx1"/>
            </w14:solidFill>
          </w14:textFill>
        </w:rPr>
        <w:t>。</w:t>
      </w:r>
    </w:p>
    <w:p w14:paraId="58821EC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CA6B71"/>
    <w:rsid w:val="4EF967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2025-12-05T01:28:46Z</dcterms:created>
  <dc:creator>Administrator</dc:creator>
  <cp:lastModifiedBy>Administrator</cp:lastModifiedBy>
  <dcterms:modified xsi:type="dcterms:W3CDTF">2025-12-05T01:29:41Z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eyJoZGlkIjoiMjQ4MzA4OTNkYzAzODJhNDBhNmEyMThkM2EzMjQyNmIifQ==</vt:lpwstr>
  </property>
  <property fmtid="{D5CDD505-2E9C-101B-9397-08002B2CF9AE}" pid="4" name="ICV">
    <vt:lpwstr>1B2C252FD1B14EE385B906ACB85BCC93_12</vt:lpwstr>
  </property>
</Properties>
</file>