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settings.xml" ContentType="application/vnd.openxmlformats-officedocument.wordprocessingml.setting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customXml/itemProps1.xml" ContentType="application/vnd.openxmlformats-officedocument.customXmlProperties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Relationship Id="rId4" Type="http://schemas.openxmlformats.org/officeDocument/2006/relationships/custom-properties" Target="docProps/custom.xml"/></Relationships>
</file>

<file path=word/document.xml><?xml version="1.0" encoding="utf-8"?>
<w:document xmlns:w="http://schemas.openxmlformats.org/wordprocessingml/2006/main" xmlns:o="urn:schemas-microsoft-com:office:office" xmlns:r="http://schemas.openxmlformats.org/officeDocument/2006/relationships" xmlns:m="http://schemas.openxmlformats.org/officeDocument/2006/math" xmlns:v="urn:schemas-microsoft-com:vml" xmlns:a="http://schemas.openxmlformats.org/drawingml/2006/main" xmlns:wps="http://schemas.microsoft.com/office/word/2010/wordprocessingShape" xmlns:wp="http://schemas.openxmlformats.org/drawingml/2006/wordprocessingDrawing" xmlns:pic="http://schemas.openxmlformats.org/drawingml/2006/picture" xmlns:wp14="http://schemas.microsoft.com/office/word/2010/wordprocessingDrawing" xmlns:mc="http://schemas.openxmlformats.org/markup-compatibility/2006" xmlns:wpg="http://schemas.microsoft.com/office/word/2010/wordprocessingGroup" xmlns:wpc="http://schemas.microsoft.com/office/word/2010/wordprocessingCanvas" xmlns:w10="urn:schemas-microsoft-com:office:word" xmlns:w14="http://schemas.microsoft.com/office/word/2010/wordml" xmlns:w15="http://schemas.microsoft.com/office/word/2012/wordml" xmlns:a14="http://schemas.microsoft.com/office/drawing/2010/main" mc:Ignorable="w14 w15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jc w:val="center"/>
        <w:textAlignment w:val="auto"/>
        <w:rPr>
          <w:rFonts w:ascii="宋体" w:eastAsia="宋体" w:cs="宋体" w:hAnsi="宋体" w:hint="eastAsia"/>
          <w:b/>
          <w:bCs/>
          <w:sz w:val="44"/>
          <w:szCs w:val="44"/>
        </w:rPr>
      </w:pPr>
      <w:r>
        <w:rPr>
          <w:rFonts w:ascii="宋体" w:eastAsia="宋体" w:cs="宋体" w:hAnsi="宋体" w:hint="eastAsia"/>
          <w:b/>
          <w:bCs/>
          <w:sz w:val="44"/>
          <w:szCs w:val="44"/>
          <w:lang w:val="en-US" w:eastAsia="zh-CN"/>
        </w:rPr>
        <w:t>秦皇岛市抚宁区</w:t>
      </w:r>
      <w:r>
        <w:rPr>
          <w:rFonts w:ascii="宋体" w:eastAsia="宋体" w:cs="宋体" w:hAnsi="宋体" w:hint="eastAsia"/>
          <w:b/>
          <w:bCs/>
          <w:sz w:val="44"/>
          <w:szCs w:val="44"/>
        </w:rPr>
        <w:t>交通运输局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jc w:val="center"/>
        <w:textAlignment w:val="auto"/>
        <w:rPr>
          <w:rFonts w:ascii="宋体" w:eastAsia="宋体" w:cs="宋体" w:hAnsi="宋体" w:hint="eastAsia"/>
          <w:b/>
          <w:bCs/>
          <w:sz w:val="44"/>
          <w:szCs w:val="44"/>
        </w:rPr>
      </w:pPr>
      <w:r>
        <w:rPr>
          <w:rFonts w:ascii="宋体" w:eastAsia="宋体" w:cs="宋体" w:hAnsi="宋体" w:hint="eastAsia"/>
          <w:b/>
          <w:bCs/>
          <w:sz w:val="44"/>
          <w:szCs w:val="44"/>
        </w:rPr>
        <w:t>2025年度法治政府建设工作报告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ascii="仿宋" w:eastAsia="仿宋" w:cs="仿宋" w:hAnsi="仿宋" w:hint="eastAsia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Chars="200" w:firstLine="640"/>
        <w:textAlignment w:val="auto"/>
        <w:rPr>
          <w:rFonts w:ascii="仿宋" w:eastAsia="仿宋" w:cs="仿宋" w:hAnsi="仿宋" w:hint="eastAsia"/>
          <w:sz w:val="32"/>
          <w:szCs w:val="32"/>
        </w:rPr>
      </w:pPr>
      <w:r>
        <w:rPr>
          <w:rFonts w:ascii="仿宋" w:eastAsia="仿宋" w:cs="仿宋" w:hAnsi="仿宋" w:hint="eastAsia"/>
          <w:sz w:val="32"/>
          <w:szCs w:val="32"/>
        </w:rPr>
        <w:t>2025年，我局以习近平法治思想为根本遵循，深入贯彻落实党中央、国务院关于法治政府建设的决策部署及省</w:t>
      </w:r>
      <w:r>
        <w:rPr>
          <w:rFonts w:ascii="仿宋" w:eastAsia="仿宋" w:cs="仿宋" w:hAnsi="仿宋" w:hint="eastAsia"/>
          <w:sz w:val="32"/>
          <w:szCs w:val="32"/>
          <w:lang w:val="en-US" w:eastAsia="zh-CN"/>
        </w:rPr>
        <w:t>委</w:t>
      </w:r>
      <w:r>
        <w:rPr>
          <w:rFonts w:ascii="仿宋" w:eastAsia="仿宋" w:cs="仿宋" w:hAnsi="仿宋" w:hint="eastAsia"/>
          <w:sz w:val="32"/>
          <w:szCs w:val="32"/>
        </w:rPr>
        <w:t>、市</w:t>
      </w:r>
      <w:r>
        <w:rPr>
          <w:rFonts w:ascii="仿宋" w:eastAsia="仿宋" w:cs="仿宋" w:hAnsi="仿宋" w:hint="eastAsia"/>
          <w:sz w:val="32"/>
          <w:szCs w:val="32"/>
          <w:lang w:val="en-US" w:eastAsia="zh-CN"/>
        </w:rPr>
        <w:t>委</w:t>
      </w:r>
      <w:r>
        <w:rPr>
          <w:rFonts w:ascii="仿宋" w:eastAsia="仿宋" w:cs="仿宋" w:hAnsi="仿宋" w:hint="eastAsia"/>
          <w:sz w:val="32"/>
          <w:szCs w:val="32"/>
        </w:rPr>
        <w:t>、区委工作要求，紧扣交通强国建设目标，将法治建设贯穿交通运输规划、建设、管理、服务全过程，统筹推进依法履职、制度完善、执法</w:t>
      </w:r>
      <w:r>
        <w:rPr>
          <w:rFonts w:ascii="仿宋" w:eastAsia="仿宋" w:cs="仿宋" w:hAnsi="仿宋" w:hint="eastAsia"/>
          <w:sz w:val="32"/>
          <w:szCs w:val="32"/>
          <w:lang w:val="en-US" w:eastAsia="zh-CN"/>
        </w:rPr>
        <w:t>规范</w:t>
      </w:r>
      <w:r>
        <w:rPr>
          <w:rFonts w:ascii="仿宋" w:eastAsia="仿宋" w:cs="仿宋" w:hAnsi="仿宋" w:hint="eastAsia"/>
          <w:sz w:val="32"/>
          <w:szCs w:val="32"/>
        </w:rPr>
        <w:t>等重点工作，以高质量法治保障行业发展。现将本年度工作情况报告如下：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Chars="200" w:firstLine="640"/>
        <w:textAlignment w:val="auto"/>
        <w:rPr>
          <w:rFonts w:ascii="仿宋" w:eastAsia="仿宋" w:cs="仿宋" w:hAnsi="仿宋" w:hint="eastAsia"/>
          <w:sz w:val="32"/>
          <w:szCs w:val="32"/>
          <w:lang w:val="en-US" w:eastAsia="zh-CN"/>
        </w:rPr>
      </w:pPr>
      <w:r>
        <w:rPr>
          <w:rFonts w:ascii="仿宋" w:eastAsia="仿宋" w:cs="仿宋" w:hAnsi="仿宋"/>
          <w:sz w:val="32"/>
          <w:szCs w:val="32"/>
          <w:lang w:val="en-US" w:eastAsia="zh-CN"/>
        </w:rPr>
        <w:t>一、</w:t>
      </w:r>
      <w:bookmarkStart w:id="0" w:name="_GoBack"/>
      <w:bookmarkEnd w:id="0"/>
      <w:r>
        <w:rPr>
          <w:rFonts w:ascii="仿宋" w:eastAsia="仿宋" w:cs="仿宋" w:hAnsi="仿宋" w:hint="eastAsia"/>
          <w:sz w:val="32"/>
          <w:szCs w:val="32"/>
          <w:lang w:val="en-US" w:eastAsia="zh-CN"/>
        </w:rPr>
        <w:t>工作开展情况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left="0" w:firstLineChars="200" w:firstLine="640"/>
        <w:jc w:val="both"/>
        <w:textAlignment w:val="auto"/>
        <w:rPr>
          <w:rFonts w:ascii="仿宋" w:eastAsia="仿宋" w:cs="仿宋" w:hAnsi="仿宋" w:hint="eastAsia"/>
          <w:sz w:val="32"/>
          <w:szCs w:val="32"/>
          <w:lang w:val="en-US" w:eastAsia="zh-CN"/>
        </w:rPr>
      </w:pPr>
      <w:r>
        <w:rPr>
          <w:rFonts w:ascii="仿宋" w:eastAsia="仿宋" w:cs="仿宋" w:hAnsi="仿宋" w:hint="eastAsia"/>
          <w:sz w:val="32"/>
          <w:szCs w:val="32"/>
          <w:lang w:val="en-US" w:eastAsia="zh-CN"/>
        </w:rPr>
        <w:t>（一）压实主体责任，筑牢法治建设根基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left="0" w:firstLineChars="200" w:firstLine="640"/>
        <w:jc w:val="both"/>
        <w:textAlignment w:val="auto"/>
        <w:rPr>
          <w:rFonts w:ascii="仿宋" w:eastAsia="仿宋" w:cs="仿宋" w:hAnsi="仿宋" w:hint="eastAsia"/>
          <w:sz w:val="32"/>
          <w:szCs w:val="32"/>
          <w:lang w:val="en-US" w:eastAsia="zh-CN"/>
        </w:rPr>
      </w:pPr>
      <w:r>
        <w:rPr>
          <w:rFonts w:ascii="仿宋" w:eastAsia="仿宋" w:cs="仿宋" w:hAnsi="仿宋" w:hint="eastAsia"/>
          <w:sz w:val="32"/>
          <w:szCs w:val="32"/>
          <w:lang w:val="en-US" w:eastAsia="zh-CN"/>
        </w:rPr>
        <w:t>我局始终将法治建设摆在突出位置，坚持把法治建设工作纳入年度工作计划，与交通运输中心工作同部署、同推进、同督促，构建形成权责清晰、运转高效的闭环责任体系。严格落实法治建设第一责任人职责，单位“一把手”切实扛起主要责任，对法治交通建设重大工作亲自部署、重大问题亲自过问、重点环节亲自督办，充分发挥引领示范作用。领导班子成员带头践行法治思维，常态化深入交通执法、项目建设等一线开展调研，善于运用法治方式破解行业发展难题、化解涉路矛盾纠纷、维护交通运输市场稳定、推动行业高质量发展，持续提升行政决策的法治化、科学化水平。同时，健全完善法律顾问制度，专门聘请具备专业律师资质、法律实务经验丰富的法律顾问，为我局重大交通基础设施建设、行政执法规范化开展等重点工作，提供精准的法律咨询、专业的法律指导，为法治交通建设提供坚实专业支撑。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left="0" w:firstLineChars="200" w:firstLine="640"/>
        <w:jc w:val="both"/>
        <w:textAlignment w:val="auto"/>
        <w:rPr>
          <w:rFonts w:ascii="仿宋" w:eastAsia="仿宋" w:cs="仿宋" w:hAnsi="仿宋" w:hint="eastAsia"/>
          <w:sz w:val="32"/>
          <w:szCs w:val="32"/>
          <w:lang w:val="en-US" w:eastAsia="zh-CN"/>
        </w:rPr>
      </w:pPr>
      <w:r>
        <w:rPr>
          <w:rFonts w:ascii="仿宋" w:eastAsia="仿宋" w:cs="仿宋" w:hAnsi="仿宋" w:hint="eastAsia"/>
          <w:sz w:val="32"/>
          <w:szCs w:val="32"/>
          <w:lang w:val="en-US" w:eastAsia="zh-CN"/>
        </w:rPr>
        <w:t>明晰权责划分，筑牢依法履职底线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left="0" w:firstLineChars="200" w:firstLine="640"/>
        <w:jc w:val="both"/>
        <w:textAlignment w:val="auto"/>
        <w:rPr>
          <w:rFonts w:ascii="仿宋" w:eastAsia="仿宋" w:cs="仿宋" w:hAnsi="仿宋" w:hint="eastAsia"/>
          <w:sz w:val="32"/>
          <w:szCs w:val="32"/>
          <w:lang w:val="en-US" w:eastAsia="zh-CN"/>
        </w:rPr>
      </w:pPr>
      <w:r>
        <w:rPr>
          <w:rFonts w:ascii="仿宋" w:eastAsia="仿宋" w:cs="仿宋" w:hAnsi="仿宋" w:hint="eastAsia"/>
          <w:sz w:val="32"/>
          <w:szCs w:val="32"/>
          <w:lang w:val="en-US" w:eastAsia="zh-CN"/>
        </w:rPr>
        <w:t>严格按照“法定职责必须为、法无授权不可为”的原则，规范交通运输综合行政执法行为，厘清职责边界，杜绝多头执法、重复执法、推诿扯皮等现象。2025年根据区政府的安排，交通运输局赋权下放的6项事项全部收回，结合收回事项及法律法规“立改废”等情况，</w:t>
      </w:r>
      <w:r>
        <w:rPr>
          <w:rFonts w:ascii="仿宋" w:eastAsia="仿宋" w:cs="仿宋" w:hAnsi="仿宋" w:hint="eastAsia"/>
          <w:sz w:val="32"/>
          <w:szCs w:val="32"/>
          <w:u w:val="none"/>
          <w:lang w:val="en-US" w:eastAsia="zh-CN"/>
        </w:rPr>
        <w:t>对</w:t>
      </w:r>
      <w:r>
        <w:rPr>
          <w:rFonts w:ascii="仿宋" w:eastAsia="仿宋" w:cs="仿宋" w:hAnsi="仿宋" w:hint="eastAsia"/>
          <w:sz w:val="32"/>
          <w:szCs w:val="32"/>
          <w:lang w:val="en-US" w:eastAsia="zh-CN"/>
        </w:rPr>
        <w:t>我局权责清单事项进行调整，调整后的权责清单共247项，明确事项名称、实施主体、追责情形，及时通过政府门户网站向社会公开。</w:t>
      </w:r>
      <w:r>
        <w:rPr>
          <w:rFonts w:ascii="仿宋" w:eastAsia="仿宋" w:cs="仿宋" w:hAnsi="仿宋" w:hint="eastAsia"/>
          <w:b w:val="0"/>
          <w:bCs w:val="0"/>
          <w:color w:val="auto"/>
          <w:sz w:val="32"/>
          <w:szCs w:val="32"/>
          <w:lang w:val="en-US" w:eastAsia="zh-CN"/>
        </w:rPr>
        <w:t>持续推进政务服务标准化、规范化、便利化，依据《抚宁区政务服务事项清单》，我局认领政务服务事项37项，并在区政府门户网站进行公示。</w:t>
      </w:r>
      <w:r>
        <w:rPr>
          <w:rFonts w:ascii="仿宋" w:eastAsia="仿宋" w:cs="仿宋" w:hAnsi="仿宋" w:hint="eastAsia"/>
          <w:sz w:val="32"/>
          <w:szCs w:val="32"/>
          <w:lang w:val="en-US" w:eastAsia="zh-CN"/>
        </w:rPr>
        <w:t>制定政府信息公开目录，重点公开行政许可、行政处罚、行政检查等信息，规范公开流程和时限。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left="0" w:firstLineChars="200" w:firstLine="640"/>
        <w:jc w:val="both"/>
        <w:textAlignment w:val="auto"/>
        <w:rPr>
          <w:rFonts w:ascii="仿宋" w:eastAsia="仿宋" w:cs="仿宋" w:hAnsi="仿宋" w:hint="eastAsia"/>
          <w:sz w:val="32"/>
          <w:szCs w:val="32"/>
          <w:lang w:val="en-US" w:eastAsia="zh-CN"/>
        </w:rPr>
      </w:pPr>
      <w:r>
        <w:rPr>
          <w:rFonts w:ascii="仿宋" w:eastAsia="仿宋" w:cs="仿宋" w:hAnsi="仿宋" w:hint="eastAsia"/>
          <w:sz w:val="32"/>
          <w:szCs w:val="32"/>
          <w:lang w:val="en-US" w:eastAsia="zh-CN"/>
        </w:rPr>
        <w:t>（三）强化法治素养，筑牢法治思想基石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Chars="200" w:firstLine="640"/>
        <w:textAlignment w:val="auto"/>
        <w:rPr>
          <w:rFonts w:ascii="仿宋" w:eastAsia="仿宋" w:cs="仿宋" w:hAnsi="仿宋" w:hint="eastAsia"/>
          <w:sz w:val="32"/>
          <w:szCs w:val="32"/>
        </w:rPr>
      </w:pPr>
      <w:r>
        <w:rPr>
          <w:rFonts w:ascii="仿宋" w:eastAsia="仿宋" w:cs="仿宋" w:hAnsi="仿宋" w:hint="eastAsia"/>
          <w:b w:val="0"/>
          <w:bCs/>
          <w:sz w:val="32"/>
          <w:szCs w:val="32"/>
          <w:lang w:val="en-US" w:eastAsia="zh-CN"/>
        </w:rPr>
        <w:t>1、</w:t>
      </w:r>
      <w:r>
        <w:rPr>
          <w:rFonts w:ascii="仿宋" w:eastAsia="仿宋" w:cs="仿宋" w:hAnsi="仿宋" w:hint="eastAsia"/>
          <w:b w:val="0"/>
          <w:bCs/>
          <w:sz w:val="32"/>
          <w:szCs w:val="32"/>
        </w:rPr>
        <w:t>下足功夫学法。</w:t>
      </w:r>
      <w:r>
        <w:rPr>
          <w:rFonts w:ascii="仿宋" w:eastAsia="仿宋" w:cs="仿宋" w:hAnsi="仿宋" w:hint="eastAsia"/>
          <w:color w:val="000000"/>
          <w:sz w:val="32"/>
          <w:szCs w:val="32"/>
          <w14:textFill>
            <w14:solidFill>
              <w14:srgbClr w14:val="000000"/>
            </w14:solidFill>
          </w14:textFill>
        </w:rPr>
        <w:t>坚持每周一小时集中学习</w:t>
      </w:r>
      <w:r>
        <w:rPr>
          <w:rFonts w:ascii="仿宋" w:eastAsia="仿宋" w:cs="仿宋" w:hAnsi="仿宋" w:hint="eastAsia"/>
          <w:color w:val="000000"/>
          <w:sz w:val="32"/>
          <w:szCs w:val="32"/>
          <w14:textFill>
            <w14:solidFill>
              <w14:srgbClr w14:val="000000"/>
            </w14:solidFill>
          </w14:textFill>
          <w:lang w:eastAsia="zh-CN"/>
        </w:rPr>
        <w:t>制度</w:t>
      </w:r>
      <w:r>
        <w:rPr>
          <w:rFonts w:ascii="仿宋" w:eastAsia="仿宋" w:cs="仿宋" w:hAnsi="仿宋" w:hint="eastAsia"/>
          <w:color w:val="000000"/>
          <w:sz w:val="32"/>
          <w:szCs w:val="32"/>
          <w14:textFill>
            <w14:solidFill>
              <w14:srgbClr w14:val="000000"/>
            </w14:solidFill>
          </w14:textFill>
        </w:rPr>
        <w:t>，</w:t>
      </w:r>
      <w:r>
        <w:rPr>
          <w:rFonts w:ascii="仿宋" w:eastAsia="仿宋" w:cs="仿宋" w:hAnsi="仿宋" w:hint="eastAsia"/>
          <w:color w:val="000000"/>
          <w:sz w:val="32"/>
          <w:szCs w:val="32"/>
          <w14:textFill>
            <w14:solidFill>
              <w14:srgbClr w14:val="000000"/>
            </w14:solidFill>
          </w14:textFill>
          <w:lang w:eastAsia="zh-CN"/>
        </w:rPr>
        <w:t>组织全局干部职工不断深入</w:t>
      </w:r>
      <w:r>
        <w:rPr>
          <w:rFonts w:ascii="仿宋" w:eastAsia="仿宋" w:cs="仿宋" w:hAnsi="仿宋" w:hint="eastAsia"/>
          <w:color w:val="000000"/>
          <w:sz w:val="32"/>
          <w:szCs w:val="32"/>
          <w14:textFill>
            <w14:solidFill>
              <w14:srgbClr w14:val="000000"/>
            </w14:solidFill>
          </w14:textFill>
        </w:rPr>
        <w:t>学习</w:t>
      </w:r>
      <w:r>
        <w:rPr>
          <w:rFonts w:ascii="仿宋" w:eastAsia="仿宋" w:cs="仿宋" w:hAnsi="仿宋" w:hint="eastAsia"/>
          <w:color w:val="000000"/>
          <w:sz w:val="32"/>
          <w:szCs w:val="32"/>
          <w14:textFill>
            <w14:solidFill>
              <w14:srgbClr w14:val="000000"/>
            </w14:solidFill>
          </w14:textFill>
          <w:lang w:val="en-US" w:eastAsia="zh-CN"/>
        </w:rPr>
        <w:t>习近平法治思想、</w:t>
      </w:r>
      <w:r>
        <w:rPr>
          <w:rFonts w:ascii="仿宋" w:eastAsia="仿宋" w:cs="仿宋" w:hAnsi="仿宋" w:hint="eastAsia"/>
          <w:sz w:val="32"/>
          <w:szCs w:val="32"/>
        </w:rPr>
        <w:t>党内法规和交通法律法规</w:t>
      </w:r>
      <w:r>
        <w:rPr>
          <w:rFonts w:ascii="仿宋" w:eastAsia="仿宋" w:cs="仿宋" w:hAnsi="仿宋" w:hint="eastAsia"/>
          <w:sz w:val="32"/>
          <w:szCs w:val="32"/>
          <w:lang w:val="en-US" w:eastAsia="zh-CN"/>
        </w:rPr>
        <w:t>等</w:t>
      </w:r>
      <w:r>
        <w:rPr>
          <w:rFonts w:ascii="仿宋" w:eastAsia="仿宋" w:cs="仿宋" w:hAnsi="仿宋" w:hint="eastAsia"/>
          <w:sz w:val="32"/>
          <w:szCs w:val="32"/>
        </w:rPr>
        <w:t>，通过开展集中学习，不断增强法治意识、法治思维</w:t>
      </w:r>
      <w:r>
        <w:rPr>
          <w:rFonts w:ascii="仿宋" w:eastAsia="仿宋" w:cs="仿宋" w:hAnsi="仿宋" w:hint="eastAsia"/>
          <w:sz w:val="32"/>
          <w:szCs w:val="32"/>
          <w:lang w:eastAsia="zh-CN"/>
        </w:rPr>
        <w:t>，</w:t>
      </w:r>
      <w:r>
        <w:rPr>
          <w:rFonts w:ascii="仿宋" w:eastAsia="仿宋" w:cs="仿宋" w:hAnsi="仿宋" w:hint="eastAsia"/>
          <w:sz w:val="32"/>
          <w:szCs w:val="32"/>
        </w:rPr>
        <w:t>提升防腐拒变能力，提升行政执法业务水平</w:t>
      </w:r>
      <w:r>
        <w:rPr>
          <w:rFonts w:ascii="仿宋" w:eastAsia="仿宋" w:cs="仿宋" w:hAnsi="仿宋" w:hint="eastAsia"/>
          <w:sz w:val="32"/>
          <w:szCs w:val="32"/>
          <w:lang w:eastAsia="zh-CN"/>
        </w:rPr>
        <w:t>。</w:t>
      </w:r>
      <w:r>
        <w:rPr>
          <w:rFonts w:ascii="仿宋" w:eastAsia="仿宋" w:cs="仿宋" w:hAnsi="仿宋" w:hint="eastAsia"/>
          <w:color w:val="000000"/>
          <w:sz w:val="32"/>
          <w:szCs w:val="32"/>
          <w14:textFill>
            <w14:solidFill>
              <w14:srgbClr w14:val="000000"/>
            </w14:solidFill>
          </w14:textFill>
          <w:lang w:val="en-US" w:eastAsia="zh-CN"/>
        </w:rPr>
        <w:t>2025年，</w:t>
      </w:r>
      <w:r>
        <w:rPr>
          <w:rFonts w:ascii="仿宋" w:eastAsia="仿宋" w:cs="仿宋" w:hAnsi="仿宋" w:hint="eastAsia"/>
          <w:color w:val="000000"/>
          <w:kern w:val="2"/>
          <w:sz w:val="32"/>
          <w:szCs w:val="32"/>
          <w14:textFill>
            <w14:solidFill>
              <w14:srgbClr w14:val="000000"/>
            </w14:solidFill>
          </w14:textFill>
          <w:lang w:val="en-US" w:eastAsia="zh-CN" w:bidi="ar-SA"/>
        </w:rPr>
        <w:t>组织党组中心组学习、交流研讨各11次，机关集中学习40次。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Chars="200" w:firstLine="640"/>
        <w:textAlignment w:val="auto"/>
        <w:rPr>
          <w:rFonts w:ascii="仿宋" w:eastAsia="仿宋" w:cs="仿宋" w:hAnsi="仿宋" w:hint="eastAsia"/>
          <w:sz w:val="32"/>
          <w:szCs w:val="32"/>
        </w:rPr>
      </w:pPr>
      <w:r>
        <w:rPr>
          <w:rFonts w:ascii="仿宋" w:eastAsia="仿宋" w:cs="仿宋" w:hAnsi="仿宋" w:hint="eastAsia"/>
          <w:b w:val="0"/>
          <w:bCs/>
          <w:sz w:val="32"/>
          <w:szCs w:val="32"/>
          <w:lang w:val="en-US" w:eastAsia="zh-CN"/>
        </w:rPr>
        <w:t>2、</w:t>
      </w:r>
      <w:r>
        <w:rPr>
          <w:rFonts w:ascii="仿宋" w:eastAsia="仿宋" w:cs="仿宋" w:hAnsi="仿宋" w:hint="eastAsia"/>
          <w:b w:val="0"/>
          <w:bCs/>
          <w:sz w:val="32"/>
          <w:szCs w:val="32"/>
          <w:lang w:eastAsia="zh-CN"/>
        </w:rPr>
        <w:t>铆足</w:t>
      </w:r>
      <w:r>
        <w:rPr>
          <w:rFonts w:ascii="仿宋" w:eastAsia="仿宋" w:cs="仿宋" w:hAnsi="仿宋" w:hint="eastAsia"/>
          <w:b w:val="0"/>
          <w:bCs/>
          <w:sz w:val="32"/>
          <w:szCs w:val="32"/>
        </w:rPr>
        <w:t xml:space="preserve">劲头“普法”。 </w:t>
      </w:r>
      <w:r>
        <w:rPr>
          <w:rFonts w:ascii="仿宋" w:eastAsia="仿宋" w:cs="仿宋" w:hAnsi="仿宋" w:hint="eastAsia"/>
          <w:sz w:val="32"/>
          <w:szCs w:val="32"/>
        </w:rPr>
        <w:t>认真落实“谁执法谁普法”制度，激发和增强人民群众的</w:t>
      </w:r>
      <w:r>
        <w:rPr>
          <w:rFonts w:ascii="仿宋" w:eastAsia="仿宋" w:cs="仿宋" w:hAnsi="仿宋" w:hint="eastAsia"/>
          <w:sz w:val="32"/>
          <w:szCs w:val="32"/>
          <w:lang w:eastAsia="zh-CN"/>
        </w:rPr>
        <w:t>交通运输</w:t>
      </w:r>
      <w:r>
        <w:rPr>
          <w:rFonts w:ascii="仿宋" w:eastAsia="仿宋" w:cs="仿宋" w:hAnsi="仿宋" w:hint="eastAsia"/>
          <w:sz w:val="32"/>
          <w:szCs w:val="32"/>
          <w:lang w:val="en-US" w:eastAsia="zh-CN"/>
        </w:rPr>
        <w:t>法治</w:t>
      </w:r>
      <w:r>
        <w:rPr>
          <w:rFonts w:ascii="仿宋" w:eastAsia="仿宋" w:cs="仿宋" w:hAnsi="仿宋" w:hint="eastAsia"/>
          <w:sz w:val="32"/>
          <w:szCs w:val="32"/>
        </w:rPr>
        <w:t>意识。充分利用交通运输</w:t>
      </w:r>
      <w:r>
        <w:rPr>
          <w:rFonts w:ascii="仿宋" w:eastAsia="仿宋" w:cs="仿宋" w:hAnsi="仿宋" w:hint="eastAsia"/>
          <w:sz w:val="32"/>
          <w:szCs w:val="32"/>
          <w:lang w:val="en-US" w:eastAsia="zh-CN"/>
        </w:rPr>
        <w:t>服务大厅</w:t>
      </w:r>
      <w:r>
        <w:rPr>
          <w:rFonts w:ascii="仿宋" w:eastAsia="仿宋" w:cs="仿宋" w:hAnsi="仿宋" w:hint="eastAsia"/>
          <w:sz w:val="32"/>
          <w:szCs w:val="32"/>
        </w:rPr>
        <w:t>、客运站点和超限站点</w:t>
      </w:r>
      <w:r>
        <w:rPr>
          <w:rFonts w:ascii="仿宋" w:eastAsia="仿宋" w:cs="仿宋" w:hAnsi="仿宋" w:hint="eastAsia"/>
          <w:sz w:val="32"/>
          <w:szCs w:val="32"/>
          <w:lang w:val="en-US" w:eastAsia="zh-CN"/>
        </w:rPr>
        <w:t>等对外窗口部门进行日常宣传，</w:t>
      </w:r>
      <w:r>
        <w:rPr>
          <w:rFonts w:ascii="仿宋" w:eastAsia="仿宋" w:cs="仿宋" w:hAnsi="仿宋" w:hint="eastAsia"/>
          <w:sz w:val="32"/>
          <w:szCs w:val="32"/>
        </w:rPr>
        <w:t>借助</w:t>
      </w:r>
      <w:r>
        <w:rPr>
          <w:rFonts w:ascii="仿宋" w:eastAsia="仿宋" w:cs="仿宋" w:hAnsi="仿宋" w:hint="eastAsia"/>
          <w:sz w:val="32"/>
          <w:szCs w:val="32"/>
          <w:lang w:eastAsia="zh-CN"/>
        </w:rPr>
        <w:t>“</w:t>
      </w:r>
      <w:r>
        <w:rPr>
          <w:rFonts w:ascii="仿宋" w:eastAsia="仿宋" w:cs="仿宋" w:hAnsi="仿宋" w:hint="eastAsia"/>
          <w:sz w:val="32"/>
          <w:szCs w:val="32"/>
        </w:rPr>
        <w:t>路政宣传月</w:t>
      </w:r>
      <w:r>
        <w:rPr>
          <w:rFonts w:ascii="仿宋" w:eastAsia="仿宋" w:cs="仿宋" w:hAnsi="仿宋" w:hint="eastAsia"/>
          <w:sz w:val="32"/>
          <w:szCs w:val="32"/>
          <w:lang w:eastAsia="zh-CN"/>
        </w:rPr>
        <w:t>”</w:t>
      </w:r>
      <w:r>
        <w:rPr>
          <w:rFonts w:ascii="仿宋" w:eastAsia="仿宋" w:cs="仿宋" w:hAnsi="仿宋" w:hint="eastAsia"/>
          <w:sz w:val="32"/>
          <w:szCs w:val="32"/>
        </w:rPr>
        <w:t>、</w:t>
      </w:r>
      <w:r>
        <w:rPr>
          <w:rFonts w:ascii="仿宋" w:eastAsia="仿宋" w:cs="仿宋" w:hAnsi="仿宋" w:hint="eastAsia"/>
          <w:sz w:val="32"/>
          <w:szCs w:val="32"/>
          <w:lang w:eastAsia="zh-CN"/>
        </w:rPr>
        <w:t>“</w:t>
      </w:r>
      <w:r>
        <w:rPr>
          <w:rFonts w:ascii="仿宋" w:eastAsia="仿宋" w:cs="仿宋" w:hAnsi="仿宋" w:hint="eastAsia"/>
          <w:sz w:val="32"/>
          <w:szCs w:val="32"/>
        </w:rPr>
        <w:t>安全生产月</w:t>
      </w:r>
      <w:r>
        <w:rPr>
          <w:rFonts w:ascii="仿宋" w:eastAsia="仿宋" w:cs="仿宋" w:hAnsi="仿宋" w:hint="eastAsia"/>
          <w:sz w:val="32"/>
          <w:szCs w:val="32"/>
          <w:lang w:eastAsia="zh-CN"/>
        </w:rPr>
        <w:t>”</w:t>
      </w:r>
      <w:r>
        <w:rPr>
          <w:rFonts w:ascii="仿宋" w:eastAsia="仿宋" w:cs="仿宋" w:hAnsi="仿宋" w:hint="eastAsia"/>
          <w:sz w:val="32"/>
          <w:szCs w:val="32"/>
        </w:rPr>
        <w:t>、</w:t>
      </w:r>
      <w:r>
        <w:rPr>
          <w:rFonts w:ascii="仿宋" w:eastAsia="仿宋" w:cs="仿宋" w:hAnsi="仿宋" w:hint="eastAsia"/>
          <w:sz w:val="32"/>
          <w:szCs w:val="32"/>
          <w:lang w:eastAsia="zh-CN"/>
        </w:rPr>
        <w:t>“</w:t>
      </w:r>
      <w:r>
        <w:rPr>
          <w:rFonts w:ascii="仿宋" w:eastAsia="仿宋" w:cs="仿宋" w:hAnsi="仿宋" w:hint="eastAsia"/>
          <w:sz w:val="32"/>
          <w:szCs w:val="32"/>
        </w:rPr>
        <w:t>宪法宣传日</w:t>
      </w:r>
      <w:r>
        <w:rPr>
          <w:rFonts w:ascii="仿宋" w:eastAsia="仿宋" w:cs="仿宋" w:hAnsi="仿宋" w:hint="eastAsia"/>
          <w:sz w:val="32"/>
          <w:szCs w:val="32"/>
          <w:lang w:eastAsia="zh-CN"/>
        </w:rPr>
        <w:t>”</w:t>
      </w:r>
      <w:r>
        <w:rPr>
          <w:rFonts w:ascii="仿宋" w:eastAsia="仿宋" w:cs="仿宋" w:hAnsi="仿宋" w:hint="eastAsia"/>
          <w:sz w:val="32"/>
          <w:szCs w:val="32"/>
        </w:rPr>
        <w:t>等集中宣传期，发放明白纸和知识手册</w:t>
      </w:r>
      <w:r>
        <w:rPr>
          <w:rFonts w:ascii="仿宋" w:eastAsia="仿宋" w:cs="仿宋" w:hAnsi="仿宋" w:hint="eastAsia"/>
          <w:sz w:val="32"/>
          <w:szCs w:val="32"/>
          <w:lang w:val="en-US" w:eastAsia="zh-CN"/>
        </w:rPr>
        <w:t>800</w:t>
      </w:r>
      <w:r>
        <w:rPr>
          <w:rFonts w:ascii="仿宋" w:eastAsia="仿宋" w:cs="仿宋" w:hAnsi="仿宋" w:hint="eastAsia"/>
          <w:sz w:val="32"/>
          <w:szCs w:val="32"/>
        </w:rPr>
        <w:t>余份，现场解答群众咨询</w:t>
      </w:r>
      <w:r>
        <w:rPr>
          <w:rFonts w:ascii="仿宋" w:eastAsia="仿宋" w:cs="仿宋" w:hAnsi="仿宋" w:hint="eastAsia"/>
          <w:sz w:val="32"/>
          <w:szCs w:val="32"/>
          <w:lang w:val="en-US" w:eastAsia="zh-CN"/>
        </w:rPr>
        <w:t>230</w:t>
      </w:r>
      <w:r>
        <w:rPr>
          <w:rFonts w:ascii="仿宋" w:eastAsia="仿宋" w:cs="仿宋" w:hAnsi="仿宋" w:hint="eastAsia"/>
          <w:sz w:val="32"/>
          <w:szCs w:val="32"/>
        </w:rPr>
        <w:t>余人次。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left="0" w:firstLineChars="200" w:firstLine="640"/>
        <w:jc w:val="both"/>
        <w:textAlignment w:val="auto"/>
        <w:rPr>
          <w:rFonts w:ascii="仿宋" w:eastAsia="仿宋" w:cs="仿宋" w:hAnsi="仿宋" w:hint="eastAsia"/>
          <w:sz w:val="32"/>
          <w:szCs w:val="32"/>
          <w:lang w:val="en-US" w:eastAsia="zh-CN"/>
        </w:rPr>
      </w:pPr>
      <w:r>
        <w:rPr>
          <w:rFonts w:ascii="仿宋" w:eastAsia="仿宋" w:cs="仿宋" w:hAnsi="仿宋" w:hint="eastAsia"/>
          <w:sz w:val="32"/>
          <w:szCs w:val="32"/>
          <w:lang w:val="en-US" w:eastAsia="zh-CN"/>
        </w:rPr>
        <w:t>（四）提升执法质效，推进执法规范化水平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left="0" w:firstLineChars="200" w:firstLine="640"/>
        <w:jc w:val="both"/>
        <w:textAlignment w:val="auto"/>
        <w:rPr>
          <w:rFonts w:ascii="仿宋" w:eastAsia="仿宋" w:cs="仿宋" w:hAnsi="仿宋" w:hint="eastAsia"/>
          <w:sz w:val="32"/>
          <w:szCs w:val="32"/>
          <w:lang w:val="en-US" w:eastAsia="zh-CN"/>
        </w:rPr>
      </w:pPr>
      <w:r>
        <w:rPr>
          <w:rFonts w:ascii="仿宋" w:eastAsia="仿宋" w:cs="仿宋" w:hAnsi="仿宋" w:hint="eastAsia"/>
          <w:sz w:val="32"/>
          <w:szCs w:val="32"/>
          <w:lang w:val="en-US" w:eastAsia="zh-CN"/>
        </w:rPr>
        <w:t>1、深化执法改革。推进综合行政执法"四基四化"建设，统一执法标识、文书和流程，打造标准化执法站所，配备执法记录仪、移动执法终端等装备。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Chars="200" w:firstLine="640"/>
        <w:jc w:val="both"/>
        <w:textAlignment w:val="auto"/>
        <w:rPr>
          <w:rFonts w:ascii="仿宋" w:eastAsia="仿宋" w:cs="仿宋" w:hAnsi="仿宋" w:hint="eastAsia"/>
          <w:color w:val="000000"/>
          <w:kern w:val="2"/>
          <w:sz w:val="32"/>
          <w:szCs w:val="32"/>
          <w14:textFill>
            <w14:solidFill>
              <w14:srgbClr w14:val="000000"/>
            </w14:solidFill>
          </w14:textFill>
          <w:lang w:val="en-US" w:eastAsia="zh-CN" w:bidi="ar-SA"/>
        </w:rPr>
      </w:pPr>
      <w:r>
        <w:rPr>
          <w:rFonts w:ascii="仿宋" w:eastAsia="仿宋" w:cs="仿宋" w:hAnsi="仿宋" w:hint="eastAsia"/>
          <w:sz w:val="32"/>
          <w:szCs w:val="32"/>
          <w:lang w:val="en-US" w:eastAsia="zh-CN"/>
        </w:rPr>
        <w:t>2、提高执法规范化水平。继续执行</w:t>
      </w:r>
      <w:r>
        <w:rPr>
          <w:rFonts w:ascii="仿宋" w:eastAsia="仿宋" w:cs="仿宋" w:hAnsi="仿宋" w:hint="eastAsia"/>
          <w:sz w:val="32"/>
          <w:szCs w:val="32"/>
        </w:rPr>
        <w:t>行政执法“三项制度”，实现了行政执法全过程记录、执法信息公开共享、执法多方位监督等功效。实行案卷一案一卷，一案一</w:t>
      </w:r>
      <w:r>
        <w:rPr>
          <w:rFonts w:ascii="仿宋" w:eastAsia="仿宋" w:cs="仿宋" w:hAnsi="仿宋" w:hint="eastAsia"/>
          <w:sz w:val="32"/>
          <w:szCs w:val="32"/>
          <w:lang w:val="en-US" w:eastAsia="zh-CN"/>
        </w:rPr>
        <w:t>评</w:t>
      </w:r>
      <w:r>
        <w:rPr>
          <w:rFonts w:ascii="仿宋" w:eastAsia="仿宋" w:cs="仿宋" w:hAnsi="仿宋" w:hint="eastAsia"/>
          <w:sz w:val="32"/>
          <w:szCs w:val="32"/>
        </w:rPr>
        <w:t>，严格执行过错责任追究，全面推行执法责任制。</w:t>
      </w:r>
      <w:r>
        <w:rPr>
          <w:rFonts w:ascii="仿宋" w:eastAsia="仿宋" w:cs="仿宋" w:hAnsi="仿宋" w:hint="eastAsia"/>
          <w:color w:val="000000"/>
          <w:kern w:val="2"/>
          <w:sz w:val="32"/>
          <w:szCs w:val="32"/>
          <w14:textFill>
            <w14:solidFill>
              <w14:srgbClr w14:val="000000"/>
            </w14:solidFill>
          </w14:textFill>
          <w:lang w:val="en-US" w:eastAsia="zh-CN" w:bidi="ar-SA"/>
        </w:rPr>
        <w:t>全年审结行政处罚案367件，审核重大行政处罚案78件，公开行政检查案件537件，结案率、公示率、信用惩戒率均达100%。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left="0" w:firstLineChars="200" w:firstLine="640"/>
        <w:jc w:val="both"/>
        <w:textAlignment w:val="auto"/>
        <w:rPr>
          <w:rFonts w:ascii="仿宋" w:eastAsia="仿宋" w:cs="仿宋" w:hAnsi="仿宋" w:hint="eastAsia"/>
          <w:color w:val="000000"/>
          <w:sz w:val="32"/>
          <w:szCs w:val="32"/>
          <w14:textFill>
            <w14:solidFill>
              <w14:srgbClr w14:val="000000"/>
            </w14:solidFill>
          </w14:textFill>
          <w:lang w:val="en-US" w:eastAsia="zh-CN"/>
        </w:rPr>
      </w:pPr>
      <w:r>
        <w:rPr>
          <w:rFonts w:ascii="仿宋" w:eastAsia="仿宋" w:cs="仿宋" w:hAnsi="仿宋" w:hint="eastAsia"/>
          <w:color w:val="000000"/>
          <w:kern w:val="2"/>
          <w:sz w:val="32"/>
          <w:szCs w:val="32"/>
          <w14:textFill>
            <w14:solidFill>
              <w14:srgbClr w14:val="000000"/>
            </w14:solidFill>
          </w14:textFill>
          <w:lang w:val="en-US" w:eastAsia="zh-CN" w:bidi="ar-SA"/>
        </w:rPr>
        <w:t>3、严格执法维护市场秩序。以行业管理为重点，每日巡查列养公路，维护路域环境，打击违法运输，累计清理非法标志标牌128处、摆摊设点217处、整改隐患212处、查处违法违规车辆上路行驶85起。</w:t>
      </w:r>
      <w:r>
        <w:rPr>
          <w:rFonts w:ascii="仿宋" w:eastAsia="仿宋" w:cs="仿宋" w:hAnsi="仿宋" w:hint="eastAsia"/>
          <w:color w:val="000000"/>
          <w:sz w:val="32"/>
          <w:szCs w:val="32"/>
          <w14:textFill>
            <w14:solidFill>
              <w14:srgbClr w14:val="000000"/>
            </w14:solidFill>
          </w14:textFill>
        </w:rPr>
        <w:t>依托联合治超站，严格落实路警联合执法常态化机制，严格执行治超“六个不放行”和“一超四罚”</w:t>
      </w:r>
      <w:r>
        <w:rPr>
          <w:rFonts w:ascii="仿宋" w:eastAsia="仿宋" w:cs="仿宋" w:hAnsi="仿宋" w:hint="eastAsia"/>
          <w:color w:val="000000"/>
          <w:sz w:val="32"/>
          <w:szCs w:val="32"/>
          <w14:textFill>
            <w14:solidFill>
              <w14:srgbClr w14:val="000000"/>
            </w14:solidFill>
          </w14:textFill>
          <w:lang w:eastAsia="zh-CN"/>
        </w:rPr>
        <w:t>“百吨王督办”</w:t>
      </w:r>
      <w:r>
        <w:rPr>
          <w:rFonts w:ascii="仿宋" w:eastAsia="仿宋" w:cs="仿宋" w:hAnsi="仿宋" w:hint="eastAsia"/>
          <w:color w:val="000000"/>
          <w:sz w:val="32"/>
          <w:szCs w:val="32"/>
          <w14:textFill>
            <w14:solidFill>
              <w14:srgbClr w14:val="000000"/>
            </w14:solidFill>
          </w14:textFill>
        </w:rPr>
        <w:t>等制度，有效遏制了违法超限运输行为</w:t>
      </w:r>
      <w:r>
        <w:rPr>
          <w:rFonts w:ascii="仿宋" w:eastAsia="仿宋" w:cs="仿宋" w:hAnsi="仿宋" w:hint="eastAsia"/>
          <w:color w:val="000000"/>
          <w:sz w:val="32"/>
          <w:szCs w:val="32"/>
          <w14:textFill>
            <w14:solidFill>
              <w14:srgbClr w14:val="000000"/>
            </w14:solidFill>
          </w14:textFill>
          <w:lang w:eastAsia="zh-CN"/>
        </w:rPr>
        <w:t>，</w:t>
      </w:r>
      <w:r>
        <w:rPr>
          <w:rFonts w:ascii="仿宋" w:eastAsia="仿宋" w:cs="仿宋" w:hAnsi="仿宋" w:hint="eastAsia"/>
          <w:color w:val="000000"/>
          <w:sz w:val="32"/>
          <w:szCs w:val="32"/>
          <w14:textFill>
            <w14:solidFill>
              <w14:srgbClr w14:val="000000"/>
            </w14:solidFill>
          </w14:textFill>
          <w:lang w:val="en-US" w:eastAsia="zh-CN"/>
        </w:rPr>
        <w:t>累计</w:t>
      </w:r>
      <w:r>
        <w:rPr>
          <w:rFonts w:ascii="仿宋" w:eastAsia="仿宋" w:cs="仿宋" w:hAnsi="仿宋" w:hint="eastAsia"/>
          <w:color w:val="000000"/>
          <w:kern w:val="2"/>
          <w:sz w:val="32"/>
          <w:szCs w:val="32"/>
          <w14:textFill>
            <w14:solidFill>
              <w14:srgbClr w14:val="000000"/>
            </w14:solidFill>
          </w14:textFill>
          <w:lang w:val="en-US" w:eastAsia="zh-CN" w:bidi="ar-SA"/>
        </w:rPr>
        <w:t>查处超限超载车辆496台次，卸载货物11048.4吨。</w:t>
      </w:r>
      <w:r>
        <w:rPr>
          <w:rFonts w:ascii="仿宋" w:eastAsia="仿宋" w:cs="仿宋" w:hAnsi="仿宋" w:hint="eastAsia"/>
          <w:color w:val="000000"/>
          <w:sz w:val="32"/>
          <w:szCs w:val="32"/>
          <w14:textFill>
            <w14:solidFill>
              <w14:srgbClr w14:val="000000"/>
            </w14:solidFill>
          </w14:textFill>
          <w:lang w:val="en-US" w:eastAsia="zh-CN"/>
        </w:rPr>
        <w:t>2025年12月建设非现场治超设施2处，2026年1月16日启动实施，并按照新的《河北省治理货运车辆超限超载规定》进行治理。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left="0" w:firstLineChars="200" w:firstLine="640"/>
        <w:textAlignment w:val="auto"/>
        <w:rPr>
          <w:rFonts w:ascii="仿宋" w:eastAsia="仿宋" w:cs="仿宋" w:hAnsi="仿宋" w:hint="eastAsia"/>
          <w:b w:val="0"/>
          <w:bCs w:val="0"/>
          <w:color w:val="auto"/>
          <w:sz w:val="32"/>
          <w:szCs w:val="32"/>
          <w:lang w:val="en-US" w:eastAsia="zh-CN"/>
        </w:rPr>
      </w:pPr>
      <w:r>
        <w:rPr>
          <w:rFonts w:ascii="仿宋" w:eastAsia="仿宋" w:cs="仿宋" w:hAnsi="仿宋" w:hint="eastAsia"/>
          <w:color w:val="000000"/>
          <w:sz w:val="32"/>
          <w:szCs w:val="32"/>
          <w14:textFill>
            <w14:solidFill>
              <w14:srgbClr w14:val="000000"/>
            </w14:solidFill>
          </w14:textFill>
          <w:lang w:val="en-US" w:eastAsia="zh-CN"/>
        </w:rPr>
        <w:t>4、创新执法方式。</w:t>
      </w:r>
      <w:r>
        <w:rPr>
          <w:rFonts w:ascii="仿宋" w:eastAsia="仿宋" w:cs="仿宋" w:hAnsi="仿宋" w:hint="eastAsia"/>
          <w:sz w:val="32"/>
          <w:szCs w:val="32"/>
          <w:lang w:val="en-US" w:eastAsia="zh-CN"/>
        </w:rPr>
        <w:t>推行“说理式执法”、“首违不罚”、</w:t>
      </w:r>
      <w:r>
        <w:rPr>
          <w:rFonts w:ascii="仿宋" w:eastAsia="仿宋" w:cs="仿宋" w:hAnsi="仿宋"/>
          <w:sz w:val="32"/>
          <w:szCs w:val="32"/>
          <w:lang w:val="en-US" w:eastAsia="zh-CN"/>
        </w:rPr>
        <w:t>“</w:t>
      </w:r>
      <w:r>
        <w:rPr>
          <w:rFonts w:ascii="仿宋" w:eastAsia="仿宋" w:cs="仿宋" w:hAnsi="仿宋" w:hint="eastAsia"/>
          <w:sz w:val="32"/>
          <w:szCs w:val="32"/>
          <w:lang w:val="en-US" w:eastAsia="zh-CN"/>
        </w:rPr>
        <w:t>轻微免罚</w:t>
      </w:r>
      <w:r>
        <w:rPr>
          <w:rFonts w:ascii="仿宋" w:eastAsia="仿宋" w:cs="仿宋" w:hAnsi="仿宋"/>
          <w:sz w:val="32"/>
          <w:szCs w:val="32"/>
          <w:lang w:val="en-US" w:eastAsia="zh-CN"/>
        </w:rPr>
        <w:t>”</w:t>
      </w:r>
      <w:r>
        <w:rPr>
          <w:rFonts w:ascii="仿宋" w:eastAsia="仿宋" w:cs="仿宋" w:hAnsi="仿宋" w:hint="eastAsia"/>
          <w:sz w:val="32"/>
          <w:szCs w:val="32"/>
          <w:lang w:val="en-US" w:eastAsia="zh-CN"/>
        </w:rPr>
        <w:t>制度，为减少对企业的过度检查，2025年推行“扫码入企</w:t>
      </w:r>
      <w:r>
        <w:rPr>
          <w:rFonts w:ascii="仿宋" w:eastAsia="仿宋" w:cs="仿宋" w:hAnsi="仿宋"/>
          <w:sz w:val="32"/>
          <w:szCs w:val="32"/>
          <w:lang w:val="en-US" w:eastAsia="zh-CN"/>
        </w:rPr>
        <w:t>”</w:t>
      </w:r>
      <w:r>
        <w:rPr>
          <w:rFonts w:ascii="仿宋" w:eastAsia="仿宋" w:cs="仿宋" w:hAnsi="仿宋" w:hint="eastAsia"/>
          <w:sz w:val="32"/>
          <w:szCs w:val="32"/>
          <w:lang w:val="en-US" w:eastAsia="zh-CN"/>
        </w:rPr>
        <w:t>制度，制定</w:t>
      </w:r>
      <w:r>
        <w:rPr>
          <w:rFonts w:ascii="仿宋" w:eastAsia="仿宋" w:cs="仿宋" w:hAnsi="仿宋" w:hint="eastAsia"/>
          <w:b w:val="0"/>
          <w:bCs w:val="0"/>
          <w:sz w:val="32"/>
          <w:szCs w:val="32"/>
          <w:lang w:val="en-US" w:eastAsia="zh-CN"/>
        </w:rPr>
        <w:t>《涉企行政检查事项清单》共14项，全部在区政府网站进行公示，</w:t>
      </w:r>
      <w:r>
        <w:rPr>
          <w:rFonts w:ascii="仿宋" w:eastAsia="仿宋" w:cs="仿宋" w:hAnsi="仿宋" w:hint="eastAsia"/>
          <w:sz w:val="32"/>
          <w:szCs w:val="32"/>
          <w:lang w:val="en-US" w:eastAsia="zh-CN"/>
        </w:rPr>
        <w:t>出台涉企检查办法、</w:t>
      </w:r>
      <w:r>
        <w:rPr>
          <w:rFonts w:ascii="仿宋" w:eastAsia="仿宋" w:cs="仿宋" w:hAnsi="仿宋" w:hint="eastAsia"/>
          <w:b w:val="0"/>
          <w:bCs w:val="0"/>
          <w:color w:val="000000"/>
          <w:sz w:val="32"/>
          <w:szCs w:val="32"/>
          <w:lang w:val="en-US" w:eastAsia="zh-CN" w:bidi="ar-SA"/>
        </w:rPr>
        <w:t>制定年度检查计划，根据年度检查计划进行涉企检查，</w:t>
      </w:r>
      <w:r>
        <w:rPr>
          <w:rFonts w:ascii="仿宋" w:eastAsia="仿宋" w:cs="仿宋" w:hAnsi="仿宋" w:hint="eastAsia"/>
          <w:sz w:val="32"/>
          <w:szCs w:val="32"/>
          <w:lang w:val="en-US" w:eastAsia="zh-CN"/>
        </w:rPr>
        <w:t>入企</w:t>
      </w:r>
      <w:r>
        <w:rPr>
          <w:rFonts w:ascii="仿宋" w:eastAsia="仿宋" w:cs="仿宋" w:hAnsi="仿宋" w:hint="eastAsia"/>
          <w:sz w:val="32"/>
          <w:szCs w:val="32"/>
        </w:rPr>
        <w:t>检查</w:t>
      </w:r>
      <w:r>
        <w:rPr>
          <w:rFonts w:ascii="仿宋" w:eastAsia="仿宋" w:cs="仿宋" w:hAnsi="仿宋" w:hint="eastAsia"/>
          <w:sz w:val="32"/>
          <w:szCs w:val="32"/>
          <w:lang w:val="en-US" w:eastAsia="zh-CN"/>
        </w:rPr>
        <w:t>必须“扫码”，</w:t>
      </w:r>
      <w:r>
        <w:rPr>
          <w:rFonts w:ascii="仿宋" w:eastAsia="仿宋" w:cs="仿宋" w:hAnsi="仿宋" w:hint="eastAsia"/>
          <w:sz w:val="32"/>
          <w:szCs w:val="32"/>
        </w:rPr>
        <w:t>避免多头执法、重复检查。</w:t>
      </w:r>
      <w:r>
        <w:rPr>
          <w:rFonts w:ascii="仿宋" w:eastAsia="仿宋" w:cs="仿宋" w:hAnsi="仿宋" w:hint="eastAsia"/>
          <w:color w:val="auto"/>
          <w:sz w:val="32"/>
          <w:szCs w:val="32"/>
          <w:lang w:val="en-US" w:eastAsia="zh-CN"/>
        </w:rPr>
        <w:t>2025年首违不罚案件4件，涉及金额4000元，2025年累计</w:t>
      </w:r>
      <w:r>
        <w:rPr>
          <w:rFonts w:ascii="仿宋" w:eastAsia="仿宋" w:cs="仿宋" w:hAnsi="仿宋" w:hint="eastAsia"/>
          <w:b w:val="0"/>
          <w:bCs w:val="0"/>
          <w:sz w:val="32"/>
          <w:szCs w:val="32"/>
        </w:rPr>
        <w:t>涉企行政检查</w:t>
      </w:r>
      <w:r>
        <w:rPr>
          <w:rFonts w:ascii="仿宋" w:eastAsia="仿宋" w:cs="仿宋" w:hAnsi="仿宋" w:hint="eastAsia"/>
          <w:b w:val="0"/>
          <w:bCs w:val="0"/>
          <w:color w:val="auto"/>
          <w:sz w:val="32"/>
          <w:szCs w:val="32"/>
          <w:u w:val="none"/>
          <w:lang w:val="en-US" w:eastAsia="zh-CN"/>
        </w:rPr>
        <w:t>49</w:t>
      </w:r>
      <w:r>
        <w:rPr>
          <w:rFonts w:ascii="仿宋" w:eastAsia="仿宋" w:cs="仿宋" w:hAnsi="仿宋" w:hint="eastAsia"/>
          <w:b w:val="0"/>
          <w:bCs w:val="0"/>
          <w:color w:val="auto"/>
          <w:sz w:val="32"/>
          <w:szCs w:val="32"/>
        </w:rPr>
        <w:t>次</w:t>
      </w:r>
      <w:r>
        <w:rPr>
          <w:rFonts w:ascii="仿宋" w:eastAsia="仿宋" w:cs="仿宋" w:hAnsi="仿宋" w:hint="eastAsia"/>
          <w:b w:val="0"/>
          <w:bCs w:val="0"/>
          <w:color w:val="auto"/>
          <w:sz w:val="32"/>
          <w:szCs w:val="32"/>
          <w:lang w:val="en-US" w:eastAsia="zh-CN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left="0" w:firstLineChars="200" w:firstLine="640"/>
        <w:jc w:val="both"/>
        <w:textAlignment w:val="auto"/>
        <w:rPr>
          <w:rFonts w:ascii="仿宋" w:eastAsia="仿宋" w:cs="仿宋" w:hAnsi="仿宋" w:hint="eastAsia"/>
          <w:sz w:val="32"/>
          <w:szCs w:val="32"/>
          <w:lang w:val="en-US" w:eastAsia="zh-CN"/>
        </w:rPr>
      </w:pPr>
      <w:r>
        <w:rPr>
          <w:rFonts w:ascii="仿宋" w:eastAsia="仿宋" w:cs="仿宋" w:hAnsi="仿宋" w:hint="eastAsia"/>
          <w:sz w:val="32"/>
          <w:szCs w:val="32"/>
          <w:lang w:val="en-US" w:eastAsia="zh-CN"/>
        </w:rPr>
        <w:t>（五）强化权力制约，健全执法监督体系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left="0" w:firstLineChars="200" w:firstLine="640"/>
        <w:jc w:val="both"/>
        <w:textAlignment w:val="auto"/>
        <w:rPr>
          <w:rFonts w:ascii="仿宋" w:eastAsia="仿宋" w:cs="仿宋" w:hAnsi="仿宋" w:hint="eastAsia"/>
          <w:sz w:val="32"/>
          <w:szCs w:val="32"/>
          <w:lang w:val="en-US" w:eastAsia="zh-CN"/>
        </w:rPr>
      </w:pPr>
      <w:r>
        <w:rPr>
          <w:rFonts w:ascii="仿宋" w:eastAsia="仿宋" w:cs="仿宋" w:hAnsi="仿宋" w:hint="eastAsia"/>
          <w:sz w:val="32"/>
          <w:szCs w:val="32"/>
          <w:lang w:val="en-US" w:eastAsia="zh-CN"/>
        </w:rPr>
        <w:t>1、</w:t>
      </w:r>
      <w:r>
        <w:rPr>
          <w:rFonts w:ascii="仿宋" w:eastAsia="仿宋" w:cs="仿宋" w:hAnsi="仿宋" w:hint="eastAsia"/>
          <w:b w:val="0"/>
          <w:bCs w:val="0"/>
          <w:sz w:val="32"/>
          <w:szCs w:val="32"/>
          <w:lang w:val="en-US" w:eastAsia="zh-CN" w:bidi="ar-SA"/>
        </w:rPr>
        <w:t>严把证件关。</w:t>
      </w:r>
      <w:r>
        <w:rPr>
          <w:rFonts w:ascii="仿宋" w:eastAsia="仿宋" w:cs="仿宋" w:hAnsi="仿宋" w:hint="eastAsia"/>
          <w:sz w:val="32"/>
          <w:szCs w:val="32"/>
          <w:lang w:val="en-US" w:eastAsia="zh-CN"/>
        </w:rPr>
        <w:t>建立执法人员资格管理和持证上岗制度，对因退休、离岗等原因调离执法岗位的，将执法证件进行回收注销。</w:t>
      </w:r>
      <w:r>
        <w:rPr>
          <w:rFonts w:ascii="仿宋" w:eastAsia="仿宋" w:cs="仿宋" w:hAnsi="仿宋" w:hint="eastAsia"/>
          <w:b w:val="0"/>
          <w:bCs w:val="0"/>
          <w:color w:val="auto"/>
          <w:sz w:val="32"/>
          <w:szCs w:val="32"/>
          <w:lang w:val="en-US" w:eastAsia="zh-CN" w:bidi="ar-SA"/>
        </w:rPr>
        <w:t>2025年注销执法证件5人，收回证件上交至司法局。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left="0" w:firstLineChars="200" w:firstLine="640"/>
        <w:jc w:val="both"/>
        <w:textAlignment w:val="auto"/>
        <w:rPr>
          <w:rFonts w:ascii="仿宋" w:eastAsia="仿宋" w:cs="仿宋" w:hAnsi="仿宋" w:hint="eastAsia"/>
          <w:sz w:val="32"/>
          <w:szCs w:val="32"/>
          <w:lang w:val="en-US" w:eastAsia="zh-CN"/>
        </w:rPr>
      </w:pPr>
      <w:r>
        <w:rPr>
          <w:rFonts w:ascii="仿宋" w:eastAsia="仿宋" w:cs="仿宋" w:hAnsi="仿宋" w:hint="eastAsia"/>
          <w:sz w:val="32"/>
          <w:szCs w:val="32"/>
          <w:lang w:val="en-US" w:eastAsia="zh-CN"/>
        </w:rPr>
        <w:t>2、构建全方位监督。自觉接受党内监督、行政监督、社会监督和司法监督，畅通12328热线、12345平台等社会监督渠道，公布投诉举报电话，建立投诉举报快速响应机制。</w:t>
      </w:r>
      <w:r>
        <w:rPr>
          <w:rFonts w:ascii="仿宋" w:eastAsia="仿宋" w:cs="仿宋" w:hAnsi="仿宋" w:hint="eastAsia"/>
          <w:color w:val="000000"/>
          <w:kern w:val="2"/>
          <w:sz w:val="32"/>
          <w:szCs w:val="32"/>
          <w14:textFill>
            <w14:solidFill>
              <w14:srgbClr w14:val="000000"/>
            </w14:solidFill>
          </w14:textFill>
          <w:lang w:val="en-US" w:eastAsia="zh-CN" w:bidi="ar-SA"/>
        </w:rPr>
        <w:t>严格推行信访法治化，落实领导包案和隐患排查制，全年处理信访案件16件，受理率和答复率均达100%。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left="0" w:firstLineChars="200" w:firstLine="640"/>
        <w:jc w:val="both"/>
        <w:textAlignment w:val="auto"/>
        <w:rPr>
          <w:rFonts w:ascii="仿宋" w:eastAsia="仿宋" w:cs="仿宋" w:hAnsi="仿宋" w:hint="eastAsia"/>
          <w:sz w:val="32"/>
          <w:szCs w:val="32"/>
          <w:lang w:val="en-US" w:eastAsia="zh-CN"/>
        </w:rPr>
      </w:pPr>
      <w:r>
        <w:rPr>
          <w:rFonts w:ascii="仿宋" w:eastAsia="仿宋" w:cs="仿宋" w:hAnsi="仿宋" w:hint="eastAsia"/>
          <w:sz w:val="32"/>
          <w:szCs w:val="32"/>
          <w:lang w:val="en-US" w:eastAsia="zh-CN"/>
        </w:rPr>
        <w:t>二、存在的问题与不足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left="0" w:firstLineChars="200" w:firstLine="640"/>
        <w:jc w:val="both"/>
        <w:textAlignment w:val="auto"/>
        <w:rPr>
          <w:rFonts w:ascii="仿宋" w:eastAsia="仿宋" w:cs="仿宋" w:hAnsi="仿宋" w:hint="eastAsia"/>
          <w:sz w:val="32"/>
          <w:szCs w:val="32"/>
          <w:lang w:val="en-US" w:eastAsia="zh-CN"/>
        </w:rPr>
      </w:pPr>
      <w:r>
        <w:rPr>
          <w:rFonts w:ascii="仿宋" w:eastAsia="仿宋" w:cs="仿宋" w:hAnsi="仿宋" w:hint="eastAsia"/>
          <w:sz w:val="32"/>
          <w:szCs w:val="32"/>
          <w:lang w:val="en-US" w:eastAsia="zh-CN"/>
        </w:rPr>
        <w:t>（一）法治思维运用不够深入。部分干部“重业务轻法治”倾向依然存在，运用法治方式解决新业态监管、历史遗留问题等复杂情况的能力有待提升，主动合规意识需进一步强化。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left="0" w:firstLineChars="200" w:firstLine="640"/>
        <w:jc w:val="both"/>
        <w:textAlignment w:val="auto"/>
        <w:rPr>
          <w:rFonts w:ascii="仿宋" w:eastAsia="仿宋" w:cs="仿宋" w:hAnsi="仿宋" w:hint="eastAsia"/>
          <w:sz w:val="32"/>
          <w:szCs w:val="32"/>
          <w:lang w:val="en-US" w:eastAsia="zh-CN"/>
        </w:rPr>
      </w:pPr>
      <w:r>
        <w:rPr>
          <w:rFonts w:ascii="仿宋" w:eastAsia="仿宋" w:cs="仿宋" w:hAnsi="仿宋" w:hint="eastAsia"/>
          <w:sz w:val="32"/>
          <w:szCs w:val="32"/>
          <w:lang w:val="en-US" w:eastAsia="zh-CN"/>
        </w:rPr>
        <w:t>（二）执法能力有待提升。基层执法人员应对复杂执法场景的能力参差不齐，执法装备信息化水平需进一步提高，跨部门执法协同机制仍需优化，信息共享存在堵点。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Chars="221" w:firstLine="707"/>
        <w:textAlignment w:val="auto"/>
        <w:rPr>
          <w:rFonts w:ascii="仿宋" w:eastAsia="仿宋" w:cs="仿宋" w:hAnsi="仿宋" w:hint="eastAsia"/>
          <w:b w:val="0"/>
          <w:bCs w:val="0"/>
          <w:sz w:val="32"/>
          <w:szCs w:val="32"/>
          <w:lang w:val="en-US" w:eastAsia="zh-CN"/>
        </w:rPr>
      </w:pPr>
      <w:r>
        <w:rPr>
          <w:rFonts w:ascii="仿宋" w:eastAsia="仿宋" w:cs="仿宋" w:hAnsi="仿宋" w:hint="eastAsia"/>
          <w:b w:val="0"/>
          <w:bCs w:val="0"/>
          <w:sz w:val="32"/>
          <w:szCs w:val="32"/>
          <w:lang w:val="en-US" w:eastAsia="zh-CN"/>
        </w:rPr>
        <w:t>三</w:t>
      </w:r>
      <w:r>
        <w:rPr>
          <w:rFonts w:ascii="仿宋" w:eastAsia="仿宋" w:cs="仿宋" w:hAnsi="仿宋" w:hint="eastAsia"/>
          <w:b w:val="0"/>
          <w:bCs w:val="0"/>
          <w:sz w:val="32"/>
          <w:szCs w:val="32"/>
        </w:rPr>
        <w:t>、下一步工作打算</w:t>
      </w:r>
      <w:r>
        <w:rPr>
          <w:rFonts w:ascii="仿宋" w:eastAsia="仿宋" w:cs="仿宋" w:hAnsi="仿宋" w:hint="eastAsia"/>
          <w:b w:val="0"/>
          <w:bCs w:val="0"/>
          <w:sz w:val="32"/>
          <w:szCs w:val="32"/>
          <w:lang w:val="en-US" w:eastAsia="zh-CN"/>
        </w:rPr>
        <w:t>及建议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Chars="221" w:firstLine="707"/>
        <w:textAlignment w:val="auto"/>
        <w:rPr>
          <w:rFonts w:ascii="仿宋" w:eastAsia="仿宋" w:cs="仿宋" w:hAnsi="仿宋" w:hint="eastAsia"/>
          <w:b w:val="0"/>
          <w:bCs w:val="0"/>
          <w:sz w:val="32"/>
          <w:szCs w:val="32"/>
        </w:rPr>
      </w:pPr>
      <w:r>
        <w:rPr>
          <w:rFonts w:ascii="仿宋" w:eastAsia="仿宋" w:cs="仿宋" w:hAnsi="仿宋" w:hint="eastAsia"/>
          <w:b w:val="0"/>
          <w:bCs w:val="0"/>
          <w:sz w:val="32"/>
          <w:szCs w:val="32"/>
        </w:rPr>
        <w:t>（一）强化理论学习。深入学习贯彻</w:t>
      </w:r>
      <w:r>
        <w:rPr>
          <w:rFonts w:ascii="仿宋" w:eastAsia="仿宋" w:cs="仿宋" w:hAnsi="仿宋" w:hint="eastAsia"/>
          <w:b w:val="0"/>
          <w:bCs w:val="0"/>
          <w:sz w:val="32"/>
          <w:szCs w:val="32"/>
          <w:lang w:eastAsia="zh-CN"/>
        </w:rPr>
        <w:t>党的二十大和</w:t>
      </w:r>
      <w:r>
        <w:rPr>
          <w:rFonts w:ascii="仿宋" w:eastAsia="仿宋" w:cs="仿宋" w:hAnsi="仿宋" w:hint="eastAsia"/>
          <w:b w:val="0"/>
          <w:bCs w:val="0"/>
          <w:sz w:val="32"/>
          <w:szCs w:val="32"/>
          <w:lang w:val="en-US" w:eastAsia="zh-CN"/>
        </w:rPr>
        <w:t>二十届历次</w:t>
      </w:r>
      <w:r>
        <w:rPr>
          <w:rFonts w:ascii="仿宋" w:eastAsia="仿宋" w:cs="仿宋" w:hAnsi="仿宋" w:hint="eastAsia"/>
          <w:b w:val="0"/>
          <w:bCs w:val="0"/>
          <w:sz w:val="32"/>
          <w:szCs w:val="32"/>
          <w:lang w:eastAsia="zh-CN"/>
        </w:rPr>
        <w:t>全会精神</w:t>
      </w:r>
      <w:r>
        <w:rPr>
          <w:rFonts w:ascii="仿宋" w:eastAsia="仿宋" w:cs="仿宋" w:hAnsi="仿宋" w:hint="eastAsia"/>
          <w:b w:val="0"/>
          <w:bCs w:val="0"/>
          <w:sz w:val="32"/>
          <w:szCs w:val="32"/>
        </w:rPr>
        <w:t>和《习近平法治思想学习纲要》，以实际行动贯彻落实中央、省委、市委、</w:t>
      </w:r>
      <w:r>
        <w:rPr>
          <w:rFonts w:ascii="仿宋" w:eastAsia="仿宋" w:cs="仿宋" w:hAnsi="仿宋" w:hint="eastAsia"/>
          <w:b w:val="0"/>
          <w:bCs w:val="0"/>
          <w:sz w:val="32"/>
          <w:szCs w:val="32"/>
          <w:lang w:val="en-US" w:eastAsia="zh-CN"/>
        </w:rPr>
        <w:t>区</w:t>
      </w:r>
      <w:r>
        <w:rPr>
          <w:rFonts w:ascii="仿宋" w:eastAsia="仿宋" w:cs="仿宋" w:hAnsi="仿宋" w:hint="eastAsia"/>
          <w:b w:val="0"/>
          <w:bCs w:val="0"/>
          <w:sz w:val="32"/>
          <w:szCs w:val="32"/>
        </w:rPr>
        <w:t>委有关法治建设的决策部署，着力推进交通</w:t>
      </w:r>
      <w:r>
        <w:rPr>
          <w:rFonts w:ascii="仿宋" w:eastAsia="仿宋" w:cs="仿宋" w:hAnsi="仿宋" w:hint="eastAsia"/>
          <w:b w:val="0"/>
          <w:bCs w:val="0"/>
          <w:sz w:val="32"/>
          <w:szCs w:val="32"/>
          <w:lang w:eastAsia="zh-CN"/>
        </w:rPr>
        <w:t>运输</w:t>
      </w:r>
      <w:r>
        <w:rPr>
          <w:rFonts w:ascii="仿宋" w:eastAsia="仿宋" w:cs="仿宋" w:hAnsi="仿宋" w:hint="eastAsia"/>
          <w:b w:val="0"/>
          <w:bCs w:val="0"/>
          <w:sz w:val="32"/>
          <w:szCs w:val="32"/>
        </w:rPr>
        <w:t>法治部门建设。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Chars="221" w:firstLine="707"/>
        <w:textAlignment w:val="auto"/>
        <w:rPr>
          <w:rFonts w:ascii="仿宋" w:eastAsia="仿宋" w:cs="仿宋" w:hAnsi="仿宋" w:hint="eastAsia"/>
          <w:b w:val="0"/>
          <w:bCs w:val="0"/>
          <w:sz w:val="32"/>
          <w:szCs w:val="32"/>
        </w:rPr>
      </w:pPr>
      <w:r>
        <w:rPr>
          <w:rFonts w:ascii="仿宋" w:eastAsia="仿宋" w:cs="仿宋" w:hAnsi="仿宋" w:hint="eastAsia"/>
          <w:b w:val="0"/>
          <w:bCs w:val="0"/>
          <w:sz w:val="32"/>
          <w:szCs w:val="32"/>
        </w:rPr>
        <w:t>（二）提高执法能力。加强交通运输综合行政执法队伍教育管理，开展执法人员综合能力培训，努力建设一支政治合格、作风过硬、业务精炼、保障有力、人民满意的交通行政执法队伍。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Chars="221" w:firstLine="707"/>
        <w:textAlignment w:val="auto"/>
        <w:rPr>
          <w:rFonts w:ascii="仿宋" w:eastAsia="仿宋" w:cs="仿宋" w:hAnsi="仿宋" w:hint="eastAsia"/>
          <w:b w:val="0"/>
          <w:bCs w:val="0"/>
          <w:sz w:val="32"/>
          <w:szCs w:val="32"/>
        </w:rPr>
      </w:pPr>
      <w:r>
        <w:rPr>
          <w:rFonts w:ascii="仿宋" w:eastAsia="仿宋" w:cs="仿宋" w:hAnsi="仿宋" w:hint="eastAsia"/>
          <w:b w:val="0"/>
          <w:bCs w:val="0"/>
          <w:sz w:val="32"/>
          <w:szCs w:val="32"/>
        </w:rPr>
        <w:t>（三）深入推进普法工作。加强交通普法和依法治理有机结合，推动交通普法进乡村、进社区、进企业，增强交通普法的创新性、针对性和实效性。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left="0" w:firstLineChars="200" w:firstLine="640"/>
        <w:jc w:val="both"/>
        <w:textAlignment w:val="auto"/>
        <w:rPr>
          <w:rFonts w:ascii="仿宋" w:eastAsia="仿宋" w:cs="仿宋" w:hAnsi="仿宋" w:hint="eastAsia"/>
          <w:b w:val="0"/>
          <w:bCs w:val="0"/>
          <w:sz w:val="32"/>
          <w:szCs w:val="32"/>
          <w:lang w:val="en-US" w:eastAsia="zh-CN"/>
        </w:rPr>
      </w:pPr>
      <w:r>
        <w:rPr>
          <w:rFonts w:ascii="仿宋" w:eastAsia="仿宋" w:cs="仿宋" w:hAnsi="仿宋" w:hint="eastAsia"/>
          <w:b w:val="0"/>
          <w:bCs w:val="0"/>
          <w:sz w:val="32"/>
          <w:szCs w:val="32"/>
          <w:lang w:eastAsia="zh-CN"/>
        </w:rPr>
        <w:t>（</w:t>
      </w:r>
      <w:r>
        <w:rPr>
          <w:rFonts w:ascii="仿宋" w:eastAsia="仿宋" w:cs="仿宋" w:hAnsi="仿宋" w:hint="eastAsia"/>
          <w:b w:val="0"/>
          <w:bCs w:val="0"/>
          <w:sz w:val="32"/>
          <w:szCs w:val="32"/>
          <w:lang w:val="en-US" w:eastAsia="zh-CN"/>
        </w:rPr>
        <w:t>四</w:t>
      </w:r>
      <w:r>
        <w:rPr>
          <w:rFonts w:ascii="仿宋" w:eastAsia="仿宋" w:cs="仿宋" w:hAnsi="仿宋" w:hint="eastAsia"/>
          <w:b w:val="0"/>
          <w:bCs w:val="0"/>
          <w:sz w:val="32"/>
          <w:szCs w:val="32"/>
          <w:lang w:eastAsia="zh-CN"/>
        </w:rPr>
        <w:t>）</w:t>
      </w:r>
      <w:r>
        <w:rPr>
          <w:rFonts w:ascii="仿宋" w:eastAsia="仿宋" w:cs="仿宋" w:hAnsi="仿宋" w:hint="eastAsia"/>
          <w:b w:val="0"/>
          <w:bCs w:val="0"/>
          <w:sz w:val="32"/>
          <w:szCs w:val="32"/>
          <w:lang w:val="en-US" w:eastAsia="zh-CN"/>
        </w:rPr>
        <w:t>加大执法保障力度。建议上级部门增加执法装备和信息化建设投入，推进执法信息系统互联互通，实现数据共享共用；建立执法人员常态化交流培训机制，组织跨区域跨部门执法业务交流，提升应对复杂场景的执法能力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jc w:val="both"/>
        <w:textAlignment w:val="auto"/>
        <w:rPr>
          <w:rFonts w:ascii="仿宋" w:eastAsia="仿宋" w:cs="仿宋" w:hAnsi="仿宋" w:hint="eastAsia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jc w:val="both"/>
        <w:textAlignment w:val="auto"/>
        <w:rPr>
          <w:rFonts w:ascii="仿宋" w:eastAsia="仿宋" w:cs="仿宋" w:hAnsi="仿宋"/>
          <w:sz w:val="32"/>
          <w:szCs w:val="32"/>
          <w:lang w:val="en-US" w:eastAsia="zh-CN"/>
        </w:rPr>
      </w:pPr>
      <w:r>
        <w:rPr>
          <w:rFonts w:ascii="仿宋" w:eastAsia="仿宋" w:cs="仿宋" w:hAnsi="仿宋"/>
          <w:sz w:val="32"/>
          <w:szCs w:val="32"/>
          <w:lang w:val="en-US" w:eastAsia="zh-CN"/>
        </w:rPr>
        <w:t xml:space="preserve">                          </w:t>
        <w:tab/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Chars="1350" w:firstLine="4320"/>
        <w:jc w:val="both"/>
        <w:textAlignment w:val="auto"/>
        <w:rPr>
          <w:rFonts w:ascii="仿宋" w:eastAsia="仿宋" w:cs="仿宋" w:hAnsi="仿宋" w:hint="eastAsia"/>
          <w:sz w:val="32"/>
          <w:szCs w:val="32"/>
          <w:lang w:val="en-US" w:eastAsia="zh-CN"/>
        </w:rPr>
      </w:pPr>
      <w:r>
        <w:rPr>
          <w:rFonts w:ascii="仿宋" w:eastAsia="仿宋" w:cs="仿宋" w:hAnsi="仿宋"/>
          <w:sz w:val="32"/>
          <w:szCs w:val="32"/>
          <w:lang w:val="en-US" w:eastAsia="zh-CN"/>
        </w:rPr>
        <w:t>秦皇岛市抚宁区交通运输局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jc w:val="center"/>
        <w:textAlignment w:val="auto"/>
        <w:rPr>
          <w:rFonts w:ascii="仿宋" w:eastAsia="仿宋" w:cs="仿宋" w:hAnsi="仿宋"/>
          <w:sz w:val="32"/>
          <w:szCs w:val="32"/>
          <w:lang w:val="en-US" w:eastAsia="zh-CN"/>
        </w:rPr>
      </w:pPr>
      <w:r>
        <w:rPr>
          <w:rFonts w:ascii="仿宋" w:eastAsia="仿宋" w:cs="仿宋" w:hAnsi="仿宋"/>
          <w:sz w:val="32"/>
          <w:szCs w:val="32"/>
          <w:lang w:val="en-US" w:eastAsia="zh-CN"/>
        </w:rPr>
        <w:t xml:space="preserve">                            </w:t>
      </w:r>
      <w:r>
        <w:rPr>
          <w:rFonts w:ascii="仿宋" w:eastAsia="仿宋" w:cs="仿宋" w:hAnsi="仿宋" w:hint="eastAsia"/>
          <w:sz w:val="32"/>
          <w:szCs w:val="32"/>
          <w:lang w:val="en-US" w:eastAsia="zh-CN"/>
        </w:rPr>
        <w:t>2025年12月31日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jc w:val="center"/>
        <w:textAlignment w:val="auto"/>
        <w:rPr>
          <w:rFonts w:ascii="仿宋" w:eastAsia="仿宋" w:cs="仿宋" w:hAnsi="仿宋"/>
          <w:sz w:val="32"/>
          <w:szCs w:val="32"/>
          <w:lang w:val="en-US" w:eastAsia="zh-CN"/>
        </w:rPr>
      </w:pPr>
    </w:p>
    <w:sectPr>
      <w:pgSz w:w="11906" w:h="16838"/>
      <w:pgMar w:top="1440" w:right="1800" w:bottom="1440" w:left="1800" w:header="851" w:footer="992" w:gutter="0"/>
      <w:cols w:num="1" w:space="425"/>
      <w:docGrid w:type="lines" w:linePitch="312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宋体">
    <w:panose1 w:val="02010600030101010101"/>
    <w:charset w:val="50"/>
    <w:family w:val="auto"/>
    <w:pitch w:val="variable"/>
    <w:sig w:usb0="00000203" w:usb1="288F0000" w:usb2="00000006" w:usb3="00000000" w:csb0="00040001" w:csb1="00000000"/>
  </w:font>
  <w:font w:name="仿宋">
    <w:panose1 w:val="02010609060101010101"/>
    <w:charset w:val="86"/>
    <w:family w:val="auto"/>
    <w:pitch w:val="variable"/>
    <w:sig w:usb0="800002BF" w:usb1="38CF7CFA" w:usb2="00000016" w:usb3="00000000" w:csb0="00040001" w:csb1="00000000"/>
  </w:font>
  <w:font w:name="Times New Roman">
    <w:panose1 w:val="02020603050405020304"/>
    <w:charset w:val="7A"/>
    <w:family w:val="auto"/>
    <w:pitch w:val="variable"/>
    <w:sig w:usb0="E0002EFF" w:usb1="C000785B" w:usb2="00000009" w:usb3="00000000" w:csb0="400001FF" w:csb1="FFFF0000"/>
  </w:font>
  <w:font w:name="Arial">
    <w:panose1 w:val="020B0604020202020204"/>
    <w:charset w:val="01"/>
    <w:family w:val="swiss"/>
    <w:pitch w:val="variable"/>
    <w:sig w:usb0="E0002EFF" w:usb1="C000785B" w:usb2="00000009" w:usb3="00000000" w:csb0="400001FF" w:csb1="FFFF0000"/>
  </w:font>
  <w:font w:name="Calibri">
    <w:panose1 w:val="020F0502020204030204"/>
    <w:charset w:val="00"/>
    <w:family w:val="swiss"/>
    <w:pitch w:val="variable"/>
    <w:sig w:usb0="E4002EFF" w:usb1="C000247B" w:usb2="00000009" w:usb3="00000000" w:csb0="200001FF" w:csb1="00000000"/>
  </w:font>
  <w:font w:name="黑体">
    <w:panose1 w:val="02010609060101010101"/>
    <w:charset w:val="86"/>
    <w:family w:val="auto"/>
    <w:pitch w:val="variable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2000019F" w:csb1="00000000"/>
  </w:font>
</w:fonts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m="http://schemas.openxmlformats.org/officeDocument/2006/math" xmlns:v="urn:schemas-microsoft-com:vml" xmlns:mc="http://schemas.openxmlformats.org/markup-compatibility/2006" xmlns:w14="http://schemas.microsoft.com/office/word/2010/wordml">
  <w:abstractNum w:abstractNumId="0">
    <w:nsid w:val="9D3BC94E"/>
    <w:multiLevelType w:val="singleLevel"/>
    <w:tmpl w:val="9D3BC94E"/>
    <w:lvl w:ilvl="0">
      <w:start w:val="2"/>
      <w:numFmt w:val="chineseCounting"/>
      <w:lvlRestart w:val="0"/>
      <w:suff w:val="nothing"/>
      <w:lvlText w:val="（%1）"/>
      <w:lvlJc w:val="left"/>
      <w:pPr/>
      <w:rPr>
        <w:rFonts w:hint="eastAsia"/>
      </w:rPr>
    </w:lvl>
  </w:abstractNum>
  <w:num w:numId="1">
    <w:abstractNumId w:val="0"/>
  </w:num>
</w:numbering>
</file>

<file path=word/settings.xml><?xml version="1.0" encoding="utf-8"?>
<w:settings xmlns:w="http://schemas.openxmlformats.org/wordprocessingml/2006/main" xmlns:o="urn:schemas-microsoft-com:office:office" xmlns:r="http://schemas.openxmlformats.org/officeDocument/2006/relationships" xmlns:m="http://schemas.openxmlformats.org/officeDocument/2006/math" xmlns:v="urn:schemas-microsoft-com:vml">
  <w:zoom w:percent="114"/>
  <w:bordersDoNotSurroundHeader/>
  <w:bordersDoNotSurroundFooter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ulTrailSpace/>
    <w:doNotExpandShiftReturn/>
    <w:adjustLineHeightInTable/>
    <w:compatSetting w:name="compatibilityMode" w:uri="http://schemas.microsoft.com/office/word" w:val="14"/>
  </w:compat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IncludeSubdocsInStats/>
</w:settings>
</file>

<file path=word/styles.xml><?xml version="1.0" encoding="utf-8"?>
<w:styles xmlns:w="http://schemas.openxmlformats.org/wordprocessingml/2006/main" xmlns:r="http://schemas.openxmlformats.org/officeDocument/2006/relationships">
  <w:docDefaults>
    <w:rPrDefault>
      <w:rPr>
        <w:rFonts w:ascii="Times New Roman" w:eastAsia="宋体" w:hAnsi="Times New Roman" w:cs="Arial"/>
        <w:lang w:val="en-US" w:eastAsia="zh-CN" w:bidi="ar-SA"/>
      </w:rPr>
    </w:rPrDefault>
    <w:pPrDefault/>
  </w:docDefaults>
  <w:style w:type="paragraph" w:default="1" w:styleId="0">
    <w:name w:val="Normal"/>
    <w:qFormat/>
    <w:pPr>
      <w:widowControl w:val="0"/>
      <w:jc w:val="both"/>
    </w:pPr>
    <w:rPr>
      <w:rFonts w:ascii="Calibri" w:eastAsia="宋体" w:cs="Arial" w:hAnsi="Calibri"/>
      <w:kern w:val="2"/>
      <w:sz w:val="21"/>
      <w:szCs w:val="24"/>
      <w:lang w:val="en-US" w:eastAsia="zh-CN" w:bidi="ar-SA"/>
    </w:rPr>
  </w:style>
  <w:style w:type="paragraph" w:styleId="1">
    <w:name w:val="heading 1"/>
    <w:qFormat/>
    <w:basedOn w:val="0"/>
    <w:next w:val="0"/>
    <w:link w:val="1Char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character" w:customStyle="1" w:styleId="1Char">
    <w:name w:val="heading 1 Char"/>
    <w:basedOn w:val="10"/>
    <w:link w:val="1"/>
    <w:rPr>
      <w:rFonts w:ascii="Calibri" w:eastAsia="宋体" w:cs="Arial" w:hAnsi="Calibri"/>
      <w:b/>
      <w:bCs/>
      <w:kern w:val="44"/>
      <w:sz w:val="44"/>
      <w:szCs w:val="44"/>
      <w:lang w:val="en-US" w:eastAsia="zh-CN" w:bidi="ar-SA"/>
    </w:rPr>
  </w:style>
  <w:style w:type="paragraph" w:styleId="2">
    <w:name w:val="heading 2"/>
    <w:qFormat/>
    <w:basedOn w:val="0"/>
    <w:next w:val="0"/>
    <w:link w:val="2Char"/>
    <w:pPr>
      <w:keepNext/>
      <w:keepLines/>
      <w:spacing w:before="260" w:after="260" w:line="415" w:lineRule="auto"/>
      <w:outlineLvl w:val="1"/>
    </w:pPr>
    <w:rPr>
      <w:rFonts w:ascii="Times New Roman" w:eastAsia="黑体" w:hAnsi="Times New Roman"/>
      <w:b/>
      <w:bCs/>
      <w:sz w:val="32"/>
      <w:szCs w:val="32"/>
    </w:rPr>
  </w:style>
  <w:style w:type="character" w:customStyle="1" w:styleId="2Char">
    <w:name w:val="heading 2 Char"/>
    <w:basedOn w:val="10"/>
    <w:link w:val="2"/>
    <w:rPr>
      <w:rFonts w:ascii="Times New Roman" w:eastAsia="黑体" w:cs="Arial" w:hAnsi="Times New Roman"/>
      <w:b/>
      <w:bCs/>
      <w:kern w:val="2"/>
      <w:sz w:val="32"/>
      <w:szCs w:val="32"/>
      <w:lang w:val="en-US" w:eastAsia="zh-CN" w:bidi="ar-SA"/>
    </w:rPr>
  </w:style>
  <w:style w:type="paragraph" w:styleId="3">
    <w:name w:val="heading 3"/>
    <w:qFormat/>
    <w:basedOn w:val="0"/>
    <w:next w:val="0"/>
    <w:link w:val="3Char"/>
    <w:pPr>
      <w:keepNext/>
      <w:keepLines/>
      <w:spacing w:before="260" w:after="260" w:line="415" w:lineRule="auto"/>
      <w:outlineLvl w:val="2"/>
    </w:pPr>
    <w:rPr>
      <w:b/>
      <w:bCs/>
      <w:sz w:val="32"/>
      <w:szCs w:val="32"/>
    </w:rPr>
  </w:style>
  <w:style w:type="character" w:customStyle="1" w:styleId="3Char">
    <w:name w:val="heading 3 Char"/>
    <w:basedOn w:val="10"/>
    <w:link w:val="3"/>
    <w:rPr>
      <w:rFonts w:ascii="Calibri" w:eastAsia="宋体" w:cs="Arial" w:hAnsi="Calibri"/>
      <w:b/>
      <w:bCs/>
      <w:kern w:val="2"/>
      <w:sz w:val="32"/>
      <w:szCs w:val="32"/>
      <w:lang w:val="en-US" w:eastAsia="zh-CN" w:bidi="ar-SA"/>
    </w:rPr>
  </w:style>
  <w:style w:type="character" w:default="1" w:styleId="10">
    <w:name w:val="Default Paragraph Font"/>
    <w:qFormat/>
  </w:style>
  <w:style w:type="paragraph" w:styleId="15">
    <w:name w:val="Body Text"/>
    <w:qFormat/>
    <w:basedOn w:val="0"/>
    <w:next w:val="16"/>
    <w:pPr>
      <w:widowControl w:val="0"/>
      <w:spacing w:after="120"/>
      <w:jc w:val="both"/>
    </w:pPr>
    <w:rPr>
      <w:rFonts w:ascii="Times New Roman" w:eastAsia="宋体" w:cs="Times New Roman" w:hAnsi="Times New Roman"/>
      <w:kern w:val="2"/>
      <w:sz w:val="21"/>
      <w:szCs w:val="24"/>
      <w:lang w:val="en-US" w:eastAsia="zh-CN" w:bidi="ar-SA"/>
    </w:rPr>
  </w:style>
  <w:style w:type="paragraph" w:customStyle="1" w:styleId="16">
    <w:name w:val="正文部分 Char Char Char"/>
    <w:qFormat/>
    <w:basedOn w:val="15"/>
    <w:next w:val="18"/>
    <w:pPr>
      <w:adjustRightInd w:val="0"/>
      <w:snapToGrid w:val="0"/>
      <w:spacing w:line="460" w:lineRule="exact"/>
      <w:textAlignment w:val="baseline"/>
    </w:pPr>
    <w:rPr>
      <w:rFonts w:ascii="Times New Roman" w:eastAsia="宋体" w:cs="Times New Roman" w:hAnsi="宋体"/>
      <w:sz w:val="24"/>
      <w:lang w:bidi="ar-SA"/>
    </w:rPr>
  </w:style>
  <w:style w:type="paragraph" w:styleId="17">
    <w:name w:val="Title"/>
    <w:qFormat/>
    <w:basedOn w:val="0"/>
    <w:next w:val="0"/>
    <w:pPr>
      <w:spacing w:before="240" w:after="60"/>
      <w:jc w:val="center"/>
      <w:outlineLvl w:val="0"/>
    </w:pPr>
    <w:rPr>
      <w:rFonts w:ascii="Cambria" w:eastAsia="宋体" w:cs="Times New Roman" w:hAnsi="宋体"/>
      <w:b/>
      <w:bCs/>
      <w:kern w:val="0"/>
      <w:sz w:val="32"/>
      <w:szCs w:val="32"/>
      <w:lang w:bidi="ar-SA"/>
    </w:rPr>
  </w:style>
  <w:style w:type="paragraph" w:customStyle="1" w:styleId="18">
    <w:name w:val="章标题"/>
    <w:qFormat/>
    <w:basedOn w:val="17"/>
    <w:pPr>
      <w:spacing w:line="360" w:lineRule="auto"/>
    </w:pPr>
    <w:rPr>
      <w:rFonts w:ascii="Times New Roman" w:eastAsia="宋体" w:cs="Times New Roman" w:hAnsi="宋体"/>
      <w:lang w:bidi="ar-SA"/>
    </w:rPr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ettings" Target="settings.xml"/><Relationship Id="rId2" Type="http://schemas.openxmlformats.org/officeDocument/2006/relationships/styles" Target="styles.xml"/><Relationship Id="rId3" Type="http://schemas.openxmlformats.org/officeDocument/2006/relationships/numbering" Target="numbering.xml"/><Relationship Id="rId4" Type="http://schemas.openxmlformats.org/officeDocument/2006/relationships/fontTable" Target="fontTable.xml"/><Relationship Id="rId5" Type="http://schemas.openxmlformats.org/officeDocument/2006/relationships/customXml" Target="../customXml/item1.xml"/><Relationship Id="rId6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WPS">
  <a:themeElements>
    <a:clrScheme name="WPS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"/>
        <a:ea typeface=""/>
        <a:cs typeface=""/>
      </a:majorFont>
      <a:minorFont>
        <a:latin typeface=""/>
        <a:ea typeface=""/>
        <a:cs typeface=""/>
      </a:minorFont>
    </a:fontScheme>
    <a:fmtScheme name="WPS">
      <a:fillStyleLst>
        <a:solidFill>
          <a:schemeClr val="phClr"/>
        </a:solidFill>
        <a:gradFill rotWithShape="1"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1"/>
        </a:gradFill>
        <a:gradFill rotWithShape="1"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1"/>
        </a:gradFill>
      </a:fillStyleLst>
      <a:lnStyleLst>
        <a:ln w="12700" cmpd="sng" cap="flat">
          <a:solidFill>
            <a:schemeClr val="phClr"/>
          </a:solidFill>
          <a:prstDash val="solid"/>
          <a:miter/>
        </a:ln>
        <a:ln w="12700" cmpd="sng" cap="flat">
          <a:solidFill>
            <a:schemeClr val="phClr"/>
          </a:solidFill>
          <a:prstDash val="solid"/>
          <a:miter/>
        </a:ln>
        <a:ln w="12700" cmpd="sng" cap="flat">
          <a:gradFill rotWithShape="1"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/>
        </a:ln>
      </a:lnStyleLst>
      <a:effectStyleLst>
        <a:effectStyle>
          <a:effectLst>
            <a:outerShdw sx="100000" sy="100000" algn="ctr" rotWithShape="0" blurRad="101600" dist="50800" dir="540000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sx="100000" sy="100000" algn="ctr" rotWithShape="0" blurRad="57150" dist="19050" dir="5400000">
              <a:srgbClr val="000000">
                <a:alpha val="62745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1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customData xmlns="http://www.yozosoft.com.cn/officeDocument/2016/customData">
  <customProps>
    <docPr revisions="3 0 5 0 0 0 1 0 0 0 3000 0 1 1 1 1"/>
    <sectPr/>
  </customProps>
</customData>
</file>

<file path=customXml/itemProps1.xml><?xml version="1.0" encoding="utf-8"?>
<ds:datastoreItem xmlns:ds="http://schemas.openxmlformats.org/officeDocument/2006/customXml" ds:itemID="{169846C8-BC1A-489F-99BE-B7D46E52179D}">
  <ds:schemaRefs>
    <ds:schemaRef ds:uri="http://www.yozosoft.com.cn/officeDocument/2016/customData"/>
  </ds:schemaRefs>
</ds:datastoreItem>
</file>

<file path=docProps/app.xml><?xml version="1.0" encoding="utf-8"?>
<Properties xmlns="http://schemas.openxmlformats.org/officeDocument/2006/extended-properties">
  <Template>Normal.eit</Template>
  <TotalTime>14</TotalTime>
  <Application>Yozo_Office27021597764231189</Application>
  <Pages>6</Pages>
  <Words>0</Words>
  <Characters>2030</Characters>
  <Lines>0</Lines>
  <Paragraphs>33</Paragraphs>
  <CharactersWithSpaces>2707</CharactersWithSpace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:creator>Administrator</dc:creator>
  <cp:lastModifiedBy>Administrator</cp:lastModifiedBy>
  <cp:revision>0</cp:revision>
  <dcterms:created xsi:type="dcterms:W3CDTF">2025-12-30T02:10:00Z</dcterms:created>
  <dcterms:modified xsi:type="dcterms:W3CDTF">2026-01-07T07:03:29Z</dcterms:modified>
</cp:coreProperties>
</file>

<file path=docProps/custom.xml><?xml version="1.0" encoding="utf-8"?>
<Properties xmlns:vt="http://schemas.openxmlformats.org/officeDocument/2006/docPropsVTypes" xmlns="http://schemas.openxmlformats.org/officeDocument/2006/custom-properties">
  <property fmtid="{D5CDD505-2E9C-101B-9397-08002B2CF9AE}" pid="2" name="KSOProductBuildVer">
    <vt:lpwstr>2052-12.1.0.24657</vt:lpwstr>
  </property>
  <property fmtid="{D5CDD505-2E9C-101B-9397-08002B2CF9AE}" pid="3" name="KSOTemplateDocerSaveRecord">
    <vt:lpwstr>eyJoZGlkIjoiOTIyN2YyN2I5NDcxN2FmODQ3ZWQyOGMyNDUxMzE1OTEiLCJ1c2VySWQiOiI0NDU5NDQ0NTcifQ==</vt:lpwstr>
  </property>
  <property fmtid="{D5CDD505-2E9C-101B-9397-08002B2CF9AE}" pid="4" name="ICV">
    <vt:lpwstr>34CD16AD007B4D9C9FE4CEB2B552ED20_12</vt:lpwstr>
  </property>
</Properties>
</file>