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Lines="100" w:after="240" w:afterAutospacing="0" w:line="550" w:lineRule="exact"/>
        <w:jc w:val="center"/>
        <w:textAlignment w:val="auto"/>
        <w:rPr>
          <w:rFonts w:ascii="方正小标宋简体" w:eastAsia="方正小标宋简体" w:cs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  <w:lang w:val="en-US" w:eastAsia="zh-CN"/>
        </w:rPr>
        <w:t>骊城街道办事处202</w:t>
      </w:r>
      <w:r>
        <w:rPr>
          <w:rFonts w:ascii="方正小标宋简体" w:eastAsia="方正小标宋简体" w:cs="方正小标宋简体" w:hAnsi="方正小标宋简体"/>
          <w:sz w:val="44"/>
          <w:szCs w:val="44"/>
          <w:lang w:val="en-US" w:eastAsia="zh-CN"/>
        </w:rPr>
        <w:t>5</w:t>
      </w:r>
      <w:r>
        <w:rPr>
          <w:rFonts w:ascii="方正小标宋简体" w:eastAsia="方正小标宋简体" w:cs="方正小标宋简体" w:hAnsi="方正小标宋简体" w:hint="eastAsia"/>
          <w:sz w:val="44"/>
          <w:szCs w:val="44"/>
          <w:lang w:val="en-US" w:eastAsia="zh-CN"/>
        </w:rPr>
        <w:t>年度</w:t>
      </w:r>
      <w:r>
        <w:rPr>
          <w:rFonts w:ascii="方正小标宋简体" w:eastAsia="方正小标宋简体" w:cs="方正小标宋简体" w:hAnsi="方正小标宋简体" w:hint="eastAsia"/>
          <w:sz w:val="44"/>
          <w:szCs w:val="44"/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根据《中华人民共和国政府信息公开条例》（以下简称《条例》）规定，向社会公布秦皇岛市抚宁区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骊城街道办事处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年政府信息公开工作年度报告。本报告由总体情况、主动公开政府信息情况、依申请公开情况、行政复议和诉讼情况、存在的主要问题及改进情况、其他需要报告的事项等部分组成。本报告中使用数据统计期限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自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5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年1月1日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起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至12月31日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止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left="0"/>
        <w:jc w:val="both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年，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骊城街道办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严格落实《中华人民共和国政府信息公开条例》有关要求，深入贯彻中央《关于全面推进政务公开工作的意见》总体部署，扎实推进政府信息和政务公开工作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明确专人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负责此项工作，其中分管领导1名，具体经办人员1名，确保政府信息常态化发布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楷体" w:eastAsia="楷体" w:cs="楷体" w:hAnsi="楷体" w:hint="eastAsia"/>
          <w:color w:val="3D3D3D"/>
          <w:sz w:val="32"/>
          <w:szCs w:val="32"/>
          <w:shd w:val="clear" w:color="auto" w:fill="FFFFFF"/>
        </w:rPr>
      </w:pPr>
      <w:r>
        <w:rPr>
          <w:rFonts w:ascii="楷体" w:eastAsia="楷体" w:cs="楷体" w:hAnsi="楷体" w:hint="eastAsia"/>
          <w:color w:val="3D3D3D"/>
          <w:sz w:val="32"/>
          <w:szCs w:val="32"/>
          <w:shd w:val="clear" w:color="auto" w:fill="FFFFFF"/>
        </w:rPr>
        <w:t>（一）主动公开情况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主动向社会公开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相关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政策文件，发布最新的工作动态、政策解读、及时回应社会关切，有力保障人民群众知情权，确保人民群众了解和掌握相关政策。202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年度，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骊城街道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主动公开政府信息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条。其中，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eastAsia="zh-CN"/>
        </w:rPr>
        <w:t>政府信息公开年报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1条，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行政许可2条，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行政执法公示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条，财政预决算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条，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其他1条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楷体" w:eastAsia="楷体" w:cs="楷体" w:hAnsi="楷体" w:hint="eastAsia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color w:val="3D3D3D"/>
          <w:sz w:val="32"/>
          <w:szCs w:val="32"/>
          <w:shd w:val="clear" w:color="auto" w:fill="FFFFFF"/>
          <w:lang w:val="en-US" w:eastAsia="zh-CN"/>
        </w:rPr>
        <w:t>（二）依申请公开情况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骊城街道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进一步完善政府信息公开申请登记、审核、办理、答复、归档等工作制度。202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年度，收到依申请公开申请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条，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条已书面答复。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楷体" w:eastAsia="楷体" w:cs="楷体" w:hAnsi="楷体" w:hint="eastAsia"/>
          <w:sz w:val="32"/>
          <w:szCs w:val="32"/>
          <w:shd w:val="clear" w:color="auto" w:fill="FFFFFF"/>
        </w:rPr>
      </w:pPr>
      <w:r>
        <w:rPr>
          <w:rFonts w:ascii="楷体" w:eastAsia="楷体" w:cs="楷体" w:hAnsi="楷体" w:hint="eastAsia"/>
          <w:sz w:val="32"/>
          <w:szCs w:val="32"/>
          <w:shd w:val="clear" w:color="auto" w:fill="FFFFFF"/>
        </w:rPr>
        <w:t>（三）被申请行政复议、提起行政诉讼情况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" w:eastAsia="仿宋" w:cs="仿宋" w:hAnsi="仿宋" w:hint="eastAsia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骊城街道</w:t>
      </w:r>
      <w:bookmarkStart w:id="0" w:name="_GoBack"/>
      <w:bookmarkEnd w:id="0"/>
      <w:r>
        <w:rPr>
          <w:rFonts w:ascii="仿宋" w:eastAsia="仿宋" w:cs="仿宋" w:hAnsi="仿宋" w:hint="eastAsia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202</w:t>
      </w:r>
      <w:r>
        <w:rPr>
          <w:rFonts w:ascii="仿宋" w:eastAsia="仿宋" w:cs="仿宋" w:hAnsi="仿宋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eastAsia="仿宋" w:cs="仿宋" w:hAnsi="仿宋" w:hint="eastAsia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ascii="仿宋" w:eastAsia="仿宋" w:cs="仿宋" w:hAnsi="仿宋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被申请行政复议 次，1起维持原判，3起结果纠正，根据复议结果我单位重新作出答复。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" w:eastAsia="仿宋" w:cs="仿宋" w:hAnsi="仿宋" w:hint="eastAsia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被</w:t>
      </w:r>
      <w:r>
        <w:rPr>
          <w:rFonts w:ascii="仿宋" w:eastAsia="仿宋" w:cs="仿宋" w:hAnsi="仿宋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提起行政诉讼</w:t>
      </w:r>
      <w:r>
        <w:rPr>
          <w:rFonts w:ascii="仿宋" w:eastAsia="仿宋" w:cs="仿宋" w:hAnsi="仿宋" w:hint="eastAsia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1次，</w:t>
      </w:r>
      <w:r>
        <w:rPr>
          <w:rFonts w:ascii="仿宋" w:eastAsia="仿宋" w:cs="仿宋" w:hAnsi="仿宋"/>
          <w:caps w:val="0"/>
          <w:smallCaps w:val="0"/>
          <w:spacing w:val="0"/>
          <w:sz w:val="32"/>
          <w:szCs w:val="32"/>
          <w:shd w:val="clear" w:color="auto" w:fill="FFFFFF"/>
          <w:lang w:val="en-US" w:eastAsia="zh-CN"/>
        </w:rPr>
        <w:t>未经复议直接起诉，判决结果纠正，根据判决结果我单位已重新作出答复。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楷体" w:eastAsia="楷体" w:cs="楷体" w:hAnsi="楷体" w:hint="eastAsia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ascii="楷体" w:eastAsia="楷体" w:cs="楷体" w:hAnsi="楷体" w:hint="eastAsia"/>
          <w:color w:val="3D3D3D"/>
          <w:sz w:val="32"/>
          <w:szCs w:val="32"/>
          <w:shd w:val="clear" w:color="auto" w:fill="FFFFFF"/>
          <w:lang w:val="en-US" w:eastAsia="zh-CN"/>
        </w:rPr>
        <w:t>（四）政府信息管理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一是做好政务信息日常工作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进一步完善政务信息制作、获取、保存、处理等方面的制度，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做到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规范管理。二是加强政务信息公开后管理。通过统一平台规范发布规章、规范性文件等重要政务信息，并动态调整。三是加强信息化手段在政务信息管理领域的运用，以政务信息管理的现代化，促进政务公开工作现代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化。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jc w:val="both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主动公开政府信息情况</w:t>
      </w: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本年</w:t>
            </w:r>
            <w:r>
              <w:rPr>
                <w:rFonts w:ascii="宋体" w:hint="eastAsia"/>
                <w:color w:val="333333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hint="eastAsia"/>
                <w:color w:val="000000"/>
                <w:sz w:val="20"/>
                <w:szCs w:val="20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现行有效件</w:t>
            </w:r>
            <w:r>
              <w:rPr>
                <w:rFonts w:ascii="宋体" w:hint="eastAsia"/>
                <w:color w:val="333333"/>
                <w:sz w:val="20"/>
                <w:szCs w:val="20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eastAsia="宋体" w:hint="eastAsia"/>
                <w:color w:val="333333"/>
                <w:sz w:val="24"/>
                <w:lang w:val="en-US" w:eastAsia="zh-CN"/>
              </w:rPr>
            </w:pPr>
            <w:r>
              <w:rPr>
                <w:rFonts w:ascii="宋体" w:hint="eastAsia"/>
                <w:color w:val="333333"/>
                <w:sz w:val="24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Cs w:val="21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eastAsia="宋体" w:hint="eastAsia"/>
                <w:color w:val="333333"/>
                <w:sz w:val="24"/>
                <w:lang w:val="en-US" w:eastAsia="zh-CN"/>
              </w:rPr>
            </w:pPr>
            <w:r>
              <w:rPr>
                <w:rFonts w:ascii="宋体" w:hint="eastAsia"/>
                <w:color w:val="333333"/>
                <w:sz w:val="24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eastAsia="宋体"/>
                <w:color w:val="333333"/>
                <w:sz w:val="24"/>
                <w:lang w:val="en-US" w:eastAsia="zh-CN"/>
              </w:rPr>
            </w:pPr>
            <w:r>
              <w:rPr>
                <w:rFonts w:ascii="宋体"/>
                <w:color w:val="333333"/>
                <w:sz w:val="24"/>
                <w:lang w:val="en-US" w:eastAsia="zh-CN"/>
              </w:rPr>
              <w:t>2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/>
                <w:color w:val="333333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eastAsia="宋体" w:hint="eastAsia"/>
                <w:color w:val="333333"/>
                <w:sz w:val="24"/>
                <w:lang w:val="en-US" w:eastAsia="zh-CN"/>
              </w:rPr>
            </w:pPr>
            <w:r>
              <w:rPr>
                <w:rFonts w:ascii="宋体" w:hint="eastAsia"/>
                <w:color w:val="333333"/>
                <w:sz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left="0" w:firstLine="0"/>
        <w:jc w:val="both"/>
        <w:rPr>
          <w:rFonts w:ascii="仿宋" w:eastAsia="仿宋" w:cs="仿宋" w:hAnsi="仿宋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收到和处理政府信息公开申请情况</w:t>
      </w: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753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494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楷体_GB2312" w:eastAsia="楷体_GB2312" w:hint="eastAsia"/>
                <w:color w:val="333333"/>
                <w:sz w:val="20"/>
                <w:szCs w:val="20"/>
              </w:rPr>
            </w:pPr>
            <w:r>
              <w:rPr>
                <w:rFonts w:ascii="楷体" w:eastAsia="楷体" w:hint="eastAsia"/>
                <w:color w:val="333333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02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申请人情况</w:t>
            </w:r>
          </w:p>
        </w:tc>
      </w:tr>
      <w:tr>
        <w:tc>
          <w:tcPr>
            <w:tcW w:w="494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8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自然人</w:t>
            </w:r>
          </w:p>
        </w:tc>
        <w:tc>
          <w:tcPr>
            <w:tcW w:w="3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法人或其他组织</w:t>
            </w:r>
          </w:p>
        </w:tc>
        <w:tc>
          <w:tcPr>
            <w:tcW w:w="686" w:type="dxa"/>
            <w:vMerge w:val="restart"/>
            <w:tcBorders>
              <w:top w:val="single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总计</w:t>
            </w:r>
          </w:p>
        </w:tc>
      </w:tr>
      <w:tr>
        <w:tc>
          <w:tcPr>
            <w:tcW w:w="494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8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商业</w:t>
            </w:r>
          </w:p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科研</w:t>
            </w:r>
          </w:p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机构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社会公益组织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法律服务机构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其他</w:t>
            </w:r>
          </w:p>
        </w:tc>
        <w:tc>
          <w:tcPr>
            <w:tcW w:w="686" w:type="dxa"/>
            <w:vMerge/>
            <w:tcBorders>
              <w:top w:val="single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</w:tr>
      <w:tr>
        <w:tc>
          <w:tcPr>
            <w:tcW w:w="494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8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8</w:t>
            </w:r>
          </w:p>
        </w:tc>
      </w:tr>
      <w:tr>
        <w:tc>
          <w:tcPr>
            <w:tcW w:w="494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 w:val="restart"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3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（二）部分公开</w:t>
            </w:r>
            <w:r>
              <w:rPr>
                <w:rFonts w:ascii="楷体" w:eastAsia="楷体" w:hint="eastAsia"/>
                <w:color w:val="333333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4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4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 w:val="restart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1.属于国家秘密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2.其他法律行政法规禁止公开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3.危及“三安全一稳定”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4.保护第三方合法权益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5.属于三类内部事务信息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6.属于四类过程性信息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eastAsia="宋体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7.属于行政执法案卷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8.属于行政查询事项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 w:val="restart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1.本机关不掌握相关政府信息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1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2.没有现成信息需要另行制作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3.补正后申请内容仍不明确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 w:val="restart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1.信访举报投诉类申请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2.重复申请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3.要求提供公开出版物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4.无正当理由大量反复申请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rPr>
          <w:trHeight w:val="433"/>
        </w:trP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 w:val="restart"/>
            <w:tcBorders>
              <w:top w:val="inset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inset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cs="Times New Roman" w:hAnsi="Calibri" w:hint="eastAsia"/>
                <w:color w:val="333333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921" w:type="dxa"/>
            <w:vMerge/>
            <w:tcBorders>
              <w:top w:val="inset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3.其他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</w:tr>
      <w:tr>
        <w:tc>
          <w:tcPr>
            <w:tcW w:w="753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宋体" w:hint="eastAsia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8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8</w:t>
            </w:r>
          </w:p>
        </w:tc>
      </w:tr>
      <w:tr>
        <w:tc>
          <w:tcPr>
            <w:tcW w:w="494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left"/>
              <w:rPr>
                <w:rFonts w:ascii="Calibri" w:hAnsi="Calibri"/>
                <w:color w:val="333333"/>
                <w:sz w:val="20"/>
                <w:szCs w:val="20"/>
              </w:rPr>
            </w:pPr>
            <w:r>
              <w:rPr>
                <w:rFonts w:ascii="宋体" w:hint="eastAsia"/>
                <w:color w:val="333333"/>
                <w:sz w:val="20"/>
                <w:szCs w:val="20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 w:hint="eastAsia"/>
                <w:color w:val="333333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Lines="0" w:after="0" w:line="550" w:lineRule="exact"/>
              <w:jc w:val="center"/>
              <w:rPr>
                <w:rFonts w:ascii="Calibri" w:eastAsia="宋体" w:hAnsi="Calibri" w:hint="eastAsia"/>
                <w:color w:val="333333"/>
                <w:sz w:val="20"/>
                <w:lang w:val="en-US" w:eastAsia="zh-CN"/>
              </w:rPr>
            </w:pPr>
            <w:r>
              <w:rPr>
                <w:rFonts w:ascii="Calibri" w:hAnsi="Calibri"/>
                <w:color w:val="333333"/>
                <w:sz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left="0" w:firstLine="0"/>
        <w:jc w:val="both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政府信息公开行政复议、行政诉讼情况</w:t>
      </w:r>
    </w:p>
    <w:tbl>
      <w:tblPr>
        <w:jc w:val="left"/>
        <w:tblInd w:w="-435" w:type="dxa"/>
        <w:tblW w:w="9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3"/>
      </w:tblGrid>
      <w:tr>
        <w:tc>
          <w:tcPr>
            <w:tcW w:w="3245" w:type="dxa"/>
            <w:gridSpan w:val="5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行政复议</w:t>
            </w:r>
          </w:p>
        </w:tc>
        <w:tc>
          <w:tcPr>
            <w:tcW w:w="6505" w:type="dxa"/>
            <w:gridSpan w:val="1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行政诉讼</w:t>
            </w:r>
          </w:p>
        </w:tc>
      </w:tr>
      <w:tr>
        <w:tc>
          <w:tcPr>
            <w:tcW w:w="649" w:type="dxa"/>
            <w:vMerge w:val="restar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结果维持</w:t>
            </w:r>
          </w:p>
        </w:tc>
        <w:tc>
          <w:tcPr>
            <w:tcW w:w="649" w:type="dxa"/>
            <w:vMerge w:val="restart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结果</w:t>
              <w:br/>
              <w:t>纠正</w:t>
            </w:r>
          </w:p>
        </w:tc>
        <w:tc>
          <w:tcPr>
            <w:tcW w:w="649" w:type="dxa"/>
            <w:vMerge w:val="restart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其他</w:t>
              <w:br/>
              <w:t>结果</w:t>
            </w:r>
          </w:p>
        </w:tc>
        <w:tc>
          <w:tcPr>
            <w:tcW w:w="649" w:type="dxa"/>
            <w:vMerge w:val="restart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尚未</w:t>
              <w:br/>
              <w:t>审结</w:t>
            </w:r>
          </w:p>
        </w:tc>
        <w:tc>
          <w:tcPr>
            <w:tcW w:w="649" w:type="dxa"/>
            <w:vMerge w:val="restart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总</w:t>
            </w:r>
            <w:r>
              <w:rPr>
                <w:rFonts w:ascii="宋体" w:cs="微软雅黑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计</w:t>
            </w:r>
          </w:p>
        </w:tc>
        <w:tc>
          <w:tcPr>
            <w:tcW w:w="3248" w:type="dxa"/>
            <w:gridSpan w:val="5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未经复议直接起诉</w:t>
            </w:r>
          </w:p>
        </w:tc>
        <w:tc>
          <w:tcPr>
            <w:tcW w:w="3257" w:type="dxa"/>
            <w:gridSpan w:val="5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复议后起诉</w:t>
            </w:r>
          </w:p>
        </w:tc>
      </w:tr>
      <w:tr>
        <w:tc>
          <w:tcPr>
            <w:tcW w:w="649" w:type="dxa"/>
            <w:vMerge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/>
        </w:tc>
        <w:tc>
          <w:tcPr>
            <w:tcW w:w="649" w:type="dxa"/>
            <w:vMerge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/>
        </w:tc>
        <w:tc>
          <w:tcPr>
            <w:tcW w:w="649" w:type="dxa"/>
            <w:vMerge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/>
        </w:tc>
        <w:tc>
          <w:tcPr>
            <w:tcW w:w="649" w:type="dxa"/>
            <w:vMerge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/>
        </w:tc>
        <w:tc>
          <w:tcPr>
            <w:tcW w:w="649" w:type="dxa"/>
            <w:vMerge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/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结果</w:t>
              <w:br/>
              <w:t>维持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结果</w:t>
              <w:br/>
              <w:t>纠正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其他</w:t>
              <w:br/>
              <w:t>结果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尚未</w:t>
              <w:br/>
              <w:t>审结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结果</w:t>
              <w:br/>
              <w:t>维持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结果</w:t>
              <w:br/>
              <w:t>纠正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其他</w:t>
              <w:br/>
              <w:t>结果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尚未</w:t>
              <w:br/>
              <w:t>审结</w:t>
            </w:r>
          </w:p>
        </w:tc>
        <w:tc>
          <w:tcPr>
            <w:tcW w:w="653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宋体" w:cs="微软雅黑" w:hint="eastAsia"/>
                <w:szCs w:val="21"/>
                <w:lang w:bidi="ar-SA"/>
              </w:rPr>
            </w:pPr>
            <w:r>
              <w:rPr>
                <w:rFonts w:ascii="宋体" w:cs="微软雅黑" w:hint="eastAsia"/>
                <w:color w:val="000000"/>
                <w:kern w:val="0"/>
                <w:szCs w:val="21"/>
              </w:rPr>
              <w:t>总计</w:t>
            </w:r>
          </w:p>
        </w:tc>
      </w:tr>
      <w:tr>
        <w:trPr>
          <w:trHeight w:val="672"/>
        </w:trPr>
        <w:tc>
          <w:tcPr>
            <w:tcW w:w="64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/>
                <w:sz w:val="27"/>
                <w:szCs w:val="27"/>
                <w:lang w:val="en-US" w:eastAsia="zh-CN" w:bidi="ar-SA"/>
              </w:rPr>
              <w:t>1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/>
                <w:sz w:val="27"/>
                <w:szCs w:val="27"/>
                <w:lang w:val="en-US" w:eastAsia="zh-CN" w:bidi="ar-SA"/>
              </w:rPr>
              <w:t>3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49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/>
                <w:sz w:val="27"/>
                <w:szCs w:val="27"/>
                <w:lang w:val="en-US" w:eastAsia="zh-CN" w:bidi="ar-SA"/>
              </w:rPr>
              <w:t>1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/>
                <w:sz w:val="27"/>
                <w:szCs w:val="27"/>
                <w:lang w:val="en-US" w:eastAsia="zh-CN" w:bidi="ar-SA"/>
              </w:rPr>
              <w:t>1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  <w:tc>
          <w:tcPr>
            <w:tcW w:w="653" w:type="dxa"/>
            <w:tcBorders>
              <w:lef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widowControl/>
              <w:wordWrap w:val="0"/>
              <w:spacing w:afterLines="0" w:after="0" w:line="550" w:lineRule="exact"/>
              <w:jc w:val="center"/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</w:pPr>
            <w:r>
              <w:rPr>
                <w:rFonts w:ascii="微软雅黑" w:eastAsia="微软雅黑" w:cs="微软雅黑" w:hint="eastAsia"/>
                <w:sz w:val="27"/>
                <w:szCs w:val="27"/>
                <w:lang w:val="en-US" w:eastAsia="zh-CN" w:bidi="ar-SA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left="0"/>
        <w:jc w:val="both"/>
        <w:textAlignment w:val="auto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/>
          <w:sz w:val="32"/>
          <w:szCs w:val="32"/>
          <w:lang w:val="en-US" w:eastAsia="zh-CN"/>
        </w:rPr>
        <w:t>五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、</w:t>
      </w:r>
      <w:r>
        <w:rPr>
          <w:rFonts w:ascii="黑体" w:eastAsia="黑体" w:cs="黑体" w:hAnsi="黑体" w:hint="eastAsia"/>
          <w:sz w:val="32"/>
          <w:szCs w:val="32"/>
        </w:rPr>
        <w:t>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after="0" w:line="550" w:lineRule="exact"/>
        <w:ind w:firstLineChars="200" w:firstLine="640"/>
        <w:jc w:val="both"/>
        <w:textAlignment w:val="auto"/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年，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val="en-US" w:eastAsia="zh-CN"/>
        </w:rPr>
        <w:t>骊城街道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信息公开工作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eastAsia="zh-CN"/>
        </w:rPr>
        <w:t>取得了良好的工作效果，但仍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存在一些短板和不足，主要表现：一是政府信息公开形式单一，公开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  <w:lang w:eastAsia="zh-CN"/>
        </w:rPr>
        <w:t>形式、</w:t>
      </w: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内容不够丰富；二是信息公开不够及时，工作人员经验不足、信息公开内容质量有待提高。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仿宋" w:eastAsia="仿宋" w:cs="仿宋"/>
          <w:color w:val="3D3D3D"/>
          <w:sz w:val="32"/>
          <w:szCs w:val="32"/>
          <w:shd w:val="clear" w:color="auto" w:fill="FFFFFF"/>
        </w:rPr>
      </w:pPr>
      <w:r>
        <w:rPr>
          <w:rFonts w:ascii="仿宋" w:eastAsia="仿宋" w:cs="仿宋"/>
          <w:color w:val="3D3D3D"/>
          <w:sz w:val="32"/>
          <w:szCs w:val="32"/>
          <w:shd w:val="clear" w:color="auto" w:fill="FFFFFF"/>
        </w:rPr>
        <w:t>2026 年，我们将以更高标准、更实举措推进政务信息公开工作，严格落实施策部署，全面提升政务公开规范化水平，重点聚焦以下三方面任务：一是紧扣重大改革任务、重要工作举措、重点建设项目等核心工作，持续拓展信息公开的广度与深度，确保关键信息全面精准披露；二是进一步细化完善政务公开工作机制，坚持以公众需求为导向，从群众视角统筹谋划、审慎审视并优化公开内容，切实增强政务信息公开的便民性与实用性；三是严格对标上级工作要求，强化责任落实与执行力度，着力实现信息公开数量充足、栏目设置完备、更新发布及时、内容贴合需求的目标，全面提升公开信息的质量与整体工作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仿宋" w:eastAsia="仿宋" w:cs="仿宋" w:hint="eastAsia"/>
          <w:color w:val="3D3D3D"/>
          <w:sz w:val="32"/>
          <w:szCs w:val="32"/>
          <w:shd w:val="clear" w:color="auto" w:fill="FFFFFF"/>
        </w:rPr>
      </w:pPr>
      <w:r>
        <w:rPr>
          <w:rFonts w:ascii="黑体" w:eastAsia="黑体" w:cs="黑体" w:hAnsi="黑体"/>
          <w:sz w:val="32"/>
          <w:szCs w:val="32"/>
          <w:lang w:val="en-US" w:eastAsia="zh-CN"/>
        </w:rPr>
        <w:t>六</w:t>
      </w:r>
      <w:r>
        <w:rPr>
          <w:rFonts w:ascii="黑体" w:eastAsia="黑体" w:cs="黑体" w:hAnsi="黑体" w:hint="eastAsia"/>
          <w:sz w:val="32"/>
          <w:szCs w:val="32"/>
        </w:rPr>
        <w:t>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firstLineChars="200" w:firstLine="640"/>
        <w:jc w:val="both"/>
        <w:rPr>
          <w:rFonts w:ascii="仿宋" w:eastAsia="仿宋" w:cs="仿宋" w:hAnsi="仿宋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iCs w:val="0"/>
          <w:caps w:val="0"/>
          <w:smallCaps w:val="0"/>
          <w:color w:val="3D3D3D"/>
          <w:spacing w:val="0"/>
          <w:sz w:val="32"/>
          <w:szCs w:val="32"/>
          <w:shd w:val="clear" w:color="auto" w:fill="FFFFFF"/>
        </w:rPr>
        <w:t>本年度没有产生信息公开处理费。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afterLines="0" w:after="0" w:line="550" w:lineRule="exact"/>
        <w:ind w:left="0"/>
        <w:jc w:val="both"/>
        <w:rPr>
          <w:rFonts w:ascii="仿宋" w:eastAsia="仿宋" w:cs="仿宋" w:hAnsi="仿宋" w:hint="eastAsia"/>
          <w:color w:val="3D3D3D"/>
          <w:sz w:val="32"/>
          <w:szCs w:val="32"/>
          <w:shd w:val="clear" w:color="auto" w:fill="FFFFFF"/>
        </w:rPr>
      </w:pPr>
    </w:p>
    <w:sectPr>
      <w:footerReference w:type="default" r:id="rId2"/>
      <w:footerReference w:type="even" r:id="rId3"/>
      <w:pgSz w:w="11907" w:h="16840"/>
      <w:pgMar w:top="2098" w:right="1474" w:bottom="1984" w:left="1587" w:header="851" w:footer="992" w:gutter="0"/>
      <w:cols w:num="1" w:space="720"/>
      <w:docGrid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宋体"/>
    <w:panose1 w:val="03000509000000000000"/>
    <w:charset w:val="86"/>
    <w:family w:val="auto"/>
    <w:pitch w:val="variable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altName w:val="微软雅黑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楷体_GB2312">
    <w:altName w:val="楷体"/>
    <w:panose1 w:val="00000000000000000000"/>
    <w:charset w:val="00"/>
    <w:family w:val="auto"/>
    <w:pitch w:val="variable"/>
    <w:sig w:usb0="00000000" w:usb1="00000000" w:usb2="00000000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11AEDFC6"/>
    <w:multiLevelType w:val="singleLevel"/>
    <w:tmpl w:val="11AEDFC6"/>
    <w:lvl w:ilvl="0">
      <w:start w:val="2"/>
      <w:numFmt w:val="chineseCounting"/>
      <w:lvlRestart w:val="0"/>
      <w:suff w:val="nothing"/>
      <w:lvlText w:val="%1、"/>
      <w:lvlJc w:val="left"/>
      <w:pPr/>
      <w:rPr>
        <w:rFonts w:ascii="黑体" w:hAnsi="黑体" w:eastAsia="黑体" w:cs="黑体" w:hint="eastAsia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oNotDisplayPageBoundaries/>
  <w:bordersDoNotSurroundHeader w:val="0"/>
  <w:bordersDoNotSurroundFooter w:val="0"/>
  <w:defaultTabStop w:val="420"/>
  <w:drawingGridHorizontalSpacing w:val="120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NjJhNzRhM2VlZGI0NjRlMDY5M2NiMDNmZjYxZTEzMzc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autoRedefine/>
    <w:pPr>
      <w:widowControl w:val="0"/>
      <w:spacing w:afterLines="100" w:after="100" w:line="240" w:lineRule="auto"/>
      <w:jc w:val="left"/>
    </w:pPr>
    <w:rPr>
      <w:rFonts w:ascii="宋体" w:eastAsia="宋体" w:cs="Times New Roman" w:hAnsi="Times New Roman"/>
      <w:b w:val="0"/>
      <w:bCs w:val="0"/>
      <w:kern w:val="2"/>
      <w:sz w:val="24"/>
      <w:szCs w:val="21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Lines="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宋体" w:eastAsia="宋体" w:cs="Times New Roman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Lines="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Lines="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宋体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  <w:autoRedefine/>
  </w:style>
  <w:style w:type="paragraph" w:styleId="15">
    <w:name w:val="footer"/>
    <w:qFormat/>
    <w:basedOn w:val="0"/>
    <w:autoRedefine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styleId="16">
    <w:name w:val="Normal (Web)"/>
    <w:qFormat/>
    <w:autoRedefine/>
    <w:pPr>
      <w:widowControl w:val="0"/>
      <w:spacing w:before="100" w:beforeAutospacing="1" w:after="100" w:afterAutospacing="1" w:line="240" w:lineRule="auto"/>
      <w:jc w:val="left"/>
    </w:pPr>
    <w:rPr>
      <w:rFonts w:ascii="宋体" w:eastAsia="宋体" w:cs="Times New Roman" w:hAnsi="Times New Roman"/>
      <w:kern w:val="2"/>
      <w:sz w:val="24"/>
      <w:szCs w:val="21"/>
      <w:lang w:val="en-US" w:eastAsia="zh-CN" w:bidi="ar-SA"/>
    </w:rPr>
  </w:style>
  <w:style w:type="character" w:styleId="17">
    <w:name w:val="page number"/>
    <w:qFormat/>
    <w:basedOn w:val="10"/>
    <w:autoRedefine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customXml" Target="../customXml/item1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61983A31-C01C-495A-8CB6-BB407483FDD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142</TotalTime>
  <Application>Yozo_Office27021597764231189</Application>
  <Pages>5</Pages>
  <Words>0</Words>
  <Characters>1854</Characters>
  <Lines>0</Lines>
  <Paragraphs>25</Paragraphs>
  <CharactersWithSpaces>2472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Administrator</cp:lastModifiedBy>
  <cp:revision>0</cp:revision>
  <cp:lastPrinted>2026-01-12T03:15:02Z</cp:lastPrinted>
  <dcterms:created xsi:type="dcterms:W3CDTF">2022-01-20T01:44:00Z</dcterms:created>
  <dcterms:modified xsi:type="dcterms:W3CDTF">2026-01-16T07:03:10Z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2052-12.1.0.19302</vt:lpwstr>
  </property>
  <property fmtid="{D5CDD505-2E9C-101B-9397-08002B2CF9AE}" pid="3" name="ICV">
    <vt:lpwstr>40A00CE365F643DDB31276CEDF3C5DBF</vt:lpwstr>
  </property>
  <property fmtid="{D5CDD505-2E9C-101B-9397-08002B2CF9AE}" pid="4" name="KSOTemplateDocerSaveRecord">
    <vt:lpwstr>eyJoZGlkIjoiMDE3YWFmMmE4N2YxYmY3ZGVkMGE5M2E5ZTQzOTgzMTEifQ==</vt:lpwstr>
  </property>
</Properties>
</file>