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0F9691"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秦皇岛市抚宁区坟坨镇人民政府2025年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br w:type="textWrapping"/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政府信息公开工作年度报告</w:t>
      </w:r>
    </w:p>
    <w:p w14:paraId="661E2E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67E218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中华人民共和国政府信息公开条例》（以下简称《条例》）规定，向社会公布秦皇岛市抚宁区坟坨镇人民政府2025年政府信息公开工作年度报告。本报告由总体情况、主动公开政府信息情况、依申请公开情况、行政复议和诉讼情况、存在的主要问题及改进情况、其他需要报告的事项等部分组成。本报告中所列数据的统计时限自2025年1月1日起至2025年12月31日止。</w:t>
      </w:r>
    </w:p>
    <w:p w14:paraId="0D511728">
      <w:pPr>
        <w:keepNext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一、总体情况</w:t>
      </w:r>
    </w:p>
    <w:p w14:paraId="691C3B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（一）主动公开</w:t>
      </w:r>
    </w:p>
    <w:p w14:paraId="12941B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全面梳理镇人民政府及各部门的各类信息，对各机构职能、规范性文件、工作动态等方面的政府信息按工作流程进行公开，面向社会接受公众的监督，有力推进了政务服务的标准化、规范化、便利化。</w:t>
      </w:r>
    </w:p>
    <w:p w14:paraId="2B8728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（二）依申请公开</w:t>
      </w:r>
    </w:p>
    <w:p w14:paraId="39568F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我镇高度重视群众反映问题，截至目前未收到依申请公开信息。</w:t>
      </w:r>
    </w:p>
    <w:p w14:paraId="7FEE6C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（三）政府信息管理</w:t>
      </w:r>
    </w:p>
    <w:p w14:paraId="59986B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认真抓好《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坟坨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镇政府信息公开流程》和《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eastAsia="zh-CN"/>
        </w:rPr>
        <w:t>坟坨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镇政府信息公开规定》的规范完善工作，成立了由镇长任组长、科级干部任副组长、各机构负责人为成员的信息公开工作领导小组，形成一把手亲自抓，科级干部分工负责的协作机制，全力做好政府信息公开工作的组织协调、督促指导、检查考核。由镇党政办指定专人负责日常管理工作。严格按照公开事项、公开内容、公开主体、公开时限、公开渠道、公开依据等要素做好政府信息公开工作，不断提升政府信息公开工作标准化水平。</w:t>
      </w:r>
    </w:p>
    <w:p w14:paraId="0D8E83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（四）政府信息公开平台建设</w:t>
      </w:r>
    </w:p>
    <w:p w14:paraId="0BCBE0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深化政务信息公开载体建设，科学设置政府信息公开专栏，加强对优化营商环境、农村人居环境整治、推进民生领域等与群众切身利益密切相关的政府信息公开，完善镇政务服务大厅、村便民服务中心等场所政府信息查阅点建设，提供政府信息查询、信息公开申请、办事咨询答复等服务，不断提升政府信息传播力和影响力。</w:t>
      </w:r>
    </w:p>
    <w:p w14:paraId="6B2481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（五）监督保障</w:t>
      </w:r>
    </w:p>
    <w:p w14:paraId="22D20C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加大对政务公开工作的督查力度。不定期组织专人对政府信息公开相关工作开展情况进行检查，对政府信息公开工作开展不好的现场督导整改。根据保密法的有关规定，出台政务信息公开保密和审查制度，按照“谁提供、谁审核、谁负责”的原则，对政务信息严格审核后公开，杜绝各类失泄密事件发生，确保涉密信息安全。通过强化日常监管，优化信息发布，认真走好网上群众路线。</w:t>
      </w:r>
    </w:p>
    <w:p w14:paraId="45A78CDF">
      <w:pPr>
        <w:pStyle w:val="4"/>
        <w:keepNext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</w:rPr>
      </w:pPr>
      <w:r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  <w:t>二、主动公开政府</w:t>
      </w:r>
      <w:r>
        <w:rPr>
          <w:rFonts w:hint="eastAsia" w:ascii="黑体" w:hAnsi="黑体" w:eastAsia="黑体" w:cs="黑体"/>
          <w:sz w:val="32"/>
          <w:szCs w:val="32"/>
          <w:vertAlign w:val="baseline"/>
        </w:rPr>
        <w:t>信息情况</w:t>
      </w:r>
    </w:p>
    <w:tbl>
      <w:tblPr>
        <w:tblStyle w:val="5"/>
        <w:tblW w:w="9740" w:type="dxa"/>
        <w:jc w:val="cente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5"/>
        <w:gridCol w:w="2435"/>
        <w:gridCol w:w="2435"/>
        <w:gridCol w:w="2435"/>
      </w:tblGrid>
      <w:tr w14:paraId="1D1C7E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 w14:paraId="754CFED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第二十条第（一）项</w:t>
            </w:r>
          </w:p>
        </w:tc>
      </w:tr>
      <w:tr w14:paraId="4045508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BE156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BE384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本年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BDF0AB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6AE56F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现行有效件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数</w:t>
            </w:r>
          </w:p>
        </w:tc>
      </w:tr>
      <w:tr w14:paraId="6AC962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6FF689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ECD1AC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B6F4F5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E9FA0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38C7B08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93EA0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F70E51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40955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24B2B9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4373277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 w14:paraId="658D549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第二十条第（五）项</w:t>
            </w:r>
          </w:p>
        </w:tc>
      </w:tr>
      <w:tr w14:paraId="68580EB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BED115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8A835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本年处理决定数量</w:t>
            </w:r>
          </w:p>
        </w:tc>
      </w:tr>
      <w:tr w14:paraId="6297C1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9DB93A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F5870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76FFCC5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 w14:paraId="0531EF8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第二十条第（六）项</w:t>
            </w:r>
          </w:p>
        </w:tc>
      </w:tr>
      <w:tr w14:paraId="7268E8D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C3F9EF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B58359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本年处理决定数量</w:t>
            </w:r>
          </w:p>
        </w:tc>
      </w:tr>
      <w:tr w14:paraId="15D96D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F377A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7EB7CD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1</w:t>
            </w:r>
          </w:p>
        </w:tc>
      </w:tr>
      <w:tr w14:paraId="00671E2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3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714DE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E8009D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222512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 w:val="0"/>
            <w:vAlign w:val="center"/>
          </w:tcPr>
          <w:p w14:paraId="2D212E8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第二十条第（八）项</w:t>
            </w:r>
          </w:p>
        </w:tc>
      </w:tr>
      <w:tr w14:paraId="405C07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739C9E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59EC1CB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本年收费金额（单位：万元）</w:t>
            </w:r>
          </w:p>
        </w:tc>
      </w:tr>
      <w:tr w14:paraId="11505F0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DA7177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1"/>
                <w:szCs w:val="21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320E7F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472BC974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7" w:lineRule="atLeas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57225E62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7" w:lineRule="atLeas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49BFDB5D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4A408AFA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49CE8CF1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66F3764F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6B313097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1EC737CE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7F22453F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19CF3533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2056C7DF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7C4F0017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</w:p>
    <w:p w14:paraId="013330C9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  <w:t>三、收到和处理政府信息公开申请情况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53"/>
        <w:gridCol w:w="921"/>
        <w:gridCol w:w="3272"/>
        <w:gridCol w:w="686"/>
        <w:gridCol w:w="686"/>
        <w:gridCol w:w="686"/>
        <w:gridCol w:w="686"/>
        <w:gridCol w:w="686"/>
        <w:gridCol w:w="686"/>
        <w:gridCol w:w="686"/>
      </w:tblGrid>
      <w:tr w14:paraId="41F28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F7557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楷体_GB2312" w:eastAsia="楷体_GB2312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楷体" w:eastAsia="楷体"/>
                <w:color w:val="333333"/>
                <w:spacing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02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6BEC4C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申请人情况</w:t>
            </w:r>
          </w:p>
        </w:tc>
      </w:tr>
      <w:tr w14:paraId="3596EE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8F2278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8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13AF0E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自然人</w:t>
            </w:r>
          </w:p>
        </w:tc>
        <w:tc>
          <w:tcPr>
            <w:tcW w:w="343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576024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法人或其他组织</w:t>
            </w:r>
          </w:p>
        </w:tc>
        <w:tc>
          <w:tcPr>
            <w:tcW w:w="686" w:type="dxa"/>
            <w:vMerge w:val="restart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5D759D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总计</w:t>
            </w:r>
          </w:p>
        </w:tc>
      </w:tr>
      <w:tr w14:paraId="5D19FD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F2FDBF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8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F19118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046894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商业</w:t>
            </w:r>
          </w:p>
          <w:p w14:paraId="43F1D83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企业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83F13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科研</w:t>
            </w:r>
          </w:p>
          <w:p w14:paraId="2C2D0BF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352AF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社会公益组织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9C98B5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法律服务机构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ADB18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其他</w:t>
            </w:r>
          </w:p>
        </w:tc>
        <w:tc>
          <w:tcPr>
            <w:tcW w:w="686" w:type="dxa"/>
            <w:vMerge w:val="continue"/>
            <w:tcBorders>
              <w:top w:val="single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972700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</w:tr>
      <w:tr w14:paraId="6CD75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8" w:hRule="atLeast"/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2FD58F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6E6420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D03688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F222CB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19C2CF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6EFC3E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F83BE8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29F63F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1F32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4885E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F1D425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837C40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F9271B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CEE690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225A62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6B593A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6A555D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CFBC2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restart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64B0E7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三、本年度办理结果</w:t>
            </w: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9E83F4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（一）予以公开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28C94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FE38C6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91E13F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C8BB2C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456AAA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7E0A1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BDAB5C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D78FF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60DF3E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B9A6E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（二）部分公开</w:t>
            </w:r>
            <w:r>
              <w:rPr>
                <w:rFonts w:hint="eastAsia" w:ascii="楷体" w:eastAsia="楷体"/>
                <w:color w:val="333333"/>
                <w:spacing w:val="0"/>
                <w:sz w:val="20"/>
                <w:szCs w:val="20"/>
              </w:rPr>
              <w:t>（区分处理的，只计这一情形，不计其他情形）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96A41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0119B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47705A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034FD8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EF9671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8609C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7A23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B9DF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B415E4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8ABF65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（三）不予公开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D21BB3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1.属于国家秘密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BDDA1B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F5198A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07D120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27A445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8AFDBE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489B61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070D6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85957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1A390C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5FAE61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6A000C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2.其他法律行政法规禁止公开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5B748B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90A501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C129E1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D8D5C0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D2E58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4F8453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26C829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43EF3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2A13F7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46CCAD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4AEE2C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3.危及“三安全一稳定”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ABA7B7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AC3176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9CB41D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DF1F2F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391B2C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A478EA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706FE4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3743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07822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131BDC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8DB487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4.保护第三方合法权益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0D57E7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578E00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A15EAE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0F9B47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8D22A6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494CAC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E107F7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B0143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5" w:hRule="atLeast"/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52F4F7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AB30F8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5F6DC7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5.属于三类内部事务信息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F606D1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A959F6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7E7415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EDBD14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418A63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B14F71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17899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01BF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30F2E7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F67784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C8AEA5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6.属于四类过程性信息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55490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312F2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A7A337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A48F8C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78E33C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83C7DD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C1401B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61B2C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470003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5A30082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10A0C9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7.属于行政执法案卷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105D22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EA61E6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1756F0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0A500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79875A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EC7A04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C02EF2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7B441D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06A2A2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AD2803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3FA348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8.属于行政查询事项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2F523A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6DDE05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ADC096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CF35DB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9984BB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B6FCA2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8347DF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475C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E87BF7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D94CB8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（四）无法提供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5081D1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1.本机关不掌握相关政府信息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65318E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0DA153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0D534D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2D8720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76AA9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5DDB6E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086DCD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551A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E026C8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DC0F66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F5AC1E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2.没有现成信息需要另行制作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7466C3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7BF8CC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D1D857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0168C8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CD1CB7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FD3454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B11833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95BEC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354E76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B948CC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918437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3.补正后申请内容仍不明确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DA0151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991083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E82B1B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E7B40E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EDD301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FA645A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DBF7CD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20D9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ED47CF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restart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3DD28C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（五）不予处理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DB8BF2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1.信访举报投诉类申请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150064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A1B5C6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9FAF4E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D53AA5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0FA5CF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C49EF2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1D59AD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42954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0387F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8B8D82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FE04C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2.重复申请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03B7EC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DCB8A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374C3B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2CAF6B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30434F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FAB5E5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243A54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333C0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BECF75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4A94B6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C10C18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3.要求提供公开出版物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5E5CD9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BE20D8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50704B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66A0BE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068C425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8F8234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7B0C233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9478B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5805BE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08C8A13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292CC03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4.无正当理由大量反复申请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4CFB9B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AFA8B2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B6839A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7502F7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12F3872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63E855C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7B9EC7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E416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79" w:hRule="atLeast"/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F7BCF6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47EE42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F9E2E1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5.要求行政机关确认或重新出具已获取信息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062561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46BEE1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111D5A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903F24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11391EA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EC8366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CB4D66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0BF66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6E3D4D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restart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4F23AF4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（六）其他处理</w:t>
            </w: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3C04A2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1.申请人无正当理由逾期不补正、行政机关不再处理其政府信息公开申请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12C436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8B881B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0FC1C1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48CA3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A65F62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998DB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1CD412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107EBF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7112DAF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6073189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BF76C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2.申请人逾期未按收费通知要求缴纳费用、行政机关不再处理其政府信息公开申请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1330A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A0B8836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536B0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08E536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6A190A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524122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B1934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 w14:paraId="0FB84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2C9B6BC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921" w:type="dxa"/>
            <w:vMerge w:val="continue"/>
            <w:tcBorders>
              <w:top w:val="inset" w:color="auto" w:sz="8" w:space="0"/>
              <w:left w:val="nil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479448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327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DC2514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3.其他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400911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1A0180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4A8CE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B62B04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BE175E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948EA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610B6F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1584A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753" w:type="dxa"/>
            <w:vMerge w:val="continue"/>
            <w:tcBorders>
              <w:top w:val="nil"/>
              <w:left w:val="single" w:color="auto" w:sz="8" w:space="0"/>
              <w:bottom w:val="inset" w:color="auto" w:sz="8" w:space="0"/>
              <w:right w:val="single" w:color="auto" w:sz="8" w:space="0"/>
            </w:tcBorders>
            <w:noWrap w:val="0"/>
            <w:vAlign w:val="center"/>
          </w:tcPr>
          <w:p w14:paraId="3644D2A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419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19CAF6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（七）总计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3CB199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F71FB1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02E41E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F4D6BD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9C073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F645FE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593E9D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5C1F9E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494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4A427D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四、结转下年度继续办理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436D7E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0E387D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493D11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4D337F9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B5F450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eastAsia="zh-CN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48ACC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default" w:ascii="Calibri" w:hAnsi="Calibri" w:eastAsia="宋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Calibri" w:hAnsi="Calibri" w:eastAsia="宋体"/>
                <w:color w:val="333333"/>
                <w:spacing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459F792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D8B3F1F">
      <w:pPr>
        <w:pStyle w:val="4"/>
        <w:keepNext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baseline"/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vertAlign w:val="baseline"/>
          <w:lang w:val="en-US" w:eastAsia="zh-CN"/>
        </w:rPr>
        <w:t>四、政府信息公开行政复议、行政诉讼情况</w:t>
      </w:r>
    </w:p>
    <w:p w14:paraId="5295DDDC">
      <w:pPr>
        <w:pStyle w:val="4"/>
        <w:keepNext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7" w:lineRule="atLeast"/>
        <w:ind w:left="0" w:right="0"/>
        <w:jc w:val="both"/>
        <w:textAlignment w:val="baseline"/>
        <w:rPr>
          <w:vertAlign w:val="baseline"/>
        </w:rPr>
      </w:pPr>
    </w:p>
    <w:tbl>
      <w:tblPr>
        <w:tblStyle w:val="5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22DEC4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EA81CD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23A7E5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行政诉讼</w:t>
            </w:r>
          </w:p>
        </w:tc>
      </w:tr>
      <w:tr w14:paraId="20971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84F624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5E99D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891040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9E83B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5E8FD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206C95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E10664D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复议后起诉</w:t>
            </w:r>
          </w:p>
        </w:tc>
      </w:tr>
      <w:tr w14:paraId="74368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6B4376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54282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781499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099F9F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0EA0DC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EC8873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00D61F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96DD284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DA18E6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3745ED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E537FC8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E035EEF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结果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60F95E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其他</w:t>
            </w: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B102D4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尚未</w:t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br w:type="textWrapping"/>
            </w:r>
            <w:r>
              <w:rPr>
                <w:rFonts w:hint="eastAsia" w:ascii="宋体" w:eastAsia="宋体"/>
                <w:color w:val="333333"/>
                <w:spacing w:val="0"/>
                <w:sz w:val="20"/>
                <w:szCs w:val="20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D59638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 w:firstLine="0"/>
              <w:jc w:val="center"/>
              <w:rPr>
                <w:rFonts w:hint="eastAsia" w:ascii="黑体" w:eastAsia="黑体"/>
                <w:color w:val="333333"/>
                <w:spacing w:val="0"/>
                <w:sz w:val="20"/>
                <w:szCs w:val="20"/>
              </w:rPr>
            </w:pPr>
            <w:r>
              <w:rPr>
                <w:rFonts w:hint="eastAsia" w:ascii="宋体" w:eastAsia="宋体"/>
                <w:color w:val="000000"/>
                <w:spacing w:val="0"/>
                <w:sz w:val="20"/>
                <w:szCs w:val="20"/>
              </w:rPr>
              <w:t>总计</w:t>
            </w:r>
          </w:p>
        </w:tc>
      </w:tr>
      <w:tr w14:paraId="14917A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2D7FC0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EBC122C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37F6DE7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9C9331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24BA53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04FFB6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EF0172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F368153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ABC9070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7D77F7A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9F079AB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804FB4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057EED5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CFDCA3E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556E961">
            <w:pPr>
              <w:keepNext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eastAsia="宋体"/>
                <w:color w:val="333333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5D0C2EA6"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五、存在主要问题及改进情况</w:t>
      </w:r>
    </w:p>
    <w:p w14:paraId="2D621808"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</w:t>
      </w:r>
      <w:r>
        <w:rPr>
          <w:rFonts w:hint="eastAsia" w:ascii="仿宋_GB2312" w:hAnsi="仿宋_GB2312" w:eastAsia="仿宋_GB2312" w:cs="仿宋_GB2312"/>
          <w:sz w:val="32"/>
          <w:szCs w:val="32"/>
        </w:rPr>
        <w:t>政务信息公开工作虽然取得了一定进展，但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还存在</w:t>
      </w:r>
      <w:r>
        <w:rPr>
          <w:rFonts w:hint="eastAsia" w:ascii="仿宋_GB2312" w:hAnsi="仿宋_GB2312" w:eastAsia="仿宋_GB2312" w:cs="仿宋_GB2312"/>
          <w:sz w:val="32"/>
          <w:szCs w:val="32"/>
        </w:rPr>
        <w:t>一定的差距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和不足，如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信息更新还不够及时高效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推进信息公开的力度有待进一步加强；</w:t>
      </w:r>
      <w:r>
        <w:rPr>
          <w:rFonts w:hint="eastAsia" w:ascii="仿宋_GB2312" w:hAnsi="仿宋_GB2312" w:eastAsia="仿宋_GB2312" w:cs="仿宋_GB2312"/>
          <w:sz w:val="32"/>
          <w:szCs w:val="32"/>
        </w:rPr>
        <w:t>部分文字解读材料存在内容要素不完整、政策图解质量有待进一步提高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等。</w:t>
      </w:r>
    </w:p>
    <w:p w14:paraId="109FF2E1"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下步</w:t>
      </w:r>
      <w:r>
        <w:rPr>
          <w:rFonts w:hint="eastAsia" w:ascii="仿宋_GB2312" w:hAnsi="仿宋_GB2312" w:eastAsia="仿宋_GB2312" w:cs="仿宋_GB2312"/>
          <w:sz w:val="32"/>
          <w:szCs w:val="32"/>
        </w:rPr>
        <w:t>改进措施：一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进一步强化政务公开制度建设，努力规范工作流程。及时公开和更新政府信息，拓展与公众互动渠道，主动接受社会监督。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确保</w:t>
      </w:r>
      <w:r>
        <w:rPr>
          <w:rFonts w:hint="eastAsia" w:ascii="仿宋_GB2312" w:hAnsi="仿宋_GB2312" w:eastAsia="仿宋_GB2312" w:cs="仿宋_GB2312"/>
          <w:sz w:val="32"/>
          <w:szCs w:val="32"/>
        </w:rPr>
        <w:t>公众能够方便查询。二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是进一步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扩大公开内容。最大限度的挖掘政务公开内容的广度和深度，积极宣传政府的新政策、新举措、新成绩。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通过对</w:t>
      </w:r>
      <w:r>
        <w:rPr>
          <w:rFonts w:hint="eastAsia" w:ascii="仿宋_GB2312" w:hAnsi="仿宋_GB2312" w:eastAsia="仿宋_GB2312" w:cs="仿宋_GB2312"/>
          <w:sz w:val="32"/>
          <w:szCs w:val="32"/>
        </w:rPr>
        <w:t>政府信息公开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内容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进行补充完善，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优化</w:t>
      </w:r>
      <w:r>
        <w:rPr>
          <w:rFonts w:hint="eastAsia" w:ascii="仿宋_GB2312" w:hAnsi="仿宋_GB2312" w:eastAsia="仿宋_GB2312" w:cs="仿宋_GB2312"/>
          <w:sz w:val="32"/>
          <w:szCs w:val="32"/>
        </w:rPr>
        <w:t>公开信息的完整性和准确性。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依托新媒体，</w:t>
      </w:r>
      <w:r>
        <w:rPr>
          <w:rFonts w:hint="eastAsia" w:ascii="仿宋_GB2312" w:hAnsi="仿宋_GB2312" w:eastAsia="仿宋_GB2312" w:cs="仿宋_GB2312"/>
          <w:sz w:val="32"/>
          <w:szCs w:val="32"/>
        </w:rPr>
        <w:t>扩展公开渠道，为群众就近及时获取政府信息提供便利。主动接受社会监督，实现行政机关工作透明、公开、廉洁、高效。</w:t>
      </w:r>
    </w:p>
    <w:p w14:paraId="244D0923">
      <w:pPr>
        <w:keepNext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六、其它需要报告的事项</w:t>
      </w:r>
    </w:p>
    <w:p w14:paraId="069B0C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2025年，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坟坨镇没</w:t>
      </w:r>
      <w:r>
        <w:rPr>
          <w:rFonts w:hint="eastAsia" w:ascii="仿宋_GB2312" w:hAnsi="仿宋_GB2312" w:eastAsia="仿宋_GB2312" w:cs="仿宋_GB2312"/>
          <w:sz w:val="32"/>
          <w:szCs w:val="32"/>
        </w:rPr>
        <w:t>有因政府信息公开申请收取信息处理费情况。</w:t>
      </w:r>
    </w:p>
    <w:p w14:paraId="258076BD">
      <w:pPr>
        <w:keepNext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703A70"/>
    <w:rsid w:val="236161B8"/>
    <w:rsid w:val="2861703D"/>
    <w:rsid w:val="40703A70"/>
    <w:rsid w:val="57A50428"/>
    <w:rsid w:val="5C11169E"/>
    <w:rsid w:val="79663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1099</Words>
  <Characters>1113</Characters>
  <Lines>0</Lines>
  <Paragraphs>0</Paragraphs>
  <TotalTime>119</TotalTime>
  <ScaleCrop>false</ScaleCrop>
  <LinksUpToDate>false</LinksUpToDate>
  <CharactersWithSpaces>1114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2026-01-13T06:10:00Z</dcterms:created>
  <dc:creator>安之若素</dc:creator>
  <cp:lastModifiedBy>安之若素</cp:lastModifiedBy>
  <dcterms:modified xsi:type="dcterms:W3CDTF">2026-01-20T08:56:25Z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B5DD2D8064184F02A0ACD8BE24D43EE7_11</vt:lpwstr>
  </property>
  <property fmtid="{D5CDD505-2E9C-101B-9397-08002B2CF9AE}" pid="4" name="KSOTemplateDocerSaveRecord">
    <vt:lpwstr>eyJoZGlkIjoiODI2MTBlOWZkZWJmZDYwOGU5Mjc3MWYxODAzMTNjNDIiLCJ1c2VySWQiOiI3NjI0ODU2NzgifQ==</vt:lpwstr>
  </property>
</Properties>
</file>