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8"/>
        <w:spacing w:before="0" w:beforeAutospacing="0" w:after="0" w:afterAutospacing="0" w:line="560" w:lineRule="exact"/>
        <w:ind w:firstLine="883"/>
        <w:jc w:val="center"/>
        <w:rPr>
          <w:rFonts w:hAnsi="宋体"/>
          <w:b/>
          <w:bCs/>
          <w:color w:val="000000"/>
          <w:sz w:val="44"/>
          <w:szCs w:val="44"/>
        </w:rPr>
      </w:pPr>
      <w:r>
        <w:rPr>
          <w:rFonts w:hAnsi="宋体" w:hint="eastAsia"/>
          <w:b/>
          <w:bCs/>
          <w:color w:val="000000"/>
          <w:sz w:val="44"/>
          <w:szCs w:val="44"/>
        </w:rPr>
        <w:t>秦皇岛市抚宁区医疗保障局</w:t>
      </w:r>
    </w:p>
    <w:p>
      <w:pPr>
        <w:pStyle w:val="18"/>
        <w:spacing w:before="0" w:beforeAutospacing="0" w:after="0" w:afterAutospacing="0" w:line="560" w:lineRule="exact"/>
        <w:ind w:firstLine="883"/>
        <w:jc w:val="center"/>
        <w:rPr>
          <w:rFonts w:hAnsi="宋体"/>
          <w:b/>
          <w:bCs/>
          <w:color w:val="000000"/>
          <w:sz w:val="44"/>
          <w:szCs w:val="44"/>
        </w:rPr>
      </w:pPr>
      <w:r>
        <w:rPr>
          <w:rFonts w:hAnsi="宋体" w:hint="eastAsia"/>
          <w:b/>
          <w:bCs/>
          <w:color w:val="000000"/>
          <w:sz w:val="44"/>
          <w:szCs w:val="44"/>
        </w:rPr>
        <w:t>202</w:t>
      </w:r>
      <w:r>
        <w:rPr>
          <w:rFonts w:hAnsi="宋体"/>
          <w:b/>
          <w:bCs/>
          <w:color w:val="000000"/>
          <w:sz w:val="44"/>
          <w:szCs w:val="44"/>
        </w:rPr>
        <w:t>5</w:t>
      </w:r>
      <w:r>
        <w:rPr>
          <w:rFonts w:hAnsi="宋体" w:hint="eastAsia"/>
          <w:b/>
          <w:bCs/>
          <w:color w:val="000000"/>
          <w:sz w:val="44"/>
          <w:szCs w:val="44"/>
        </w:rPr>
        <w:t>年政府信息公开工作年度报告</w:t>
      </w:r>
    </w:p>
    <w:p>
      <w:pPr>
        <w:pStyle w:val="18"/>
        <w:spacing w:before="0" w:beforeAutospacing="0" w:after="0" w:afterAutospacing="0" w:line="560" w:lineRule="exact"/>
        <w:ind w:firstLine="880"/>
        <w:jc w:val="center"/>
        <w:rPr>
          <w:rFonts w:hAnsi="宋体"/>
          <w:bCs/>
          <w:color w:val="000000"/>
          <w:sz w:val="44"/>
          <w:szCs w:val="44"/>
        </w:rPr>
      </w:pPr>
    </w:p>
    <w:p>
      <w:pPr>
        <w:pStyle w:val="18"/>
        <w:spacing w:before="0" w:beforeAutospacing="0" w:after="0" w:afterAutospacing="0"/>
        <w:ind w:firstLineChars="200"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根据《中华人民共和国政府信息公开条例》（以下简称《条例》）规定，向社会公布秦皇岛市抚宁区</w:t>
      </w:r>
      <w:r>
        <w:rPr>
          <w:rFonts w:ascii="仿宋" w:eastAsia="仿宋" w:hAnsi="仿宋"/>
          <w:color w:val="000000"/>
          <w:sz w:val="32"/>
          <w:szCs w:val="32"/>
        </w:rPr>
        <w:t>医疗保障局</w:t>
      </w:r>
      <w:r>
        <w:rPr>
          <w:rFonts w:ascii="仿宋" w:eastAsia="仿宋" w:hAnsi="仿宋" w:hint="eastAsia"/>
          <w:color w:val="000000"/>
          <w:sz w:val="32"/>
          <w:szCs w:val="32"/>
        </w:rPr>
        <w:t>202</w:t>
      </w:r>
      <w:r>
        <w:rPr>
          <w:rFonts w:ascii="仿宋" w:eastAsia="仿宋" w:hAnsi="仿宋" w:hint="eastAsia"/>
          <w:color w:val="000000"/>
          <w:sz w:val="32"/>
          <w:szCs w:val="32"/>
          <w:lang w:val="en-US" w:eastAsia="zh-CN"/>
        </w:rPr>
        <w:t>4</w:t>
      </w:r>
      <w:r>
        <w:rPr>
          <w:rFonts w:ascii="仿宋" w:eastAsia="仿宋" w:hAnsi="仿宋" w:hint="eastAsia"/>
          <w:color w:val="000000"/>
          <w:sz w:val="32"/>
          <w:szCs w:val="32"/>
        </w:rPr>
        <w:t>年政府信息公开工作年度报告。本报告由总体情况、主动公开政府信息情况、依申请公开情况、行政复议和诉讼情况、存在的主要问题及改进情况、其他需要报告的事项等部分组成。本报告中所列数据的统计时限自202</w:t>
      </w:r>
      <w:r>
        <w:rPr>
          <w:rFonts w:ascii="仿宋" w:eastAsia="仿宋" w:hAnsi="仿宋"/>
          <w:color w:val="000000"/>
          <w:sz w:val="32"/>
          <w:szCs w:val="32"/>
        </w:rPr>
        <w:t>5</w:t>
      </w:r>
      <w:r>
        <w:rPr>
          <w:rFonts w:ascii="仿宋" w:eastAsia="仿宋" w:hAnsi="仿宋" w:hint="eastAsia"/>
          <w:color w:val="000000"/>
          <w:sz w:val="32"/>
          <w:szCs w:val="32"/>
        </w:rPr>
        <w:t>年1月1日起至202</w:t>
      </w:r>
      <w:r>
        <w:rPr>
          <w:rFonts w:ascii="仿宋" w:eastAsia="仿宋" w:hAnsi="仿宋"/>
          <w:color w:val="000000"/>
          <w:sz w:val="32"/>
          <w:szCs w:val="32"/>
        </w:rPr>
        <w:t>5</w:t>
      </w:r>
      <w:r>
        <w:rPr>
          <w:rFonts w:ascii="仿宋" w:eastAsia="仿宋" w:hAnsi="仿宋" w:hint="eastAsia"/>
          <w:color w:val="000000"/>
          <w:sz w:val="32"/>
          <w:szCs w:val="32"/>
        </w:rPr>
        <w:t>年12月31日止。</w:t>
      </w:r>
    </w:p>
    <w:p>
      <w:pPr>
        <w:pStyle w:val="18"/>
        <w:spacing w:before="0" w:beforeAutospacing="0" w:after="0" w:afterAutospacing="0"/>
        <w:ind w:firstLineChars="200" w:firstLine="640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t>一、总体情况</w:t>
      </w:r>
    </w:p>
    <w:p>
      <w:pPr>
        <w:pStyle w:val="18"/>
        <w:spacing w:before="0" w:beforeAutospacing="0" w:after="0" w:afterAutospacing="0"/>
        <w:ind w:firstLineChars="200"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/>
          <w:color w:val="000000"/>
          <w:sz w:val="32"/>
          <w:szCs w:val="32"/>
        </w:rPr>
        <w:t>认真贯彻落实《条例》要求，结合医疗保障工作特点，</w:t>
      </w:r>
      <w:r>
        <w:rPr>
          <w:rFonts w:ascii="仿宋" w:eastAsia="仿宋" w:hAnsi="仿宋" w:hint="eastAsia"/>
          <w:color w:val="000000"/>
          <w:sz w:val="32"/>
          <w:szCs w:val="32"/>
        </w:rPr>
        <w:t>强化</w:t>
      </w:r>
      <w:r>
        <w:rPr>
          <w:rFonts w:ascii="仿宋" w:eastAsia="仿宋" w:hAnsi="仿宋"/>
          <w:color w:val="000000"/>
          <w:sz w:val="32"/>
          <w:szCs w:val="32"/>
        </w:rPr>
        <w:t>组织领导，明确责任分工，加大信息公开力度，规范信息公开流程，做好医疗保障重点领域信息公开。</w:t>
      </w:r>
    </w:p>
    <w:p>
      <w:pPr>
        <w:pStyle w:val="18"/>
        <w:spacing w:before="0" w:beforeAutospacing="0" w:after="0" w:afterAutospacing="0"/>
        <w:ind w:firstLineChars="200"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/>
          <w:color w:val="000000"/>
          <w:sz w:val="32"/>
          <w:szCs w:val="32"/>
        </w:rPr>
        <w:t>（一）主动公开</w:t>
      </w:r>
      <w:r>
        <w:rPr>
          <w:rFonts w:ascii="仿宋" w:eastAsia="仿宋" w:hAnsi="仿宋" w:hint="eastAsia"/>
          <w:color w:val="000000"/>
          <w:sz w:val="32"/>
          <w:szCs w:val="32"/>
        </w:rPr>
        <w:t>方面</w:t>
      </w:r>
      <w:r>
        <w:rPr>
          <w:rFonts w:ascii="仿宋" w:eastAsia="仿宋" w:hAnsi="仿宋"/>
          <w:color w:val="000000"/>
          <w:sz w:val="32"/>
          <w:szCs w:val="32"/>
        </w:rPr>
        <w:t xml:space="preserve">。本年度，在“政府信息公开”专栏中公开信息 16 </w:t>
      </w:r>
      <w:r>
        <w:rPr>
          <w:rFonts w:ascii="仿宋" w:eastAsia="仿宋" w:hAnsi="仿宋" w:hint="eastAsia"/>
          <w:color w:val="000000"/>
          <w:sz w:val="32"/>
          <w:szCs w:val="32"/>
        </w:rPr>
        <w:t>条,其中概括信息</w:t>
      </w:r>
      <w:r>
        <w:rPr>
          <w:rFonts w:ascii="仿宋" w:eastAsia="仿宋" w:hAnsi="仿宋"/>
          <w:color w:val="000000"/>
          <w:sz w:val="32"/>
          <w:szCs w:val="32"/>
        </w:rPr>
        <w:t xml:space="preserve"> 4</w:t>
      </w:r>
      <w:r>
        <w:rPr>
          <w:rFonts w:ascii="仿宋" w:eastAsia="仿宋" w:hAnsi="仿宋" w:hint="eastAsia"/>
          <w:color w:val="000000"/>
          <w:sz w:val="32"/>
          <w:szCs w:val="32"/>
        </w:rPr>
        <w:t>条，工作动态1</w:t>
      </w:r>
      <w:r>
        <w:rPr>
          <w:rFonts w:ascii="仿宋" w:eastAsia="仿宋" w:hAnsi="仿宋" w:hint="eastAsia"/>
          <w:color w:val="000000"/>
          <w:sz w:val="32"/>
          <w:szCs w:val="32"/>
          <w:lang w:val="en-US" w:eastAsia="zh-CN"/>
        </w:rPr>
        <w:t>2</w:t>
      </w:r>
      <w:r>
        <w:rPr>
          <w:rFonts w:ascii="仿宋" w:eastAsia="仿宋" w:hAnsi="仿宋" w:hint="eastAsia"/>
          <w:color w:val="000000"/>
          <w:sz w:val="32"/>
          <w:szCs w:val="32"/>
        </w:rPr>
        <w:t>条。</w:t>
      </w:r>
    </w:p>
    <w:p>
      <w:pPr>
        <w:pStyle w:val="18"/>
        <w:spacing w:before="0" w:beforeAutospacing="0" w:after="0" w:afterAutospacing="0"/>
        <w:ind w:firstLineChars="200"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（二）依申请公开方面。202</w:t>
      </w:r>
      <w:r>
        <w:rPr>
          <w:rFonts w:ascii="仿宋" w:eastAsia="仿宋" w:hAnsi="仿宋"/>
          <w:color w:val="000000"/>
          <w:sz w:val="32"/>
          <w:szCs w:val="32"/>
        </w:rPr>
        <w:t>5</w:t>
      </w:r>
      <w:r>
        <w:rPr>
          <w:rFonts w:ascii="仿宋" w:eastAsia="仿宋" w:hAnsi="仿宋" w:hint="eastAsia"/>
          <w:color w:val="000000"/>
          <w:sz w:val="32"/>
          <w:szCs w:val="32"/>
        </w:rPr>
        <w:t>年，区医疗保障局未收到政府信息公开申请。</w:t>
      </w:r>
    </w:p>
    <w:p>
      <w:pPr>
        <w:pStyle w:val="15"/>
        <w:ind w:firstLineChars="200" w:firstLine="640"/>
        <w:jc w:val="left"/>
        <w:rPr>
          <w:rFonts w:ascii="仿宋" w:eastAsia="仿宋" w:cs="宋体" w:hAnsi="仿宋"/>
          <w:color w:val="000000"/>
          <w:kern w:val="0"/>
          <w:sz w:val="32"/>
          <w:szCs w:val="32"/>
        </w:rPr>
      </w:pPr>
      <w:r>
        <w:rPr>
          <w:rFonts w:ascii="仿宋" w:eastAsia="仿宋" w:cs="宋体" w:hAnsi="仿宋" w:hint="eastAsia"/>
          <w:color w:val="000000"/>
          <w:kern w:val="0"/>
          <w:sz w:val="32"/>
          <w:szCs w:val="32"/>
        </w:rPr>
        <w:t>（三）政府信息管理方面。一是积极部署。年初即把政务公开工作列入重要议事日程，纳入工作全局统筹谋划，做到与业务工作同研究、同部署、同检查，形成一把手负总责，分管领导具体抓，办公室牵头协调推进，各业务部门具体承办。二是认真落实。为全面贯彻落实《条例》精神，我局结合自身职能，明确责任、集中发布、重点落实，重点围绕群众关心的医疗保障政策及相关执行情况等信息，做到全面公开、及时公开。随着政务公开工作的逐步推进，我局公开制度化、标准化、信息化水平不断提升。</w:t>
      </w:r>
    </w:p>
    <w:p>
      <w:pPr>
        <w:pStyle w:val="15"/>
        <w:ind w:firstLineChars="200" w:firstLine="640"/>
        <w:jc w:val="left"/>
        <w:rPr>
          <w:rFonts w:ascii="仿宋" w:eastAsia="仿宋" w:cs="宋体" w:hAnsi="仿宋"/>
          <w:color w:val="000000"/>
          <w:kern w:val="0"/>
          <w:sz w:val="32"/>
          <w:szCs w:val="32"/>
        </w:rPr>
      </w:pPr>
      <w:r>
        <w:rPr>
          <w:rFonts w:ascii="仿宋" w:eastAsia="仿宋" w:cs="宋体" w:hAnsi="仿宋" w:hint="eastAsia"/>
          <w:color w:val="000000"/>
          <w:kern w:val="0"/>
          <w:sz w:val="32"/>
          <w:szCs w:val="32"/>
        </w:rPr>
        <w:t>（四）信息公开平台建设方面。</w:t>
      </w:r>
    </w:p>
    <w:p>
      <w:pPr>
        <w:widowControl/>
        <w:numPr>
          <w:ilvl w:val="0"/>
          <w:numId w:val="1"/>
        </w:numPr>
        <w:shd w:val="clear" w:color="auto" w:fill="FFFFFF"/>
        <w:jc w:val="left"/>
        <w:rPr>
          <w:rFonts w:ascii="仿宋" w:eastAsia="仿宋" w:cs="宋体" w:hAnsi="仿宋"/>
          <w:color w:val="000000"/>
          <w:kern w:val="0"/>
          <w:sz w:val="32"/>
          <w:szCs w:val="32"/>
        </w:rPr>
      </w:pPr>
      <w:r>
        <w:rPr>
          <w:rFonts w:ascii="仿宋" w:eastAsia="仿宋" w:cs="宋体" w:hAnsi="仿宋"/>
          <w:color w:val="000000"/>
          <w:kern w:val="0"/>
          <w:sz w:val="32"/>
          <w:szCs w:val="32"/>
        </w:rPr>
        <w:t>网站信息。我局把</w:t>
      </w:r>
      <w:r>
        <w:rPr>
          <w:rFonts w:ascii="仿宋" w:eastAsia="仿宋" w:cs="宋体" w:hAnsi="仿宋" w:hint="eastAsia"/>
          <w:color w:val="000000"/>
          <w:kern w:val="0"/>
          <w:sz w:val="32"/>
          <w:szCs w:val="32"/>
        </w:rPr>
        <w:t>区</w:t>
      </w:r>
      <w:r>
        <w:rPr>
          <w:rFonts w:ascii="仿宋" w:eastAsia="仿宋" w:cs="宋体" w:hAnsi="仿宋"/>
          <w:color w:val="000000"/>
          <w:kern w:val="0"/>
          <w:sz w:val="32"/>
          <w:szCs w:val="32"/>
        </w:rPr>
        <w:t>政府门户网站作为政府信息公开的主要平台，全年发布信息16条。</w:t>
      </w:r>
    </w:p>
    <w:p>
      <w:pPr>
        <w:pStyle w:val="18"/>
        <w:spacing w:before="0" w:beforeAutospacing="0" w:after="0" w:afterAutospacing="0"/>
        <w:ind w:firstLineChars="208" w:firstLine="666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(五）监督保障方面。局办公室具体负责政府信息公开的监督检查工作。压实信息发布主体责任，认真落实政府信息公开相关政策，严格执行信息发布“三审”制度，确保发布信息的真实准确、规范有效。</w:t>
      </w:r>
      <w:r>
        <w:rPr>
          <w:rFonts w:ascii="仿宋" w:eastAsia="仿宋" w:hAnsi="仿宋"/>
          <w:color w:val="000000"/>
          <w:sz w:val="32"/>
          <w:szCs w:val="32"/>
        </w:rPr>
        <w:t>坚持以“公开为常态、不公开为例外”原则，应公开、尽公开，同时严格落实公开前保密审查机制，妥善处理好政务公开与保守国家秘密的关系</w:t>
      </w:r>
      <w:r>
        <w:rPr>
          <w:rFonts w:ascii="仿宋" w:eastAsia="仿宋" w:hAnsi="仿宋" w:hint="eastAsia"/>
          <w:color w:val="000000"/>
          <w:sz w:val="32"/>
          <w:szCs w:val="32"/>
        </w:rPr>
        <w:t>,把握好公开的范围，不断提升主动公开的标准规范化水平。</w:t>
      </w:r>
    </w:p>
    <w:p>
      <w:pPr>
        <w:pStyle w:val="18"/>
        <w:spacing w:before="0" w:beforeAutospacing="0" w:after="0" w:afterAutospacing="0"/>
        <w:ind w:firstLineChars="208" w:firstLine="666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t>二、主动公开政府信息情况</w:t>
      </w:r>
    </w:p>
    <w:tbl>
      <w:tblPr>
        <w:jc w:val="center"/>
        <w:tblW w:w="97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600" w:firstRow="0" w:lastRow="0" w:firstColumn="0" w:lastColumn="0" w:noHBand="1" w:noVBand="1"/>
      </w:tblPr>
      <w:tblGrid>
        <w:gridCol w:w="2435"/>
        <w:gridCol w:w="2435"/>
        <w:gridCol w:w="2435"/>
        <w:gridCol w:w="2435"/>
      </w:tblGrid>
      <w:tr>
        <w:trPr>
          <w:trHeight w:val="340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第二十条第（一）项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本年</w:t>
            </w:r>
            <w:r>
              <w:rPr>
                <w:rFonts w:ascii="宋体" w:hint="eastAsia"/>
                <w:color w:val="333333"/>
                <w:sz w:val="20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现行有效件</w:t>
            </w:r>
            <w:r>
              <w:rPr>
                <w:rFonts w:ascii="宋体" w:hint="eastAsia"/>
                <w:color w:val="333333"/>
                <w:sz w:val="20"/>
              </w:rPr>
              <w:t>数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333333"/>
                <w:sz w:val="24"/>
                <w:szCs w:val="24"/>
              </w:rPr>
            </w:pPr>
            <w:r>
              <w:rPr>
                <w:rFonts w:ascii="宋体" w:hint="eastAsia"/>
                <w:color w:val="333333"/>
                <w:sz w:val="24"/>
                <w:szCs w:val="24"/>
              </w:rPr>
              <w:t>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333333"/>
                <w:sz w:val="24"/>
                <w:szCs w:val="24"/>
              </w:rPr>
            </w:pPr>
            <w:r>
              <w:rPr>
                <w:rFonts w:ascii="宋体" w:hint="eastAsia"/>
                <w:color w:val="333333"/>
                <w:sz w:val="24"/>
                <w:szCs w:val="24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第二十条第（五）项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333333"/>
                <w:sz w:val="24"/>
                <w:szCs w:val="24"/>
              </w:rPr>
            </w:pPr>
            <w:r>
              <w:rPr>
                <w:rFonts w:ascii="宋体" w:hint="eastAsia"/>
                <w:color w:val="333333"/>
                <w:sz w:val="24"/>
                <w:szCs w:val="24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第二十条第（六）项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eastAsia="宋体" w:hAnsi="Calibri"/>
                <w:color w:val="333333"/>
                <w:szCs w:val="21"/>
                <w:lang w:val="en-US" w:eastAsia="zh-CN"/>
              </w:rPr>
            </w:pPr>
            <w:r>
              <w:rPr>
                <w:rFonts w:ascii="Calibri" w:hAnsi="Calibri"/>
                <w:color w:val="333333"/>
                <w:szCs w:val="21"/>
                <w:lang w:val="en-US" w:eastAsia="zh-CN"/>
              </w:rPr>
              <w:t>6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第二十条第（八）项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本年收费金额（单位：万元）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ascii="宋体" w:hint="eastAsia"/>
                <w:color w:val="000000"/>
                <w:sz w:val="20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>
            <w:pPr>
              <w:jc w:val="center"/>
              <w:rPr>
                <w:rFonts w:ascii="宋体"/>
                <w:color w:val="333333"/>
                <w:sz w:val="24"/>
                <w:szCs w:val="24"/>
              </w:rPr>
            </w:pPr>
            <w:r>
              <w:rPr>
                <w:rFonts w:ascii="宋体" w:hint="eastAsia"/>
                <w:color w:val="333333"/>
                <w:sz w:val="24"/>
                <w:szCs w:val="24"/>
              </w:rPr>
              <w:t>0</w:t>
            </w:r>
          </w:p>
        </w:tc>
      </w:tr>
    </w:tbl>
    <w:p>
      <w:pPr>
        <w:pStyle w:val="18"/>
        <w:spacing w:before="0" w:beforeAutospacing="0" w:after="0" w:afterAutospacing="0"/>
        <w:rPr>
          <w:rFonts w:ascii="黑体" w:eastAsia="黑体"/>
          <w:color w:val="000000"/>
          <w:sz w:val="32"/>
          <w:szCs w:val="32"/>
        </w:rPr>
      </w:pPr>
    </w:p>
    <w:p>
      <w:pPr>
        <w:pStyle w:val="18"/>
        <w:spacing w:before="0" w:beforeAutospacing="0" w:after="0" w:afterAutospacing="0"/>
        <w:rPr>
          <w:rFonts w:ascii="黑体" w:eastAsia="黑体"/>
          <w:color w:val="000000"/>
          <w:sz w:val="32"/>
          <w:szCs w:val="32"/>
        </w:rPr>
      </w:pPr>
    </w:p>
    <w:p>
      <w:pPr>
        <w:pStyle w:val="18"/>
        <w:spacing w:before="0" w:beforeAutospacing="0" w:after="0" w:afterAutospacing="0"/>
        <w:rPr>
          <w:rFonts w:ascii="黑体" w:eastAsia="黑体"/>
          <w:color w:val="000000"/>
          <w:sz w:val="32"/>
          <w:szCs w:val="32"/>
        </w:rPr>
      </w:pPr>
    </w:p>
    <w:p>
      <w:pPr>
        <w:pStyle w:val="18"/>
        <w:spacing w:before="0" w:beforeAutospacing="0" w:after="0" w:afterAutospacing="0"/>
        <w:rPr>
          <w:rFonts w:ascii="黑体" w:eastAsia="黑体"/>
          <w:color w:val="000000"/>
          <w:sz w:val="32"/>
          <w:szCs w:val="32"/>
        </w:rPr>
      </w:pPr>
    </w:p>
    <w:p>
      <w:pPr>
        <w:pStyle w:val="18"/>
        <w:spacing w:before="0" w:beforeAutospacing="0" w:after="0" w:afterAutospacing="0"/>
        <w:rPr>
          <w:rFonts w:ascii="黑体" w:eastAsia="黑体"/>
          <w:color w:val="000000"/>
          <w:sz w:val="32"/>
          <w:szCs w:val="32"/>
        </w:rPr>
      </w:pPr>
    </w:p>
    <w:p>
      <w:pPr>
        <w:pStyle w:val="18"/>
        <w:spacing w:before="0" w:beforeAutospacing="0" w:after="0" w:afterAutospacing="0"/>
        <w:rPr>
          <w:rFonts w:ascii="黑体" w:eastAsia="黑体"/>
          <w:color w:val="000000"/>
          <w:sz w:val="32"/>
          <w:szCs w:val="32"/>
        </w:rPr>
      </w:pPr>
    </w:p>
    <w:p>
      <w:pPr>
        <w:pStyle w:val="18"/>
        <w:spacing w:before="0" w:beforeAutospacing="0" w:after="0" w:afterAutospacing="0"/>
        <w:rPr>
          <w:rFonts w:ascii="黑体" w:eastAsia="黑体"/>
          <w:color w:val="000000"/>
          <w:sz w:val="32"/>
          <w:szCs w:val="32"/>
        </w:rPr>
      </w:pPr>
    </w:p>
    <w:p>
      <w:pPr>
        <w:pStyle w:val="18"/>
        <w:spacing w:before="0" w:beforeAutospacing="0" w:after="0" w:afterAutospacing="0"/>
        <w:rPr>
          <w:rFonts w:ascii="黑体" w:eastAsia="黑体"/>
          <w:color w:val="000000"/>
          <w:sz w:val="32"/>
          <w:szCs w:val="32"/>
        </w:rPr>
      </w:pPr>
    </w:p>
    <w:p>
      <w:pPr>
        <w:pStyle w:val="18"/>
        <w:spacing w:before="0" w:beforeAutospacing="0" w:after="0" w:afterAutospacing="0"/>
        <w:ind w:firstLineChars="200" w:firstLine="640"/>
        <w:rPr>
          <w:color w:val="000000"/>
        </w:rPr>
      </w:pPr>
      <w:r>
        <w:rPr>
          <w:rFonts w:ascii="黑体" w:eastAsia="黑体" w:hint="eastAsia"/>
          <w:color w:val="000000"/>
          <w:sz w:val="32"/>
          <w:szCs w:val="32"/>
        </w:rPr>
        <w:t>三、收到和处理政府信息公开申请情况</w:t>
        <w:br/>
      </w:r>
    </w:p>
    <w:tbl>
      <w:tblPr>
        <w:jc w:val="center"/>
        <w:tblW w:w="907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outset" w:sz="6" w:space="0" w:color="auto"/>
          <w:insideV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600" w:firstRow="0" w:lastRow="0" w:firstColumn="0" w:lastColumn="0" w:noHBand="1" w:noVBand="1"/>
      </w:tblPr>
      <w:tblGrid>
        <w:gridCol w:w="494"/>
        <w:gridCol w:w="855"/>
        <w:gridCol w:w="2130"/>
        <w:gridCol w:w="825"/>
        <w:gridCol w:w="765"/>
        <w:gridCol w:w="765"/>
        <w:gridCol w:w="825"/>
        <w:gridCol w:w="990"/>
        <w:gridCol w:w="720"/>
        <w:gridCol w:w="702"/>
      </w:tblGrid>
      <w:tr>
        <w:tc>
          <w:tcPr>
            <w:tcW w:w="3479" w:type="dxa"/>
            <w:gridSpan w:val="3"/>
            <w:vMerge w:val="restart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（本列数据的勾稽关系为：第一项加第二项之和，等于第三项加第四项之和）</w:t>
            </w:r>
          </w:p>
        </w:tc>
        <w:tc>
          <w:tcPr>
            <w:tcW w:w="5592" w:type="dxa"/>
            <w:gridSpan w:val="7"/>
            <w:tcBorders>
              <w:left w:val="nil"/>
              <w:bottom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申请人情况</w:t>
            </w:r>
          </w:p>
        </w:tc>
      </w:tr>
      <w:tr>
        <w:tc>
          <w:tcPr>
            <w:tcW w:w="3479" w:type="dxa"/>
            <w:gridSpan w:val="3"/>
            <w:vMerge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25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自然人</w:t>
            </w:r>
          </w:p>
        </w:tc>
        <w:tc>
          <w:tcPr>
            <w:tcW w:w="4065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法人或其他组织</w:t>
            </w:r>
          </w:p>
        </w:tc>
        <w:tc>
          <w:tcPr>
            <w:tcW w:w="702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总计</w:t>
            </w:r>
          </w:p>
        </w:tc>
      </w:tr>
      <w:tr>
        <w:tc>
          <w:tcPr>
            <w:tcW w:w="3479" w:type="dxa"/>
            <w:gridSpan w:val="3"/>
            <w:vMerge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2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商业企业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科研机构</w:t>
            </w:r>
          </w:p>
        </w:tc>
        <w:tc>
          <w:tcPr>
            <w:tcW w:w="8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社会公益组织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法律服务机构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其他</w:t>
            </w:r>
          </w:p>
        </w:tc>
        <w:tc>
          <w:tcPr>
            <w:tcW w:w="702" w:type="dxa"/>
            <w:vMerge/>
            <w:tcBorders>
              <w:top w:val="single" w:sz="8" w:space="0" w:color="auto"/>
              <w:left w:val="nil"/>
              <w:bottom w:val="single" w:sz="8" w:space="0" w:color="auto"/>
            </w:tcBorders>
            <w:vAlign w:val="center"/>
          </w:tcPr>
          <w:p/>
        </w:tc>
      </w:tr>
      <w:tr>
        <w:tc>
          <w:tcPr>
            <w:tcW w:w="3479" w:type="dxa"/>
            <w:gridSpan w:val="3"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一、本年新收政府信息公开申请数量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3479" w:type="dxa"/>
            <w:gridSpan w:val="3"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二、上年结转政府信息公开申请数量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仿宋" w:eastAsia="仿宋" w:cs="仿宋" w:hAnsi="仿宋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rPr>
          <w:trHeight w:val="363"/>
        </w:trPr>
        <w:tc>
          <w:tcPr>
            <w:tcW w:w="494" w:type="dxa"/>
            <w:vMerge w:val="restart"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三、本年度办理结果</w:t>
            </w: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（一）予以公开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single" w:sz="8" w:space="0" w:color="auto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29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（二）部分公开（区分处理的，只计这一情形，不计其他情形）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55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（三）不予公开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1.属于国家秘密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single" w:sz="8" w:space="0" w:color="auto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5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2.其他法律行政法规禁止公开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5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3.危及“三安全一稳定”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5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4.保护第三方合法权益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rPr>
          <w:trHeight w:val="471"/>
        </w:trP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5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5.属于三类内部事务信息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5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6.属于四类过程性信息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5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7.属于行政执法案卷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5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8.属于行政查询事项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55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（四）无法提供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1.本机关不掌握相关政府信息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5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2.没有现成信息需要另行制作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5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3.补正后申请内容仍不明确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55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（五）不予处理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1.信访举报投诉类申请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5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2.重复申请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5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3.要求提供公开出版物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5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4.无正当理由大量反复申请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85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5.要求行政机关确认或重新出具已获取信息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29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（六）其他处理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49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29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ascii="楷体" w:eastAsia="楷体" w:hint="eastAsia"/>
                <w:color w:val="000000"/>
                <w:sz w:val="20"/>
              </w:rPr>
              <w:t>（七）总计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  <w:tr>
        <w:tc>
          <w:tcPr>
            <w:tcW w:w="3479" w:type="dxa"/>
            <w:gridSpan w:val="3"/>
            <w:tcBorders>
              <w:top w:val="nil"/>
              <w:right w:val="single" w:sz="8" w:space="0" w:color="auto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四、结转下年度继续办理</w:t>
            </w:r>
          </w:p>
        </w:tc>
        <w:tc>
          <w:tcPr>
            <w:tcW w:w="825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</w:tbl>
    <w:p>
      <w:pPr>
        <w:pStyle w:val="18"/>
        <w:spacing w:before="0" w:beforeAutospacing="0" w:after="0" w:afterAutospacing="0"/>
        <w:rPr>
          <w:rFonts w:ascii="黑体" w:eastAsia="黑体"/>
          <w:color w:val="000000"/>
          <w:sz w:val="32"/>
          <w:szCs w:val="32"/>
        </w:rPr>
      </w:pPr>
    </w:p>
    <w:p>
      <w:pPr>
        <w:pStyle w:val="18"/>
        <w:spacing w:before="0" w:beforeAutospacing="0" w:after="0" w:afterAutospacing="0"/>
        <w:ind w:firstLineChars="200" w:firstLine="640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t>四、政府信息公开行政复议、行政诉讼情况</w:t>
      </w:r>
    </w:p>
    <w:p>
      <w:pPr>
        <w:pStyle w:val="18"/>
        <w:spacing w:before="0" w:beforeAutospacing="0" w:after="0" w:afterAutospacing="0"/>
        <w:ind w:firstLine="480"/>
        <w:rPr>
          <w:color w:val="000000"/>
        </w:rPr>
      </w:pPr>
    </w:p>
    <w:tbl>
      <w:tblPr>
        <w:jc w:val="center"/>
        <w:tblW w:w="907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outset" w:sz="6" w:space="0" w:color="auto"/>
          <w:insideV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600" w:firstRow="0" w:lastRow="0" w:firstColumn="0" w:lastColumn="0" w:noHBand="1" w:noVBand="1"/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c>
          <w:tcPr>
            <w:tcW w:w="3074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left w:val="nil"/>
              <w:bottom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行政诉讼</w:t>
            </w:r>
          </w:p>
        </w:tc>
      </w:tr>
      <w:tr>
        <w:tc>
          <w:tcPr>
            <w:tcW w:w="604" w:type="dxa"/>
            <w:vMerge w:val="restart"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sz="8" w:space="0" w:color="auto"/>
              <w:left w:val="nil"/>
              <w:bottom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复议后起诉</w:t>
            </w:r>
          </w:p>
        </w:tc>
      </w:tr>
      <w:tr>
        <w:tc>
          <w:tcPr>
            <w:tcW w:w="604" w:type="dxa"/>
            <w:vMerge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60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658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/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结果纠正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其他结果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尚未审结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总计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结果维持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结果纠正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其他结果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尚未审结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总计</w:t>
            </w:r>
          </w:p>
        </w:tc>
      </w:tr>
      <w:tr>
        <w:tc>
          <w:tcPr>
            <w:tcW w:w="604" w:type="dxa"/>
            <w:tcBorders>
              <w:top w:val="nil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0</w:t>
            </w:r>
          </w:p>
        </w:tc>
      </w:tr>
    </w:tbl>
    <w:p>
      <w:pPr>
        <w:spacing w:after="149"/>
        <w:jc w:val="center"/>
        <w:rPr>
          <w:rFonts w:ascii="Segoe UI" w:hAnsi="Segoe UI"/>
          <w:color w:val="000000"/>
          <w:sz w:val="3"/>
          <w:szCs w:val="3"/>
        </w:rPr>
      </w:pPr>
      <w:r>
        <w:rPr>
          <w:rFonts w:ascii="Segoe UI" w:hAnsi="Segoe UI"/>
          <w:color w:val="000000"/>
          <w:sz w:val="3"/>
          <w:szCs w:val="3"/>
        </w:rPr>
        <w:br/>
      </w:r>
    </w:p>
    <w:p>
      <w:pPr>
        <w:pStyle w:val="18"/>
        <w:numPr>
          <w:ilvl w:val="0"/>
          <w:numId w:val="2"/>
        </w:numPr>
        <w:spacing w:before="0" w:beforeAutospacing="0" w:after="0" w:afterAutospacing="0"/>
        <w:ind w:left="0" w:firstLineChars="200" w:firstLine="640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t>存在的主要问题及改进情况</w:t>
      </w:r>
    </w:p>
    <w:p>
      <w:pPr>
        <w:pStyle w:val="18"/>
        <w:spacing w:before="0" w:beforeAutospacing="0" w:after="0" w:afterAutospacing="0"/>
        <w:ind w:firstLineChars="200"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/>
          <w:color w:val="000000"/>
          <w:sz w:val="32"/>
          <w:szCs w:val="32"/>
        </w:rPr>
        <w:t xml:space="preserve">  一是政务公开内容质量有待进一步规范；二是政策解读形势有待进一步提升。</w:t>
      </w:r>
    </w:p>
    <w:p>
      <w:pPr>
        <w:pStyle w:val="18"/>
        <w:spacing w:before="0" w:beforeAutospacing="0" w:after="0" w:afterAutospacing="0"/>
        <w:ind w:firstLineChars="200" w:firstLine="5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int="eastAsia"/>
          <w:b w:val="0"/>
          <w:bCs w:val="0"/>
          <w:i w:val="0"/>
          <w:iCs w:val="0"/>
          <w:caps w:val="0"/>
          <w:smallCaps w:val="0"/>
          <w:color w:val="000000"/>
          <w:spacing w:val="0"/>
          <w:sz w:val="27"/>
          <w:szCs w:val="27"/>
          <w14:textFill>
            <w14:solidFill>
              <w14:srgbClr w14:val="000000"/>
            </w14:solidFill>
          </w14:textFill>
        </w:rPr>
        <w:t>今后,我局加大投入力度，提高信息化水平。大力推进政务公开信息化建设，增加对政务公开网站的投入与维护，完善网站功能，提升信息发布的质量与效率。</w:t>
      </w:r>
      <w:bookmarkStart w:id="0" w:name="_GoBack"/>
      <w:bookmarkEnd w:id="0"/>
    </w:p>
    <w:p>
      <w:pPr>
        <w:pStyle w:val="18"/>
        <w:spacing w:before="0" w:beforeAutospacing="0" w:after="0" w:afterAutospacing="0"/>
        <w:ind w:firstLineChars="200" w:firstLine="640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t>六、其他需要报告的事项</w:t>
      </w:r>
    </w:p>
    <w:p>
      <w:pPr>
        <w:ind w:firstLineChars="200" w:firstLine="640"/>
        <w:rPr>
          <w:rFonts w:ascii="仿宋" w:eastAsia="仿宋"/>
          <w:color w:val="000000"/>
          <w:sz w:val="32"/>
          <w:szCs w:val="32"/>
        </w:rPr>
      </w:pPr>
      <w:r>
        <w:rPr>
          <w:rFonts w:ascii="仿宋" w:eastAsia="仿宋"/>
          <w:color w:val="000000"/>
          <w:sz w:val="32"/>
          <w:szCs w:val="32"/>
        </w:rPr>
        <w:t>2025年</w:t>
      </w:r>
      <w:r>
        <w:rPr>
          <w:rFonts w:ascii="仿宋" w:eastAsia="仿宋" w:hint="eastAsia"/>
          <w:color w:val="000000"/>
          <w:sz w:val="32"/>
          <w:szCs w:val="32"/>
        </w:rPr>
        <w:t>，区医疗保障局没有因政府信息公开申请收取信息处理费情况。</w:t>
      </w:r>
    </w:p>
    <w:p>
      <w:pPr>
        <w:ind w:firstLineChars="200" w:firstLine="640"/>
        <w:rPr>
          <w:rFonts w:ascii="仿宋" w:eastAsia="仿宋"/>
          <w:color w:val="000000"/>
          <w:sz w:val="32"/>
          <w:szCs w:val="32"/>
        </w:rPr>
      </w:pPr>
      <w:r>
        <w:rPr>
          <w:rFonts w:ascii="仿宋" w:eastAsia="仿宋" w:hint="eastAsia"/>
          <w:color w:val="000000"/>
          <w:sz w:val="32"/>
          <w:szCs w:val="32"/>
        </w:rPr>
        <w:t xml:space="preserve">                         </w:t>
      </w:r>
    </w:p>
    <w:p>
      <w:pPr>
        <w:ind w:firstLineChars="200" w:firstLine="640"/>
        <w:rPr>
          <w:rFonts w:ascii="仿宋" w:eastAsia="仿宋"/>
          <w:color w:val="000000"/>
          <w:sz w:val="32"/>
          <w:szCs w:val="32"/>
        </w:rPr>
      </w:pPr>
    </w:p>
    <w:sectPr>
      <w:headerReference w:type="default" r:id="rId2"/>
      <w:headerReference w:type="even" r:id="rId3"/>
      <w:footerReference w:type="default" r:id="rId4"/>
      <w:footerReference w:type="even" r:id="rId5"/>
      <w:pgSz w:w="11906" w:h="16838"/>
      <w:pgMar w:top="2155" w:right="1474" w:bottom="1985" w:left="1588" w:header="1701" w:footer="567" w:gutter="0"/>
      <w:cols w:num="1" w:space="720"/>
      <w:titlePg/>
      <w:docGrid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仿宋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2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200001DF" w:csb1="20000000"/>
  </w:font>
  <w:font w:name="楷体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Calibri Light">
    <w:altName w:val="Calibri"/>
    <w:panose1 w:val="020F0302020204030204"/>
    <w:charset w:val="00"/>
    <w:family w:val="swiss"/>
    <w:pitch w:val="variable"/>
    <w:sig w:usb0="00000000" w:usb1="00000000" w:usb2="00000000" w:usb3="00000000" w:csb0="0000019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framePr w:w="1321" w:hRule="exact" w:h="357" w:wrap="around" w:vAnchor="page" w:hAnchor="page" w:x="9147" w:y="15083" w:anchorLock="0"/>
      <w:tabs>
        <w:tab w:val="center" w:pos="4153"/>
        <w:tab w:val="right" w:pos="8306"/>
      </w:tabs>
      <w:rPr>
        <w:rStyle w:val="19"/>
        <w:sz w:val="28"/>
      </w:rPr>
    </w:pPr>
    <w:r>
      <w:rPr>
        <w:rStyle w:val="19"/>
        <w:rFonts w:hint="eastAsia"/>
        <w:sz w:val="28"/>
      </w:rPr>
      <w:t>—</w:t>
    </w:r>
    <w:r>
      <w:rPr>
        <w:rStyle w:val="19"/>
        <w:sz w:val="28"/>
      </w:rPr>
      <w:t xml:space="preserve"> </w:t>
    </w:r>
    <w:r>
      <w:rPr>
        <w:rStyle w:val="19"/>
        <w:sz w:val="28"/>
      </w:rPr>
      <w:fldChar w:fldCharType="begin"/>
    </w:r>
    <w:r>
      <w:rPr>
        <w:rStyle w:val="19"/>
        <w:sz w:val="28"/>
      </w:rPr>
      <w:instrText xml:space="preserve">PAGE  </w:instrText>
    </w:r>
    <w:r>
      <w:rPr>
        <w:rStyle w:val="19"/>
        <w:sz w:val="28"/>
      </w:rPr>
      <w:fldChar w:fldCharType="separate"/>
    </w:r>
    <w:r>
      <w:rPr>
        <w:rStyle w:val="19"/>
        <w:sz w:val="28"/>
      </w:rPr>
      <w:t>4</w:t>
    </w:r>
    <w:r>
      <w:rPr>
        <w:rStyle w:val="19"/>
        <w:sz w:val="28"/>
      </w:rPr>
      <w:fldChar w:fldCharType="end"/>
    </w:r>
    <w:r>
      <w:rPr>
        <w:rStyle w:val="19"/>
        <w:sz w:val="28"/>
      </w:rPr>
      <w:t xml:space="preserve"> </w:t>
    </w:r>
    <w:r>
      <w:rPr>
        <w:rStyle w:val="19"/>
        <w:rFonts w:hint="eastAsia"/>
        <w:sz w:val="28"/>
      </w:rPr>
      <w:t>—</w:t>
    </w:r>
  </w:p>
  <w:p>
    <w:pPr>
      <w:pStyle w:val="16"/>
      <w:tabs>
        <w:tab w:val="center" w:pos="4153"/>
        <w:tab w:val="right" w:pos="8306"/>
      </w:tabs>
      <w:ind w:left="-448" w:right="-339"/>
    </w:pP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framePr w:w="1321" w:hRule="exact" w:h="357" w:wrap="around" w:vAnchor="page" w:hAnchor="page" w:x="1849" w:y="15083" w:anchorLock="0"/>
      <w:tabs>
        <w:tab w:val="center" w:pos="4153"/>
        <w:tab w:val="right" w:pos="8306"/>
      </w:tabs>
      <w:rPr>
        <w:rStyle w:val="19"/>
        <w:sz w:val="28"/>
      </w:rPr>
    </w:pPr>
    <w:r>
      <w:rPr>
        <w:rStyle w:val="19"/>
        <w:rFonts w:hint="eastAsia"/>
        <w:sz w:val="28"/>
      </w:rPr>
      <w:t>—</w:t>
    </w:r>
    <w:r>
      <w:rPr>
        <w:rStyle w:val="19"/>
        <w:sz w:val="28"/>
      </w:rPr>
      <w:t xml:space="preserve"> </w:t>
    </w:r>
    <w:r>
      <w:rPr>
        <w:rStyle w:val="19"/>
        <w:sz w:val="28"/>
      </w:rPr>
      <w:fldChar w:fldCharType="begin"/>
    </w:r>
    <w:r>
      <w:rPr>
        <w:rStyle w:val="19"/>
        <w:sz w:val="28"/>
      </w:rPr>
      <w:instrText xml:space="preserve">PAGE  </w:instrText>
    </w:r>
    <w:r>
      <w:rPr>
        <w:rStyle w:val="19"/>
        <w:sz w:val="28"/>
      </w:rPr>
      <w:fldChar w:fldCharType="separate"/>
    </w:r>
    <w:r>
      <w:rPr>
        <w:rStyle w:val="19"/>
        <w:sz w:val="28"/>
      </w:rPr>
      <w:t>2</w:t>
    </w:r>
    <w:r>
      <w:rPr>
        <w:rStyle w:val="19"/>
        <w:sz w:val="28"/>
      </w:rPr>
      <w:fldChar w:fldCharType="end"/>
    </w:r>
    <w:r>
      <w:rPr>
        <w:rStyle w:val="19"/>
        <w:sz w:val="28"/>
      </w:rPr>
      <w:t xml:space="preserve"> </w:t>
    </w:r>
    <w:r>
      <w:rPr>
        <w:rStyle w:val="19"/>
        <w:rFonts w:hint="eastAsia"/>
        <w:sz w:val="28"/>
      </w:rPr>
      <w:t>—</w:t>
    </w:r>
  </w:p>
  <w:p>
    <w:pPr>
      <w:pStyle w:val="16"/>
      <w:tabs>
        <w:tab w:val="center" w:pos="4153"/>
        <w:tab w:val="right" w:pos="8306"/>
      </w:tabs>
      <w:ind w:right="24"/>
    </w:pP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7"/>
      <w:pBdr>
        <w:bottom w:val="none" w:sz="0" w:space="0" w:color="auto"/>
      </w:pBdr>
      <w:tabs>
        <w:tab w:val="clear" w:pos="8306"/>
        <w:tab w:val="center" w:pos="4153"/>
        <w:tab w:val="right" w:pos="10605"/>
      </w:tabs>
      <w:ind w:right="24"/>
      <w:rPr>
        <w:color w:val="FFFFFF"/>
        <w:sz w:val="21"/>
      </w:rPr>
    </w:pPr>
  </w:p>
</w:hdr>
</file>

<file path=word/header2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7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AA4E6091"/>
    <w:multiLevelType w:val="hybridMultilevel"/>
    <w:tmpl w:val="00000000"/>
    <w:lvl w:ilvl="0">
      <w:start w:val="1"/>
      <w:numFmt w:val="decimal"/>
      <w:lvlRestart w:val="0"/>
      <w:lvlText w:val="%1、"/>
      <w:lvlJc w:val="left"/>
      <w:pPr>
        <w:tabs>
          <w:tab w:val="num" w:pos="919"/>
        </w:tabs>
        <w:ind w:left="919" w:hanging="404"/>
      </w:pPr>
    </w:lvl>
    <w:lvl w:ilvl="1">
      <w:start w:val="1"/>
      <w:numFmt w:val="lowerLetter"/>
      <w:lvlText w:val="%2)"/>
      <w:lvlJc w:val="left"/>
      <w:pPr>
        <w:tabs>
          <w:tab w:val="num" w:pos="1355"/>
        </w:tabs>
        <w:ind w:left="1355" w:hanging="420"/>
      </w:pPr>
    </w:lvl>
    <w:lvl w:ilvl="2">
      <w:start w:val="1"/>
      <w:numFmt w:val="lowerRoman"/>
      <w:lvlText w:val="%3."/>
      <w:lvlJc w:val="right"/>
      <w:pPr>
        <w:tabs>
          <w:tab w:val="num" w:pos="1775"/>
        </w:tabs>
        <w:ind w:left="1775" w:hanging="420"/>
      </w:pPr>
    </w:lvl>
    <w:lvl w:ilvl="3">
      <w:start w:val="1"/>
      <w:numFmt w:val="decimal"/>
      <w:lvlText w:val="%4."/>
      <w:lvlJc w:val="left"/>
      <w:pPr>
        <w:tabs>
          <w:tab w:val="num" w:pos="2195"/>
        </w:tabs>
        <w:ind w:left="2195" w:hanging="420"/>
      </w:pPr>
    </w:lvl>
    <w:lvl w:ilvl="4">
      <w:start w:val="1"/>
      <w:numFmt w:val="lowerLetter"/>
      <w:lvlText w:val="%5)"/>
      <w:lvlJc w:val="left"/>
      <w:pPr>
        <w:tabs>
          <w:tab w:val="num" w:pos="2615"/>
        </w:tabs>
        <w:ind w:left="2615" w:hanging="420"/>
      </w:pPr>
    </w:lvl>
    <w:lvl w:ilvl="5">
      <w:start w:val="1"/>
      <w:numFmt w:val="lowerRoman"/>
      <w:lvlText w:val="%6."/>
      <w:lvlJc w:val="right"/>
      <w:pPr>
        <w:tabs>
          <w:tab w:val="num" w:pos="3035"/>
        </w:tabs>
        <w:ind w:left="3035" w:hanging="420"/>
      </w:pPr>
    </w:lvl>
    <w:lvl w:ilvl="6">
      <w:start w:val="1"/>
      <w:numFmt w:val="decimal"/>
      <w:lvlText w:val="%7."/>
      <w:lvlJc w:val="left"/>
      <w:pPr>
        <w:tabs>
          <w:tab w:val="num" w:pos="3455"/>
        </w:tabs>
        <w:ind w:left="3455" w:hanging="420"/>
      </w:pPr>
    </w:lvl>
    <w:lvl w:ilvl="7">
      <w:start w:val="1"/>
      <w:numFmt w:val="lowerLetter"/>
      <w:lvlText w:val="%8)"/>
      <w:lvlJc w:val="left"/>
      <w:pPr>
        <w:tabs>
          <w:tab w:val="num" w:pos="3875"/>
        </w:tabs>
        <w:ind w:left="3875" w:hanging="420"/>
      </w:pPr>
    </w:lvl>
    <w:lvl w:ilvl="8">
      <w:start w:val="1"/>
      <w:numFmt w:val="lowerRoman"/>
      <w:lvlText w:val="%9."/>
      <w:lvlJc w:val="right"/>
      <w:pPr>
        <w:tabs>
          <w:tab w:val="num" w:pos="4295"/>
        </w:tabs>
        <w:ind w:left="4295" w:hanging="420"/>
      </w:pPr>
    </w:lvl>
  </w:abstractNum>
  <w:abstractNum w:abstractNumId="1">
    <w:nsid w:val="D8B970DA"/>
    <w:multiLevelType w:val="singleLevel"/>
    <w:tmpl w:val="D8B970DA"/>
    <w:lvl w:ilvl="0">
      <w:start w:val="5"/>
      <w:numFmt w:val="chineseCounting"/>
      <w:lvlRestart w:val="0"/>
      <w:suff w:val="nothing"/>
      <w:lvlText w:val="%1、"/>
      <w:lvlJc w:val="left"/>
      <w:pPr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compatSetting w:name="compatibilityMode" w:uri="http://schemas.microsoft.com/office/word" w:val="14"/>
  </w:compat>
  <w:docVars>
    <w:docVar w:name="commondata" w:val="eyJoZGlkIjoiMGM0NWNiYjI4ODVjNDFlMjA1MGI4ZDQ4ZjVlYTM4YmM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autoRedefine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0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Times New Roman" w:eastAsia="宋体" w:cs="Times New Roman" w:hAnsi="Times New Roman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Times New Roman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Times New Roman" w:eastAsia="宋体" w:cs="Times New Roman" w:hAnsi="Times New Roman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caption"/>
    <w:qFormat/>
    <w:basedOn w:val="0"/>
    <w:next w:val="0"/>
    <w:rPr>
      <w:rFonts w:ascii="Calibri Light" w:eastAsia="黑体" w:cs="Times New Roman" w:hAnsi="Calibri Light"/>
      <w:sz w:val="20"/>
    </w:rPr>
  </w:style>
  <w:style w:type="paragraph" w:styleId="16">
    <w:name w:val="footer"/>
    <w:qFormat/>
    <w:basedOn w:val="0"/>
    <w:autoRedefine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7">
    <w:name w:val="header"/>
    <w:qFormat/>
    <w:basedOn w:val="0"/>
    <w:autoRedefine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18">
    <w:name w:val="Normal (Web)"/>
    <w:qFormat/>
    <w:basedOn w:val="0"/>
    <w:autoRedefine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  <w:szCs w:val="24"/>
    </w:rPr>
  </w:style>
  <w:style w:type="character" w:styleId="19">
    <w:name w:val="page number"/>
    <w:qFormat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styles" Target="styles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customXml" Target="../customXml/item1.xml"/><Relationship Id="rId1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3FDAFAA0-60FE-4BE3-8598-D531146B4057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4496</TotalTime>
  <Application>Yozo_Office27021597764231189</Application>
  <Pages>4</Pages>
  <Words>0</Words>
  <Characters>1627</Characters>
  <Lines>0</Lines>
  <Paragraphs>36</Paragraphs>
  <CharactersWithSpaces>2170</CharactersWithSpaces>
  <Company>Hewlett-Packard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DELL</cp:lastModifiedBy>
  <cp:revision>4</cp:revision>
  <cp:lastPrinted>2026-01-04T06:17:02Z</cp:lastPrinted>
  <dcterms:created xsi:type="dcterms:W3CDTF">2021-01-04T09:29:00Z</dcterms:created>
  <dcterms:modified xsi:type="dcterms:W3CDTF">2026-01-23T00:48:14Z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2052-12.1.0.19770</vt:lpwstr>
  </property>
  <property fmtid="{D5CDD505-2E9C-101B-9397-08002B2CF9AE}" pid="3" name="ICV">
    <vt:lpwstr>72B8367FABED48EFAD465F76FCE15C01_13</vt:lpwstr>
  </property>
  <property fmtid="{D5CDD505-2E9C-101B-9397-08002B2CF9AE}" pid="4" name="KSOTemplateDocerSaveRecord">
    <vt:lpwstr>eyJoZGlkIjoiMjk5OGY1N2QxMDhmMTRmNzc5NGQxODEyMjZkN2FmOGQifQ==</vt:lpwstr>
  </property>
</Properties>
</file>