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5763C0">
      <w:pPr>
        <w:jc w:val="center"/>
        <w:rPr>
          <w:b/>
          <w:sz w:val="44"/>
          <w:szCs w:val="44"/>
        </w:rPr>
      </w:pPr>
      <w:bookmarkStart w:id="29" w:name="_GoBack"/>
      <w:bookmarkEnd w:id="29"/>
      <w:r>
        <w:rPr>
          <w:rFonts w:hint="eastAsia"/>
          <w:b/>
          <w:sz w:val="44"/>
          <w:szCs w:val="44"/>
        </w:rPr>
        <w:t>2</w:t>
      </w:r>
      <w:r>
        <w:rPr>
          <w:b/>
          <w:sz w:val="44"/>
          <w:szCs w:val="44"/>
        </w:rPr>
        <w:t>025</w:t>
      </w:r>
      <w:r>
        <w:rPr>
          <w:rFonts w:hint="eastAsia"/>
          <w:b/>
          <w:sz w:val="44"/>
          <w:szCs w:val="44"/>
        </w:rPr>
        <w:t>年秦皇岛市抚宁区自然资源和规划局权责清单调整事项明细表</w:t>
      </w:r>
    </w:p>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617FB0E1">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4ACF8CB">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D0493DA">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D2629D0">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5FC96D41">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6AEC5EE">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83D72FC">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59A81023">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242E391">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0D00747E">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2FBBC076">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117F2FCC">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40A3BAB">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050EAB07">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90884D">
            <w:pPr>
              <w:widowControl/>
              <w:spacing w:line="240" w:lineRule="exact"/>
              <w:jc w:val="center"/>
              <w:textAlignment w:val="center"/>
              <w:rPr>
                <w:rFonts w:ascii="仿宋_GB2312" w:hAnsi="仿宋_GB2312" w:eastAsia="仿宋_GB2312" w:cs="仿宋_GB2312"/>
                <w:sz w:val="20"/>
                <w:szCs w:val="20"/>
              </w:rPr>
            </w:pPr>
            <w:bookmarkStart w:id="0" w:name="OLE_LINK95"/>
            <w:bookmarkStart w:id="1" w:name="OLE_LINK96"/>
            <w:r>
              <w:rPr>
                <w:rFonts w:ascii="仿宋_GB2312" w:hAnsi="仿宋_GB2312" w:eastAsia="仿宋_GB2312" w:cs="仿宋_GB2312"/>
                <w:kern w:val="0"/>
                <w:sz w:val="20"/>
                <w:szCs w:val="20"/>
              </w:rPr>
              <w:t>292</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49021F5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1BCC5">
            <w:pPr>
              <w:widowControl/>
              <w:spacing w:line="240" w:lineRule="exact"/>
              <w:jc w:val="left"/>
              <w:textAlignment w:val="center"/>
              <w:rPr>
                <w:rFonts w:ascii="仿宋_GB2312" w:hAnsi="仿宋_GB2312" w:eastAsia="仿宋_GB2312" w:cs="仿宋_GB2312"/>
                <w:sz w:val="20"/>
                <w:szCs w:val="20"/>
              </w:rPr>
            </w:pPr>
            <w:bookmarkStart w:id="2" w:name="OLE_LINK98"/>
            <w:bookmarkStart w:id="3" w:name="OLE_LINK97"/>
            <w:bookmarkStart w:id="4" w:name="OLE_LINK105"/>
            <w:r>
              <w:rPr>
                <w:rFonts w:hint="eastAsia" w:ascii="仿宋_GB2312" w:hAnsi="仿宋_GB2312" w:eastAsia="仿宋_GB2312" w:cs="仿宋_GB2312"/>
                <w:sz w:val="20"/>
                <w:szCs w:val="20"/>
              </w:rPr>
              <w:t>对盗伐、滥伐林木行为的处罚</w:t>
            </w:r>
            <w:bookmarkEnd w:id="2"/>
            <w:bookmarkEnd w:id="3"/>
            <w:bookmarkEnd w:id="4"/>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4287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《中华人民共和国森林法》（2019年修正）第七十六条盗伐林木的，由县级以上人民政府林业主管部门责令限期在原地或者异地补种盗伐株数一倍以上五倍以下的树木，并处盗伐林木价值五倍以上十倍以下的罚款</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51387">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A0F7E82">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117E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2AEDF7E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0682D8C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4F1BAD7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6ED4DCA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32F8B51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20D8A5C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738AD2AE">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618D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0828252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4228E0E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2C38010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4CE7A4D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22F1C5A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06699E6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53A9935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64EC50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529F346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3D7196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4F29C3A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5D93A05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647B9">
            <w:pPr>
              <w:spacing w:line="240" w:lineRule="exact"/>
              <w:jc w:val="left"/>
              <w:rPr>
                <w:rFonts w:ascii="仿宋_GB2312" w:hAnsi="仿宋_GB2312" w:eastAsia="仿宋_GB2312" w:cs="仿宋_GB2312"/>
                <w:sz w:val="20"/>
                <w:szCs w:val="20"/>
              </w:rPr>
            </w:pPr>
          </w:p>
        </w:tc>
      </w:tr>
    </w:tbl>
    <w:p w14:paraId="7F907DA7"/>
    <w:p w14:paraId="31AA1F17"/>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1C71899D">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C143CB7">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9B6E0B4">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43C97B1">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4C03A786">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0410078">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E2A4986">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301367EA">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C5F2EF3">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43D8C2EA">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1FE68B28">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45645F94">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642A1B6">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bookmarkEnd w:id="0"/>
      <w:bookmarkEnd w:id="1"/>
      <w:tr w14:paraId="4CE51D8D">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9B2484">
            <w:pPr>
              <w:widowControl/>
              <w:spacing w:line="240" w:lineRule="exact"/>
              <w:jc w:val="center"/>
              <w:textAlignment w:val="center"/>
              <w:rPr>
                <w:rFonts w:ascii="仿宋_GB2312" w:hAnsi="仿宋_GB2312" w:eastAsia="仿宋_GB2312" w:cs="仿宋_GB2312"/>
                <w:sz w:val="20"/>
                <w:szCs w:val="20"/>
              </w:rPr>
            </w:pPr>
            <w:bookmarkStart w:id="5" w:name="_Hlk205990232"/>
            <w:r>
              <w:rPr>
                <w:rFonts w:ascii="仿宋_GB2312" w:hAnsi="仿宋_GB2312" w:eastAsia="仿宋_GB2312" w:cs="仿宋_GB2312"/>
                <w:kern w:val="0"/>
                <w:sz w:val="20"/>
                <w:szCs w:val="20"/>
              </w:rPr>
              <w:t>293</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CF67A27">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09583">
            <w:pPr>
              <w:widowControl/>
              <w:spacing w:line="240" w:lineRule="exact"/>
              <w:jc w:val="left"/>
              <w:textAlignment w:val="center"/>
              <w:rPr>
                <w:rFonts w:ascii="仿宋_GB2312" w:hAnsi="仿宋_GB2312" w:eastAsia="仿宋_GB2312" w:cs="仿宋_GB2312"/>
                <w:sz w:val="20"/>
                <w:szCs w:val="20"/>
              </w:rPr>
            </w:pPr>
            <w:bookmarkStart w:id="6" w:name="OLE_LINK109"/>
            <w:bookmarkStart w:id="7" w:name="OLE_LINK108"/>
            <w:bookmarkStart w:id="8" w:name="OLE_LINK110"/>
            <w:r>
              <w:rPr>
                <w:rFonts w:hint="eastAsia" w:ascii="仿宋_GB2312" w:hAnsi="仿宋_GB2312" w:eastAsia="仿宋_GB2312" w:cs="仿宋_GB2312"/>
                <w:sz w:val="20"/>
                <w:szCs w:val="20"/>
              </w:rPr>
              <w:t>对买卖或者以其他形势非法转让土地的处罚</w:t>
            </w:r>
            <w:bookmarkEnd w:id="6"/>
            <w:bookmarkEnd w:id="7"/>
            <w:bookmarkEnd w:id="8"/>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D35B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2019年8月26日第三次修正）第七十四条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492CE">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743720C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8E35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49E8108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4E31BC9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1C9F143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7372A79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1EC50A6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6A70765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66D5D9E9">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90DF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7ECA534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4EF96BB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F1E2D7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73A14BA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3025E2C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77F33D6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137AF4E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66756CC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5AAB420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4EA1DB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643B5F4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1AFB146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3CE4D">
            <w:pPr>
              <w:spacing w:line="240" w:lineRule="exact"/>
              <w:jc w:val="left"/>
              <w:rPr>
                <w:rFonts w:ascii="仿宋_GB2312" w:hAnsi="仿宋_GB2312" w:eastAsia="仿宋_GB2312" w:cs="仿宋_GB2312"/>
                <w:sz w:val="20"/>
                <w:szCs w:val="20"/>
              </w:rPr>
            </w:pPr>
          </w:p>
        </w:tc>
      </w:tr>
      <w:bookmarkEnd w:id="5"/>
    </w:tbl>
    <w:p w14:paraId="38000C15">
      <w:bookmarkStart w:id="9" w:name="OLE_LINK106"/>
      <w:bookmarkStart w:id="10" w:name="OLE_LINK107"/>
    </w:p>
    <w:p w14:paraId="6924F0B0"/>
    <w:bookmarkEnd w:id="9"/>
    <w:bookmarkEnd w:id="10"/>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5210F95F">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9D7D4A1">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2D82AB0">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316A644">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35847966">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7E9EF00">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46480D0">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6A41A7EE">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D4AAA13">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59BA8531">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70628BF4">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316D5AE5">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119D6EE">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631F5687">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1B53B7">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294</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1077A73">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1800B">
            <w:pPr>
              <w:widowControl/>
              <w:spacing w:line="240" w:lineRule="exact"/>
              <w:jc w:val="left"/>
              <w:textAlignment w:val="center"/>
              <w:rPr>
                <w:rFonts w:ascii="仿宋_GB2312" w:hAnsi="仿宋_GB2312" w:eastAsia="仿宋_GB2312" w:cs="仿宋_GB2312"/>
                <w:sz w:val="20"/>
                <w:szCs w:val="20"/>
              </w:rPr>
            </w:pPr>
            <w:bookmarkStart w:id="11" w:name="OLE_LINK111"/>
            <w:bookmarkStart w:id="12" w:name="OLE_LINK112"/>
            <w:r>
              <w:rPr>
                <w:rFonts w:hint="eastAsia" w:ascii="仿宋_GB2312" w:hAnsi="仿宋_GB2312" w:eastAsia="仿宋_GB2312" w:cs="仿宋_GB2312"/>
                <w:sz w:val="20"/>
                <w:szCs w:val="20"/>
              </w:rPr>
              <w:t>对拒不履行土地复垦义务的处罚</w:t>
            </w:r>
            <w:bookmarkEnd w:id="11"/>
            <w:bookmarkEnd w:id="12"/>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4BEEA">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《中华人民共和国土地管理法》（2019年8月26日第三次修正）第七十六条</w:t>
            </w:r>
            <w:r>
              <w:rPr>
                <w:rFonts w:ascii="仿宋_GB2312" w:hAnsi="仿宋_GB2312" w:eastAsia="仿宋_GB2312" w:cs="仿宋_GB2312"/>
                <w:sz w:val="20"/>
                <w:szCs w:val="20"/>
              </w:rPr>
              <w:t>违反本法规定，拒不履行土地复垦义务的，由县级以上人民政府自然资源主管部门责令限期改正；逾期不改正的，责令缴纳复垦费，专项用于土地复垦，可以处以罚款。</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2B2A9">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261A9D7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6D20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104BAB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30853ED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E5598D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4EC0880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72BEF2B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269F486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067D4839">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FCFC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44DB950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1C30E6A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49D7F2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0BC8427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2BA62A8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77260D6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6AB5533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6C84C88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6316096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3275965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46C77AE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49AEEE3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232CF">
            <w:pPr>
              <w:spacing w:line="240" w:lineRule="exact"/>
              <w:jc w:val="left"/>
              <w:rPr>
                <w:rFonts w:ascii="仿宋_GB2312" w:hAnsi="仿宋_GB2312" w:eastAsia="仿宋_GB2312" w:cs="仿宋_GB2312"/>
                <w:sz w:val="20"/>
                <w:szCs w:val="20"/>
              </w:rPr>
            </w:pPr>
          </w:p>
        </w:tc>
      </w:tr>
    </w:tbl>
    <w:p w14:paraId="1B9F2C0F"/>
    <w:p w14:paraId="68439299"/>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73CCF26B">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18FF8AD">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4B4DA71">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4F87B9D">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1DC18C66">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361DBA9">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487A7D1">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7FF12ACF">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970DDB1">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6FACB6F2">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75CF5C2F">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731714EC">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4BD8EDF">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6BF7A36F">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6E837A">
            <w:pPr>
              <w:widowControl/>
              <w:spacing w:line="240" w:lineRule="exact"/>
              <w:jc w:val="center"/>
              <w:textAlignment w:val="center"/>
              <w:rPr>
                <w:rFonts w:ascii="仿宋_GB2312" w:hAnsi="仿宋_GB2312" w:eastAsia="仿宋_GB2312" w:cs="仿宋_GB2312"/>
                <w:sz w:val="20"/>
                <w:szCs w:val="20"/>
              </w:rPr>
            </w:pPr>
            <w:bookmarkStart w:id="13" w:name="_Hlk205991393"/>
            <w:r>
              <w:rPr>
                <w:rFonts w:ascii="仿宋_GB2312" w:hAnsi="仿宋_GB2312" w:eastAsia="仿宋_GB2312" w:cs="仿宋_GB2312"/>
                <w:kern w:val="0"/>
                <w:sz w:val="20"/>
                <w:szCs w:val="20"/>
              </w:rPr>
              <w:t>295</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43DAF5DE">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47B5F">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对占用耕地建窑、建坟或者擅自在耕地上建房、挖砂、采石、采矿、取土等，破坏种植条件的处罚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907D7">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《中华人民共和国土地管理法》（2019年8月26日第三次修正）第七十五条</w:t>
            </w:r>
            <w:r>
              <w:rPr>
                <w:rFonts w:ascii="仿宋_GB2312" w:hAnsi="仿宋_GB2312" w:eastAsia="仿宋_GB2312" w:cs="仿宋_GB2312"/>
                <w:sz w:val="20"/>
                <w:szCs w:val="20"/>
              </w:rPr>
              <w:t>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法追究刑事责任。</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A9F43">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589D61E3">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1F40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067FC0F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66A1275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F9DD88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5BA3756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2591970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0DB53E1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38C1321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722F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337DFE3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626E52E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4468BE0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43BD1DE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5DCA3A5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361683A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48B1F8F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69DEA6D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08EF29A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3E3F0EE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5B90A05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748ED73E">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7A031">
            <w:pPr>
              <w:spacing w:line="240" w:lineRule="exact"/>
              <w:jc w:val="left"/>
              <w:rPr>
                <w:rFonts w:ascii="仿宋_GB2312" w:hAnsi="仿宋_GB2312" w:eastAsia="仿宋_GB2312" w:cs="仿宋_GB2312"/>
                <w:sz w:val="20"/>
                <w:szCs w:val="20"/>
              </w:rPr>
            </w:pPr>
          </w:p>
        </w:tc>
      </w:tr>
      <w:bookmarkEnd w:id="13"/>
    </w:tbl>
    <w:p w14:paraId="3D490383"/>
    <w:p w14:paraId="214E8868"/>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3AE01081">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F5A41D3">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5281E8A">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DB432E8">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61F7F9A4">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76601A6">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980CF04">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18CC8463">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272A599">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252C1242">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23AF8DBC">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32B823A0">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D07743A">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207CCB6F">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FDBE9E">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296</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20CF0909">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3499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对未经批准或者采取欺骗手段骗取批准，非法占用土地的处罚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68DD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2019年8月26日第三次修正）第七十七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p w14:paraId="039A50EA">
            <w:pPr>
              <w:widowControl/>
              <w:spacing w:line="240" w:lineRule="exact"/>
              <w:jc w:val="left"/>
              <w:textAlignment w:val="center"/>
              <w:rPr>
                <w:rFonts w:ascii="仿宋_GB2312" w:hAnsi="仿宋_GB2312" w:eastAsia="仿宋_GB2312" w:cs="仿宋_GB2312"/>
                <w:sz w:val="20"/>
                <w:szCs w:val="20"/>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6AD10">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7727BC3D">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8D73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9D0DE7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407A4A0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511FAB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660E547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65DB27E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3E92ACE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48C3004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DD63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4D6DD04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5C1DB82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76CE6D6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6DCEB02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1CD6003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1D9338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70473B2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6F994A4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39D25AF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74FFD56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407B81F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5D4568E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15045">
            <w:pPr>
              <w:spacing w:line="240" w:lineRule="exact"/>
              <w:jc w:val="left"/>
              <w:rPr>
                <w:rFonts w:ascii="仿宋_GB2312" w:hAnsi="仿宋_GB2312" w:eastAsia="仿宋_GB2312" w:cs="仿宋_GB2312"/>
                <w:sz w:val="20"/>
                <w:szCs w:val="20"/>
              </w:rPr>
            </w:pPr>
          </w:p>
        </w:tc>
      </w:tr>
    </w:tbl>
    <w:p w14:paraId="463E4D92"/>
    <w:p w14:paraId="143E57B0"/>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778E0D8E">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7AB53DB">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D43B73F">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54725B6">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1AA8C6FA">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03FD24A">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3D55E97">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2F3B1BFC">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7669738">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6CA6D0CD">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168156C2">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2DE4191D">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C68C288">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2949C575">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48BF0E">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297</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EC36451">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596B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对超过批准的数量占用土地的处罚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2B04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《中华人民共和国土地管理法》（2019年8月26日第三次修正）第七十七条超过批准的数量占用土地，多占的土地以非法占用土地论处。</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D0DFE">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C3091AB">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A5C8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FBF2E6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65641B1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0F757FE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194C980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314EE1D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4B0AF58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446B3D01">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A68F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1C20DFD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1CFACAC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1AE4E27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3821AB4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118236E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19FEA29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15A58E0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23F795E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597BB2E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72A65F2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44E0D96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4CAD7A77">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3AA41">
            <w:pPr>
              <w:spacing w:line="240" w:lineRule="exact"/>
              <w:jc w:val="left"/>
              <w:rPr>
                <w:rFonts w:ascii="仿宋_GB2312" w:hAnsi="仿宋_GB2312" w:eastAsia="仿宋_GB2312" w:cs="仿宋_GB2312"/>
                <w:sz w:val="20"/>
                <w:szCs w:val="20"/>
              </w:rPr>
            </w:pPr>
          </w:p>
        </w:tc>
      </w:tr>
    </w:tbl>
    <w:p w14:paraId="3BB528BA"/>
    <w:p w14:paraId="3B2CE277"/>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21CD0F88">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B5EED09">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C674DC5">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44E5B3F">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1F26EC08">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DEDB212">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174023A">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1460EAC2">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BBA310C">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C788F85">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0C376E11">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5656BA64">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A70672B">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07DD59BF">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F81DAD">
            <w:pPr>
              <w:widowControl/>
              <w:spacing w:line="240" w:lineRule="exact"/>
              <w:jc w:val="center"/>
              <w:textAlignment w:val="center"/>
              <w:rPr>
                <w:rFonts w:ascii="仿宋_GB2312" w:hAnsi="仿宋_GB2312" w:eastAsia="仿宋_GB2312" w:cs="仿宋_GB2312"/>
                <w:sz w:val="20"/>
                <w:szCs w:val="20"/>
              </w:rPr>
            </w:pPr>
            <w:bookmarkStart w:id="14" w:name="_Hlk205991439"/>
            <w:r>
              <w:rPr>
                <w:rFonts w:ascii="仿宋_GB2312" w:hAnsi="仿宋_GB2312" w:eastAsia="仿宋_GB2312" w:cs="仿宋_GB2312"/>
                <w:kern w:val="0"/>
                <w:sz w:val="20"/>
                <w:szCs w:val="20"/>
              </w:rPr>
              <w:t>298</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CB1114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30F76">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对依法收回国有土地使用权当事人拒不交出土地的，临时使用土地期满拒不</w:t>
            </w:r>
            <w:bookmarkStart w:id="15" w:name="OLE_LINK117"/>
            <w:bookmarkStart w:id="16" w:name="OLE_LINK118"/>
            <w:bookmarkStart w:id="17" w:name="OLE_LINK119"/>
            <w:bookmarkStart w:id="18" w:name="OLE_LINK120"/>
            <w:r>
              <w:rPr>
                <w:rFonts w:hint="eastAsia" w:ascii="仿宋_GB2312" w:hAnsi="仿宋_GB2312" w:eastAsia="仿宋_GB2312" w:cs="仿宋_GB2312"/>
                <w:sz w:val="20"/>
                <w:szCs w:val="20"/>
              </w:rPr>
              <w:t>归还</w:t>
            </w:r>
            <w:bookmarkEnd w:id="15"/>
            <w:bookmarkEnd w:id="16"/>
            <w:r>
              <w:rPr>
                <w:rFonts w:hint="eastAsia" w:ascii="仿宋_GB2312" w:hAnsi="仿宋_GB2312" w:eastAsia="仿宋_GB2312" w:cs="仿宋_GB2312"/>
                <w:sz w:val="20"/>
                <w:szCs w:val="20"/>
              </w:rPr>
              <w:t>土地</w:t>
            </w:r>
            <w:bookmarkEnd w:id="17"/>
            <w:bookmarkEnd w:id="18"/>
            <w:r>
              <w:rPr>
                <w:rFonts w:hint="eastAsia" w:ascii="仿宋_GB2312" w:hAnsi="仿宋_GB2312" w:eastAsia="仿宋_GB2312" w:cs="仿宋_GB2312"/>
                <w:sz w:val="20"/>
                <w:szCs w:val="20"/>
              </w:rPr>
              <w:t>的，或者不按照批准的用途使用土地的处罚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50D03">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《中华人民共和国土地管理法》（2019年8月26日第三次修正）第八十一条</w:t>
            </w:r>
            <w:r>
              <w:rPr>
                <w:rFonts w:ascii="仿宋_GB2312" w:hAnsi="仿宋_GB2312" w:eastAsia="仿宋_GB2312" w:cs="仿宋_GB2312"/>
                <w:sz w:val="20"/>
                <w:szCs w:val="20"/>
              </w:rPr>
              <w:t>依法收回国有土地使用权当事人拒不交出土地的，临时使用土地期满拒不归还的，或者不按照批准的用途使用国有土地的，由县级以上人民政府自然资源主管部门责令交还土地，处以罚款</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EF7E0">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4EFFD928">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5BA2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7C50054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4B5350D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7C8F49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77DAB43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13BC707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3F2D781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0CC84AF1">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973D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3689F11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4F224AC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2E39C8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1806E76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4AB9A08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095F14E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7A0EA25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01A85EC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4D8D9DB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04636A5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77B5784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0C144A0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C8F4D">
            <w:pPr>
              <w:spacing w:line="240" w:lineRule="exact"/>
              <w:jc w:val="left"/>
              <w:rPr>
                <w:rFonts w:ascii="仿宋_GB2312" w:hAnsi="仿宋_GB2312" w:eastAsia="仿宋_GB2312" w:cs="仿宋_GB2312"/>
                <w:sz w:val="20"/>
                <w:szCs w:val="20"/>
              </w:rPr>
            </w:pPr>
          </w:p>
        </w:tc>
      </w:tr>
      <w:bookmarkEnd w:id="14"/>
    </w:tbl>
    <w:p w14:paraId="7B0002A0"/>
    <w:p w14:paraId="03E382F8"/>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5B6CEDCC">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15CB688">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A881975">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1752571">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599D4EA7">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277020B">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0203613">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207974CE">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3A39E8E">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64CD9AAE">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6B70430C">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69222ACE">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098DE12">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18D8B287">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D25F0E">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299</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7FB34C4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2F33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对擅自将农民集体所有的土地通过出让、转让使用权或者出租等方式用于非农业建设，或者违反土地管理法规定，将集体经营性建设用地通过出让、出租等方式交由单位或者个人使用的处罚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EF2DF">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《中华人民共和国土地管理法》（2019年8月26日第三次修正）第八十二条</w:t>
            </w:r>
            <w:r>
              <w:rPr>
                <w:rFonts w:ascii="仿宋_GB2312" w:hAnsi="仿宋_GB2312" w:eastAsia="仿宋_GB2312" w:cs="仿宋_GB2312"/>
                <w:sz w:val="20"/>
                <w:szCs w:val="20"/>
              </w:rPr>
              <w:t>擅自将农民集体所有的土地通过出让、转让使用权或者出租等方式用于非农业建设，或者违反本法规定，将集体经营性建设用地通过出让、出租等方式交由单位或者个人使用的，由县级以上人民政府自然资源主管部门责令限期改正，没收违法所得，并处罚款。</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11E65">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77DA4D08">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A63B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780A598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79ACDB5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0F3112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120A3E4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2B2271A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2B2BD57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51846FB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08D2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1E5D5F1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46E957C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367AE39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7F674DF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06D21F3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7EB6246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6A35B54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38A4C66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1006414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03D653A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0079203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560EBA0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AB280">
            <w:pPr>
              <w:spacing w:line="240" w:lineRule="exact"/>
              <w:jc w:val="left"/>
              <w:rPr>
                <w:rFonts w:ascii="仿宋_GB2312" w:hAnsi="仿宋_GB2312" w:eastAsia="仿宋_GB2312" w:cs="仿宋_GB2312"/>
                <w:sz w:val="20"/>
                <w:szCs w:val="20"/>
              </w:rPr>
            </w:pPr>
          </w:p>
        </w:tc>
      </w:tr>
    </w:tbl>
    <w:p w14:paraId="10BD4CFB"/>
    <w:p w14:paraId="74F5D2A0"/>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6ED89711">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CFDB160">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E6B6B93">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47463A7">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51697AFE">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3837DE1">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60B6EB3">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04BE9AF5">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C666487">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16F8AC67">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3AEBCA2E">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7F988FE4">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A87328B">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76086EF3">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72DED2">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300</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DAF9F4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AF37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对在土地利用总体规划确定的禁止开垦区进行开垦的处罚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49B53">
            <w:pPr>
              <w:pStyle w:val="8"/>
              <w:shd w:val="clear" w:color="auto" w:fill="FFFFFF"/>
              <w:spacing w:before="0" w:beforeAutospacing="0" w:after="180" w:afterAutospacing="0" w:line="288" w:lineRule="atLeast"/>
              <w:ind w:firstLine="480"/>
              <w:rPr>
                <w:rFonts w:ascii="仿宋_GB2312" w:hAnsi="仿宋_GB2312" w:eastAsia="仿宋_GB2312" w:cs="仿宋_GB2312"/>
                <w:kern w:val="2"/>
                <w:sz w:val="20"/>
                <w:szCs w:val="20"/>
              </w:rPr>
            </w:pPr>
            <w:r>
              <w:rPr>
                <w:rFonts w:hint="eastAsia" w:ascii="仿宋_GB2312" w:hAnsi="仿宋_GB2312" w:eastAsia="仿宋_GB2312" w:cs="仿宋_GB2312"/>
                <w:kern w:val="2"/>
                <w:sz w:val="20"/>
                <w:szCs w:val="20"/>
              </w:rPr>
              <w:t>1.</w:t>
            </w:r>
            <w:r>
              <w:rPr>
                <w:rFonts w:hint="eastAsia"/>
              </w:rPr>
              <w:t xml:space="preserve"> </w:t>
            </w:r>
            <w:r>
              <w:rPr>
                <w:rFonts w:hint="eastAsia" w:ascii="仿宋_GB2312" w:hAnsi="仿宋_GB2312" w:eastAsia="仿宋_GB2312" w:cs="仿宋_GB2312"/>
                <w:kern w:val="2"/>
                <w:sz w:val="20"/>
                <w:szCs w:val="20"/>
              </w:rPr>
              <w:t xml:space="preserve">《中华人民共和国土地管理法实施条例》（2014年7月29日第二次修订）第十七条  </w:t>
            </w:r>
            <w:r>
              <w:rPr>
                <w:rFonts w:ascii="仿宋_GB2312" w:hAnsi="仿宋_GB2312" w:eastAsia="仿宋_GB2312" w:cs="仿宋_GB2312"/>
                <w:kern w:val="2"/>
                <w:sz w:val="20"/>
                <w:szCs w:val="20"/>
              </w:rPr>
              <w:t>建设单位使用国有土地，应当以有偿使用方式取得；但是，法律、行政法规规定可以以划拨方式取得的除外。国有土地有偿使用的方式包括：</w:t>
            </w:r>
          </w:p>
          <w:p w14:paraId="14784B41">
            <w:pPr>
              <w:pStyle w:val="8"/>
              <w:shd w:val="clear" w:color="auto" w:fill="FFFFFF"/>
              <w:spacing w:before="0" w:beforeAutospacing="0" w:after="180" w:afterAutospacing="0" w:line="288" w:lineRule="atLeast"/>
              <w:rPr>
                <w:rFonts w:ascii="仿宋_GB2312" w:hAnsi="仿宋_GB2312" w:eastAsia="仿宋_GB2312" w:cs="仿宋_GB2312"/>
                <w:kern w:val="2"/>
                <w:sz w:val="20"/>
                <w:szCs w:val="20"/>
              </w:rPr>
            </w:pPr>
            <w:r>
              <w:rPr>
                <w:rFonts w:ascii="仿宋_GB2312" w:hAnsi="仿宋_GB2312" w:eastAsia="仿宋_GB2312" w:cs="仿宋_GB2312"/>
                <w:kern w:val="2"/>
                <w:sz w:val="20"/>
                <w:szCs w:val="20"/>
              </w:rPr>
              <w:t>（一）国有土地使用权出让；</w:t>
            </w:r>
          </w:p>
          <w:p w14:paraId="2F61ECA2">
            <w:pPr>
              <w:pStyle w:val="8"/>
              <w:shd w:val="clear" w:color="auto" w:fill="FFFFFF"/>
              <w:spacing w:before="0" w:beforeAutospacing="0" w:after="180" w:afterAutospacing="0" w:line="288" w:lineRule="atLeast"/>
              <w:rPr>
                <w:rFonts w:ascii="仿宋_GB2312" w:hAnsi="仿宋_GB2312" w:eastAsia="仿宋_GB2312" w:cs="仿宋_GB2312"/>
                <w:kern w:val="2"/>
                <w:sz w:val="20"/>
                <w:szCs w:val="20"/>
              </w:rPr>
            </w:pPr>
            <w:r>
              <w:rPr>
                <w:rFonts w:ascii="仿宋_GB2312" w:hAnsi="仿宋_GB2312" w:eastAsia="仿宋_GB2312" w:cs="仿宋_GB2312"/>
                <w:kern w:val="2"/>
                <w:sz w:val="20"/>
                <w:szCs w:val="20"/>
              </w:rPr>
              <w:t>（二）国有土地租赁；</w:t>
            </w:r>
          </w:p>
          <w:p w14:paraId="67B46854">
            <w:pPr>
              <w:pStyle w:val="8"/>
              <w:shd w:val="clear" w:color="auto" w:fill="FFFFFF"/>
              <w:spacing w:before="0" w:beforeAutospacing="0" w:after="180" w:afterAutospacing="0" w:line="288" w:lineRule="atLeast"/>
              <w:rPr>
                <w:rFonts w:ascii="仿宋_GB2312" w:hAnsi="仿宋_GB2312" w:eastAsia="仿宋_GB2312" w:cs="仿宋_GB2312"/>
                <w:kern w:val="2"/>
                <w:sz w:val="20"/>
                <w:szCs w:val="20"/>
              </w:rPr>
            </w:pPr>
            <w:r>
              <w:rPr>
                <w:rFonts w:ascii="仿宋_GB2312" w:hAnsi="仿宋_GB2312" w:eastAsia="仿宋_GB2312" w:cs="仿宋_GB2312"/>
                <w:kern w:val="2"/>
                <w:sz w:val="20"/>
                <w:szCs w:val="20"/>
              </w:rPr>
              <w:t>（三）国有土地使用权作价出资或者入股。</w:t>
            </w:r>
          </w:p>
          <w:p w14:paraId="5E688A3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2.《中华人民共和国土地管理法》（2019年8月26日第三次修正）第七十七条</w:t>
            </w:r>
            <w:r>
              <w:rPr>
                <w:rFonts w:ascii="仿宋_GB2312" w:hAnsi="仿宋_GB2312" w:eastAsia="仿宋_GB2312" w:cs="仿宋_GB2312"/>
                <w:sz w:val="20"/>
                <w:szCs w:val="20"/>
              </w:rPr>
              <w:t>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5F935">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113A314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28E2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3413891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29AE5E0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2D228C9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4C98531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549049D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7955488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0957784A">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7FCA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09DF539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21FC33E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4F6D9E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229D590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1A91393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792607E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2B083BA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77601BD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62D277C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687F840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6762307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32C0F95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D5DA6">
            <w:pPr>
              <w:spacing w:line="240" w:lineRule="exact"/>
              <w:jc w:val="left"/>
              <w:rPr>
                <w:rFonts w:ascii="仿宋_GB2312" w:hAnsi="仿宋_GB2312" w:eastAsia="仿宋_GB2312" w:cs="仿宋_GB2312"/>
                <w:sz w:val="20"/>
                <w:szCs w:val="20"/>
              </w:rPr>
            </w:pPr>
          </w:p>
        </w:tc>
      </w:tr>
    </w:tbl>
    <w:p w14:paraId="5FBF5CE6"/>
    <w:p w14:paraId="73B62BAE"/>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0686BE1C">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B9DAC52">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706789C">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13649A3">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68DC342E">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9E3E2A5">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0C7AEBC">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5FFBD7D6">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F91FEAE">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9419C2E">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0A83A46B">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3A57F835">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501B995">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4ADDB921">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7B53DA">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301</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953CB2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6B7B6">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对在临时使用的土地上修建永久性建筑物、构筑物的处罚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3C649">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《中华人民共和国土地管理法实施条例》（2014年7月29日第二次修订）第三十五条</w:t>
            </w:r>
            <w:r>
              <w:rPr>
                <w:rFonts w:ascii="仿宋_GB2312" w:hAnsi="仿宋_GB2312" w:eastAsia="仿宋_GB2312" w:cs="仿宋_GB2312"/>
                <w:sz w:val="20"/>
                <w:szCs w:val="20"/>
              </w:rPr>
              <w:t>　国家允许进城落户的农村村民依法自愿有偿退出宅基地。乡（镇）人民政府和农村集体经济组织、村民委员会等应当将退出的宅基地优先用于保障该农村集体经济组织成员的宅基地需求。</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48C2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ABE92B7">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46C6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2C70B5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7FFE374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2173FFF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237FD21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52B22CD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079B87A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1C0AC7F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8926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137F642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6B69083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217268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1FC52E5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6CED2CD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2148425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72F121F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50338B8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31FD85A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7A38BBF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169C6AA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3870853A">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73577">
            <w:pPr>
              <w:spacing w:line="240" w:lineRule="exact"/>
              <w:jc w:val="left"/>
              <w:rPr>
                <w:rFonts w:ascii="仿宋_GB2312" w:hAnsi="仿宋_GB2312" w:eastAsia="仿宋_GB2312" w:cs="仿宋_GB2312"/>
                <w:sz w:val="20"/>
                <w:szCs w:val="20"/>
              </w:rPr>
            </w:pPr>
          </w:p>
        </w:tc>
      </w:tr>
    </w:tbl>
    <w:p w14:paraId="5718DA9B"/>
    <w:p w14:paraId="529359D2"/>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1C0E326F">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558E32E">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D8C3377">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D960E7F">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5280319A">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31637A6">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B5C888D">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7EA67746">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29498A4">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078B9C9">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4C82BE6B">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32F753C8">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B4DAB21">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368DD493">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C615FA">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302</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5653215F">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777B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对在土地利用总体规划制定前已建的不符合土地利用总体规划确定的用途的建筑物、构筑物重建、扩建的处罚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59556">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《中华人民共和国土地管理法实施条例》（2014年7月29日第二次修订）第三十六条</w:t>
            </w:r>
            <w:r>
              <w:rPr>
                <w:rFonts w:ascii="仿宋_GB2312" w:hAnsi="仿宋_GB2312" w:eastAsia="仿宋_GB2312" w:cs="仿宋_GB2312"/>
                <w:sz w:val="20"/>
                <w:szCs w:val="20"/>
              </w:rPr>
              <w:t>依法取得的宅基地和宅基地上的农村村民住宅及其附属设施受法律保护。</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E668F">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1C4CEEE8">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CF78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4CC1CC1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7D09B69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7F70A8B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67763AA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43F680D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382B6BD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3D57B4F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047A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7037403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7F5DA1F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3089A20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471E71E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0E92711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0009D44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7A0032B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6132255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679D875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59061AC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7DBECCB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0CBA9AD1">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D6621">
            <w:pPr>
              <w:spacing w:line="240" w:lineRule="exact"/>
              <w:jc w:val="left"/>
              <w:rPr>
                <w:rFonts w:ascii="仿宋_GB2312" w:hAnsi="仿宋_GB2312" w:eastAsia="仿宋_GB2312" w:cs="仿宋_GB2312"/>
                <w:sz w:val="20"/>
                <w:szCs w:val="20"/>
              </w:rPr>
            </w:pPr>
          </w:p>
        </w:tc>
      </w:tr>
    </w:tbl>
    <w:p w14:paraId="7EC0D480"/>
    <w:p w14:paraId="3DBBD068"/>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38E585F8">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911F77C">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69B73A4">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6AE97B4">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27E8FEA3">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24680EB">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56E309B">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4137DD56">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34E7FF2">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6C2EEB72">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0EF37268">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41D982C3">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F84BBE0">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4FC8B52F">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AC760E">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303</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729EEB2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DE01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对建设项目施工和地质勘查临时占用耕地的土地使用者，自临时用地期满之日起1年以上未恢复种植条件的处罚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95FF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土地管理法实施条例》（2014年7月29日第二次修订）第二十八条征地补偿安置方案拟定后，县级以上地方人民政府应当在拟征收土地所在的乡（镇）和村、村民小组范围内公告，公告时间不少于三十日。</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3A61F">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46B9E187">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3A14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0E305A3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30C5E6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E8705C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60B96E0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73608AA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0D12840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6DD73877">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328E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62C222F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52912C5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419C26C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3C33871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0072C01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78211B1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786A118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7F0DC89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7733B54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0858E8A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16DD96A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55935D7E">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BCCD5">
            <w:pPr>
              <w:spacing w:line="240" w:lineRule="exact"/>
              <w:jc w:val="left"/>
              <w:rPr>
                <w:rFonts w:ascii="仿宋_GB2312" w:hAnsi="仿宋_GB2312" w:eastAsia="仿宋_GB2312" w:cs="仿宋_GB2312"/>
                <w:sz w:val="20"/>
                <w:szCs w:val="20"/>
              </w:rPr>
            </w:pPr>
          </w:p>
        </w:tc>
      </w:tr>
    </w:tbl>
    <w:p w14:paraId="1103BE8A"/>
    <w:p w14:paraId="54D57146"/>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50DFAA51">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68C4B33">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DA4A258">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71347A5">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3515E44F">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E5B1A3A">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AAF45B5">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72AB1150">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589F3A2">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6DEE2285">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2CEB83D0">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378BCDB0">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43E1541">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159667AA">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747925">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304</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16FC2AA9">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8375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对非法占用基本农田建窑、建房、建坟、挖砂、采石、采矿、取土、堆放固体废弃物或者从事其他活动破坏基本农田，毁坏种植条件的处罚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9FDD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基本农田保护条例》（2011年1月8日修订）第三十三条违反本条例规定，占用基本农田建窑、建房、建坟、挖砂、采石、采矿、取土、堆放固体废弃物或者从事其他活动破坏基本农田，毁坏种植条件的，由县级以上人民政府土地行政主管部门责令改正或者治理，恢复原种植条件，处占用基本农田的耕地开垦费1倍以上2倍以下的罚款;构成犯罪的，依法追究刑事责任。</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38F7B">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EAEB85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9B44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4014E3D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646B4A8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68F1A0C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49BFE00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2B3455D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71BB93B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62703EE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3BBB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6166492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4913D9C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25EEA1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1432B8E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4573B6D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0072E04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1F98406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27E219B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01DE090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624E923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2CAD1F5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73939A0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76ED4">
            <w:pPr>
              <w:spacing w:line="240" w:lineRule="exact"/>
              <w:jc w:val="left"/>
              <w:rPr>
                <w:rFonts w:ascii="仿宋_GB2312" w:hAnsi="仿宋_GB2312" w:eastAsia="仿宋_GB2312" w:cs="仿宋_GB2312"/>
                <w:sz w:val="20"/>
                <w:szCs w:val="20"/>
              </w:rPr>
            </w:pPr>
          </w:p>
        </w:tc>
      </w:tr>
    </w:tbl>
    <w:p w14:paraId="526A47D0"/>
    <w:p w14:paraId="49699662"/>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1C7A4671">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BF05308">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0021344">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2CAB034">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01830184">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270EF18">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CB6D60B">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05728F83">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AF12972">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207ED036">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581C078B">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1D21DC89">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B4939D4">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4D939A07">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90B673">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305</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57EA191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390BE">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对破坏或者擅自改变基本农田保护区标志的处罚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4E35E">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基本农田保护条例》（2011年1月8日修订）第三十二条违反本条例规定，破坏或者擅自改变基本农田保护区标志的，由县级以上地方人民政府土地行政主管部门或者农业行政主管部门责令恢复原状，可以处1000元以下罚款。</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71468">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21E03CB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0D3C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D38874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029E502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38E7CC0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69E7C0D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50EB725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7743568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1BFE5E6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84D0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0DA7C3F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76DBB73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B17244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6DF288C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6F42EC4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62EFDF7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112D173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1CD59B6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51D69AF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2A0916E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13C577A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54A7CE9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0DBA8">
            <w:pPr>
              <w:spacing w:line="240" w:lineRule="exact"/>
              <w:jc w:val="left"/>
              <w:rPr>
                <w:rFonts w:ascii="仿宋_GB2312" w:hAnsi="仿宋_GB2312" w:eastAsia="仿宋_GB2312" w:cs="仿宋_GB2312"/>
                <w:sz w:val="20"/>
                <w:szCs w:val="20"/>
              </w:rPr>
            </w:pPr>
          </w:p>
        </w:tc>
      </w:tr>
    </w:tbl>
    <w:p w14:paraId="6200AC07"/>
    <w:p w14:paraId="7D0545AB"/>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7720D392">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A1922A0">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F15EF3C">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9EF1194">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7FF0506A">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DF23869">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F2A5257">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019936AE">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7F80154">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283DA5BB">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6E4D31B7">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45800AC4">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A9EEEA2">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138E84DF">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6E2D0B">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306</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4A1A55B5">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827C8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对未取得采矿许可证擅自采矿的处罚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1972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《中华人民共和国矿产资源法》 （2009年8月27日第二次修正）第三十九条</w:t>
            </w:r>
            <w:r>
              <w:rPr>
                <w:rFonts w:ascii="仿宋_GB2312" w:hAnsi="仿宋_GB2312" w:eastAsia="仿宋_GB2312" w:cs="仿宋_GB2312"/>
                <w:sz w:val="20"/>
                <w:szCs w:val="20"/>
              </w:rPr>
              <w:t>开采矿产资源，应当采取合理的开采顺序、开采方法，并采取有效措施确保矿产资源开采回采率、选矿回收率和综合利用率达到有关国家标准的要求。</w:t>
            </w:r>
          </w:p>
          <w:p w14:paraId="6A666E15">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开采矿产资源，应当采取有效措施保护地下水资源，并优先使用矿井水。</w:t>
            </w:r>
          </w:p>
          <w:p w14:paraId="78EF72C5">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采矿权人在开采主要矿种的同时，对具有工业价值的共生和伴生矿产应当综合开采、综合利用，防止浪费；对暂时不能综合开采或者必须同时采出但暂时不能综合利用的矿产以及含有有用组分的尾矿，应当采取有效的保护措施，防止损失破坏。</w:t>
            </w:r>
          </w:p>
          <w:p w14:paraId="1D094DEC">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国家制定和完善提高矿产资源开采回采率、选矿回收率、综合利用率的激励性政策措施。</w:t>
            </w:r>
          </w:p>
          <w:p w14:paraId="51901E3A">
            <w:pPr>
              <w:widowControl/>
              <w:spacing w:line="240" w:lineRule="exact"/>
              <w:jc w:val="left"/>
              <w:textAlignment w:val="center"/>
              <w:rPr>
                <w:rFonts w:ascii="仿宋_GB2312" w:hAnsi="仿宋_GB2312" w:eastAsia="仿宋_GB2312" w:cs="仿宋_GB2312"/>
                <w:sz w:val="20"/>
                <w:szCs w:val="20"/>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483BC">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5881867">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DE9D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70081FF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66C4AB9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6622C8E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1788D52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6C4408D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0625629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40060EF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26D2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21C8789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3D27815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F38123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1625B1A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542A2EB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0678D47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479FA42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7F91EF8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736EEA5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00AE89E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2ECDBAA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5F00838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C4162">
            <w:pPr>
              <w:spacing w:line="240" w:lineRule="exact"/>
              <w:jc w:val="left"/>
              <w:rPr>
                <w:rFonts w:ascii="仿宋_GB2312" w:hAnsi="仿宋_GB2312" w:eastAsia="仿宋_GB2312" w:cs="仿宋_GB2312"/>
                <w:sz w:val="20"/>
                <w:szCs w:val="20"/>
              </w:rPr>
            </w:pPr>
          </w:p>
        </w:tc>
      </w:tr>
    </w:tbl>
    <w:p w14:paraId="51663BAF"/>
    <w:p w14:paraId="4C5C3126"/>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3A4B54EC">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75BE0FB">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08DFFE6">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A6C0394">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494758B1">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B4C3229">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B9BFE87">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1234D34C">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768E8F8">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3491B87E">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7E655279">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728EBE81">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E311544">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58EF87A9">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8487EB">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307</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C51864F">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26E4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对未经批准进行临时建设的，未按照批准内容进行临时建设的，临时建筑物、构筑物超过批准期限不拆除的处罚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E945E">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《中华人民共和国城乡规划法》（2019年4月23日第二次修正）第六十六条</w:t>
            </w:r>
            <w:r>
              <w:rPr>
                <w:rFonts w:ascii="仿宋_GB2312" w:hAnsi="仿宋_GB2312" w:eastAsia="仿宋_GB2312" w:cs="仿宋_GB2312"/>
                <w:sz w:val="20"/>
                <w:szCs w:val="20"/>
              </w:rPr>
              <w:t>建设单位或者个人有下列行为之一的，由所在地城市、县人民政府城乡规划主管部门责令限期拆除，可以并处临时建设工程造价一倍以下的罚款：</w:t>
            </w:r>
          </w:p>
          <w:p w14:paraId="7E1F4D82">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（一）未经批准进行临时建设的；</w:t>
            </w:r>
          </w:p>
          <w:p w14:paraId="7A458B45">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（二）未按照批准内容进行临时建设的；</w:t>
            </w:r>
          </w:p>
          <w:p w14:paraId="729D8097">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（三）临时建筑物、构筑物超过批准期限不拆除的。</w:t>
            </w:r>
          </w:p>
          <w:p w14:paraId="70BA6679">
            <w:pPr>
              <w:widowControl/>
              <w:spacing w:line="240" w:lineRule="exact"/>
              <w:jc w:val="left"/>
              <w:textAlignment w:val="center"/>
              <w:rPr>
                <w:rFonts w:ascii="仿宋_GB2312" w:hAnsi="仿宋_GB2312" w:eastAsia="仿宋_GB2312" w:cs="仿宋_GB2312"/>
                <w:sz w:val="20"/>
                <w:szCs w:val="20"/>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2A2F8">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4B478B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E521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E911E7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4A0DFB3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2527319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072D6F4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0598519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4F194EE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3E02865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144A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5EF848A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5AFD8AB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18D9026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771A573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2CE7D48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5133A4A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7DF924F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7164DD5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154D20B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3E62384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3D7E095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3947A39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B8649">
            <w:pPr>
              <w:spacing w:line="240" w:lineRule="exact"/>
              <w:jc w:val="left"/>
              <w:rPr>
                <w:rFonts w:ascii="仿宋_GB2312" w:hAnsi="仿宋_GB2312" w:eastAsia="仿宋_GB2312" w:cs="仿宋_GB2312"/>
                <w:sz w:val="20"/>
                <w:szCs w:val="20"/>
              </w:rPr>
            </w:pPr>
          </w:p>
        </w:tc>
      </w:tr>
    </w:tbl>
    <w:p w14:paraId="36ACA957"/>
    <w:p w14:paraId="72C5A446"/>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7D5E2DF4">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D10A127">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0CF0046">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98BD5D6">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577724AF">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06549F8">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6308A6C">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10E021FD">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68F569E">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A10BF23">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1A1CC3A4">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293D2AF3">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7E9D48D">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3993007E">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31205B">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308</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1F56D5C">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33B5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对未取得勘查许可证擅自进行勘查工作的处罚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30FB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矿产资源勘查区块登记管理办法》（2014年7月29日修订）第二十六条违反本办法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3344E">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2F5EFB1">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E116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5D96F93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12F82A9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2B1BD8A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4AC1ED8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688A9FF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26C4E4D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35DC67C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367A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6A0F7AA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5BD1C4B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04B968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274AF46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01D6D44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27D7A44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50D696B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362303B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172E9FD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68F1663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0300367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1E81258A">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8F617">
            <w:pPr>
              <w:spacing w:line="240" w:lineRule="exact"/>
              <w:jc w:val="left"/>
              <w:rPr>
                <w:rFonts w:ascii="仿宋_GB2312" w:hAnsi="仿宋_GB2312" w:eastAsia="仿宋_GB2312" w:cs="仿宋_GB2312"/>
                <w:sz w:val="20"/>
                <w:szCs w:val="20"/>
              </w:rPr>
            </w:pPr>
          </w:p>
        </w:tc>
      </w:tr>
    </w:tbl>
    <w:p w14:paraId="3055E5BC"/>
    <w:p w14:paraId="25F89739"/>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0C5E4557">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C05F2E4">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C1DCB7E">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28DA072">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3178BD90">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E1DE93F">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C22B769">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2E303A5C">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4DE45F8">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054E9D8">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69B7E112">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2788DD60">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F8BFAE8">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332A3087">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2EF9C3">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309</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6599078">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DD19F">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对破坏或者擅自移动矿区范围界桩或者地面标志的处罚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B732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《矿产资源开采登记管理办法》 （2014年7月29日修订）第十九条</w:t>
            </w:r>
            <w:r>
              <w:rPr>
                <w:rFonts w:ascii="仿宋_GB2312" w:hAnsi="仿宋_GB2312" w:eastAsia="仿宋_GB2312" w:cs="仿宋_GB2312"/>
                <w:sz w:val="20"/>
                <w:szCs w:val="20"/>
              </w:rPr>
              <w:t>破坏或者擅自移动矿区范围界桩或者地面标志的，由县级以上人民政府负责地质矿产管理工作的部门按照国务院地质矿产主管部门规定的权限，责令限期恢复;情节严重的，处3万元以下的罚款。</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A8959">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5296866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4986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55C7EF3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70703D8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2C9DDAC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194CDC3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74DEC4D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029821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5721C3D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3E20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5352801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50FFB85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0092061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2EF1D62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634C465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1D900CC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25F79E8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379D24F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5747488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0E55408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2C191E5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00DA4AE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53E7F">
            <w:pPr>
              <w:spacing w:line="240" w:lineRule="exact"/>
              <w:jc w:val="left"/>
              <w:rPr>
                <w:rFonts w:ascii="仿宋_GB2312" w:hAnsi="仿宋_GB2312" w:eastAsia="仿宋_GB2312" w:cs="仿宋_GB2312"/>
                <w:sz w:val="20"/>
                <w:szCs w:val="20"/>
              </w:rPr>
            </w:pPr>
          </w:p>
        </w:tc>
      </w:tr>
    </w:tbl>
    <w:p w14:paraId="7F5295C4"/>
    <w:p w14:paraId="3577DC83"/>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66355BD0">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71B5B6B">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159A6AB">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4FC537A">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276C0443">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5C35426">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3F9154D">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0E37FE85">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3E84D07">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183BCD03">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5C754039">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782B4D8D">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8258297">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50FD35F1">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645699">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313</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05FC16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其他权利</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275B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非法采砂行为监管</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6AF11">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《中华人民共和国矿产资源法》第三十九条</w:t>
            </w:r>
            <w:r>
              <w:rPr>
                <w:rFonts w:ascii="仿宋_GB2312" w:hAnsi="仿宋_GB2312" w:eastAsia="仿宋_GB2312" w:cs="仿宋_GB2312"/>
                <w:sz w:val="20"/>
                <w:szCs w:val="20"/>
              </w:rPr>
              <w:t>开采矿产资源，应当采取合理的开采顺序、开采方法，并采取有效措施确保矿产资源开采回采率、选矿回收率和综合利用率达到有关国家标准的要求。</w:t>
            </w:r>
          </w:p>
          <w:p w14:paraId="69877BD7">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开采矿产资源，应当采取有效措施保护地下水资源，并优先使用矿井水。</w:t>
            </w:r>
          </w:p>
          <w:p w14:paraId="70D69FBA">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采矿权人在开采主要矿种的同时，对具有工业价值的共生和伴生矿产应当综合开采、综合利用，防止浪费；对暂时不能综合开采或者必须同时采出但暂时不能综合利用的矿产以及含有有用组分的尾矿，应当采取有效的保护措施，防止损失破坏。</w:t>
            </w:r>
          </w:p>
          <w:p w14:paraId="172A1C8E">
            <w:pPr>
              <w:widowControl/>
              <w:spacing w:line="240" w:lineRule="exact"/>
              <w:jc w:val="left"/>
              <w:textAlignment w:val="center"/>
              <w:rPr>
                <w:rFonts w:ascii="仿宋_GB2312" w:hAnsi="仿宋_GB2312" w:eastAsia="仿宋_GB2312" w:cs="仿宋_GB2312"/>
                <w:sz w:val="20"/>
                <w:szCs w:val="20"/>
              </w:rPr>
            </w:pPr>
            <w:r>
              <w:rPr>
                <w:rFonts w:ascii="仿宋_GB2312" w:hAnsi="仿宋_GB2312" w:eastAsia="仿宋_GB2312" w:cs="仿宋_GB2312"/>
                <w:sz w:val="20"/>
                <w:szCs w:val="20"/>
              </w:rPr>
              <w:t>国家制定和完善提高矿产资源开采回采率、选矿回收率、综合利用率的激励性政策措施。</w:t>
            </w:r>
          </w:p>
          <w:p w14:paraId="60CC1223">
            <w:pPr>
              <w:widowControl/>
              <w:spacing w:line="240" w:lineRule="exact"/>
              <w:jc w:val="left"/>
              <w:textAlignment w:val="center"/>
              <w:rPr>
                <w:rFonts w:ascii="仿宋_GB2312" w:hAnsi="仿宋_GB2312" w:eastAsia="仿宋_GB2312" w:cs="仿宋_GB2312"/>
                <w:sz w:val="20"/>
                <w:szCs w:val="20"/>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70850">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1F68E1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FC84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36709FA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5C3EA0C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3CA7F49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7B7B6CA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2C1B74F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6B3E923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62AEEB9F">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BF4B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5AF6281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652BA7E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6CDDD4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096BE7A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3E889C3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26096A9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2A9E7BB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6C9857A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707169F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4504261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2F788A3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655FABCF">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361E0">
            <w:pPr>
              <w:spacing w:line="240" w:lineRule="exact"/>
              <w:jc w:val="left"/>
              <w:rPr>
                <w:rFonts w:ascii="仿宋_GB2312" w:hAnsi="仿宋_GB2312" w:eastAsia="仿宋_GB2312" w:cs="仿宋_GB2312"/>
                <w:sz w:val="20"/>
                <w:szCs w:val="20"/>
              </w:rPr>
            </w:pPr>
          </w:p>
        </w:tc>
      </w:tr>
    </w:tbl>
    <w:p w14:paraId="35735340"/>
    <w:p w14:paraId="28006C28"/>
    <w:p w14:paraId="6317F16F"/>
    <w:p w14:paraId="6ECAE7A5"/>
    <w:p w14:paraId="45BC9602"/>
    <w:p w14:paraId="7D569E7A"/>
    <w:p w14:paraId="242EAEE6"/>
    <w:p w14:paraId="74B68199"/>
    <w:p w14:paraId="2016D5FE"/>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57E06D37">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AD002DB">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919CE0A">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ABFD454">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2C642D9F">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F9BC6D7">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2C98BA2">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454C4BEF">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6F7D73B">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2E600DF6">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39AE6082">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2A7EA12C">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6D6627E">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2E41847A">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038A95">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310</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105BB9EF">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383C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对损毁、擅自移动永久性测量标志或者正在使用中的临时性测量标志的处罚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82D7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《中华人民共和国测绘法》第六十四条第一项</w:t>
            </w:r>
            <w:r>
              <w:rPr>
                <w:rFonts w:ascii="仿宋_GB2312" w:hAnsi="仿宋_GB2312" w:eastAsia="仿宋_GB2312" w:cs="仿宋_GB2312"/>
                <w:sz w:val="20"/>
                <w:szCs w:val="20"/>
              </w:rPr>
              <w:t>违反本法规定，有下列行为之一的，给予警告，责令改正，可以并处二十万元以下的罚款；对直接负责的主管人员和其他直接责任人员，依法给予处分；造成损失的，依法承担赔偿责任；构成犯罪的，依法追究刑事责任：（一）损毁、擅自移动永久性测量标志或者正在使用中的临时性测量标志；</w:t>
            </w:r>
          </w:p>
          <w:p w14:paraId="00D03BF9">
            <w:pPr>
              <w:pStyle w:val="8"/>
              <w:shd w:val="clear" w:color="auto" w:fill="FFFFFF"/>
              <w:spacing w:before="0" w:beforeAutospacing="0" w:after="180" w:afterAutospacing="0" w:line="288" w:lineRule="atLeast"/>
              <w:ind w:firstLine="480"/>
              <w:rPr>
                <w:rFonts w:ascii="仿宋_GB2312" w:hAnsi="仿宋_GB2312" w:eastAsia="仿宋_GB2312" w:cs="仿宋_GB2312"/>
                <w:kern w:val="2"/>
                <w:sz w:val="20"/>
                <w:szCs w:val="20"/>
              </w:rPr>
            </w:pPr>
            <w:r>
              <w:rPr>
                <w:rFonts w:hint="eastAsia" w:ascii="仿宋_GB2312" w:hAnsi="仿宋_GB2312" w:eastAsia="仿宋_GB2312" w:cs="仿宋_GB2312"/>
                <w:kern w:val="2"/>
                <w:sz w:val="20"/>
                <w:szCs w:val="20"/>
              </w:rPr>
              <w:t xml:space="preserve"> 《测量标志保护条例》（2011年1月8日修订）第二十二条第一项</w:t>
            </w:r>
            <w:r>
              <w:rPr>
                <w:rFonts w:ascii="仿宋_GB2312" w:hAnsi="仿宋_GB2312" w:eastAsia="仿宋_GB2312" w:cs="仿宋_GB2312"/>
                <w:kern w:val="2"/>
                <w:sz w:val="20"/>
                <w:szCs w:val="20"/>
              </w:rPr>
              <w:t>测量标志受国家保护,禁止下列有损测量标志安全和使测量标志失去使用效能的行为:</w:t>
            </w:r>
          </w:p>
          <w:p w14:paraId="53E56C05">
            <w:pPr>
              <w:pStyle w:val="8"/>
              <w:shd w:val="clear" w:color="auto" w:fill="FFFFFF"/>
              <w:spacing w:before="0" w:beforeAutospacing="0" w:after="180" w:afterAutospacing="0" w:line="288" w:lineRule="atLeast"/>
              <w:ind w:firstLine="480"/>
              <w:rPr>
                <w:rFonts w:ascii="仿宋_GB2312" w:hAnsi="仿宋_GB2312" w:eastAsia="仿宋_GB2312" w:cs="仿宋_GB2312"/>
                <w:kern w:val="2"/>
                <w:sz w:val="20"/>
                <w:szCs w:val="20"/>
              </w:rPr>
            </w:pPr>
            <w:r>
              <w:rPr>
                <w:rFonts w:ascii="仿宋_GB2312" w:hAnsi="仿宋_GB2312" w:eastAsia="仿宋_GB2312" w:cs="仿宋_GB2312"/>
                <w:kern w:val="2"/>
                <w:sz w:val="20"/>
                <w:szCs w:val="20"/>
              </w:rPr>
              <w:t>(一)损毁或者擅自移动地下或者地上的永久性测量标志以及使用中的临时性测量标志的;</w:t>
            </w:r>
          </w:p>
          <w:p w14:paraId="165ABDA8">
            <w:pPr>
              <w:widowControl/>
              <w:spacing w:line="240" w:lineRule="exact"/>
              <w:jc w:val="left"/>
              <w:textAlignment w:val="center"/>
              <w:rPr>
                <w:rFonts w:ascii="仿宋_GB2312" w:hAnsi="仿宋_GB2312" w:eastAsia="仿宋_GB2312" w:cs="仿宋_GB2312"/>
                <w:sz w:val="20"/>
                <w:szCs w:val="20"/>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16075">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7A834B16">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D5F0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01BAB4E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368D0EC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73D3BC9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471117B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25DD130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53B77EA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2DB11A6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E70B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4D4FBAC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5819E4A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31CD1F9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58BF0BC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520B115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7337D9D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78360E8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007C210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1E52D3D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1A429DC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067B5EE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62F3EDB1">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C83AC">
            <w:pPr>
              <w:spacing w:line="240" w:lineRule="exact"/>
              <w:jc w:val="left"/>
              <w:rPr>
                <w:rFonts w:ascii="仿宋_GB2312" w:hAnsi="仿宋_GB2312" w:eastAsia="仿宋_GB2312" w:cs="仿宋_GB2312"/>
                <w:sz w:val="20"/>
                <w:szCs w:val="20"/>
              </w:rPr>
            </w:pPr>
          </w:p>
        </w:tc>
      </w:tr>
    </w:tbl>
    <w:p w14:paraId="14447880"/>
    <w:p w14:paraId="3B456B84"/>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7C9CDF4B">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D667525">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05CE8F0">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17F7222">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39ACF3CE">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F8665D6">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25F9314">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7D683FBE">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1B65FA1">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4CA2DD04">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50447139">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1153D931">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878BA97">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0226D9C3">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C4A09A">
            <w:pPr>
              <w:widowControl/>
              <w:spacing w:line="240" w:lineRule="exact"/>
              <w:jc w:val="center"/>
              <w:textAlignment w:val="center"/>
              <w:rPr>
                <w:rFonts w:ascii="仿宋_GB2312" w:hAnsi="仿宋_GB2312" w:eastAsia="仿宋_GB2312" w:cs="仿宋_GB2312"/>
                <w:sz w:val="20"/>
                <w:szCs w:val="20"/>
              </w:rPr>
            </w:pPr>
            <w:bookmarkStart w:id="19" w:name="_Hlk205991566"/>
            <w:r>
              <w:rPr>
                <w:rFonts w:ascii="仿宋_GB2312" w:hAnsi="仿宋_GB2312" w:eastAsia="仿宋_GB2312" w:cs="仿宋_GB2312"/>
                <w:kern w:val="0"/>
                <w:sz w:val="20"/>
                <w:szCs w:val="20"/>
              </w:rPr>
              <w:t>311</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14F2449D">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6282E">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对侵占永久性测量标志用地的处罚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A7B31">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《中华人民共和国测绘法》第六十四条第二项</w:t>
            </w:r>
          </w:p>
          <w:p w14:paraId="58CFB75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《测量标志保护条例》（2011年1月8日修订）第二十二条第二项；</w:t>
            </w:r>
            <w:r>
              <w:rPr>
                <w:rFonts w:ascii="仿宋_GB2312" w:hAnsi="仿宋_GB2312" w:eastAsia="仿宋_GB2312" w:cs="仿宋_GB2312"/>
                <w:sz w:val="20"/>
                <w:szCs w:val="20"/>
              </w:rPr>
              <w:t>在测量标志占地范围内烧荒、耕作、取土、挖沙或者侵占永久性测量标志用地的;</w:t>
            </w:r>
            <w:r>
              <w:rPr>
                <w:rFonts w:hint="eastAsia" w:ascii="仿宋_GB2312" w:hAnsi="仿宋_GB2312" w:eastAsia="仿宋_GB2312" w:cs="仿宋_GB2312"/>
                <w:sz w:val="20"/>
                <w:szCs w:val="20"/>
              </w:rPr>
              <w:t>第二十三条有本条例第二十二条</w:t>
            </w:r>
            <w:r>
              <w:rPr>
                <w:rFonts w:ascii="仿宋_GB2312" w:hAnsi="仿宋_GB2312" w:eastAsia="仿宋_GB2312" w:cs="仿宋_GB2312"/>
                <w:sz w:val="20"/>
                <w:szCs w:val="20"/>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CF7B1">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DE9305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2F1C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0C6804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0896374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39F88E1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4BA51CD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384B051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40B8544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6BDF67BA">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656C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4367DFB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4BAF04C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0C83955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6186406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5FACAFA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681E043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2D1C60F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4F5DE94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35DCEF3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6E559D7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0D4810B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6F490E73">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4F01D">
            <w:pPr>
              <w:spacing w:line="240" w:lineRule="exact"/>
              <w:jc w:val="left"/>
              <w:rPr>
                <w:rFonts w:ascii="仿宋_GB2312" w:hAnsi="仿宋_GB2312" w:eastAsia="仿宋_GB2312" w:cs="仿宋_GB2312"/>
                <w:sz w:val="20"/>
                <w:szCs w:val="20"/>
              </w:rPr>
            </w:pPr>
          </w:p>
        </w:tc>
      </w:tr>
      <w:bookmarkEnd w:id="19"/>
    </w:tbl>
    <w:p w14:paraId="2AB18527"/>
    <w:p w14:paraId="7A9FEBB3"/>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2C323ADE">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DC04C22">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E7F24E6">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174C307">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695E7162">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E3A2C24">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999EB1C">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7D621D95">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56B9869">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74C53D5">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6AC4AC67">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7BFD29C3">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AE7B706">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49801515">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587A4C">
            <w:pPr>
              <w:widowControl/>
              <w:spacing w:line="240" w:lineRule="exact"/>
              <w:jc w:val="center"/>
              <w:textAlignment w:val="center"/>
              <w:rPr>
                <w:rFonts w:ascii="仿宋_GB2312" w:hAnsi="仿宋_GB2312" w:eastAsia="仿宋_GB2312" w:cs="仿宋_GB2312"/>
                <w:sz w:val="20"/>
                <w:szCs w:val="20"/>
              </w:rPr>
            </w:pPr>
            <w:bookmarkStart w:id="20" w:name="_Hlk205991647"/>
            <w:r>
              <w:rPr>
                <w:rFonts w:ascii="仿宋_GB2312" w:hAnsi="仿宋_GB2312" w:eastAsia="仿宋_GB2312" w:cs="仿宋_GB2312"/>
                <w:kern w:val="0"/>
                <w:sz w:val="20"/>
                <w:szCs w:val="20"/>
              </w:rPr>
              <w:t>312</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8EBCD56">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行政强制</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DDA1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对临时建筑物、构筑物和其他设施限期拆除期满仍不拆除的强制拆除</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ECA9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《中华人民共和国城乡规划法》第六十八条</w:t>
            </w:r>
            <w:r>
              <w:rPr>
                <w:rFonts w:ascii="仿宋_GB2312" w:hAnsi="仿宋_GB2312" w:eastAsia="仿宋_GB2312" w:cs="仿宋_GB2312"/>
                <w:sz w:val="20"/>
                <w:szCs w:val="20"/>
              </w:rPr>
              <w:t>城乡规划主管部门作出责令停止建设或者限期拆除的决定后，当事人不停止建设或者逾期不拆除的，建设工程所在地县级以上地方人民政府可以责成有关部门采取查封施工现场、强制拆除等措施。</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9BE2E">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18A439F">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0CFD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4CE1393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53D4E72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65AB96E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359D269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7655E77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330A847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381C6D8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8D2FA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08D4DE8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5C7A6BD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86529B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0429C9D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065C1FD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0E313EF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1A1E422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4732B83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00A8235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1CBB3D5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775392B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1EEFD0B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DE8DD">
            <w:pPr>
              <w:spacing w:line="240" w:lineRule="exact"/>
              <w:jc w:val="left"/>
              <w:rPr>
                <w:rFonts w:ascii="仿宋_GB2312" w:hAnsi="仿宋_GB2312" w:eastAsia="仿宋_GB2312" w:cs="仿宋_GB2312"/>
                <w:sz w:val="20"/>
                <w:szCs w:val="20"/>
              </w:rPr>
            </w:pPr>
          </w:p>
        </w:tc>
      </w:tr>
      <w:bookmarkEnd w:id="20"/>
    </w:tbl>
    <w:p w14:paraId="16C04D11"/>
    <w:p w14:paraId="126C29C6"/>
    <w:tbl>
      <w:tblPr>
        <w:tblStyle w:val="9"/>
        <w:tblW w:w="5007" w:type="pct"/>
        <w:tblInd w:w="-10" w:type="dxa"/>
        <w:tblLayout w:type="autofit"/>
        <w:tblCellMar>
          <w:top w:w="0" w:type="dxa"/>
          <w:left w:w="108" w:type="dxa"/>
          <w:bottom w:w="0" w:type="dxa"/>
          <w:right w:w="108" w:type="dxa"/>
        </w:tblCellMar>
      </w:tblPr>
      <w:tblGrid>
        <w:gridCol w:w="10"/>
        <w:gridCol w:w="736"/>
        <w:gridCol w:w="727"/>
        <w:gridCol w:w="795"/>
        <w:gridCol w:w="185"/>
        <w:gridCol w:w="2876"/>
        <w:gridCol w:w="48"/>
        <w:gridCol w:w="806"/>
        <w:gridCol w:w="39"/>
        <w:gridCol w:w="789"/>
        <w:gridCol w:w="36"/>
        <w:gridCol w:w="3475"/>
        <w:gridCol w:w="11"/>
        <w:gridCol w:w="2994"/>
        <w:gridCol w:w="462"/>
      </w:tblGrid>
      <w:tr w14:paraId="68A6F1C8">
        <w:tblPrEx>
          <w:tblCellMar>
            <w:top w:w="0" w:type="dxa"/>
            <w:left w:w="108" w:type="dxa"/>
            <w:bottom w:w="0" w:type="dxa"/>
            <w:right w:w="108" w:type="dxa"/>
          </w:tblCellMar>
        </w:tblPrEx>
        <w:trPr>
          <w:gridBefore w:val="1"/>
          <w:wBefore w:w="4" w:type="pct"/>
          <w:trHeight w:val="567" w:hRule="atLeast"/>
          <w:tblHeader/>
        </w:trPr>
        <w:tc>
          <w:tcPr>
            <w:tcW w:w="263"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65833EF">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59"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DD4419B">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284"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DCF9EF5">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235D07E2">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111" w:type="pct"/>
            <w:gridSpan w:val="3"/>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3B6519B">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2" w:type="pct"/>
            <w:gridSpan w:val="2"/>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68D1A3C">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5A12327C">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5" w:type="pct"/>
            <w:gridSpan w:val="2"/>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64C0190">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80D4379">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46" w:type="pct"/>
            <w:gridSpan w:val="2"/>
            <w:tcBorders>
              <w:top w:val="single" w:color="000000" w:sz="4" w:space="0"/>
              <w:left w:val="single" w:color="000000" w:sz="4" w:space="0"/>
              <w:bottom w:val="nil"/>
              <w:right w:val="single" w:color="000000" w:sz="4" w:space="0"/>
            </w:tcBorders>
            <w:shd w:val="clear" w:color="auto" w:fill="auto"/>
            <w:vAlign w:val="center"/>
          </w:tcPr>
          <w:p w14:paraId="1FC50F11">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67" w:type="pct"/>
            <w:tcBorders>
              <w:top w:val="single" w:color="000000" w:sz="4" w:space="0"/>
              <w:left w:val="single" w:color="000000" w:sz="4" w:space="0"/>
              <w:bottom w:val="nil"/>
              <w:right w:val="single" w:color="000000" w:sz="4" w:space="0"/>
            </w:tcBorders>
            <w:shd w:val="clear" w:color="auto" w:fill="auto"/>
            <w:vAlign w:val="center"/>
          </w:tcPr>
          <w:p w14:paraId="1F8EDF4D">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51E56E9">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51F27618">
        <w:tblPrEx>
          <w:tblCellMar>
            <w:top w:w="0" w:type="dxa"/>
            <w:left w:w="108" w:type="dxa"/>
            <w:bottom w:w="0" w:type="dxa"/>
            <w:right w:w="108" w:type="dxa"/>
          </w:tblCellMar>
        </w:tblPrEx>
        <w:trPr>
          <w:gridBefore w:val="1"/>
          <w:wBefore w:w="4" w:type="pct"/>
          <w:trHeight w:val="6667" w:hRule="atLeast"/>
        </w:trPr>
        <w:tc>
          <w:tcPr>
            <w:tcW w:w="2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012C7B">
            <w:pPr>
              <w:widowControl/>
              <w:spacing w:line="240" w:lineRule="exact"/>
              <w:jc w:val="center"/>
              <w:textAlignment w:val="center"/>
              <w:rPr>
                <w:rFonts w:ascii="仿宋_GB2312" w:hAnsi="仿宋_GB2312" w:eastAsia="仿宋_GB2312" w:cs="仿宋_GB2312"/>
                <w:sz w:val="20"/>
                <w:szCs w:val="20"/>
              </w:rPr>
            </w:pPr>
            <w:bookmarkStart w:id="21" w:name="_Hlk205906828"/>
            <w:r>
              <w:rPr>
                <w:rFonts w:ascii="仿宋_GB2312" w:hAnsi="仿宋_GB2312" w:eastAsia="仿宋_GB2312" w:cs="仿宋_GB2312"/>
                <w:kern w:val="0"/>
                <w:sz w:val="20"/>
                <w:szCs w:val="20"/>
              </w:rPr>
              <w:t>313</w:t>
            </w:r>
          </w:p>
        </w:tc>
        <w:tc>
          <w:tcPr>
            <w:tcW w:w="259"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1025C68C">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其他权利</w:t>
            </w:r>
          </w:p>
        </w:tc>
        <w:tc>
          <w:tcPr>
            <w:tcW w:w="2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4FF6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储备国有土地上的环境卫生整治</w:t>
            </w:r>
          </w:p>
        </w:tc>
        <w:tc>
          <w:tcPr>
            <w:tcW w:w="111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5DD7C5">
            <w:pPr>
              <w:widowControl/>
              <w:spacing w:line="240" w:lineRule="exact"/>
              <w:textAlignment w:val="center"/>
              <w:rPr>
                <w:rFonts w:ascii="仿宋_GB2312" w:hAnsi="仿宋_GB2312" w:eastAsia="仿宋_GB2312" w:cs="仿宋_GB2312"/>
                <w:kern w:val="0"/>
                <w:szCs w:val="21"/>
              </w:rPr>
            </w:pPr>
            <w:bookmarkStart w:id="22" w:name="OLE_LINK18"/>
            <w:bookmarkStart w:id="23" w:name="OLE_LINK22"/>
            <w:bookmarkStart w:id="24" w:name="OLE_LINK19"/>
            <w:r>
              <w:rPr>
                <w:rFonts w:hint="eastAsia" w:ascii="仿宋_GB2312" w:hAnsi="仿宋_GB2312" w:eastAsia="仿宋_GB2312" w:cs="仿宋_GB2312"/>
                <w:kern w:val="0"/>
                <w:szCs w:val="21"/>
              </w:rPr>
              <w:t>《土地储备管理办法》第十三条； 土地储备机构应对纳入储备的土地采取自行管护、委托管护、临时利用等方式进行管护，建立巡查制度，对侵害储备土地权利的行为要做到早发现、早制止、早处理。对储备土地的管护，可以由土地储备机构的内设机构负责，也可由土地储备机构按照相关规定选择管护</w:t>
            </w:r>
            <w:bookmarkStart w:id="25" w:name="OLE_LINK17"/>
            <w:bookmarkStart w:id="26" w:name="OLE_LINK16"/>
            <w:r>
              <w:rPr>
                <w:rFonts w:hint="eastAsia" w:ascii="仿宋_GB2312" w:hAnsi="仿宋_GB2312" w:eastAsia="仿宋_GB2312" w:cs="仿宋_GB2312"/>
                <w:kern w:val="0"/>
                <w:szCs w:val="21"/>
              </w:rPr>
              <w:t>单位</w:t>
            </w:r>
            <w:bookmarkEnd w:id="25"/>
            <w:bookmarkEnd w:id="26"/>
            <w:r>
              <w:rPr>
                <w:rFonts w:hint="eastAsia" w:ascii="仿宋_GB2312" w:hAnsi="仿宋_GB2312" w:eastAsia="仿宋_GB2312" w:cs="仿宋_GB2312"/>
                <w:kern w:val="0"/>
                <w:szCs w:val="21"/>
              </w:rPr>
              <w:t>。</w:t>
            </w:r>
          </w:p>
          <w:p w14:paraId="150B50FF">
            <w:pPr>
              <w:widowControl/>
              <w:spacing w:line="240" w:lineRule="exac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秦皇岛市土地储备实施办法》第十八条土地储备机构应当对纳入储备的土地采取自行管护、委托管护、临时利用等方式进行管护。建立巡查制度，对侵害储备土地权利的行为要做到早发现、早制止、早处理。</w:t>
            </w:r>
          </w:p>
          <w:p w14:paraId="11413D4D">
            <w:pPr>
              <w:widowControl/>
              <w:spacing w:line="240" w:lineRule="exac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储备土地的委托管护分为有偿和无偿两种方式。选取有资质的第三方</w:t>
            </w:r>
            <w:bookmarkStart w:id="27" w:name="OLE_LINK23"/>
            <w:bookmarkStart w:id="28" w:name="OLE_LINK24"/>
            <w:r>
              <w:rPr>
                <w:rFonts w:hint="eastAsia" w:ascii="仿宋_GB2312" w:hAnsi="仿宋_GB2312" w:eastAsia="仿宋_GB2312" w:cs="仿宋_GB2312"/>
                <w:kern w:val="0"/>
                <w:szCs w:val="21"/>
              </w:rPr>
              <w:t>服务机构采取有偿方式管护的，应依法采取公开招标或询价等方式确定。委托管护期限一般不超过两年。</w:t>
            </w:r>
          </w:p>
          <w:p w14:paraId="5442C17E">
            <w:pPr>
              <w:widowControl/>
              <w:spacing w:line="240" w:lineRule="exac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在储备土地未供应前，土地储备机构可以将储备土地或连同地上建（构）筑物，通过出租、临时使用等方式加以利用。临时利用的期限一般不超过两年，且不能影响土地供应。可通过公开招标或洽谈方式确定临时利用人，临时利用费用委托专业机构评估，经同级自然资源主管部门同意后，由土地储备机构与临时利用人签订临时利用合同。储备土地临时利用取得的收入按规定全部纳入同级国库，纳入公共预算，实行“收支两条线”管理。</w:t>
            </w:r>
            <w:bookmarkEnd w:id="22"/>
            <w:bookmarkEnd w:id="23"/>
            <w:bookmarkEnd w:id="24"/>
            <w:bookmarkEnd w:id="27"/>
            <w:bookmarkEnd w:id="28"/>
          </w:p>
        </w:tc>
        <w:tc>
          <w:tcPr>
            <w:tcW w:w="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4B29E7">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BA241D6">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188706">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Cs w:val="21"/>
              </w:rPr>
              <w:t>1.受理责任：一次性告知受理或不予受理（不予受理应当告知理由）。</w:t>
            </w:r>
            <w:r>
              <w:rPr>
                <w:rFonts w:hint="eastAsia" w:ascii="仿宋_GB2312" w:hAnsi="仿宋_GB2312" w:eastAsia="仿宋_GB2312" w:cs="仿宋_GB2312"/>
                <w:kern w:val="0"/>
                <w:szCs w:val="21"/>
              </w:rPr>
              <w:br w:type="textWrapping"/>
            </w:r>
            <w:r>
              <w:rPr>
                <w:rFonts w:hint="eastAsia" w:ascii="仿宋_GB2312" w:hAnsi="仿宋_GB2312" w:eastAsia="仿宋_GB2312" w:cs="仿宋_GB2312"/>
                <w:kern w:val="0"/>
                <w:szCs w:val="21"/>
              </w:rPr>
              <w:t>2.审查责任：按照实施依据对申请事项提出审核意见。</w:t>
            </w:r>
            <w:r>
              <w:rPr>
                <w:rFonts w:hint="eastAsia" w:ascii="仿宋_GB2312" w:hAnsi="仿宋_GB2312" w:eastAsia="仿宋_GB2312" w:cs="仿宋_GB2312"/>
                <w:kern w:val="0"/>
                <w:szCs w:val="21"/>
              </w:rPr>
              <w:br w:type="textWrapping"/>
            </w:r>
            <w:r>
              <w:rPr>
                <w:rFonts w:hint="eastAsia" w:ascii="仿宋_GB2312" w:hAnsi="仿宋_GB2312" w:eastAsia="仿宋_GB2312" w:cs="仿宋_GB2312"/>
                <w:kern w:val="0"/>
                <w:szCs w:val="21"/>
              </w:rPr>
              <w:t>3.监管责任：建立实施监督检查的运行机制和管理制度，对相关活动开展检查，依法采取相关处置措施。</w:t>
            </w:r>
            <w:r>
              <w:rPr>
                <w:rFonts w:hint="eastAsia" w:ascii="仿宋_GB2312" w:hAnsi="仿宋_GB2312" w:eastAsia="仿宋_GB2312" w:cs="仿宋_GB2312"/>
                <w:kern w:val="0"/>
                <w:szCs w:val="21"/>
              </w:rPr>
              <w:br w:type="textWrapping"/>
            </w:r>
            <w:r>
              <w:rPr>
                <w:rFonts w:hint="eastAsia" w:ascii="仿宋_GB2312" w:hAnsi="仿宋_GB2312" w:eastAsia="仿宋_GB2312" w:cs="仿宋_GB2312"/>
                <w:kern w:val="0"/>
                <w:szCs w:val="21"/>
              </w:rPr>
              <w:t>4.其他法律法规规章规定应履行的责任。</w:t>
            </w:r>
          </w:p>
        </w:tc>
        <w:tc>
          <w:tcPr>
            <w:tcW w:w="10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0AE8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Cs w:val="21"/>
              </w:rPr>
              <w:t>因不履行或不正确履行行政职责，有下列情形的，行政机关及相关工作人员应承担相应责任：</w:t>
            </w:r>
            <w:r>
              <w:rPr>
                <w:rFonts w:hint="eastAsia" w:ascii="仿宋_GB2312" w:hAnsi="仿宋_GB2312" w:eastAsia="仿宋_GB2312" w:cs="仿宋_GB2312"/>
                <w:kern w:val="0"/>
                <w:szCs w:val="21"/>
              </w:rPr>
              <w:br w:type="textWrapping"/>
            </w:r>
            <w:r>
              <w:rPr>
                <w:rFonts w:hint="eastAsia" w:ascii="仿宋_GB2312" w:hAnsi="仿宋_GB2312" w:eastAsia="仿宋_GB2312" w:cs="仿宋_GB2312"/>
                <w:kern w:val="0"/>
                <w:szCs w:val="21"/>
              </w:rPr>
              <w:t xml:space="preserve">1.工作中滥用职权、徇私舞弊、玩忽职守造成不良后果的。 </w:t>
            </w:r>
            <w:r>
              <w:rPr>
                <w:rFonts w:hint="eastAsia" w:ascii="仿宋_GB2312" w:hAnsi="仿宋_GB2312" w:eastAsia="仿宋_GB2312" w:cs="仿宋_GB2312"/>
                <w:kern w:val="0"/>
                <w:szCs w:val="21"/>
              </w:rPr>
              <w:br w:type="textWrapping"/>
            </w:r>
            <w:r>
              <w:rPr>
                <w:rFonts w:hint="eastAsia" w:ascii="仿宋_GB2312" w:hAnsi="仿宋_GB2312" w:eastAsia="仿宋_GB2312" w:cs="仿宋_GB2312"/>
                <w:kern w:val="0"/>
                <w:szCs w:val="21"/>
              </w:rPr>
              <w:t>2.其他违反法律法规规章文件规定的行为。</w:t>
            </w:r>
          </w:p>
        </w:tc>
        <w:tc>
          <w:tcPr>
            <w:tcW w:w="1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5F360">
            <w:pPr>
              <w:spacing w:line="240" w:lineRule="exact"/>
              <w:jc w:val="left"/>
              <w:rPr>
                <w:rFonts w:ascii="仿宋_GB2312" w:hAnsi="仿宋_GB2312" w:eastAsia="仿宋_GB2312" w:cs="仿宋_GB2312"/>
                <w:sz w:val="20"/>
                <w:szCs w:val="20"/>
              </w:rPr>
            </w:pPr>
          </w:p>
        </w:tc>
      </w:tr>
      <w:bookmarkEnd w:id="21"/>
      <w:tr w14:paraId="34224D91">
        <w:tblPrEx>
          <w:tblCellMar>
            <w:top w:w="0" w:type="dxa"/>
            <w:left w:w="108" w:type="dxa"/>
            <w:bottom w:w="0" w:type="dxa"/>
            <w:right w:w="108" w:type="dxa"/>
          </w:tblCellMar>
        </w:tblPrEx>
        <w:trPr>
          <w:trHeight w:val="567" w:hRule="atLeast"/>
          <w:tblHeader/>
        </w:trPr>
        <w:tc>
          <w:tcPr>
            <w:tcW w:w="265" w:type="pct"/>
            <w:gridSpan w:val="2"/>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AF601DC">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87D6981">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gridSpan w:val="2"/>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2E61B16">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17EFE939">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FFA42B8">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gridSpan w:val="2"/>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E5DBE66">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1A69370D">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gridSpan w:val="2"/>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0D70D02">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27D69649">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gridSpan w:val="2"/>
            <w:tcBorders>
              <w:top w:val="single" w:color="000000" w:sz="4" w:space="0"/>
              <w:left w:val="single" w:color="000000" w:sz="4" w:space="0"/>
              <w:bottom w:val="nil"/>
              <w:right w:val="single" w:color="000000" w:sz="4" w:space="0"/>
            </w:tcBorders>
            <w:shd w:val="clear" w:color="auto" w:fill="auto"/>
            <w:vAlign w:val="center"/>
          </w:tcPr>
          <w:p w14:paraId="2F296529">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gridSpan w:val="2"/>
            <w:tcBorders>
              <w:top w:val="single" w:color="000000" w:sz="4" w:space="0"/>
              <w:left w:val="single" w:color="000000" w:sz="4" w:space="0"/>
              <w:bottom w:val="nil"/>
              <w:right w:val="single" w:color="000000" w:sz="4" w:space="0"/>
            </w:tcBorders>
            <w:shd w:val="clear" w:color="auto" w:fill="auto"/>
            <w:vAlign w:val="center"/>
          </w:tcPr>
          <w:p w14:paraId="3165247E">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B01AE2B">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0734D354">
        <w:tblPrEx>
          <w:tblCellMar>
            <w:top w:w="0" w:type="dxa"/>
            <w:left w:w="108" w:type="dxa"/>
            <w:bottom w:w="0" w:type="dxa"/>
            <w:right w:w="108" w:type="dxa"/>
          </w:tblCellMar>
        </w:tblPrEx>
        <w:trPr>
          <w:trHeight w:val="6667" w:hRule="atLeast"/>
        </w:trPr>
        <w:tc>
          <w:tcPr>
            <w:tcW w:w="265"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F3E7D8">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314</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5753213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649799">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对扰乱、阻碍矿山地质环境保护与治理恢复工作，侵占、损坏、损毁矿山地质环境监测设施或者矿山地质环境保护与治理恢复设施的处罚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A542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矿山地质环境保护规定》（2019年7月16日第三次修正）第三十条违反本规定，扰乱、阻碍矿山地质环境保护与治理恢复工作，侵占、损坏、损毁矿山地质环境监测设施或者矿山地质环境保护与治理恢复设施的，由县级以上自然资源主管部门责令停止违法行为，限期恢复原状或者采取补救措施，并处3万元以下的罚款；构成犯罪的，依法追究刑事责任。</w:t>
            </w:r>
          </w:p>
          <w:p w14:paraId="0DAF256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河北省非煤矿山综合治理条例》第四十九条违反本条例规定，侵占、损坏、损毁非煤矿山地质环境监测设施的，由县级以上人民政府自然资源主管部门责令停止违法行为，限期恢复原状或者采取补救措施，并处三万元以下的罚款。</w:t>
            </w:r>
          </w:p>
        </w:tc>
        <w:tc>
          <w:tcPr>
            <w:tcW w:w="30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741ADC">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40344BE3">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88B6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23F2F83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531A128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DCBED3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351CC83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4F5BC3C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0F9F320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61EAF9F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0F5C9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07BABFF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1D02672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335CB4A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3785BF4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0633F02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7D6EEA7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5ACB757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40A0E7C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2344C2A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44B7AFF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0101F37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6482D71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FA9B3">
            <w:pPr>
              <w:spacing w:line="240" w:lineRule="exact"/>
              <w:jc w:val="left"/>
              <w:rPr>
                <w:rFonts w:ascii="仿宋_GB2312" w:hAnsi="仿宋_GB2312" w:eastAsia="仿宋_GB2312" w:cs="仿宋_GB2312"/>
                <w:sz w:val="20"/>
                <w:szCs w:val="20"/>
              </w:rPr>
            </w:pPr>
          </w:p>
        </w:tc>
      </w:tr>
    </w:tbl>
    <w:p w14:paraId="7B1E1D15"/>
    <w:p w14:paraId="6BA1E6A0"/>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0021A8C3">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AE565E2">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7E1A85E">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CD7FB3B">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5F2EB39D">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741281A">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C851017">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65671A04">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D711567">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5810312B">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2DFA4989">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7B9B7DDA">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A2F5263">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698BD30D">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68352C">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315</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4478B0D8">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5C4F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对未经批准发掘古生物化石的处罚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1598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《古生物化石保护条例》 （2019年3月2日修订）第三十六条第一项单位或者个人有下列行为之一的，由县级以上人民政府国土资源主管部门责令停止发掘，限期改正，没收发掘的古生物化石，并处20万元以上50万元以下的罚款；构成违反治安管理行为的，由公安机关依法给予治安管理处罚；构成犯罪的，依法追究刑事责任：</w:t>
            </w:r>
          </w:p>
          <w:p w14:paraId="24B268C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（一）未经批准发掘古生物化石的；</w:t>
            </w:r>
          </w:p>
          <w:p w14:paraId="5E47E6F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《古生物化石保护条例实施办法》 （2019年7月16日第三次修正）第五十条未经批准发掘古生物化石或者未按照批准的发掘方案发掘古生物化石的,县级以上人民政府国土资源主管部门责令停止发掘,限期改正,没收发掘的古生物化石,并处罚款。在国家级古生物化石自然保护区、国家地质公园和重点保护古生物化石集中产地内违法发掘的,处30万元以上50万元以下罚款；在其他区域内违法发掘的,处20万元以上30万元以下罚款。</w:t>
            </w:r>
          </w:p>
          <w:p w14:paraId="5F1A5239">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未经批准或者未按照批准的发掘方案发掘古生物化石,构成违反治安管理行为的,由公安机关依法给予治安管理处罚；构成犯罪的,依法追究刑事责任。</w:t>
            </w:r>
          </w:p>
          <w:p w14:paraId="5C0CB88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未按照批准的发掘方案发掘古生物化石,情节严重的,由批准古生物化石发掘的国土资源主管部门撤销批准发掘的决定。</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74DB9">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7AFD3C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C1D5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1146FA0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1FDF3C1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17E513A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27CBF91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179DFD5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67531B3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7E97E36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E0C0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6C1B2C2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178A5A8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032744B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3B5C225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352A537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3BB039B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41C970F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5916AE2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7955A07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425EB6F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342E5B1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66412339">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B7EB4">
            <w:pPr>
              <w:spacing w:line="240" w:lineRule="exact"/>
              <w:jc w:val="left"/>
              <w:rPr>
                <w:rFonts w:ascii="仿宋_GB2312" w:hAnsi="仿宋_GB2312" w:eastAsia="仿宋_GB2312" w:cs="仿宋_GB2312"/>
                <w:sz w:val="20"/>
                <w:szCs w:val="20"/>
              </w:rPr>
            </w:pPr>
          </w:p>
        </w:tc>
      </w:tr>
    </w:tbl>
    <w:p w14:paraId="0BD8E0B7"/>
    <w:p w14:paraId="1D10FE55"/>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49831977">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5882F51">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6D5CE40">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3369239B">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1D5DFEF1">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C779FFC">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70C0035">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25966694">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9BE3547">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5E8F620F">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68BF7C14">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27B8088F">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F1B5A08">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2B6AC1AE">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49550D">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316</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970BC7D">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39F5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对在永久性测量标志安全控制范围内从事危害测量标志安全和使用效能的活动的处罚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AF87F">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《中华人民共和国测绘法》第六十四条第三项</w:t>
            </w:r>
            <w:r>
              <w:rPr>
                <w:rFonts w:ascii="Arial" w:hAnsi="Arial"/>
                <w:color w:val="333333"/>
                <w:sz w:val="17"/>
                <w:szCs w:val="17"/>
                <w:shd w:val="clear" w:color="auto" w:fill="FFFFFF"/>
              </w:rPr>
              <w:t>违反本法规定，有下列行为之一的，给予警告，责令改正，可以并处二十万元以下的罚款；对直接负责的主管人员和其他直接责任人员，依法给予处分；造成损失的，依法承担赔偿责任；构成犯罪的，依法追究刑事责任：（三）在永久性测量标志安全控制范围内从事危害测量标志安全和使用效能的活动；</w:t>
            </w:r>
          </w:p>
          <w:p w14:paraId="3E1CF8F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《测量标志保护条例》（2011年1月8日修订）第二十二条</w:t>
            </w:r>
          </w:p>
          <w:p w14:paraId="44DAB5D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测量标志受国家保护,禁止下列有损测量标志安全和使测量标志失去使用效能的行为:</w:t>
            </w:r>
          </w:p>
          <w:p w14:paraId="0692320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(一)损毁或者擅自移动地下或者地上的永久性测量标志以及使用中的临时性测量标志的;</w:t>
            </w:r>
          </w:p>
          <w:p w14:paraId="7D104744">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(二)在测量标志占地范围内烧荒、耕作、取土、挖沙或者侵占永久性测量标志用地的;</w:t>
            </w:r>
          </w:p>
          <w:p w14:paraId="6C7AD290">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(三)在距永久性测量标志50米范围内采石、爆破、射击、架设高压电线的;</w:t>
            </w:r>
          </w:p>
          <w:p w14:paraId="03A18F47">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(四)在测量标志的占地范围内,建设影响测量标志使用效能的建筑物的;</w:t>
            </w:r>
          </w:p>
          <w:p w14:paraId="1934B087">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(五)在测量标志上架设通讯设施、设置观望台、搭帐篷、拴牲畜或者设置其他有可能损毁测量标志的附着物的;</w:t>
            </w:r>
          </w:p>
          <w:p w14:paraId="7FEF286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(六)擅自拆除设有测量标志的建筑物或者拆除建筑物上的测量标志的;</w:t>
            </w:r>
          </w:p>
          <w:p w14:paraId="22A4B11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(七)其他有损测量标志安全和使用效能的。</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5819D">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2B84406B">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C2D8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5C3BA08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177771F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5EBB4B4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7138515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43782F1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172EC6E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0AD165C3">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10CE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5223E9E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7D1B380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531B69D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1CB4A8F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51C086D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5EA277F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195F064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44A3931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7C516CC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60D3AD8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1897548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5CE0CF99">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FF7DA">
            <w:pPr>
              <w:spacing w:line="240" w:lineRule="exact"/>
              <w:jc w:val="left"/>
              <w:rPr>
                <w:rFonts w:ascii="仿宋_GB2312" w:hAnsi="仿宋_GB2312" w:eastAsia="仿宋_GB2312" w:cs="仿宋_GB2312"/>
                <w:sz w:val="20"/>
                <w:szCs w:val="20"/>
              </w:rPr>
            </w:pPr>
          </w:p>
        </w:tc>
      </w:tr>
    </w:tbl>
    <w:p w14:paraId="6CA0B080"/>
    <w:p w14:paraId="26AC4F69"/>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0E901E76">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E787F3E">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584C5CF">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5AF6172C">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086E6551">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3F9386D">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1B6307DD">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3910839A">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6A218005">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71CF3F9A">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66DA9EDF">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2458222A">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8E23330">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7D697DEE">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13605D">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317</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1E19EF9E">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FBCB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对擅自拆迁永久性测量标志或者使永久性测量标志失去使用效能，或者拒绝支付迁建费用的处罚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3EEB0">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《中华人民共和国测绘法》第六十四条  违反本法规定，有下列行为之一的，给予警告，责令改正，可以并处二十万元以下的罚款；对直接负责的主管人员和其他直接责任人员，依法给予处分；造成损失的，依法承担赔偿责任；构成犯罪的，依法追究刑事责任：</w:t>
            </w:r>
          </w:p>
          <w:p w14:paraId="025422AC">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（一）损毁、擅自移动永久性测量标志或者正在使用中的临时性测量标志；</w:t>
            </w:r>
          </w:p>
          <w:p w14:paraId="3C3AEF3A">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（二）侵占永久性测量标志用地；</w:t>
            </w:r>
          </w:p>
          <w:p w14:paraId="7E23E21E">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（三）在永久性测量标志安全控制范围内从事危害测量标志安全和使用效能的活动；</w:t>
            </w:r>
          </w:p>
          <w:p w14:paraId="31EB15A3">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（四）擅自拆迁永久性测量标志或者使永久性测量标志失去使用效能，或者拒绝支付迁建费用；</w:t>
            </w:r>
          </w:p>
          <w:p w14:paraId="07D7FDA1">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（五）违反操作规程使用永久性测量标志，造成永久性测量标志毁损。</w:t>
            </w:r>
          </w:p>
          <w:p w14:paraId="5E9A8353">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 xml:space="preserve"> 《测量标志保护条例》（2011年1月8日修订）第二十三条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14:paraId="6F34BB30">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(一)干扰或者阻挠测量标志建设单位依法使用土地或者在建筑物上建设永久性测量标志的;</w:t>
            </w:r>
          </w:p>
          <w:p w14:paraId="2C107863">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(二)工程建设单位未经批准擅自拆迁永久性测量标志或者使永久性测量标志失去使用效能的,或者拒绝按照国家有关规定支付迁建费用的;</w:t>
            </w:r>
          </w:p>
          <w:p w14:paraId="03CBE6BC">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(三)违反测绘操作规程进行测绘,使永久性测量标志受到损坏的;</w:t>
            </w:r>
          </w:p>
          <w:p w14:paraId="77C05A2D">
            <w:pPr>
              <w:widowControl/>
              <w:spacing w:line="240" w:lineRule="exact"/>
              <w:ind w:left="-145" w:leftChars="-69" w:right="-42" w:rightChars="-20"/>
              <w:textAlignment w:val="center"/>
              <w:rPr>
                <w:rFonts w:ascii="仿宋_GB2312" w:hAnsi="仿宋_GB2312" w:eastAsia="仿宋_GB2312" w:cs="仿宋_GB2312"/>
                <w:sz w:val="15"/>
                <w:szCs w:val="15"/>
              </w:rPr>
            </w:pPr>
            <w:r>
              <w:rPr>
                <w:rFonts w:hint="eastAsia" w:ascii="仿宋_GB2312" w:hAnsi="仿宋_GB2312" w:eastAsia="仿宋_GB2312" w:cs="仿宋_GB2312"/>
                <w:sz w:val="15"/>
                <w:szCs w:val="15"/>
              </w:rPr>
              <w:t>(四)无证使用永久性测量标志并且拒绝县级以上人民政府管理测绘工作的部门监督和负责保管测量标志的单位和人员查询的。</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2182B">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26B90AC3">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4735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2F12DA73">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466728D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1A72F04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29A4946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679BD99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53D355D7">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43FF90A1">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AD96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1AC1094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78A020E6">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3139A9E1">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5B0F3DF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1AB22AD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4FC43A8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3633364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2603F39F">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73C861C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0BE3412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1479846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0401E50D">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3ACA7">
            <w:pPr>
              <w:spacing w:line="240" w:lineRule="exact"/>
              <w:jc w:val="left"/>
              <w:rPr>
                <w:rFonts w:ascii="仿宋_GB2312" w:hAnsi="仿宋_GB2312" w:eastAsia="仿宋_GB2312" w:cs="仿宋_GB2312"/>
                <w:sz w:val="20"/>
                <w:szCs w:val="20"/>
              </w:rPr>
            </w:pPr>
          </w:p>
        </w:tc>
      </w:tr>
    </w:tbl>
    <w:p w14:paraId="2E494085"/>
    <w:p w14:paraId="4D953846"/>
    <w:tbl>
      <w:tblPr>
        <w:tblStyle w:val="9"/>
        <w:tblW w:w="5000" w:type="pct"/>
        <w:tblInd w:w="0" w:type="dxa"/>
        <w:tblLayout w:type="autofit"/>
        <w:tblCellMar>
          <w:top w:w="0" w:type="dxa"/>
          <w:left w:w="108" w:type="dxa"/>
          <w:bottom w:w="0" w:type="dxa"/>
          <w:right w:w="108" w:type="dxa"/>
        </w:tblCellMar>
      </w:tblPr>
      <w:tblGrid>
        <w:gridCol w:w="740"/>
        <w:gridCol w:w="726"/>
        <w:gridCol w:w="978"/>
        <w:gridCol w:w="2872"/>
        <w:gridCol w:w="852"/>
        <w:gridCol w:w="827"/>
        <w:gridCol w:w="3506"/>
        <w:gridCol w:w="3001"/>
        <w:gridCol w:w="467"/>
      </w:tblGrid>
      <w:tr w14:paraId="688FD4F7">
        <w:tblPrEx>
          <w:tblCellMar>
            <w:top w:w="0" w:type="dxa"/>
            <w:left w:w="108" w:type="dxa"/>
            <w:bottom w:w="0" w:type="dxa"/>
            <w:right w:w="108" w:type="dxa"/>
          </w:tblCellMar>
        </w:tblPrEx>
        <w:trPr>
          <w:trHeight w:val="567" w:hRule="atLeast"/>
          <w:tblHeader/>
        </w:trPr>
        <w:tc>
          <w:tcPr>
            <w:tcW w:w="26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48D10F64">
            <w:pPr>
              <w:widowControl/>
              <w:jc w:val="center"/>
              <w:textAlignment w:val="center"/>
              <w:rPr>
                <w:rFonts w:ascii="黑体" w:hAnsi="黑体" w:eastAsia="黑体" w:cs="黑体"/>
                <w:sz w:val="24"/>
              </w:rPr>
            </w:pPr>
            <w:r>
              <w:rPr>
                <w:rFonts w:hint="eastAsia" w:ascii="黑体" w:hAnsi="黑体" w:eastAsia="黑体" w:cs="黑体"/>
                <w:kern w:val="0"/>
                <w:sz w:val="24"/>
              </w:rPr>
              <w:t>序号</w:t>
            </w:r>
          </w:p>
        </w:tc>
        <w:tc>
          <w:tcPr>
            <w:tcW w:w="26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3007267">
            <w:pPr>
              <w:widowControl/>
              <w:jc w:val="center"/>
              <w:textAlignment w:val="center"/>
              <w:rPr>
                <w:rFonts w:ascii="黑体" w:hAnsi="黑体" w:eastAsia="黑体" w:cs="黑体"/>
                <w:sz w:val="24"/>
              </w:rPr>
            </w:pPr>
            <w:r>
              <w:rPr>
                <w:rFonts w:hint="eastAsia" w:ascii="黑体" w:hAnsi="黑体" w:eastAsia="黑体" w:cs="黑体"/>
                <w:kern w:val="0"/>
                <w:sz w:val="24"/>
              </w:rPr>
              <w:t>权力</w:t>
            </w:r>
            <w:r>
              <w:rPr>
                <w:rFonts w:hint="eastAsia" w:ascii="黑体" w:hAnsi="黑体" w:eastAsia="黑体" w:cs="黑体"/>
                <w:kern w:val="0"/>
                <w:sz w:val="24"/>
              </w:rPr>
              <w:br w:type="textWrapping"/>
            </w:r>
            <w:r>
              <w:rPr>
                <w:rFonts w:hint="eastAsia" w:ascii="黑体" w:hAnsi="黑体" w:eastAsia="黑体" w:cs="黑体"/>
                <w:kern w:val="0"/>
                <w:sz w:val="24"/>
              </w:rPr>
              <w:t>类型</w:t>
            </w:r>
          </w:p>
        </w:tc>
        <w:tc>
          <w:tcPr>
            <w:tcW w:w="350"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B9EB549">
            <w:pPr>
              <w:widowControl/>
              <w:jc w:val="center"/>
              <w:textAlignment w:val="center"/>
              <w:rPr>
                <w:rFonts w:ascii="黑体" w:hAnsi="黑体" w:eastAsia="黑体" w:cs="黑体"/>
                <w:kern w:val="0"/>
                <w:sz w:val="24"/>
              </w:rPr>
            </w:pPr>
            <w:r>
              <w:rPr>
                <w:rFonts w:hint="eastAsia" w:ascii="黑体" w:hAnsi="黑体" w:eastAsia="黑体" w:cs="黑体"/>
                <w:kern w:val="0"/>
                <w:sz w:val="24"/>
              </w:rPr>
              <w:t>权力</w:t>
            </w:r>
          </w:p>
          <w:p w14:paraId="673694AF">
            <w:pPr>
              <w:widowControl/>
              <w:jc w:val="center"/>
              <w:textAlignment w:val="center"/>
              <w:rPr>
                <w:rFonts w:ascii="黑体" w:hAnsi="黑体" w:eastAsia="黑体" w:cs="黑体"/>
                <w:sz w:val="24"/>
              </w:rPr>
            </w:pPr>
            <w:r>
              <w:rPr>
                <w:rFonts w:hint="eastAsia" w:ascii="黑体" w:hAnsi="黑体" w:eastAsia="黑体" w:cs="黑体"/>
                <w:kern w:val="0"/>
                <w:sz w:val="24"/>
              </w:rPr>
              <w:t>事项</w:t>
            </w:r>
          </w:p>
        </w:tc>
        <w:tc>
          <w:tcPr>
            <w:tcW w:w="1028"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03B83152">
            <w:pPr>
              <w:widowControl/>
              <w:jc w:val="center"/>
              <w:textAlignment w:val="center"/>
              <w:rPr>
                <w:rFonts w:ascii="黑体" w:hAnsi="黑体" w:eastAsia="黑体" w:cs="黑体"/>
                <w:sz w:val="24"/>
              </w:rPr>
            </w:pPr>
            <w:r>
              <w:rPr>
                <w:rFonts w:hint="eastAsia" w:ascii="黑体" w:hAnsi="黑体" w:eastAsia="黑体" w:cs="黑体"/>
                <w:kern w:val="0"/>
                <w:sz w:val="24"/>
              </w:rPr>
              <w:t>实施依据</w:t>
            </w:r>
          </w:p>
        </w:tc>
        <w:tc>
          <w:tcPr>
            <w:tcW w:w="305"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A011036">
            <w:pPr>
              <w:widowControl/>
              <w:jc w:val="center"/>
              <w:textAlignment w:val="center"/>
              <w:rPr>
                <w:rFonts w:ascii="黑体" w:hAnsi="黑体" w:eastAsia="黑体" w:cs="黑体"/>
                <w:kern w:val="0"/>
                <w:sz w:val="24"/>
              </w:rPr>
            </w:pPr>
            <w:r>
              <w:rPr>
                <w:rFonts w:hint="eastAsia" w:ascii="黑体" w:hAnsi="黑体" w:eastAsia="黑体" w:cs="黑体"/>
                <w:kern w:val="0"/>
                <w:sz w:val="24"/>
              </w:rPr>
              <w:t>省级</w:t>
            </w:r>
          </w:p>
          <w:p w14:paraId="036D8B60">
            <w:pPr>
              <w:widowControl/>
              <w:jc w:val="center"/>
              <w:textAlignment w:val="center"/>
              <w:rPr>
                <w:rFonts w:ascii="黑体" w:hAnsi="黑体" w:eastAsia="黑体" w:cs="黑体"/>
                <w:sz w:val="24"/>
              </w:rPr>
            </w:pPr>
            <w:r>
              <w:rPr>
                <w:rFonts w:hint="eastAsia" w:ascii="黑体" w:hAnsi="黑体" w:eastAsia="黑体" w:cs="黑体"/>
                <w:kern w:val="0"/>
                <w:sz w:val="24"/>
              </w:rPr>
              <w:t>主管部门</w:t>
            </w:r>
          </w:p>
        </w:tc>
        <w:tc>
          <w:tcPr>
            <w:tcW w:w="29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7653E432">
            <w:pPr>
              <w:widowControl/>
              <w:jc w:val="center"/>
              <w:textAlignment w:val="center"/>
              <w:rPr>
                <w:rFonts w:ascii="黑体" w:hAnsi="黑体" w:eastAsia="黑体" w:cs="黑体"/>
                <w:kern w:val="0"/>
                <w:sz w:val="24"/>
              </w:rPr>
            </w:pPr>
            <w:r>
              <w:rPr>
                <w:rFonts w:hint="eastAsia" w:ascii="黑体" w:hAnsi="黑体" w:eastAsia="黑体" w:cs="黑体"/>
                <w:kern w:val="0"/>
                <w:sz w:val="24"/>
              </w:rPr>
              <w:t>实施</w:t>
            </w:r>
          </w:p>
          <w:p w14:paraId="42D8BA23">
            <w:pPr>
              <w:widowControl/>
              <w:jc w:val="center"/>
              <w:textAlignment w:val="center"/>
              <w:rPr>
                <w:rFonts w:ascii="黑体" w:hAnsi="黑体" w:eastAsia="黑体" w:cs="黑体"/>
                <w:sz w:val="24"/>
              </w:rPr>
            </w:pPr>
            <w:r>
              <w:rPr>
                <w:rFonts w:hint="eastAsia" w:ascii="黑体" w:hAnsi="黑体" w:eastAsia="黑体" w:cs="黑体"/>
                <w:kern w:val="0"/>
                <w:sz w:val="24"/>
              </w:rPr>
              <w:t>层级</w:t>
            </w:r>
          </w:p>
        </w:tc>
        <w:tc>
          <w:tcPr>
            <w:tcW w:w="1255" w:type="pct"/>
            <w:tcBorders>
              <w:top w:val="single" w:color="000000" w:sz="4" w:space="0"/>
              <w:left w:val="single" w:color="000000" w:sz="4" w:space="0"/>
              <w:bottom w:val="nil"/>
              <w:right w:val="single" w:color="000000" w:sz="4" w:space="0"/>
            </w:tcBorders>
            <w:shd w:val="clear" w:color="auto" w:fill="auto"/>
            <w:vAlign w:val="center"/>
          </w:tcPr>
          <w:p w14:paraId="173B053D">
            <w:pPr>
              <w:widowControl/>
              <w:jc w:val="center"/>
              <w:textAlignment w:val="center"/>
              <w:rPr>
                <w:rFonts w:ascii="黑体" w:hAnsi="黑体" w:eastAsia="黑体" w:cs="黑体"/>
                <w:sz w:val="24"/>
              </w:rPr>
            </w:pPr>
            <w:r>
              <w:rPr>
                <w:rFonts w:hint="eastAsia" w:ascii="黑体" w:hAnsi="黑体" w:eastAsia="黑体" w:cs="黑体"/>
                <w:kern w:val="0"/>
                <w:sz w:val="24"/>
              </w:rPr>
              <w:t>责任事项</w:t>
            </w:r>
          </w:p>
        </w:tc>
        <w:tc>
          <w:tcPr>
            <w:tcW w:w="1074" w:type="pct"/>
            <w:tcBorders>
              <w:top w:val="single" w:color="000000" w:sz="4" w:space="0"/>
              <w:left w:val="single" w:color="000000" w:sz="4" w:space="0"/>
              <w:bottom w:val="nil"/>
              <w:right w:val="single" w:color="000000" w:sz="4" w:space="0"/>
            </w:tcBorders>
            <w:shd w:val="clear" w:color="auto" w:fill="auto"/>
            <w:vAlign w:val="center"/>
          </w:tcPr>
          <w:p w14:paraId="6CCC1FCE">
            <w:pPr>
              <w:widowControl/>
              <w:jc w:val="center"/>
              <w:textAlignment w:val="center"/>
              <w:rPr>
                <w:rFonts w:ascii="黑体" w:hAnsi="黑体" w:eastAsia="黑体" w:cs="黑体"/>
                <w:sz w:val="24"/>
              </w:rPr>
            </w:pPr>
            <w:r>
              <w:rPr>
                <w:rFonts w:hint="eastAsia" w:ascii="黑体" w:hAnsi="黑体" w:eastAsia="黑体" w:cs="黑体"/>
                <w:kern w:val="0"/>
                <w:sz w:val="24"/>
              </w:rPr>
              <w:t>追责情形</w:t>
            </w:r>
          </w:p>
        </w:tc>
        <w:tc>
          <w:tcPr>
            <w:tcW w:w="167"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14:paraId="2E8409F3">
            <w:pPr>
              <w:widowControl/>
              <w:jc w:val="center"/>
              <w:textAlignment w:val="center"/>
              <w:rPr>
                <w:rFonts w:ascii="黑体" w:hAnsi="黑体" w:eastAsia="黑体" w:cs="黑体"/>
                <w:sz w:val="24"/>
              </w:rPr>
            </w:pPr>
            <w:r>
              <w:rPr>
                <w:rFonts w:hint="eastAsia" w:ascii="黑体" w:hAnsi="黑体" w:eastAsia="黑体" w:cs="黑体"/>
                <w:kern w:val="0"/>
                <w:sz w:val="24"/>
              </w:rPr>
              <w:t>备注</w:t>
            </w:r>
          </w:p>
        </w:tc>
      </w:tr>
      <w:tr w14:paraId="249DBBC0">
        <w:tblPrEx>
          <w:tblCellMar>
            <w:top w:w="0" w:type="dxa"/>
            <w:left w:w="108" w:type="dxa"/>
            <w:bottom w:w="0" w:type="dxa"/>
            <w:right w:w="108" w:type="dxa"/>
          </w:tblCellMar>
        </w:tblPrEx>
        <w:trPr>
          <w:trHeight w:val="6667" w:hRule="atLeast"/>
        </w:trPr>
        <w:tc>
          <w:tcPr>
            <w:tcW w:w="2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547409">
            <w:pPr>
              <w:widowControl/>
              <w:spacing w:line="240" w:lineRule="exact"/>
              <w:jc w:val="center"/>
              <w:textAlignment w:val="center"/>
              <w:rPr>
                <w:rFonts w:ascii="仿宋_GB2312" w:hAnsi="仿宋_GB2312" w:eastAsia="仿宋_GB2312" w:cs="仿宋_GB2312"/>
                <w:sz w:val="20"/>
                <w:szCs w:val="20"/>
              </w:rPr>
            </w:pPr>
            <w:r>
              <w:rPr>
                <w:rFonts w:ascii="仿宋_GB2312" w:hAnsi="仿宋_GB2312" w:eastAsia="仿宋_GB2312" w:cs="仿宋_GB2312"/>
                <w:kern w:val="0"/>
                <w:sz w:val="20"/>
                <w:szCs w:val="20"/>
              </w:rPr>
              <w:t>318</w:t>
            </w:r>
          </w:p>
        </w:tc>
        <w:tc>
          <w:tcPr>
            <w:tcW w:w="260"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69680BAA">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20"/>
                <w:szCs w:val="20"/>
              </w:rPr>
              <w:t>行政处罚</w:t>
            </w:r>
          </w:p>
        </w:tc>
        <w:tc>
          <w:tcPr>
            <w:tcW w:w="3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DB97B">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对干扰或者阻挠测量标志建设单位依法使用土地或者在建筑物上建设永久性测量标志的处罚</w:t>
            </w:r>
          </w:p>
        </w:tc>
        <w:tc>
          <w:tcPr>
            <w:tcW w:w="10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EBE4A">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测量标志保护条例》（2011年1月8日修订）第二十三条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14:paraId="46248D08">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(一)干扰或者阻挠测量标志建设单位依法使用土地或者在建筑物上建设永久性测量标志的;</w:t>
            </w:r>
          </w:p>
          <w:p w14:paraId="7DE66B3A">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(二)工程建设单位未经批准擅自拆迁永久性测量标志或者使永久性测量标志失去使用效能的,或者拒绝按照国家有关规定支付迁建费用的;</w:t>
            </w:r>
          </w:p>
          <w:p w14:paraId="1AC9DCD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(三)违反测绘操作规程进行测绘,使永久性测量标志受到损坏的;</w:t>
            </w:r>
          </w:p>
          <w:p w14:paraId="323675EC">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sz w:val="20"/>
                <w:szCs w:val="20"/>
              </w:rPr>
              <w:t>(四)无证使用永久性测量标志并且拒绝县级以上人民政府管理测绘工作的部门监督和负责保管测量标志的单位和人员查询的。</w:t>
            </w:r>
          </w:p>
        </w:tc>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82F94">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省自然资源厅</w:t>
            </w:r>
          </w:p>
        </w:tc>
        <w:tc>
          <w:tcPr>
            <w:tcW w:w="296"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02613BB7">
            <w:pPr>
              <w:widowControl/>
              <w:spacing w:line="240" w:lineRule="exact"/>
              <w:jc w:val="center"/>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市级、县级</w:t>
            </w:r>
          </w:p>
        </w:tc>
        <w:tc>
          <w:tcPr>
            <w:tcW w:w="12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D9BA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14:paraId="038E00E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14:paraId="78A2794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14:paraId="67EE76E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14:paraId="177203A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14:paraId="16F3C02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6.送达责任：行政处罚决定书按法律规定的方式送达当事人。</w:t>
            </w:r>
          </w:p>
          <w:p w14:paraId="78F42FE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7.执行责任：当事人未按期履行行政处罚的，依法申请法院强制执行。</w:t>
            </w:r>
          </w:p>
          <w:p w14:paraId="0C916A82">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8.其他法律法规规章文件规定应履行的责任。</w:t>
            </w:r>
          </w:p>
        </w:tc>
        <w:tc>
          <w:tcPr>
            <w:tcW w:w="10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CE92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14:paraId="2B39EA9B">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1.没有法律和事实依据实施行政处罚的；</w:t>
            </w:r>
          </w:p>
          <w:p w14:paraId="73FA0588">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2.擅自改变行政处罚种类、幅度的；</w:t>
            </w:r>
          </w:p>
          <w:p w14:paraId="64CC9FCC">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3.违反法定程序进行行政处罚的；</w:t>
            </w:r>
          </w:p>
          <w:p w14:paraId="2CB9E2BE">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4.违反委托处罚规定的；</w:t>
            </w:r>
          </w:p>
          <w:p w14:paraId="3E69A33D">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5.对违法行为未依法制止的；</w:t>
            </w:r>
          </w:p>
          <w:p w14:paraId="5DFC5895">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6.应当依法立案查处，无正当理由未依法立案查处的；</w:t>
            </w:r>
          </w:p>
          <w:p w14:paraId="25C9203A">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14:paraId="454F0EE2">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8.符合听证条件、行政管理相对人要求听证，应予组织听证而不组织听证的；</w:t>
            </w:r>
          </w:p>
          <w:p w14:paraId="204B86C0">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9.应当依法进行行政处罚而未依法处罚的；</w:t>
            </w:r>
          </w:p>
          <w:p w14:paraId="5F4EF734">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10.应当依法移送追究刑事责任，而未依法移送有权机关的；</w:t>
            </w:r>
          </w:p>
          <w:p w14:paraId="238B64D9">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11.在行政处罚过程中发生腐败行为的；</w:t>
            </w:r>
          </w:p>
          <w:p w14:paraId="31BBB165">
            <w:pPr>
              <w:widowControl/>
              <w:spacing w:line="240" w:lineRule="exact"/>
              <w:jc w:val="left"/>
              <w:textAlignment w:val="center"/>
              <w:rPr>
                <w:rFonts w:ascii="仿宋_GB2312" w:hAnsi="仿宋_GB2312" w:eastAsia="仿宋_GB2312" w:cs="仿宋_GB2312"/>
                <w:sz w:val="20"/>
                <w:szCs w:val="20"/>
              </w:rPr>
            </w:pPr>
            <w:r>
              <w:rPr>
                <w:rFonts w:hint="eastAsia" w:ascii="仿宋_GB2312" w:hAnsi="仿宋_GB2312" w:eastAsia="仿宋_GB2312" w:cs="仿宋_GB2312"/>
                <w:kern w:val="0"/>
                <w:sz w:val="18"/>
                <w:szCs w:val="18"/>
              </w:rPr>
              <w:t>12.其他违反法律法规规章文件规定的行为。</w:t>
            </w:r>
          </w:p>
        </w:tc>
        <w:tc>
          <w:tcPr>
            <w:tcW w:w="1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DFA67">
            <w:pPr>
              <w:spacing w:line="240" w:lineRule="exact"/>
              <w:jc w:val="left"/>
              <w:rPr>
                <w:rFonts w:ascii="仿宋_GB2312" w:hAnsi="仿宋_GB2312" w:eastAsia="仿宋_GB2312" w:cs="仿宋_GB2312"/>
                <w:sz w:val="20"/>
                <w:szCs w:val="20"/>
              </w:rPr>
            </w:pPr>
          </w:p>
        </w:tc>
      </w:tr>
    </w:tbl>
    <w:p w14:paraId="363B287A"/>
    <w:p w14:paraId="3991F03E"/>
    <w:sectPr>
      <w:pgSz w:w="16839" w:h="11907" w:orient="landscape"/>
      <w:pgMar w:top="567" w:right="1440" w:bottom="567"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5A3"/>
    <w:rsid w:val="000B2B24"/>
    <w:rsid w:val="00106944"/>
    <w:rsid w:val="001B2D33"/>
    <w:rsid w:val="002235A3"/>
    <w:rsid w:val="0025347A"/>
    <w:rsid w:val="00557DE2"/>
    <w:rsid w:val="00621D1E"/>
    <w:rsid w:val="007A4B65"/>
    <w:rsid w:val="008336FE"/>
    <w:rsid w:val="008E2457"/>
    <w:rsid w:val="009D280C"/>
    <w:rsid w:val="00A3472D"/>
    <w:rsid w:val="00A468D4"/>
    <w:rsid w:val="00C94AEB"/>
    <w:rsid w:val="00CB6E5F"/>
    <w:rsid w:val="00D968B5"/>
    <w:rsid w:val="00DF63F9"/>
    <w:rsid w:val="00E91F5D"/>
    <w:rsid w:val="637A0DD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qFormat="1" w:unhideWhenUsed="0" w:uiPriority="0"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footer"/>
    <w:basedOn w:val="1"/>
    <w:link w:val="15"/>
    <w:unhideWhenUsed/>
    <w:uiPriority w:val="99"/>
    <w:pPr>
      <w:tabs>
        <w:tab w:val="center" w:pos="4153"/>
        <w:tab w:val="right" w:pos="8306"/>
      </w:tabs>
      <w:snapToGrid w:val="0"/>
      <w:jc w:val="left"/>
    </w:pPr>
    <w:rPr>
      <w:sz w:val="18"/>
      <w:szCs w:val="18"/>
    </w:rPr>
  </w:style>
  <w:style w:type="paragraph" w:styleId="6">
    <w:name w:val="header"/>
    <w:basedOn w:val="1"/>
    <w:link w:val="14"/>
    <w:unhideWhenUsed/>
    <w:uiPriority w:val="99"/>
    <w:pPr>
      <w:pBdr>
        <w:bottom w:val="single" w:color="auto" w:sz="6" w:space="1"/>
      </w:pBdr>
      <w:tabs>
        <w:tab w:val="center" w:pos="4153"/>
        <w:tab w:val="right" w:pos="8306"/>
      </w:tabs>
      <w:snapToGrid w:val="0"/>
      <w:jc w:val="center"/>
    </w:pPr>
    <w:rPr>
      <w:sz w:val="18"/>
      <w:szCs w:val="18"/>
    </w:rPr>
  </w:style>
  <w:style w:type="paragraph" w:styleId="7">
    <w:name w:val="table of figures"/>
    <w:basedOn w:val="1"/>
    <w:next w:val="1"/>
    <w:qFormat/>
    <w:uiPriority w:val="0"/>
    <w:pPr>
      <w:ind w:left="400" w:leftChars="200" w:hanging="200" w:hangingChars="200"/>
    </w:pPr>
  </w:style>
  <w:style w:type="paragraph" w:styleId="8">
    <w:name w:val="Normal (Web)"/>
    <w:basedOn w:val="1"/>
    <w:semiHidden/>
    <w:unhideWhenUsed/>
    <w:uiPriority w:val="99"/>
    <w:pPr>
      <w:widowControl/>
      <w:spacing w:before="100" w:beforeAutospacing="1" w:after="100" w:afterAutospacing="1"/>
      <w:jc w:val="left"/>
    </w:pPr>
    <w:rPr>
      <w:rFonts w:ascii="宋体" w:hAnsi="宋体" w:cs="宋体"/>
      <w:kern w:val="0"/>
      <w:sz w:val="24"/>
    </w:rPr>
  </w:style>
  <w:style w:type="character" w:customStyle="1" w:styleId="11">
    <w:name w:val="标题 1 Char"/>
    <w:basedOn w:val="10"/>
    <w:link w:val="2"/>
    <w:uiPriority w:val="0"/>
    <w:rPr>
      <w:rFonts w:ascii="Calibri" w:hAnsi="Calibri" w:eastAsia="宋体" w:cs="Arial"/>
      <w:b/>
      <w:bCs/>
      <w:kern w:val="44"/>
      <w:sz w:val="44"/>
      <w:szCs w:val="44"/>
      <w:lang w:val="en-US" w:eastAsia="zh-CN" w:bidi="ar-SA"/>
    </w:rPr>
  </w:style>
  <w:style w:type="character" w:customStyle="1" w:styleId="12">
    <w:name w:val="标题 2 Char"/>
    <w:basedOn w:val="10"/>
    <w:link w:val="3"/>
    <w:uiPriority w:val="0"/>
    <w:rPr>
      <w:rFonts w:ascii="Times New Roman" w:hAnsi="Calibri" w:eastAsia="黑体" w:cs="Arial"/>
      <w:b/>
      <w:bCs/>
      <w:kern w:val="2"/>
      <w:sz w:val="32"/>
      <w:szCs w:val="32"/>
      <w:lang w:val="en-US" w:eastAsia="zh-CN" w:bidi="ar-SA"/>
    </w:rPr>
  </w:style>
  <w:style w:type="character" w:customStyle="1" w:styleId="13">
    <w:name w:val="标题 3 Char"/>
    <w:basedOn w:val="10"/>
    <w:link w:val="4"/>
    <w:uiPriority w:val="0"/>
    <w:rPr>
      <w:rFonts w:ascii="Calibri" w:hAnsi="Calibri" w:eastAsia="宋体" w:cs="Arial"/>
      <w:b/>
      <w:bCs/>
      <w:kern w:val="2"/>
      <w:sz w:val="32"/>
      <w:szCs w:val="32"/>
      <w:lang w:val="en-US" w:eastAsia="zh-CN" w:bidi="ar-SA"/>
    </w:rPr>
  </w:style>
  <w:style w:type="character" w:customStyle="1" w:styleId="14">
    <w:name w:val="页眉 Char"/>
    <w:basedOn w:val="10"/>
    <w:link w:val="6"/>
    <w:uiPriority w:val="99"/>
    <w:rPr>
      <w:rFonts w:ascii="Calibri" w:hAnsi="Calibri"/>
      <w:kern w:val="2"/>
      <w:sz w:val="18"/>
      <w:szCs w:val="18"/>
    </w:rPr>
  </w:style>
  <w:style w:type="character" w:customStyle="1" w:styleId="15">
    <w:name w:val="页脚 Char"/>
    <w:basedOn w:val="10"/>
    <w:link w:val="5"/>
    <w:uiPriority w:val="99"/>
    <w:rPr>
      <w:rFonts w:ascii="Calibri" w:hAnsi="Calibr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1 0 1 0 0 0 3000 0 1 1 1 1"/>
    <sectPr/>
  </customProps>
</customData>
</file>

<file path=customXml/itemProps1.xml><?xml version="1.0" encoding="utf-8"?>
<ds:datastoreItem xmlns:ds="http://schemas.openxmlformats.org/officeDocument/2006/customXml" ds:itemID="{1C9DB261-52F3-4830-A8F5-6BD447B8CB83}">
  <ds:schemaRefs/>
</ds:datastoreItem>
</file>

<file path=docProps/app.xml><?xml version="1.0" encoding="utf-8"?>
<Properties xmlns="http://schemas.openxmlformats.org/officeDocument/2006/extended-properties" xmlns:vt="http://schemas.openxmlformats.org/officeDocument/2006/docPropsVTypes">
  <Template>Normal</Template>
  <Pages>28</Pages>
  <Words>4613</Words>
  <Characters>26300</Characters>
  <Lines>219</Lines>
  <Paragraphs>61</Paragraphs>
  <TotalTime>63</TotalTime>
  <ScaleCrop>false</ScaleCrop>
  <LinksUpToDate>false</LinksUpToDate>
  <CharactersWithSpaces>30852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2025-07-28T08:10:00Z</dcterms:created>
  <dc:creator>Administrator</dc:creator>
  <cp:lastModifiedBy>LYQ</cp:lastModifiedBy>
  <dcterms:modified xsi:type="dcterms:W3CDTF">2026-03-06T05:45:00Z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92FF6A09C9844C7DA38F5D4F3AB2AD83_13</vt:lpwstr>
  </property>
</Properties>
</file>