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B395AB">
      <w:pPr>
        <w:pStyle w:val="21"/>
        <w:spacing w:line="240" w:lineRule="auto"/>
        <w:ind w:firstLine="0" w:firstLineChars="0"/>
        <w:jc w:val="center"/>
        <w:outlineLvl w:val="0"/>
        <w:rPr>
          <w:rFonts w:ascii="黑体" w:hAnsi="黑体" w:eastAsia="黑体"/>
          <w:snapToGrid w:val="0"/>
          <w:sz w:val="30"/>
          <w:szCs w:val="30"/>
        </w:rPr>
      </w:pPr>
      <w:bookmarkStart w:id="0" w:name="_Toc7855"/>
    </w:p>
    <w:p w14:paraId="11E7F34C">
      <w:pPr>
        <w:pStyle w:val="21"/>
        <w:spacing w:line="240" w:lineRule="auto"/>
        <w:ind w:firstLine="0" w:firstLineChars="0"/>
        <w:jc w:val="center"/>
        <w:outlineLvl w:val="0"/>
        <w:rPr>
          <w:rFonts w:ascii="黑体" w:hAnsi="黑体" w:eastAsia="黑体"/>
          <w:snapToGrid w:val="0"/>
          <w:sz w:val="30"/>
          <w:szCs w:val="30"/>
        </w:rPr>
        <w:sectPr>
          <w:headerReference r:id="rId7" w:type="first"/>
          <w:footerReference r:id="rId10" w:type="first"/>
          <w:headerReference r:id="rId5" w:type="default"/>
          <w:footerReference r:id="rId8" w:type="default"/>
          <w:headerReference r:id="rId6" w:type="even"/>
          <w:footerReference r:id="rId9" w:type="even"/>
          <w:pgSz w:w="11906" w:h="16838"/>
          <w:pgMar w:top="1134" w:right="1418" w:bottom="1134" w:left="1418" w:header="851" w:footer="1077" w:gutter="0"/>
          <w:pgNumType w:fmt="numberInDash" w:start="1"/>
          <w:cols w:space="720" w:num="1"/>
          <w:docGrid w:linePitch="312" w:charSpace="0"/>
        </w:sectPr>
      </w:pPr>
      <w:r>
        <w:rPr>
          <w:rFonts w:ascii="黑体" w:hAnsi="黑体" w:eastAsia="黑体"/>
          <w:sz w:val="30"/>
          <w:szCs w:val="30"/>
        </w:rPr>
        <w:drawing>
          <wp:inline distT="0" distB="0" distL="0" distR="0">
            <wp:extent cx="5759450" cy="8143240"/>
            <wp:effectExtent l="19050" t="0" r="0" b="0"/>
            <wp:docPr id="8" name="图片 1" descr="F:\WeChat Files\wxid_eq24b7568ro22\FileStorage\Temp\5cd792674a11772f9ecccf80be579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descr="F:\WeChat Files\wxid_eq24b7568ro22\FileStorage\Temp\5cd792674a11772f9ecccf80be579e6.jpg"/>
                    <pic:cNvPicPr>
                      <a:picLocks noChangeAspect="1" noChangeArrowheads="1"/>
                    </pic:cNvPicPr>
                  </pic:nvPicPr>
                  <pic:blipFill>
                    <a:blip r:embed="rId14" cstate="print"/>
                    <a:srcRect/>
                    <a:stretch>
                      <a:fillRect/>
                    </a:stretch>
                  </pic:blipFill>
                  <pic:spPr>
                    <a:xfrm>
                      <a:off x="0" y="0"/>
                      <a:ext cx="5759450" cy="8143341"/>
                    </a:xfrm>
                    <a:prstGeom prst="rect">
                      <a:avLst/>
                    </a:prstGeom>
                    <a:noFill/>
                    <a:ln w="9525">
                      <a:noFill/>
                      <a:miter lim="800000"/>
                      <a:headEnd/>
                      <a:tailEnd/>
                    </a:ln>
                  </pic:spPr>
                </pic:pic>
              </a:graphicData>
            </a:graphic>
          </wp:inline>
        </w:drawing>
      </w:r>
    </w:p>
    <w:p w14:paraId="56104DC9">
      <w:pPr>
        <w:ind w:firstLine="602"/>
        <w:jc w:val="center"/>
        <w:rPr>
          <w:rFonts w:ascii="Cambria" w:hAnsi="Cambria" w:eastAsia="Cambria"/>
          <w:b/>
          <w:bCs/>
          <w:sz w:val="30"/>
          <w:szCs w:val="30"/>
        </w:rPr>
      </w:pPr>
      <w:r>
        <w:rPr>
          <w:rFonts w:hint="eastAsia" w:ascii="Cambria" w:hAnsi="Cambria" w:eastAsia="Cambria"/>
          <w:b/>
          <w:bCs/>
          <w:sz w:val="30"/>
          <w:szCs w:val="30"/>
        </w:rPr>
        <w:t>目录</w:t>
      </w:r>
    </w:p>
    <w:p w14:paraId="3FD8A9B4">
      <w:pPr>
        <w:spacing w:line="440" w:lineRule="exact"/>
        <w:ind w:firstLine="480"/>
        <w:rPr>
          <w:rFonts w:eastAsia="黑体"/>
          <w:kern w:val="0"/>
          <w:sz w:val="24"/>
        </w:rPr>
      </w:pPr>
      <w:r>
        <w:rPr>
          <w:rFonts w:eastAsia="黑体"/>
          <w:kern w:val="0"/>
          <w:sz w:val="24"/>
        </w:rPr>
        <w:t>1</w:t>
      </w:r>
      <w:r>
        <w:rPr>
          <w:rFonts w:hAnsi="黑体" w:eastAsia="黑体"/>
          <w:kern w:val="0"/>
          <w:sz w:val="24"/>
        </w:rPr>
        <w:t>、编制单位和编制人员情况表</w:t>
      </w:r>
    </w:p>
    <w:p w14:paraId="29AE9830">
      <w:pPr>
        <w:adjustRightInd w:val="0"/>
        <w:snapToGrid w:val="0"/>
        <w:spacing w:line="440" w:lineRule="exact"/>
        <w:ind w:firstLine="480"/>
        <w:rPr>
          <w:rFonts w:eastAsia="黑体"/>
          <w:snapToGrid w:val="0"/>
          <w:kern w:val="0"/>
          <w:sz w:val="24"/>
        </w:rPr>
      </w:pPr>
      <w:r>
        <w:rPr>
          <w:rFonts w:eastAsia="黑体"/>
          <w:snapToGrid w:val="0"/>
          <w:kern w:val="0"/>
          <w:sz w:val="24"/>
        </w:rPr>
        <w:t>2</w:t>
      </w:r>
      <w:r>
        <w:rPr>
          <w:rFonts w:hAnsi="黑体" w:eastAsia="黑体"/>
          <w:snapToGrid w:val="0"/>
          <w:kern w:val="0"/>
          <w:sz w:val="24"/>
        </w:rPr>
        <w:t>、正文</w:t>
      </w:r>
    </w:p>
    <w:p w14:paraId="6A3D6602">
      <w:pPr>
        <w:pStyle w:val="19"/>
        <w:tabs>
          <w:tab w:val="right" w:leader="dot" w:pos="8302"/>
        </w:tabs>
        <w:spacing w:line="440" w:lineRule="exact"/>
        <w:ind w:firstLine="315" w:firstLineChars="150"/>
        <w:rPr>
          <w:rFonts w:ascii="Times New Roman"/>
        </w:rPr>
      </w:pPr>
      <w:r>
        <w:fldChar w:fldCharType="begin"/>
      </w:r>
      <w:r>
        <w:instrText xml:space="preserve"> HYPERLINK \l "_Toc109221605" </w:instrText>
      </w:r>
      <w:r>
        <w:fldChar w:fldCharType="separate"/>
      </w:r>
      <w:r>
        <w:rPr>
          <w:rFonts w:ascii="Times New Roman"/>
        </w:rPr>
        <w:t>一、建设项目基本情况</w:t>
      </w:r>
      <w:r>
        <w:rPr>
          <w:rFonts w:ascii="Times New Roman"/>
        </w:rPr>
        <w:tab/>
      </w:r>
      <w:r>
        <w:rPr>
          <w:rFonts w:ascii="Times New Roman"/>
        </w:rPr>
        <w:t>1</w:t>
      </w:r>
      <w:r>
        <w:rPr>
          <w:rFonts w:ascii="Times New Roman"/>
        </w:rPr>
        <w:fldChar w:fldCharType="end"/>
      </w:r>
    </w:p>
    <w:p w14:paraId="0D34A3D8">
      <w:pPr>
        <w:pStyle w:val="19"/>
        <w:tabs>
          <w:tab w:val="right" w:leader="dot" w:pos="8302"/>
        </w:tabs>
        <w:spacing w:line="440" w:lineRule="exact"/>
        <w:ind w:firstLine="315" w:firstLineChars="150"/>
        <w:rPr>
          <w:rFonts w:ascii="Times New Roman"/>
        </w:rPr>
      </w:pPr>
      <w:r>
        <w:rPr>
          <w:rFonts w:ascii="Times New Roman"/>
        </w:rPr>
        <w:t>二、建设项目工程分析</w:t>
      </w:r>
      <w:r>
        <w:rPr>
          <w:rFonts w:ascii="Times New Roman"/>
        </w:rPr>
        <w:tab/>
      </w:r>
      <w:r>
        <w:rPr>
          <w:rFonts w:hint="eastAsia" w:ascii="Times New Roman"/>
        </w:rPr>
        <w:t>9</w:t>
      </w:r>
    </w:p>
    <w:p w14:paraId="31218460">
      <w:pPr>
        <w:pStyle w:val="19"/>
        <w:tabs>
          <w:tab w:val="right" w:leader="dot" w:pos="8302"/>
        </w:tabs>
        <w:spacing w:line="440" w:lineRule="exact"/>
        <w:ind w:firstLine="315" w:firstLineChars="150"/>
        <w:rPr>
          <w:rFonts w:ascii="Times New Roman"/>
        </w:rPr>
      </w:pPr>
      <w:r>
        <w:fldChar w:fldCharType="begin"/>
      </w:r>
      <w:r>
        <w:instrText xml:space="preserve"> HYPERLINK \l "_Toc109221607" </w:instrText>
      </w:r>
      <w:r>
        <w:fldChar w:fldCharType="separate"/>
      </w:r>
      <w:r>
        <w:rPr>
          <w:rFonts w:ascii="Times New Roman"/>
        </w:rPr>
        <w:t>三、区域环境质量现状、环境保护目标及评价标准</w:t>
      </w:r>
      <w:r>
        <w:rPr>
          <w:rFonts w:ascii="Times New Roman"/>
        </w:rPr>
        <w:tab/>
      </w:r>
      <w:r>
        <w:rPr>
          <w:rFonts w:hint="eastAsia" w:ascii="Times New Roman"/>
        </w:rPr>
        <w:t>29</w:t>
      </w:r>
      <w:r>
        <w:rPr>
          <w:rFonts w:hint="eastAsia" w:ascii="Times New Roman"/>
        </w:rPr>
        <w:fldChar w:fldCharType="end"/>
      </w:r>
    </w:p>
    <w:p w14:paraId="0FA98A11">
      <w:pPr>
        <w:pStyle w:val="19"/>
        <w:tabs>
          <w:tab w:val="right" w:leader="dot" w:pos="8302"/>
        </w:tabs>
        <w:spacing w:line="440" w:lineRule="exact"/>
        <w:ind w:firstLine="315" w:firstLineChars="150"/>
        <w:rPr>
          <w:rFonts w:ascii="Times New Roman"/>
        </w:rPr>
      </w:pPr>
      <w:r>
        <w:fldChar w:fldCharType="begin"/>
      </w:r>
      <w:r>
        <w:instrText xml:space="preserve"> HYPERLINK \l "_Toc109221608" </w:instrText>
      </w:r>
      <w:r>
        <w:fldChar w:fldCharType="separate"/>
      </w:r>
      <w:r>
        <w:rPr>
          <w:rFonts w:ascii="Times New Roman"/>
        </w:rPr>
        <w:t>四、主要环境影响和保护措施</w:t>
      </w:r>
      <w:r>
        <w:rPr>
          <w:rFonts w:ascii="Times New Roman"/>
        </w:rPr>
        <w:tab/>
      </w:r>
      <w:r>
        <w:rPr>
          <w:rFonts w:hint="eastAsia" w:ascii="Times New Roman"/>
        </w:rPr>
        <w:t>3</w:t>
      </w:r>
      <w:r>
        <w:rPr>
          <w:rFonts w:hint="eastAsia" w:ascii="Times New Roman"/>
        </w:rPr>
        <w:fldChar w:fldCharType="end"/>
      </w:r>
      <w:r>
        <w:rPr>
          <w:rFonts w:hint="eastAsia" w:ascii="Times New Roman"/>
        </w:rPr>
        <w:t>4</w:t>
      </w:r>
    </w:p>
    <w:p w14:paraId="2DC0CC22">
      <w:pPr>
        <w:pStyle w:val="19"/>
        <w:tabs>
          <w:tab w:val="right" w:leader="dot" w:pos="8302"/>
        </w:tabs>
        <w:spacing w:line="440" w:lineRule="exact"/>
        <w:ind w:firstLine="315" w:firstLineChars="150"/>
        <w:rPr>
          <w:rFonts w:ascii="Times New Roman"/>
        </w:rPr>
      </w:pPr>
      <w:r>
        <w:fldChar w:fldCharType="begin"/>
      </w:r>
      <w:r>
        <w:instrText xml:space="preserve"> HYPERLINK \l "_Toc109221609" </w:instrText>
      </w:r>
      <w:r>
        <w:fldChar w:fldCharType="separate"/>
      </w:r>
      <w:r>
        <w:rPr>
          <w:rFonts w:ascii="Times New Roman"/>
        </w:rPr>
        <w:t>五、环境保护措施监督检查清单</w:t>
      </w:r>
      <w:r>
        <w:rPr>
          <w:rFonts w:ascii="Times New Roman"/>
        </w:rPr>
        <w:tab/>
      </w:r>
      <w:r>
        <w:rPr>
          <w:rFonts w:hint="eastAsia" w:ascii="Times New Roman"/>
        </w:rPr>
        <w:t>56</w:t>
      </w:r>
      <w:r>
        <w:rPr>
          <w:rFonts w:hint="eastAsia" w:ascii="Times New Roman"/>
        </w:rPr>
        <w:fldChar w:fldCharType="end"/>
      </w:r>
    </w:p>
    <w:p w14:paraId="499EA27A">
      <w:pPr>
        <w:pStyle w:val="19"/>
        <w:tabs>
          <w:tab w:val="right" w:leader="dot" w:pos="8302"/>
        </w:tabs>
        <w:spacing w:line="440" w:lineRule="exact"/>
        <w:ind w:firstLine="315" w:firstLineChars="150"/>
        <w:rPr>
          <w:rFonts w:ascii="Times New Roman"/>
        </w:rPr>
      </w:pPr>
      <w:r>
        <w:fldChar w:fldCharType="begin"/>
      </w:r>
      <w:r>
        <w:instrText xml:space="preserve"> HYPERLINK \l "_Toc109221620" </w:instrText>
      </w:r>
      <w:r>
        <w:fldChar w:fldCharType="separate"/>
      </w:r>
      <w:r>
        <w:rPr>
          <w:rFonts w:ascii="Times New Roman"/>
        </w:rPr>
        <w:t>六、结论</w:t>
      </w:r>
      <w:r>
        <w:rPr>
          <w:rFonts w:ascii="Times New Roman"/>
        </w:rPr>
        <w:tab/>
      </w:r>
      <w:r>
        <w:rPr>
          <w:rFonts w:hint="eastAsia" w:ascii="Times New Roman"/>
        </w:rPr>
        <w:t>5</w:t>
      </w:r>
      <w:r>
        <w:rPr>
          <w:rFonts w:hint="eastAsia" w:ascii="Times New Roman"/>
        </w:rPr>
        <w:fldChar w:fldCharType="end"/>
      </w:r>
      <w:r>
        <w:rPr>
          <w:rFonts w:hint="eastAsia" w:ascii="Times New Roman"/>
        </w:rPr>
        <w:t>8</w:t>
      </w:r>
    </w:p>
    <w:p w14:paraId="0DCB84CC">
      <w:pPr>
        <w:spacing w:line="440" w:lineRule="exact"/>
        <w:ind w:firstLine="480"/>
        <w:rPr>
          <w:rFonts w:eastAsia="黑体"/>
          <w:kern w:val="0"/>
          <w:sz w:val="24"/>
        </w:rPr>
      </w:pPr>
      <w:r>
        <w:rPr>
          <w:rFonts w:eastAsia="黑体"/>
          <w:kern w:val="0"/>
          <w:sz w:val="24"/>
        </w:rPr>
        <w:t>3</w:t>
      </w:r>
      <w:r>
        <w:rPr>
          <w:rFonts w:hAnsi="黑体" w:eastAsia="黑体"/>
          <w:kern w:val="0"/>
          <w:sz w:val="24"/>
        </w:rPr>
        <w:t>、附表</w:t>
      </w:r>
    </w:p>
    <w:p w14:paraId="5F31218C">
      <w:pPr>
        <w:spacing w:line="440" w:lineRule="exact"/>
        <w:ind w:firstLine="480"/>
        <w:rPr>
          <w:rFonts w:eastAsia="黑体"/>
          <w:sz w:val="24"/>
        </w:rPr>
      </w:pPr>
      <w:r>
        <w:rPr>
          <w:rFonts w:hAnsi="黑体" w:eastAsia="黑体"/>
          <w:sz w:val="24"/>
        </w:rPr>
        <w:t>建设项目污染物排放量汇总表</w:t>
      </w:r>
    </w:p>
    <w:p w14:paraId="6DCC1F81">
      <w:pPr>
        <w:spacing w:line="440" w:lineRule="exact"/>
        <w:ind w:firstLine="480"/>
        <w:rPr>
          <w:rFonts w:eastAsia="黑体"/>
          <w:kern w:val="0"/>
          <w:sz w:val="24"/>
        </w:rPr>
      </w:pPr>
      <w:r>
        <w:rPr>
          <w:rFonts w:eastAsia="黑体"/>
          <w:kern w:val="0"/>
          <w:sz w:val="24"/>
        </w:rPr>
        <w:t>4、附图、附件及承诺等</w:t>
      </w:r>
    </w:p>
    <w:p w14:paraId="2F0E9B53">
      <w:pPr>
        <w:pStyle w:val="21"/>
        <w:spacing w:line="240" w:lineRule="auto"/>
        <w:ind w:firstLine="0" w:firstLineChars="0"/>
        <w:jc w:val="center"/>
        <w:outlineLvl w:val="0"/>
        <w:rPr>
          <w:rFonts w:ascii="黑体" w:hAnsi="黑体" w:eastAsia="黑体"/>
          <w:snapToGrid w:val="0"/>
          <w:sz w:val="30"/>
          <w:szCs w:val="30"/>
        </w:rPr>
        <w:sectPr>
          <w:pgSz w:w="11906" w:h="16838"/>
          <w:pgMar w:top="1134" w:right="1418" w:bottom="1134" w:left="1418" w:header="851" w:footer="1077" w:gutter="0"/>
          <w:pgNumType w:fmt="numberInDash" w:start="1"/>
          <w:cols w:space="720" w:num="1"/>
          <w:docGrid w:linePitch="312" w:charSpace="0"/>
        </w:sectPr>
      </w:pPr>
      <w:r>
        <w:rPr>
          <w:rFonts w:ascii="黑体" w:hAnsi="黑体" w:eastAsia="黑体"/>
          <w:sz w:val="30"/>
          <w:szCs w:val="30"/>
        </w:rPr>
        <w:drawing>
          <wp:inline distT="0" distB="0" distL="0" distR="0">
            <wp:extent cx="6076950" cy="8599805"/>
            <wp:effectExtent l="19050" t="0" r="0" b="0"/>
            <wp:docPr id="7" name="图片 2" descr="E:\赵阳项目\环评\10天马食品厂\承诺书等盖章文件\盖完章文件\导出资质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descr="E:\赵阳项目\环评\10天马食品厂\承诺书等盖章文件\盖完章文件\导出资质页.jpg"/>
                    <pic:cNvPicPr>
                      <a:picLocks noChangeAspect="1" noChangeArrowheads="1"/>
                    </pic:cNvPicPr>
                  </pic:nvPicPr>
                  <pic:blipFill>
                    <a:blip r:embed="rId15"/>
                    <a:srcRect/>
                    <a:stretch>
                      <a:fillRect/>
                    </a:stretch>
                  </pic:blipFill>
                  <pic:spPr>
                    <a:xfrm>
                      <a:off x="0" y="0"/>
                      <a:ext cx="6078908" cy="8602677"/>
                    </a:xfrm>
                    <a:prstGeom prst="rect">
                      <a:avLst/>
                    </a:prstGeom>
                    <a:noFill/>
                    <a:ln w="9525">
                      <a:noFill/>
                      <a:miter lim="800000"/>
                      <a:headEnd/>
                      <a:tailEnd/>
                    </a:ln>
                  </pic:spPr>
                </pic:pic>
              </a:graphicData>
            </a:graphic>
          </wp:inline>
        </w:drawing>
      </w:r>
    </w:p>
    <w:p w14:paraId="3EC32C71">
      <w:pPr>
        <w:pStyle w:val="21"/>
        <w:jc w:val="center"/>
        <w:outlineLvl w:val="0"/>
        <w:rPr>
          <w:rFonts w:ascii="黑体" w:hAnsi="黑体" w:eastAsia="黑体"/>
          <w:snapToGrid w:val="0"/>
          <w:sz w:val="30"/>
          <w:szCs w:val="30"/>
        </w:rPr>
      </w:pPr>
      <w:r>
        <w:rPr>
          <w:rFonts w:hint="eastAsia" w:ascii="黑体" w:hAnsi="黑体" w:eastAsia="黑体"/>
          <w:snapToGrid w:val="0"/>
          <w:sz w:val="30"/>
          <w:szCs w:val="30"/>
        </w:rPr>
        <w:t>一、建设项目基本情况</w:t>
      </w:r>
      <w:bookmarkEnd w:id="0"/>
    </w:p>
    <w:tbl>
      <w:tblPr>
        <w:tblStyle w:val="25"/>
        <w:tblW w:w="891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57" w:type="dxa"/>
          <w:bottom w:w="0" w:type="dxa"/>
          <w:right w:w="57" w:type="dxa"/>
        </w:tblCellMar>
      </w:tblPr>
      <w:tblGrid>
        <w:gridCol w:w="1624"/>
        <w:gridCol w:w="2070"/>
        <w:gridCol w:w="1230"/>
        <w:gridCol w:w="3993"/>
      </w:tblGrid>
      <w:tr w14:paraId="022A75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00108205">
            <w:pPr>
              <w:pStyle w:val="40"/>
            </w:pPr>
            <w:r>
              <w:rPr>
                <w:rFonts w:hint="eastAsia"/>
              </w:rPr>
              <w:t>建设项目名称</w:t>
            </w:r>
          </w:p>
        </w:tc>
        <w:tc>
          <w:tcPr>
            <w:tcW w:w="7293" w:type="dxa"/>
            <w:gridSpan w:val="3"/>
            <w:vAlign w:val="center"/>
          </w:tcPr>
          <w:p w14:paraId="2D6B8562">
            <w:pPr>
              <w:pStyle w:val="40"/>
            </w:pPr>
            <w:r>
              <w:rPr>
                <w:rFonts w:hint="eastAsia"/>
              </w:rPr>
              <w:t>秦皇岛市天马食品厂水果罐头生产线改</w:t>
            </w:r>
            <w:r>
              <w:t>扩建项目</w:t>
            </w:r>
          </w:p>
        </w:tc>
      </w:tr>
      <w:tr w14:paraId="57612F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15A18A07">
            <w:pPr>
              <w:pStyle w:val="40"/>
            </w:pPr>
            <w:r>
              <w:rPr>
                <w:rFonts w:hint="eastAsia"/>
              </w:rPr>
              <w:t>项目代码</w:t>
            </w:r>
          </w:p>
        </w:tc>
        <w:tc>
          <w:tcPr>
            <w:tcW w:w="7293" w:type="dxa"/>
            <w:gridSpan w:val="3"/>
            <w:vAlign w:val="center"/>
          </w:tcPr>
          <w:p w14:paraId="2C95A004">
            <w:pPr>
              <w:pStyle w:val="40"/>
            </w:pPr>
            <w:r>
              <w:rPr>
                <w:rFonts w:hint="eastAsia"/>
              </w:rPr>
              <w:t>2412-130306-89-01-642391</w:t>
            </w:r>
          </w:p>
        </w:tc>
      </w:tr>
      <w:tr w14:paraId="24844F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04ED06EB">
            <w:pPr>
              <w:pStyle w:val="40"/>
            </w:pPr>
            <w:r>
              <w:rPr>
                <w:rFonts w:hint="eastAsia"/>
              </w:rPr>
              <w:t>建设单位联系人</w:t>
            </w:r>
          </w:p>
        </w:tc>
        <w:tc>
          <w:tcPr>
            <w:tcW w:w="2070" w:type="dxa"/>
            <w:vAlign w:val="center"/>
          </w:tcPr>
          <w:p w14:paraId="2522AD94">
            <w:pPr>
              <w:pStyle w:val="40"/>
            </w:pPr>
            <w:r>
              <w:rPr>
                <w:rFonts w:hint="eastAsia"/>
              </w:rPr>
              <w:t>崔树海</w:t>
            </w:r>
          </w:p>
        </w:tc>
        <w:tc>
          <w:tcPr>
            <w:tcW w:w="1230" w:type="dxa"/>
            <w:vAlign w:val="center"/>
          </w:tcPr>
          <w:p w14:paraId="5322D365">
            <w:pPr>
              <w:pStyle w:val="40"/>
            </w:pPr>
            <w:r>
              <w:t>联系方式</w:t>
            </w:r>
          </w:p>
        </w:tc>
        <w:tc>
          <w:tcPr>
            <w:tcW w:w="3993" w:type="dxa"/>
            <w:vAlign w:val="center"/>
          </w:tcPr>
          <w:p w14:paraId="0C3A7A02">
            <w:pPr>
              <w:pStyle w:val="40"/>
            </w:pPr>
            <w:r>
              <w:t>13</w:t>
            </w:r>
            <w:r>
              <w:rPr>
                <w:rFonts w:hint="eastAsia"/>
              </w:rPr>
              <w:t>503233513</w:t>
            </w:r>
          </w:p>
        </w:tc>
      </w:tr>
      <w:tr w14:paraId="6B5C64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55B4A6B6">
            <w:pPr>
              <w:pStyle w:val="40"/>
            </w:pPr>
            <w:r>
              <w:rPr>
                <w:rFonts w:hint="eastAsia"/>
              </w:rPr>
              <w:t>建设地点</w:t>
            </w:r>
          </w:p>
        </w:tc>
        <w:tc>
          <w:tcPr>
            <w:tcW w:w="7293" w:type="dxa"/>
            <w:gridSpan w:val="3"/>
            <w:vAlign w:val="center"/>
          </w:tcPr>
          <w:p w14:paraId="6C5B80C4">
            <w:pPr>
              <w:pStyle w:val="40"/>
            </w:pPr>
            <w:r>
              <w:rPr>
                <w:rFonts w:hint="eastAsia"/>
              </w:rPr>
              <w:t>河北省秦皇岛市抚宁区坟坨镇</w:t>
            </w:r>
            <w:bookmarkStart w:id="1" w:name="OLE_LINK688"/>
            <w:bookmarkStart w:id="2" w:name="OLE_LINK687"/>
            <w:r>
              <w:rPr>
                <w:rFonts w:hint="eastAsia"/>
              </w:rPr>
              <w:t>坟坨</w:t>
            </w:r>
            <w:bookmarkEnd w:id="1"/>
            <w:bookmarkEnd w:id="2"/>
            <w:r>
              <w:rPr>
                <w:rFonts w:hint="eastAsia"/>
              </w:rPr>
              <w:t>村</w:t>
            </w:r>
          </w:p>
        </w:tc>
      </w:tr>
      <w:tr w14:paraId="3B8BBA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09EC85C0">
            <w:pPr>
              <w:pStyle w:val="40"/>
            </w:pPr>
            <w:r>
              <w:rPr>
                <w:rFonts w:hint="eastAsia"/>
              </w:rPr>
              <w:t>地理坐标</w:t>
            </w:r>
          </w:p>
        </w:tc>
        <w:tc>
          <w:tcPr>
            <w:tcW w:w="7293" w:type="dxa"/>
            <w:gridSpan w:val="3"/>
            <w:vAlign w:val="center"/>
          </w:tcPr>
          <w:p w14:paraId="6E06315D">
            <w:pPr>
              <w:pStyle w:val="40"/>
            </w:pPr>
            <w:r>
              <w:rPr>
                <w:rFonts w:hint="eastAsia"/>
              </w:rPr>
              <w:t>东经：</w:t>
            </w:r>
            <w:r>
              <w:t>11</w:t>
            </w:r>
            <w:r>
              <w:rPr>
                <w:rFonts w:hint="eastAsia"/>
              </w:rPr>
              <w:t>9</w:t>
            </w:r>
            <w:r>
              <w:t xml:space="preserve"> 度</w:t>
            </w:r>
            <w:r>
              <w:rPr>
                <w:rFonts w:hint="eastAsia"/>
              </w:rPr>
              <w:t>12</w:t>
            </w:r>
            <w:r>
              <w:t>分</w:t>
            </w:r>
            <w:r>
              <w:rPr>
                <w:rFonts w:hint="eastAsia"/>
              </w:rPr>
              <w:t>6.481</w:t>
            </w:r>
            <w:r>
              <w:t>秒，</w:t>
            </w:r>
            <w:r>
              <w:rPr>
                <w:rFonts w:hint="eastAsia"/>
              </w:rPr>
              <w:t>北纬39</w:t>
            </w:r>
            <w:r>
              <w:t>度</w:t>
            </w:r>
            <w:r>
              <w:rPr>
                <w:rFonts w:hint="eastAsia"/>
              </w:rPr>
              <w:t>50</w:t>
            </w:r>
            <w:r>
              <w:t>分</w:t>
            </w:r>
            <w:r>
              <w:rPr>
                <w:rFonts w:hint="eastAsia"/>
              </w:rPr>
              <w:t>39.040</w:t>
            </w:r>
            <w:r>
              <w:t>秒</w:t>
            </w:r>
          </w:p>
        </w:tc>
      </w:tr>
      <w:tr w14:paraId="35401E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1" w:hRule="atLeast"/>
          <w:jc w:val="center"/>
        </w:trPr>
        <w:tc>
          <w:tcPr>
            <w:tcW w:w="1624" w:type="dxa"/>
            <w:tcMar>
              <w:top w:w="16" w:type="dxa"/>
              <w:left w:w="16" w:type="dxa"/>
              <w:right w:w="16" w:type="dxa"/>
            </w:tcMar>
            <w:vAlign w:val="center"/>
          </w:tcPr>
          <w:p w14:paraId="11714C43">
            <w:pPr>
              <w:pStyle w:val="40"/>
            </w:pPr>
            <w:r>
              <w:rPr>
                <w:rFonts w:hint="eastAsia"/>
              </w:rPr>
              <w:t>国民经济</w:t>
            </w:r>
          </w:p>
          <w:p w14:paraId="5CC36FB7">
            <w:pPr>
              <w:pStyle w:val="40"/>
            </w:pPr>
            <w:r>
              <w:rPr>
                <w:rFonts w:hint="eastAsia"/>
              </w:rPr>
              <w:t>行业类别</w:t>
            </w:r>
          </w:p>
        </w:tc>
        <w:tc>
          <w:tcPr>
            <w:tcW w:w="2070" w:type="dxa"/>
            <w:vAlign w:val="center"/>
          </w:tcPr>
          <w:p w14:paraId="09C964FC">
            <w:pPr>
              <w:pStyle w:val="40"/>
            </w:pPr>
            <w:r>
              <w:rPr>
                <w:rFonts w:hint="eastAsia"/>
              </w:rPr>
              <w:t>C1453 蔬菜、水果罐头制造</w:t>
            </w:r>
          </w:p>
          <w:p w14:paraId="02D186A0">
            <w:pPr>
              <w:pStyle w:val="40"/>
            </w:pPr>
            <w:r>
              <w:rPr>
                <w:rFonts w:hint="eastAsia"/>
              </w:rPr>
              <w:t>D4430 热力生产和供应</w:t>
            </w:r>
          </w:p>
        </w:tc>
        <w:tc>
          <w:tcPr>
            <w:tcW w:w="1230" w:type="dxa"/>
            <w:vAlign w:val="center"/>
          </w:tcPr>
          <w:p w14:paraId="14228438">
            <w:pPr>
              <w:pStyle w:val="40"/>
            </w:pPr>
            <w:bookmarkStart w:id="3" w:name="_Hlk49843745"/>
            <w:r>
              <w:rPr>
                <w:rFonts w:hint="eastAsia"/>
              </w:rPr>
              <w:t>建设项目</w:t>
            </w:r>
          </w:p>
          <w:p w14:paraId="1D784CD6">
            <w:pPr>
              <w:pStyle w:val="40"/>
            </w:pPr>
            <w:r>
              <w:rPr>
                <w:rFonts w:hint="eastAsia"/>
              </w:rPr>
              <w:t>行业类别</w:t>
            </w:r>
            <w:bookmarkEnd w:id="3"/>
          </w:p>
        </w:tc>
        <w:tc>
          <w:tcPr>
            <w:tcW w:w="3993" w:type="dxa"/>
            <w:vAlign w:val="center"/>
          </w:tcPr>
          <w:p w14:paraId="437CCF82">
            <w:pPr>
              <w:pStyle w:val="40"/>
            </w:pPr>
            <w:r>
              <w:rPr>
                <w:rFonts w:hint="eastAsia"/>
              </w:rPr>
              <w:t>21.罐头食品制造145</w:t>
            </w:r>
            <w:r>
              <w:t>*</w:t>
            </w:r>
          </w:p>
          <w:p w14:paraId="56D52D39">
            <w:pPr>
              <w:pStyle w:val="40"/>
            </w:pPr>
            <w:r>
              <w:rPr>
                <w:rFonts w:hint="eastAsia"/>
              </w:rPr>
              <w:t>91.热力生产和供应工程（包括建设单位自建自用的供热工程）</w:t>
            </w:r>
          </w:p>
        </w:tc>
      </w:tr>
      <w:tr w14:paraId="7091C3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219" w:hRule="atLeast"/>
          <w:jc w:val="center"/>
        </w:trPr>
        <w:tc>
          <w:tcPr>
            <w:tcW w:w="1624" w:type="dxa"/>
            <w:tcMar>
              <w:top w:w="16" w:type="dxa"/>
              <w:left w:w="16" w:type="dxa"/>
              <w:right w:w="16" w:type="dxa"/>
            </w:tcMar>
            <w:vAlign w:val="center"/>
          </w:tcPr>
          <w:p w14:paraId="3F9C70AC">
            <w:pPr>
              <w:pStyle w:val="40"/>
            </w:pPr>
            <w:r>
              <w:rPr>
                <w:rFonts w:hint="eastAsia"/>
              </w:rPr>
              <w:t>建设性质</w:t>
            </w:r>
          </w:p>
        </w:tc>
        <w:tc>
          <w:tcPr>
            <w:tcW w:w="2070" w:type="dxa"/>
            <w:vAlign w:val="center"/>
          </w:tcPr>
          <w:p w14:paraId="1BC88564">
            <w:pPr>
              <w:pStyle w:val="40"/>
            </w:pPr>
            <w:r>
              <w:rPr/>
              <w:sym w:font="Wingdings 2" w:char="00A3"/>
            </w:r>
            <w:r>
              <w:rPr>
                <w:rFonts w:hint="eastAsia"/>
              </w:rPr>
              <w:t>新建（迁建）</w:t>
            </w:r>
          </w:p>
          <w:p w14:paraId="4B8A94D8">
            <w:pPr>
              <w:pStyle w:val="40"/>
            </w:pPr>
            <w:r>
              <w:rPr>
                <w:rFonts w:hint="eastAsia"/>
              </w:rPr>
              <w:sym w:font="Wingdings 2" w:char="00A3"/>
            </w:r>
            <w:r>
              <w:rPr>
                <w:rFonts w:hint="eastAsia"/>
              </w:rPr>
              <w:t>改建</w:t>
            </w:r>
          </w:p>
          <w:p w14:paraId="1A254DCE">
            <w:pPr>
              <w:pStyle w:val="40"/>
            </w:pPr>
            <w:r>
              <w:rPr>
                <w:rFonts w:hint="eastAsia" w:ascii="MS Mincho" w:hAnsi="MS Mincho" w:eastAsia="MS Mincho" w:cs="MS Mincho"/>
              </w:rPr>
              <w:t>☑</w:t>
            </w:r>
            <w:r>
              <w:rPr>
                <w:rFonts w:hint="eastAsia"/>
              </w:rPr>
              <w:t>扩建</w:t>
            </w:r>
          </w:p>
          <w:p w14:paraId="5BD997E5">
            <w:pPr>
              <w:pStyle w:val="40"/>
            </w:pPr>
            <w:r>
              <w:rPr>
                <w:rFonts w:hint="eastAsia"/>
              </w:rPr>
              <w:t>□技术改造</w:t>
            </w:r>
          </w:p>
        </w:tc>
        <w:tc>
          <w:tcPr>
            <w:tcW w:w="1230" w:type="dxa"/>
            <w:vAlign w:val="center"/>
          </w:tcPr>
          <w:p w14:paraId="1E7C15BE">
            <w:pPr>
              <w:pStyle w:val="40"/>
            </w:pPr>
            <w:r>
              <w:rPr>
                <w:rFonts w:hint="eastAsia"/>
              </w:rPr>
              <w:t>建设项目</w:t>
            </w:r>
          </w:p>
          <w:p w14:paraId="2245A014">
            <w:pPr>
              <w:pStyle w:val="40"/>
            </w:pPr>
            <w:r>
              <w:rPr>
                <w:rFonts w:hint="eastAsia"/>
              </w:rPr>
              <w:t>申报情形</w:t>
            </w:r>
          </w:p>
        </w:tc>
        <w:tc>
          <w:tcPr>
            <w:tcW w:w="3993" w:type="dxa"/>
            <w:vAlign w:val="center"/>
          </w:tcPr>
          <w:p w14:paraId="65CD7095">
            <w:pPr>
              <w:pStyle w:val="40"/>
            </w:pPr>
            <w:r>
              <w:rPr/>
              <w:sym w:font="Wingdings 2" w:char="0052"/>
            </w:r>
            <w:r>
              <w:rPr>
                <w:rFonts w:hint="eastAsia"/>
              </w:rPr>
              <w:t>首次申报项目</w:t>
            </w:r>
          </w:p>
          <w:p w14:paraId="2D2DAE57">
            <w:pPr>
              <w:pStyle w:val="40"/>
            </w:pPr>
            <w:r>
              <w:rPr>
                <w:rFonts w:hint="eastAsia"/>
              </w:rPr>
              <w:t>□不予批准后再次申报项目</w:t>
            </w:r>
          </w:p>
          <w:p w14:paraId="50198FF5">
            <w:pPr>
              <w:pStyle w:val="40"/>
            </w:pPr>
            <w:r>
              <w:rPr>
                <w:rFonts w:hint="eastAsia"/>
              </w:rPr>
              <w:t>□超五年重新审核项目</w:t>
            </w:r>
          </w:p>
          <w:p w14:paraId="7E615C67">
            <w:pPr>
              <w:pStyle w:val="40"/>
            </w:pPr>
            <w:r>
              <w:rPr>
                <w:rFonts w:hint="eastAsia"/>
              </w:rPr>
              <w:t>□重大变动重新报批项目</w:t>
            </w:r>
          </w:p>
        </w:tc>
      </w:tr>
      <w:tr w14:paraId="4DFFC1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1" w:hRule="atLeast"/>
          <w:jc w:val="center"/>
        </w:trPr>
        <w:tc>
          <w:tcPr>
            <w:tcW w:w="1624" w:type="dxa"/>
            <w:tcMar>
              <w:top w:w="16" w:type="dxa"/>
              <w:left w:w="16" w:type="dxa"/>
              <w:right w:w="16" w:type="dxa"/>
            </w:tcMar>
            <w:vAlign w:val="center"/>
          </w:tcPr>
          <w:p w14:paraId="5782E8DF">
            <w:pPr>
              <w:pStyle w:val="40"/>
            </w:pPr>
            <w:r>
              <w:rPr>
                <w:rFonts w:hint="eastAsia"/>
              </w:rPr>
              <w:t>项目审批（核准</w:t>
            </w:r>
            <w:r>
              <w:t>/</w:t>
            </w:r>
          </w:p>
          <w:p w14:paraId="381E991F">
            <w:pPr>
              <w:pStyle w:val="40"/>
            </w:pPr>
            <w:r>
              <w:rPr>
                <w:rFonts w:hint="eastAsia"/>
              </w:rPr>
              <w:t>备案）部门（选填）</w:t>
            </w:r>
          </w:p>
        </w:tc>
        <w:tc>
          <w:tcPr>
            <w:tcW w:w="2070" w:type="dxa"/>
            <w:vAlign w:val="center"/>
          </w:tcPr>
          <w:p w14:paraId="6D40B1DF">
            <w:pPr>
              <w:pStyle w:val="40"/>
            </w:pPr>
            <w:r>
              <w:t>秦皇岛市抚宁区</w:t>
            </w:r>
            <w:r>
              <w:rPr>
                <w:rFonts w:hint="eastAsia"/>
              </w:rPr>
              <w:t>行政审批局</w:t>
            </w:r>
          </w:p>
        </w:tc>
        <w:tc>
          <w:tcPr>
            <w:tcW w:w="1230" w:type="dxa"/>
            <w:vAlign w:val="center"/>
          </w:tcPr>
          <w:p w14:paraId="7B5FF002">
            <w:pPr>
              <w:pStyle w:val="40"/>
            </w:pPr>
            <w:r>
              <w:rPr>
                <w:rFonts w:hint="eastAsia"/>
              </w:rPr>
              <w:t>项目审批（核准</w:t>
            </w:r>
            <w:r>
              <w:t>/</w:t>
            </w:r>
          </w:p>
          <w:p w14:paraId="2598D6F2">
            <w:pPr>
              <w:pStyle w:val="40"/>
            </w:pPr>
            <w:r>
              <w:rPr>
                <w:rFonts w:hint="eastAsia"/>
              </w:rPr>
              <w:t>备案）文号（选填）</w:t>
            </w:r>
          </w:p>
        </w:tc>
        <w:tc>
          <w:tcPr>
            <w:tcW w:w="3993" w:type="dxa"/>
            <w:vAlign w:val="center"/>
          </w:tcPr>
          <w:p w14:paraId="59E9CFC3">
            <w:pPr>
              <w:pStyle w:val="40"/>
            </w:pPr>
            <w:r>
              <w:t>抚行审备〔202</w:t>
            </w:r>
            <w:r>
              <w:rPr>
                <w:rFonts w:hint="eastAsia"/>
              </w:rPr>
              <w:t>5</w:t>
            </w:r>
            <w:r>
              <w:t>〕</w:t>
            </w:r>
            <w:r>
              <w:rPr>
                <w:rFonts w:hint="eastAsia"/>
              </w:rPr>
              <w:t>40</w:t>
            </w:r>
            <w:r>
              <w:t>号</w:t>
            </w:r>
          </w:p>
        </w:tc>
      </w:tr>
      <w:tr w14:paraId="2F1B2B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1095908B">
            <w:pPr>
              <w:pStyle w:val="40"/>
            </w:pPr>
            <w:r>
              <w:rPr>
                <w:rFonts w:hint="eastAsia"/>
              </w:rPr>
              <w:t>总投资（万元）</w:t>
            </w:r>
          </w:p>
        </w:tc>
        <w:tc>
          <w:tcPr>
            <w:tcW w:w="2070" w:type="dxa"/>
            <w:vAlign w:val="center"/>
          </w:tcPr>
          <w:p w14:paraId="4FD623F5">
            <w:pPr>
              <w:pStyle w:val="40"/>
            </w:pPr>
            <w:r>
              <w:rPr>
                <w:rFonts w:hint="eastAsia"/>
              </w:rPr>
              <w:t>35</w:t>
            </w:r>
          </w:p>
        </w:tc>
        <w:tc>
          <w:tcPr>
            <w:tcW w:w="1230" w:type="dxa"/>
            <w:tcMar>
              <w:top w:w="16" w:type="dxa"/>
              <w:left w:w="16" w:type="dxa"/>
              <w:right w:w="16" w:type="dxa"/>
            </w:tcMar>
            <w:vAlign w:val="center"/>
          </w:tcPr>
          <w:p w14:paraId="318E79C7">
            <w:pPr>
              <w:pStyle w:val="40"/>
            </w:pPr>
            <w:r>
              <w:rPr>
                <w:rFonts w:hint="eastAsia"/>
              </w:rPr>
              <w:t>环保投资（万元）</w:t>
            </w:r>
          </w:p>
        </w:tc>
        <w:tc>
          <w:tcPr>
            <w:tcW w:w="3993" w:type="dxa"/>
            <w:vAlign w:val="center"/>
          </w:tcPr>
          <w:p w14:paraId="46605D33">
            <w:pPr>
              <w:pStyle w:val="40"/>
            </w:pPr>
            <w:r>
              <w:rPr>
                <w:rFonts w:hint="eastAsia"/>
              </w:rPr>
              <w:t>5</w:t>
            </w:r>
          </w:p>
        </w:tc>
      </w:tr>
      <w:tr w14:paraId="1D8E63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1323CCC5">
            <w:pPr>
              <w:pStyle w:val="40"/>
            </w:pPr>
            <w:r>
              <w:rPr>
                <w:rFonts w:hint="eastAsia"/>
              </w:rPr>
              <w:t>环保投资占比（</w:t>
            </w:r>
            <w:r>
              <w:t>%</w:t>
            </w:r>
            <w:r>
              <w:rPr>
                <w:rFonts w:hint="eastAsia"/>
              </w:rPr>
              <w:t>）</w:t>
            </w:r>
          </w:p>
        </w:tc>
        <w:tc>
          <w:tcPr>
            <w:tcW w:w="2070" w:type="dxa"/>
            <w:vAlign w:val="center"/>
          </w:tcPr>
          <w:p w14:paraId="779DB216">
            <w:pPr>
              <w:pStyle w:val="40"/>
            </w:pPr>
            <w:r>
              <w:rPr>
                <w:rFonts w:hint="eastAsia"/>
              </w:rPr>
              <w:t>14.3</w:t>
            </w:r>
          </w:p>
        </w:tc>
        <w:tc>
          <w:tcPr>
            <w:tcW w:w="1230" w:type="dxa"/>
            <w:tcMar>
              <w:top w:w="16" w:type="dxa"/>
              <w:left w:w="16" w:type="dxa"/>
              <w:right w:w="16" w:type="dxa"/>
            </w:tcMar>
            <w:vAlign w:val="center"/>
          </w:tcPr>
          <w:p w14:paraId="03BEDB8E">
            <w:pPr>
              <w:pStyle w:val="40"/>
            </w:pPr>
            <w:r>
              <w:rPr>
                <w:rFonts w:hint="eastAsia"/>
              </w:rPr>
              <w:t>施工工期</w:t>
            </w:r>
          </w:p>
        </w:tc>
        <w:tc>
          <w:tcPr>
            <w:tcW w:w="3993" w:type="dxa"/>
            <w:vAlign w:val="center"/>
          </w:tcPr>
          <w:p w14:paraId="1AA26DC9">
            <w:pPr>
              <w:pStyle w:val="40"/>
            </w:pPr>
            <w:r>
              <w:rPr>
                <w:rFonts w:hint="eastAsia"/>
              </w:rPr>
              <w:t>1</w:t>
            </w:r>
            <w:r>
              <w:t>个月</w:t>
            </w:r>
          </w:p>
        </w:tc>
      </w:tr>
      <w:tr w14:paraId="57A5FA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221BB98C">
            <w:pPr>
              <w:pStyle w:val="40"/>
            </w:pPr>
            <w:r>
              <w:rPr>
                <w:rFonts w:hint="eastAsia"/>
              </w:rPr>
              <w:t>是否开工建设</w:t>
            </w:r>
          </w:p>
        </w:tc>
        <w:tc>
          <w:tcPr>
            <w:tcW w:w="2070" w:type="dxa"/>
            <w:vAlign w:val="center"/>
          </w:tcPr>
          <w:p w14:paraId="4104D575">
            <w:pPr>
              <w:pStyle w:val="40"/>
            </w:pPr>
            <w:r>
              <w:rPr/>
              <w:sym w:font="Wingdings 2" w:char="0052"/>
            </w:r>
            <w:r>
              <w:rPr>
                <w:rFonts w:hint="eastAsia"/>
              </w:rPr>
              <w:t>否</w:t>
            </w:r>
          </w:p>
          <w:p w14:paraId="6816DEBC">
            <w:pPr>
              <w:pStyle w:val="40"/>
            </w:pPr>
            <w:r>
              <w:rPr>
                <w:rFonts w:hint="eastAsia"/>
              </w:rPr>
              <w:sym w:font="Wingdings 2" w:char="00A3"/>
            </w:r>
            <w:r>
              <w:rPr>
                <w:rFonts w:hint="eastAsia"/>
              </w:rPr>
              <w:t xml:space="preserve">是：             </w:t>
            </w:r>
          </w:p>
        </w:tc>
        <w:tc>
          <w:tcPr>
            <w:tcW w:w="1230" w:type="dxa"/>
            <w:tcMar>
              <w:top w:w="16" w:type="dxa"/>
              <w:left w:w="16" w:type="dxa"/>
              <w:right w:w="16" w:type="dxa"/>
            </w:tcMar>
            <w:vAlign w:val="center"/>
          </w:tcPr>
          <w:p w14:paraId="1E47CFE7">
            <w:pPr>
              <w:pStyle w:val="40"/>
            </w:pPr>
            <w:r>
              <w:rPr>
                <w:rFonts w:hint="eastAsia"/>
              </w:rPr>
              <w:t>用地（用海）</w:t>
            </w:r>
          </w:p>
          <w:p w14:paraId="1E5E0416">
            <w:pPr>
              <w:pStyle w:val="40"/>
            </w:pPr>
            <w:r>
              <w:rPr>
                <w:rFonts w:hint="eastAsia"/>
              </w:rPr>
              <w:t>面积（m</w:t>
            </w:r>
            <w:r>
              <w:rPr>
                <w:rFonts w:hint="eastAsia"/>
                <w:vertAlign w:val="superscript"/>
              </w:rPr>
              <w:t>2</w:t>
            </w:r>
            <w:r>
              <w:rPr>
                <w:rFonts w:hint="eastAsia"/>
              </w:rPr>
              <w:t>）</w:t>
            </w:r>
          </w:p>
        </w:tc>
        <w:tc>
          <w:tcPr>
            <w:tcW w:w="3993" w:type="dxa"/>
            <w:vAlign w:val="center"/>
          </w:tcPr>
          <w:p w14:paraId="7FCBCBBE">
            <w:pPr>
              <w:pStyle w:val="40"/>
            </w:pPr>
            <w:r>
              <w:rPr>
                <w:rFonts w:hint="eastAsia"/>
              </w:rPr>
              <w:t>0</w:t>
            </w:r>
          </w:p>
        </w:tc>
      </w:tr>
      <w:tr w14:paraId="5AE827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86" w:hRule="atLeast"/>
          <w:jc w:val="center"/>
        </w:trPr>
        <w:tc>
          <w:tcPr>
            <w:tcW w:w="1624" w:type="dxa"/>
            <w:vAlign w:val="center"/>
          </w:tcPr>
          <w:p w14:paraId="6A5E6256">
            <w:pPr>
              <w:pStyle w:val="40"/>
            </w:pPr>
            <w:r>
              <w:rPr>
                <w:rFonts w:hint="eastAsia"/>
              </w:rPr>
              <w:t>专项评价设置情况</w:t>
            </w:r>
          </w:p>
        </w:tc>
        <w:tc>
          <w:tcPr>
            <w:tcW w:w="7293" w:type="dxa"/>
            <w:gridSpan w:val="3"/>
            <w:vAlign w:val="center"/>
          </w:tcPr>
          <w:p w14:paraId="5243838D">
            <w:pPr>
              <w:autoSpaceDE w:val="0"/>
              <w:autoSpaceDN w:val="0"/>
              <w:adjustRightInd w:val="0"/>
              <w:snapToGrid w:val="0"/>
              <w:ind w:firstLine="0" w:firstLineChars="0"/>
              <w:jc w:val="center"/>
              <w:rPr>
                <w:rFonts w:ascii="宋体" w:hAnsi="宋体" w:cs="宋体"/>
                <w:kern w:val="0"/>
                <w:szCs w:val="21"/>
              </w:rPr>
            </w:pPr>
            <w:r>
              <w:rPr>
                <w:rFonts w:hint="eastAsia" w:ascii="宋体" w:hAnsi="宋体" w:cs="宋体"/>
                <w:kern w:val="0"/>
                <w:szCs w:val="21"/>
              </w:rPr>
              <w:t>无</w:t>
            </w:r>
          </w:p>
        </w:tc>
      </w:tr>
      <w:tr w14:paraId="746260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9" w:hRule="atLeast"/>
          <w:jc w:val="center"/>
        </w:trPr>
        <w:tc>
          <w:tcPr>
            <w:tcW w:w="1624" w:type="dxa"/>
            <w:vAlign w:val="center"/>
          </w:tcPr>
          <w:p w14:paraId="5EC2EA16">
            <w:pPr>
              <w:pStyle w:val="40"/>
            </w:pPr>
            <w:r>
              <w:rPr>
                <w:rFonts w:hint="eastAsia"/>
              </w:rPr>
              <w:t>规划情况</w:t>
            </w:r>
          </w:p>
        </w:tc>
        <w:tc>
          <w:tcPr>
            <w:tcW w:w="7293" w:type="dxa"/>
            <w:gridSpan w:val="3"/>
            <w:vAlign w:val="center"/>
          </w:tcPr>
          <w:p w14:paraId="0A3055BA">
            <w:pPr>
              <w:adjustRightInd w:val="0"/>
              <w:snapToGrid w:val="0"/>
              <w:ind w:firstLine="0" w:firstLineChars="0"/>
              <w:jc w:val="center"/>
              <w:rPr>
                <w:szCs w:val="21"/>
              </w:rPr>
            </w:pPr>
            <w:r>
              <w:rPr>
                <w:rFonts w:hint="eastAsia"/>
                <w:szCs w:val="21"/>
              </w:rPr>
              <w:t>无</w:t>
            </w:r>
          </w:p>
        </w:tc>
      </w:tr>
      <w:tr w14:paraId="0A3EBA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80" w:hRule="atLeast"/>
          <w:jc w:val="center"/>
        </w:trPr>
        <w:tc>
          <w:tcPr>
            <w:tcW w:w="1624" w:type="dxa"/>
            <w:vAlign w:val="center"/>
          </w:tcPr>
          <w:p w14:paraId="27DE24E6">
            <w:pPr>
              <w:pStyle w:val="40"/>
            </w:pPr>
            <w:r>
              <w:rPr>
                <w:rFonts w:hint="eastAsia"/>
              </w:rPr>
              <w:t>规划环境影响</w:t>
            </w:r>
          </w:p>
          <w:p w14:paraId="6B9EE48A">
            <w:pPr>
              <w:pStyle w:val="40"/>
            </w:pPr>
            <w:r>
              <w:rPr>
                <w:rFonts w:hint="eastAsia"/>
              </w:rPr>
              <w:t>评价情况</w:t>
            </w:r>
          </w:p>
        </w:tc>
        <w:tc>
          <w:tcPr>
            <w:tcW w:w="7293" w:type="dxa"/>
            <w:gridSpan w:val="3"/>
            <w:vAlign w:val="center"/>
          </w:tcPr>
          <w:p w14:paraId="4349C68A">
            <w:pPr>
              <w:adjustRightInd w:val="0"/>
              <w:snapToGrid w:val="0"/>
              <w:spacing w:line="380" w:lineRule="exact"/>
              <w:ind w:firstLine="0" w:firstLineChars="0"/>
              <w:jc w:val="center"/>
              <w:rPr>
                <w:kern w:val="0"/>
                <w:szCs w:val="21"/>
              </w:rPr>
            </w:pPr>
            <w:r>
              <w:rPr>
                <w:rFonts w:hint="eastAsia"/>
                <w:kern w:val="0"/>
                <w:szCs w:val="21"/>
              </w:rPr>
              <w:t>无</w:t>
            </w:r>
          </w:p>
        </w:tc>
      </w:tr>
      <w:tr w14:paraId="78536D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210" w:hRule="atLeast"/>
          <w:jc w:val="center"/>
        </w:trPr>
        <w:tc>
          <w:tcPr>
            <w:tcW w:w="1624" w:type="dxa"/>
            <w:vAlign w:val="center"/>
          </w:tcPr>
          <w:p w14:paraId="1B8FC80A">
            <w:pPr>
              <w:pStyle w:val="40"/>
            </w:pPr>
            <w:r>
              <w:rPr>
                <w:rFonts w:hint="eastAsia"/>
              </w:rPr>
              <w:t>规划及规划环境</w:t>
            </w:r>
          </w:p>
          <w:p w14:paraId="15C4B07A">
            <w:pPr>
              <w:pStyle w:val="40"/>
            </w:pPr>
            <w:r>
              <w:rPr>
                <w:rFonts w:hint="eastAsia"/>
              </w:rPr>
              <w:t>影响评价符合性分析</w:t>
            </w:r>
          </w:p>
        </w:tc>
        <w:tc>
          <w:tcPr>
            <w:tcW w:w="7293" w:type="dxa"/>
            <w:gridSpan w:val="3"/>
            <w:vAlign w:val="center"/>
          </w:tcPr>
          <w:p w14:paraId="195470A9">
            <w:pPr>
              <w:adjustRightInd w:val="0"/>
              <w:snapToGrid w:val="0"/>
              <w:spacing w:line="380" w:lineRule="exact"/>
              <w:ind w:firstLine="0" w:firstLineChars="0"/>
              <w:jc w:val="center"/>
              <w:rPr>
                <w:kern w:val="0"/>
                <w:szCs w:val="21"/>
              </w:rPr>
            </w:pPr>
            <w:r>
              <w:rPr>
                <w:rFonts w:hint="eastAsia"/>
                <w:kern w:val="0"/>
                <w:szCs w:val="21"/>
              </w:rPr>
              <w:t>无</w:t>
            </w:r>
          </w:p>
        </w:tc>
      </w:tr>
      <w:tr w14:paraId="18C34C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928" w:hRule="atLeast"/>
          <w:jc w:val="center"/>
        </w:trPr>
        <w:tc>
          <w:tcPr>
            <w:tcW w:w="1624" w:type="dxa"/>
            <w:vAlign w:val="center"/>
          </w:tcPr>
          <w:p w14:paraId="7DC220E6">
            <w:pPr>
              <w:pStyle w:val="40"/>
            </w:pPr>
            <w:r>
              <w:rPr>
                <w:rFonts w:hint="eastAsia"/>
              </w:rPr>
              <w:t>其他符合性分析</w:t>
            </w:r>
          </w:p>
        </w:tc>
        <w:tc>
          <w:tcPr>
            <w:tcW w:w="7293" w:type="dxa"/>
            <w:gridSpan w:val="3"/>
          </w:tcPr>
          <w:p w14:paraId="6BC83D10">
            <w:pPr>
              <w:adjustRightInd w:val="0"/>
              <w:snapToGrid w:val="0"/>
              <w:spacing w:line="400" w:lineRule="exact"/>
              <w:ind w:firstLine="422"/>
              <w:rPr>
                <w:b/>
                <w:szCs w:val="21"/>
              </w:rPr>
            </w:pPr>
            <w:r>
              <w:rPr>
                <w:rFonts w:hint="eastAsia"/>
                <w:b/>
                <w:szCs w:val="21"/>
              </w:rPr>
              <w:t>1、</w:t>
            </w:r>
            <w:r>
              <w:rPr>
                <w:b/>
                <w:szCs w:val="21"/>
              </w:rPr>
              <w:t>三线一单符合性分析</w:t>
            </w:r>
            <w:r>
              <w:rPr>
                <w:rFonts w:hint="eastAsia"/>
                <w:b/>
                <w:szCs w:val="21"/>
              </w:rPr>
              <w:t>：</w:t>
            </w:r>
          </w:p>
          <w:p w14:paraId="2C5A1021">
            <w:pPr>
              <w:spacing w:line="400" w:lineRule="exact"/>
              <w:ind w:firstLine="422"/>
              <w:rPr>
                <w:b/>
                <w:kern w:val="0"/>
                <w:szCs w:val="21"/>
              </w:rPr>
            </w:pPr>
            <w:r>
              <w:rPr>
                <w:rFonts w:hint="eastAsia" w:ascii="宋体" w:hAnsi="宋体" w:cs="宋体"/>
                <w:b/>
                <w:bCs/>
                <w:szCs w:val="21"/>
              </w:rPr>
              <w:t>（1）</w:t>
            </w:r>
            <w:r>
              <w:rPr>
                <w:b/>
                <w:kern w:val="0"/>
                <w:szCs w:val="21"/>
              </w:rPr>
              <w:t>根据《关于以改善环境质量为核心加强环境影响评价管理的通知》（环环评[2016]150号），环境影响评价应落实“生态保护红线、环境质量底线、资源利用上限和环境准入负面清单”约束。</w:t>
            </w:r>
          </w:p>
          <w:p w14:paraId="6E3825D6">
            <w:pPr>
              <w:spacing w:line="400" w:lineRule="exact"/>
              <w:ind w:firstLine="420"/>
              <w:rPr>
                <w:rFonts w:ascii="宋体" w:hAnsi="宋体" w:cs="宋体"/>
                <w:bCs/>
                <w:szCs w:val="21"/>
              </w:rPr>
            </w:pPr>
            <w:r>
              <w:rPr>
                <w:rFonts w:hint="eastAsia" w:ascii="宋体" w:hAnsi="宋体" w:cs="宋体"/>
                <w:bCs/>
                <w:szCs w:val="21"/>
              </w:rPr>
              <w:t>①生态保护红线</w:t>
            </w:r>
          </w:p>
          <w:p w14:paraId="3EADED2A">
            <w:pPr>
              <w:spacing w:line="400" w:lineRule="exact"/>
              <w:ind w:firstLine="420"/>
              <w:rPr>
                <w:rFonts w:ascii="宋体" w:hAnsi="宋体" w:cs="宋体"/>
                <w:bCs/>
                <w:szCs w:val="21"/>
              </w:rPr>
            </w:pPr>
            <w:r>
              <w:rPr>
                <w:rFonts w:hint="eastAsia" w:ascii="宋体" w:hAnsi="宋体" w:cs="宋体"/>
                <w:bCs/>
                <w:szCs w:val="21"/>
              </w:rPr>
              <w:t>项目位于</w:t>
            </w:r>
            <w:r>
              <w:rPr>
                <w:rFonts w:hint="eastAsia" w:ascii="宋体" w:hAnsi="宋体" w:cs="宋体"/>
                <w:szCs w:val="21"/>
              </w:rPr>
              <w:t>秦皇岛市天马食品厂</w:t>
            </w:r>
            <w:r>
              <w:rPr>
                <w:rFonts w:hint="eastAsia"/>
                <w:kern w:val="0"/>
              </w:rPr>
              <w:t>现有厂区内，</w:t>
            </w:r>
            <w:r>
              <w:rPr>
                <w:rFonts w:hint="eastAsia" w:ascii="宋体" w:hAnsi="宋体" w:cs="宋体"/>
                <w:szCs w:val="21"/>
              </w:rPr>
              <w:t>不新增占地，</w:t>
            </w:r>
            <w:r>
              <w:rPr>
                <w:rFonts w:hint="eastAsia" w:ascii="宋体" w:hAnsi="宋体" w:cs="宋体"/>
                <w:bCs/>
                <w:szCs w:val="21"/>
              </w:rPr>
              <w:t>对照秦皇岛市生态保护红线图可知，项目不在</w:t>
            </w:r>
            <w:r>
              <w:rPr>
                <w:rFonts w:hint="eastAsia"/>
                <w:kern w:val="0"/>
              </w:rPr>
              <w:t>秦皇岛市</w:t>
            </w:r>
            <w:r>
              <w:rPr>
                <w:rFonts w:hint="eastAsia" w:ascii="宋体" w:hAnsi="宋体" w:cs="宋体"/>
                <w:bCs/>
                <w:szCs w:val="21"/>
              </w:rPr>
              <w:t>生态保护红线范围内，满足生态保护红线要求。</w:t>
            </w:r>
          </w:p>
          <w:p w14:paraId="4419179B">
            <w:pPr>
              <w:spacing w:line="400" w:lineRule="exact"/>
              <w:ind w:firstLine="420"/>
              <w:rPr>
                <w:rFonts w:ascii="宋体" w:hAnsi="宋体" w:cs="宋体"/>
                <w:bCs/>
                <w:szCs w:val="21"/>
              </w:rPr>
            </w:pPr>
            <w:r>
              <w:rPr>
                <w:rFonts w:hint="eastAsia" w:ascii="宋体" w:hAnsi="宋体" w:cs="宋体"/>
                <w:bCs/>
                <w:szCs w:val="21"/>
              </w:rPr>
              <w:t>②环境质量底线</w:t>
            </w:r>
          </w:p>
          <w:p w14:paraId="4C227CC1">
            <w:pPr>
              <w:spacing w:line="400" w:lineRule="exact"/>
              <w:ind w:firstLine="420"/>
              <w:rPr>
                <w:rFonts w:ascii="宋体" w:hAnsi="宋体" w:cs="宋体"/>
                <w:bCs/>
                <w:szCs w:val="21"/>
              </w:rPr>
            </w:pPr>
            <w:r>
              <w:rPr>
                <w:rFonts w:hint="eastAsia" w:ascii="宋体" w:hAnsi="宋体" w:cs="宋体"/>
                <w:bCs/>
                <w:szCs w:val="21"/>
              </w:rPr>
              <w:t>根据《秦皇岛市大气污染防治</w:t>
            </w:r>
            <w:r>
              <w:rPr>
                <w:rFonts w:hAnsi="宋体"/>
                <w:bCs/>
                <w:szCs w:val="21"/>
              </w:rPr>
              <w:t>行动领导小组办公室关于</w:t>
            </w:r>
            <w:r>
              <w:rPr>
                <w:bCs/>
                <w:szCs w:val="21"/>
              </w:rPr>
              <w:t>202</w:t>
            </w:r>
            <w:r>
              <w:rPr>
                <w:rFonts w:hint="eastAsia"/>
                <w:bCs/>
                <w:szCs w:val="21"/>
              </w:rPr>
              <w:t>3</w:t>
            </w:r>
            <w:r>
              <w:rPr>
                <w:rFonts w:hAnsi="宋体"/>
                <w:bCs/>
                <w:szCs w:val="21"/>
              </w:rPr>
              <w:t>年</w:t>
            </w:r>
            <w:r>
              <w:rPr>
                <w:bCs/>
                <w:szCs w:val="21"/>
              </w:rPr>
              <w:t>12</w:t>
            </w:r>
            <w:r>
              <w:rPr>
                <w:rFonts w:hAnsi="宋体"/>
                <w:bCs/>
                <w:szCs w:val="21"/>
              </w:rPr>
              <w:t>月份环境空气质量情况的通报》（秦气防领办〔</w:t>
            </w:r>
            <w:r>
              <w:rPr>
                <w:bCs/>
                <w:szCs w:val="21"/>
              </w:rPr>
              <w:t>202</w:t>
            </w:r>
            <w:r>
              <w:rPr>
                <w:rFonts w:hint="eastAsia"/>
                <w:bCs/>
                <w:szCs w:val="21"/>
              </w:rPr>
              <w:t>4</w:t>
            </w:r>
            <w:r>
              <w:rPr>
                <w:rFonts w:hAnsi="宋体"/>
                <w:bCs/>
                <w:szCs w:val="21"/>
              </w:rPr>
              <w:t>〕</w:t>
            </w:r>
            <w:r>
              <w:rPr>
                <w:rFonts w:hint="eastAsia"/>
                <w:bCs/>
                <w:szCs w:val="21"/>
              </w:rPr>
              <w:t>2</w:t>
            </w:r>
            <w:r>
              <w:rPr>
                <w:rFonts w:hAnsi="宋体"/>
                <w:bCs/>
                <w:szCs w:val="21"/>
              </w:rPr>
              <w:t>号）中的附件</w:t>
            </w:r>
            <w:r>
              <w:rPr>
                <w:bCs/>
                <w:szCs w:val="21"/>
              </w:rPr>
              <w:t>2</w:t>
            </w:r>
            <w:r>
              <w:rPr>
                <w:rFonts w:hAnsi="宋体"/>
                <w:bCs/>
                <w:szCs w:val="21"/>
              </w:rPr>
              <w:t>《</w:t>
            </w:r>
            <w:r>
              <w:rPr>
                <w:bCs/>
                <w:szCs w:val="21"/>
              </w:rPr>
              <w:t>202</w:t>
            </w:r>
            <w:r>
              <w:rPr>
                <w:rFonts w:hint="eastAsia"/>
                <w:bCs/>
                <w:szCs w:val="21"/>
              </w:rPr>
              <w:t>3</w:t>
            </w:r>
            <w:r>
              <w:rPr>
                <w:rFonts w:hAnsi="宋体"/>
                <w:bCs/>
                <w:szCs w:val="21"/>
              </w:rPr>
              <w:t>年</w:t>
            </w:r>
            <w:r>
              <w:rPr>
                <w:bCs/>
                <w:szCs w:val="21"/>
              </w:rPr>
              <w:t>1-12</w:t>
            </w:r>
            <w:r>
              <w:rPr>
                <w:rFonts w:hAnsi="宋体"/>
                <w:bCs/>
                <w:szCs w:val="21"/>
              </w:rPr>
              <w:t>月份各县区空气质量综合指数排名及各项污染物指标变化情况》，项目所在区域环境空气质量属于不达标区。项目所在区域声环境满足《声环境质量标准》</w:t>
            </w:r>
            <w:r>
              <w:rPr>
                <w:rFonts w:hint="eastAsia"/>
                <w:bCs/>
                <w:szCs w:val="21"/>
              </w:rPr>
              <w:t>2</w:t>
            </w:r>
            <w:r>
              <w:rPr>
                <w:rFonts w:hAnsi="宋体"/>
                <w:bCs/>
                <w:szCs w:val="21"/>
              </w:rPr>
              <w:t>类标准要求。根据工程分析，项目各产污环</w:t>
            </w:r>
            <w:r>
              <w:rPr>
                <w:rFonts w:hint="eastAsia" w:ascii="宋体" w:hAnsi="宋体" w:cs="宋体"/>
                <w:bCs/>
                <w:szCs w:val="21"/>
              </w:rPr>
              <w:t>节采取了完善的污染防治措施，各类污染物均能够实现达标排放，在严格落实废气、噪声、固废等污染防治措施的前提下，项目的实施不会对周围环境产生明显影响。本项目的建设运行不会突破项目所在地的环境质量底线，因此项目符合环境质量底线要求。</w:t>
            </w:r>
          </w:p>
          <w:p w14:paraId="74B65ADF">
            <w:pPr>
              <w:spacing w:line="400" w:lineRule="exact"/>
              <w:ind w:firstLine="420"/>
              <w:rPr>
                <w:rFonts w:ascii="宋体" w:hAnsi="宋体" w:cs="宋体"/>
                <w:bCs/>
                <w:szCs w:val="21"/>
              </w:rPr>
            </w:pPr>
            <w:r>
              <w:rPr>
                <w:rFonts w:hint="eastAsia" w:ascii="宋体" w:hAnsi="宋体" w:cs="宋体"/>
                <w:bCs/>
                <w:szCs w:val="21"/>
              </w:rPr>
              <w:t>③资源利用上线</w:t>
            </w:r>
          </w:p>
          <w:p w14:paraId="48A90363">
            <w:pPr>
              <w:spacing w:line="400" w:lineRule="exact"/>
              <w:ind w:firstLine="420"/>
              <w:rPr>
                <w:rFonts w:ascii="宋体" w:hAnsi="宋体" w:cs="宋体"/>
                <w:bCs/>
                <w:szCs w:val="21"/>
              </w:rPr>
            </w:pPr>
            <w:r>
              <w:rPr>
                <w:rFonts w:hint="eastAsia" w:ascii="宋体" w:hAnsi="宋体" w:cs="宋体"/>
                <w:bCs/>
                <w:szCs w:val="21"/>
              </w:rPr>
              <w:t>本项目用电由市政电网提供，耗电量不大，不会达到供电量使用上线；项目</w:t>
            </w:r>
            <w:r>
              <w:rPr>
                <w:rFonts w:hint="eastAsia" w:ascii="宋体" w:hAnsi="宋体" w:cs="宋体"/>
                <w:szCs w:val="21"/>
              </w:rPr>
              <w:t>不新增用地，</w:t>
            </w:r>
            <w:r>
              <w:rPr>
                <w:rFonts w:hint="eastAsia" w:ascii="宋体" w:hAnsi="宋体" w:cs="宋体"/>
                <w:bCs/>
                <w:szCs w:val="21"/>
              </w:rPr>
              <w:t>土地利用不会突破区域土地资源上线。项目水资源消耗量不大。项目满足资源利用上限要求。</w:t>
            </w:r>
          </w:p>
          <w:p w14:paraId="07F8FB4F">
            <w:pPr>
              <w:spacing w:line="400" w:lineRule="exact"/>
              <w:ind w:firstLine="420"/>
              <w:rPr>
                <w:rFonts w:ascii="宋体" w:hAnsi="宋体" w:cs="宋体"/>
                <w:bCs/>
                <w:szCs w:val="21"/>
              </w:rPr>
            </w:pPr>
            <w:r>
              <w:rPr>
                <w:rFonts w:hint="eastAsia" w:ascii="宋体" w:hAnsi="宋体" w:cs="宋体"/>
                <w:bCs/>
                <w:szCs w:val="21"/>
              </w:rPr>
              <w:t>④环境准入负面清单</w:t>
            </w:r>
          </w:p>
          <w:p w14:paraId="37B4C264">
            <w:pPr>
              <w:spacing w:line="400" w:lineRule="exact"/>
              <w:ind w:firstLine="420"/>
              <w:rPr>
                <w:rFonts w:hAnsi="宋体"/>
                <w:bCs/>
                <w:szCs w:val="21"/>
              </w:rPr>
            </w:pPr>
            <w:r>
              <w:rPr>
                <w:rFonts w:hint="eastAsia"/>
                <w:kern w:val="0"/>
                <w:szCs w:val="21"/>
              </w:rPr>
              <w:t>本项目不属于</w:t>
            </w:r>
            <w:r>
              <w:rPr>
                <w:rFonts w:ascii="宋体" w:hAnsi="宋体"/>
                <w:kern w:val="0"/>
                <w:szCs w:val="21"/>
              </w:rPr>
              <w:t>《产业</w:t>
            </w:r>
            <w:r>
              <w:rPr>
                <w:rFonts w:hAnsi="宋体"/>
                <w:kern w:val="0"/>
                <w:szCs w:val="21"/>
              </w:rPr>
              <w:t>结构调整指导目</w:t>
            </w:r>
            <w:r>
              <w:rPr>
                <w:kern w:val="0"/>
                <w:szCs w:val="21"/>
              </w:rPr>
              <w:t>录（2024年本）》中</w:t>
            </w:r>
            <w:r>
              <w:rPr>
                <w:rFonts w:ascii="宋体" w:hAnsi="宋体" w:cs="宋体"/>
                <w:bCs/>
                <w:szCs w:val="21"/>
              </w:rPr>
              <w:t>限制</w:t>
            </w:r>
            <w:r>
              <w:rPr>
                <w:rFonts w:hint="eastAsia" w:ascii="宋体" w:hAnsi="宋体" w:cs="宋体"/>
                <w:bCs/>
                <w:szCs w:val="21"/>
              </w:rPr>
              <w:t>类</w:t>
            </w:r>
            <w:r>
              <w:rPr>
                <w:rFonts w:ascii="宋体" w:hAnsi="宋体" w:cs="宋体"/>
                <w:bCs/>
                <w:szCs w:val="21"/>
              </w:rPr>
              <w:t>、禁止</w:t>
            </w:r>
            <w:r>
              <w:rPr>
                <w:kern w:val="0"/>
                <w:szCs w:val="21"/>
              </w:rPr>
              <w:t>类</w:t>
            </w:r>
            <w:r>
              <w:rPr>
                <w:rFonts w:ascii="宋体" w:hAnsi="宋体" w:cs="宋体"/>
                <w:bCs/>
                <w:szCs w:val="21"/>
              </w:rPr>
              <w:t>项目</w:t>
            </w:r>
            <w:r>
              <w:rPr>
                <w:rFonts w:hint="eastAsia" w:ascii="宋体" w:hAnsi="宋体" w:cs="宋体"/>
                <w:bCs/>
                <w:szCs w:val="21"/>
              </w:rPr>
              <w:t>，</w:t>
            </w:r>
            <w:r>
              <w:rPr>
                <w:rFonts w:ascii="宋体" w:hAnsi="宋体" w:cs="宋体"/>
                <w:bCs/>
                <w:szCs w:val="21"/>
              </w:rPr>
              <w:t>不属于《秦皇岛市限制和禁止投资的产业目</w:t>
            </w:r>
            <w:r>
              <w:rPr>
                <w:rFonts w:hAnsi="宋体"/>
                <w:bCs/>
                <w:szCs w:val="21"/>
              </w:rPr>
              <w:t>录</w:t>
            </w:r>
            <w:r>
              <w:rPr>
                <w:bCs/>
                <w:szCs w:val="21"/>
              </w:rPr>
              <w:t>(2020</w:t>
            </w:r>
            <w:r>
              <w:rPr>
                <w:rFonts w:hAnsi="宋体"/>
                <w:bCs/>
                <w:szCs w:val="21"/>
              </w:rPr>
              <w:t>年修订版</w:t>
            </w:r>
            <w:r>
              <w:rPr>
                <w:bCs/>
                <w:szCs w:val="21"/>
              </w:rPr>
              <w:t>)</w:t>
            </w:r>
            <w:r>
              <w:rPr>
                <w:rFonts w:ascii="宋体" w:hAnsi="宋体" w:cs="宋体"/>
                <w:bCs/>
                <w:szCs w:val="21"/>
              </w:rPr>
              <w:t>》中限制、禁止内容，</w:t>
            </w:r>
            <w:r>
              <w:rPr>
                <w:rFonts w:hint="eastAsia" w:ascii="宋体" w:hAnsi="宋体" w:cs="宋体"/>
                <w:bCs/>
                <w:szCs w:val="21"/>
              </w:rPr>
              <w:t>因此，项目不属于所在区域的环境准入负面清单。</w:t>
            </w:r>
          </w:p>
          <w:p w14:paraId="2049554D">
            <w:pPr>
              <w:spacing w:line="400" w:lineRule="exact"/>
              <w:ind w:firstLine="422"/>
              <w:rPr>
                <w:rStyle w:val="31"/>
                <w:b/>
                <w:bCs/>
                <w:kern w:val="0"/>
                <w:szCs w:val="20"/>
              </w:rPr>
            </w:pPr>
            <w:r>
              <w:rPr>
                <w:rFonts w:hint="eastAsia" w:ascii="宋体" w:hAnsi="宋体" w:cs="宋体"/>
                <w:b/>
                <w:bCs/>
                <w:szCs w:val="21"/>
              </w:rPr>
              <w:t>（2）《秦皇岛市人民政府关于秦皇岛市“三线一单”生态环境分区管控的实施意见》（秦政字[2021]6号）</w:t>
            </w:r>
            <w:r>
              <w:rPr>
                <w:rStyle w:val="31"/>
                <w:rFonts w:hint="eastAsia"/>
                <w:b/>
                <w:bCs/>
                <w:kern w:val="0"/>
                <w:szCs w:val="20"/>
              </w:rPr>
              <w:t>及与</w:t>
            </w:r>
            <w:r>
              <w:rPr>
                <w:rStyle w:val="31"/>
                <w:b/>
                <w:bCs/>
                <w:kern w:val="0"/>
                <w:szCs w:val="20"/>
              </w:rPr>
              <w:t>《</w:t>
            </w:r>
            <w:r>
              <w:rPr>
                <w:rStyle w:val="31"/>
                <w:rFonts w:hint="eastAsia"/>
                <w:b/>
                <w:bCs/>
                <w:kern w:val="0"/>
                <w:szCs w:val="20"/>
              </w:rPr>
              <w:t>秦皇岛市人民政府办公室关于实施生态环境分区管控动态更新成果的通知》</w:t>
            </w:r>
            <w:r>
              <w:rPr>
                <w:rStyle w:val="31"/>
                <w:b/>
                <w:bCs/>
                <w:kern w:val="0"/>
                <w:szCs w:val="20"/>
              </w:rPr>
              <w:t>符合性</w:t>
            </w:r>
          </w:p>
          <w:p w14:paraId="19D08FEA">
            <w:pPr>
              <w:spacing w:line="400" w:lineRule="exact"/>
              <w:ind w:firstLine="420"/>
              <w:rPr>
                <w:rFonts w:ascii="宋体" w:hAnsi="宋体" w:cs="宋体"/>
                <w:bCs/>
                <w:szCs w:val="21"/>
              </w:rPr>
            </w:pPr>
            <w:r>
              <w:rPr>
                <w:rFonts w:hint="eastAsia" w:ascii="宋体" w:hAnsi="宋体" w:cs="宋体"/>
                <w:bCs/>
                <w:szCs w:val="21"/>
              </w:rPr>
              <w:t>根据文件可知，秦皇岛市生态环境管控单元包括优先保护、重点管控和一般管控单元三类。优先保护单元主要包括生态保护红线、各类自然保护地、饮用水水源保护区、海洋红线区及其他重要生态功能区等一般生态空间。重点管控单元主要包括城市规划区、省级及以上产业园区、港区和开发强度高、污染物排放强度大、环境问题较为突出的区域等。一般管控单元为优先保护单元和重点管控单元之外的其他区域。对照秦皇岛市生态保护红线图，项目不在秦皇岛市生态红线范围内，不在自然保护地、饮用水水源保护区、海洋红线区及其他重要生态功能区范围内，根据秦皇岛市环境管控单元分布图可知，本项目位于重点管控单元。</w:t>
            </w:r>
          </w:p>
          <w:p w14:paraId="36BCCCF9">
            <w:pPr>
              <w:spacing w:line="400" w:lineRule="exact"/>
              <w:ind w:firstLine="420"/>
              <w:rPr>
                <w:rFonts w:ascii="宋体" w:hAnsi="宋体" w:cs="宋体"/>
                <w:bCs/>
                <w:szCs w:val="21"/>
              </w:rPr>
            </w:pPr>
            <w:r>
              <w:rPr>
                <w:rFonts w:hint="eastAsia" w:ascii="宋体" w:hAnsi="宋体" w:cs="宋体"/>
                <w:bCs/>
                <w:szCs w:val="21"/>
              </w:rPr>
              <w:t>文件中重点管控单元管控要求如下：优化工业布局，有序实施高污染、高排放工业企业整改或搬迁退出；强化船舶和区域移动源管控；完善污水治理设施；加快城镇河流水系环境整治；加强工业污染场地环境风险防控和开发再利用监管。</w:t>
            </w:r>
          </w:p>
          <w:p w14:paraId="68F8D730">
            <w:pPr>
              <w:spacing w:line="400" w:lineRule="exact"/>
              <w:ind w:firstLine="420"/>
              <w:rPr>
                <w:rFonts w:ascii="宋体" w:hAnsi="宋体" w:cs="宋体"/>
                <w:bCs/>
                <w:szCs w:val="21"/>
              </w:rPr>
            </w:pPr>
            <w:r>
              <w:rPr>
                <w:rFonts w:hint="eastAsia" w:ascii="宋体" w:hAnsi="宋体" w:cs="宋体"/>
                <w:bCs/>
                <w:szCs w:val="21"/>
              </w:rPr>
              <w:t>本项目不属于高污染、高排放项目，项目无生产废水排放，项目所在地块不属于工业污染场地，项目符合重点管控单元管控要求。</w:t>
            </w:r>
          </w:p>
          <w:p w14:paraId="35FEE8E5">
            <w:pPr>
              <w:spacing w:line="400" w:lineRule="exact"/>
              <w:ind w:firstLine="420"/>
              <w:rPr>
                <w:rFonts w:ascii="宋体" w:hAnsi="宋体"/>
                <w:bCs/>
                <w:szCs w:val="21"/>
              </w:rPr>
            </w:pPr>
            <w:r>
              <w:rPr>
                <w:rFonts w:hint="eastAsia" w:ascii="宋体" w:hAnsi="宋体"/>
                <w:bCs/>
                <w:szCs w:val="21"/>
              </w:rPr>
              <w:t>《秦皇岛市生态环境准入清单</w:t>
            </w:r>
            <w:r>
              <w:rPr>
                <w:rFonts w:ascii="宋体" w:hAnsi="宋体"/>
                <w:bCs/>
                <w:szCs w:val="21"/>
              </w:rPr>
              <w:t>(</w:t>
            </w:r>
            <w:r>
              <w:rPr>
                <w:bCs/>
                <w:szCs w:val="21"/>
              </w:rPr>
              <w:t>202</w:t>
            </w:r>
            <w:r>
              <w:rPr>
                <w:rFonts w:hint="eastAsia"/>
                <w:bCs/>
                <w:szCs w:val="21"/>
              </w:rPr>
              <w:t>3</w:t>
            </w:r>
            <w:r>
              <w:rPr>
                <w:rFonts w:hAnsi="宋体"/>
                <w:bCs/>
                <w:szCs w:val="21"/>
              </w:rPr>
              <w:t>版</w:t>
            </w:r>
            <w:r>
              <w:rPr>
                <w:rFonts w:ascii="宋体" w:hAnsi="宋体"/>
                <w:bCs/>
                <w:szCs w:val="21"/>
              </w:rPr>
              <w:t>)》</w:t>
            </w:r>
            <w:r>
              <w:rPr>
                <w:rFonts w:hint="eastAsia" w:ascii="宋体" w:hAnsi="宋体"/>
                <w:szCs w:val="21"/>
              </w:rPr>
              <w:t>中表四至表九与本项目相关的管控要求见下表。</w:t>
            </w:r>
          </w:p>
          <w:p w14:paraId="1A44267E">
            <w:pPr>
              <w:pStyle w:val="71"/>
              <w:rPr>
                <w:rFonts w:hint="default"/>
              </w:rPr>
            </w:pPr>
            <w:r>
              <w:t>与本项目有关的分区管控要求符合性一览表</w:t>
            </w:r>
          </w:p>
          <w:tbl>
            <w:tblPr>
              <w:tblStyle w:val="2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5"/>
              <w:gridCol w:w="3468"/>
              <w:gridCol w:w="2426"/>
              <w:gridCol w:w="750"/>
            </w:tblGrid>
            <w:tr w14:paraId="4FFCC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13" w:type="pct"/>
                  <w:shd w:val="clear" w:color="auto" w:fill="auto"/>
                  <w:noWrap/>
                  <w:tcMar>
                    <w:left w:w="28" w:type="dxa"/>
                    <w:right w:w="28" w:type="dxa"/>
                  </w:tcMar>
                  <w:vAlign w:val="center"/>
                </w:tcPr>
                <w:p w14:paraId="75E7D620">
                  <w:pPr>
                    <w:pStyle w:val="40"/>
                  </w:pPr>
                  <w:r>
                    <w:rPr>
                      <w:rFonts w:hint="eastAsia"/>
                    </w:rPr>
                    <w:t>序号</w:t>
                  </w:r>
                </w:p>
              </w:tc>
              <w:tc>
                <w:tcPr>
                  <w:tcW w:w="2446" w:type="pct"/>
                  <w:shd w:val="clear" w:color="auto" w:fill="auto"/>
                  <w:noWrap/>
                  <w:tcMar>
                    <w:left w:w="28" w:type="dxa"/>
                    <w:right w:w="28" w:type="dxa"/>
                  </w:tcMar>
                  <w:vAlign w:val="center"/>
                </w:tcPr>
                <w:p w14:paraId="30912A44">
                  <w:pPr>
                    <w:pStyle w:val="40"/>
                  </w:pPr>
                  <w:r>
                    <w:rPr>
                      <w:rFonts w:hint="eastAsia"/>
                    </w:rPr>
                    <w:t>管控要求</w:t>
                  </w:r>
                </w:p>
              </w:tc>
              <w:tc>
                <w:tcPr>
                  <w:tcW w:w="1711" w:type="pct"/>
                  <w:shd w:val="clear" w:color="auto" w:fill="auto"/>
                  <w:noWrap/>
                  <w:tcMar>
                    <w:left w:w="28" w:type="dxa"/>
                    <w:right w:w="28" w:type="dxa"/>
                  </w:tcMar>
                  <w:vAlign w:val="center"/>
                </w:tcPr>
                <w:p w14:paraId="76C87D07">
                  <w:pPr>
                    <w:pStyle w:val="40"/>
                  </w:pPr>
                  <w:r>
                    <w:rPr>
                      <w:rFonts w:hint="eastAsia"/>
                    </w:rPr>
                    <w:t>本项目情况</w:t>
                  </w:r>
                </w:p>
              </w:tc>
              <w:tc>
                <w:tcPr>
                  <w:tcW w:w="529" w:type="pct"/>
                  <w:shd w:val="clear" w:color="auto" w:fill="auto"/>
                  <w:noWrap/>
                  <w:tcMar>
                    <w:left w:w="28" w:type="dxa"/>
                    <w:right w:w="28" w:type="dxa"/>
                  </w:tcMar>
                  <w:vAlign w:val="center"/>
                </w:tcPr>
                <w:p w14:paraId="13F7E3B3">
                  <w:pPr>
                    <w:pStyle w:val="40"/>
                  </w:pPr>
                  <w:r>
                    <w:rPr>
                      <w:rFonts w:hint="eastAsia"/>
                    </w:rPr>
                    <w:t>符合性</w:t>
                  </w:r>
                </w:p>
              </w:tc>
            </w:tr>
            <w:tr w14:paraId="0B037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13" w:type="pct"/>
                  <w:shd w:val="clear" w:color="auto" w:fill="auto"/>
                  <w:noWrap/>
                  <w:tcMar>
                    <w:left w:w="28" w:type="dxa"/>
                    <w:right w:w="28" w:type="dxa"/>
                  </w:tcMar>
                  <w:vAlign w:val="center"/>
                </w:tcPr>
                <w:p w14:paraId="50BBBDF6">
                  <w:pPr>
                    <w:pStyle w:val="40"/>
                  </w:pPr>
                  <w:r>
                    <w:rPr>
                      <w:rFonts w:hint="eastAsia"/>
                    </w:rPr>
                    <w:t>1</w:t>
                  </w:r>
                </w:p>
              </w:tc>
              <w:tc>
                <w:tcPr>
                  <w:tcW w:w="2446" w:type="pct"/>
                  <w:shd w:val="clear" w:color="auto" w:fill="auto"/>
                  <w:noWrap/>
                  <w:tcMar>
                    <w:left w:w="28" w:type="dxa"/>
                    <w:right w:w="28" w:type="dxa"/>
                  </w:tcMar>
                  <w:vAlign w:val="center"/>
                </w:tcPr>
                <w:p w14:paraId="696BF281">
                  <w:pPr>
                    <w:pStyle w:val="40"/>
                  </w:pPr>
                  <w:r>
                    <w:t>表</w:t>
                  </w:r>
                  <w:r>
                    <w:rPr>
                      <w:rFonts w:hint="eastAsia"/>
                    </w:rPr>
                    <w:t>四</w:t>
                  </w:r>
                  <w:r>
                    <w:t>“生态环境空间总体管控要求”：禁止新建、扩建《环境保护综合名录(20</w:t>
                  </w:r>
                  <w:r>
                    <w:rPr>
                      <w:rFonts w:hint="eastAsia"/>
                    </w:rPr>
                    <w:t>21</w:t>
                  </w:r>
                  <w:r>
                    <w:t>年版）》及其最新名录所列 “高污染、高风险”管控项目。</w:t>
                  </w:r>
                </w:p>
              </w:tc>
              <w:tc>
                <w:tcPr>
                  <w:tcW w:w="1711" w:type="pct"/>
                  <w:shd w:val="clear" w:color="auto" w:fill="auto"/>
                  <w:noWrap/>
                  <w:tcMar>
                    <w:left w:w="28" w:type="dxa"/>
                    <w:right w:w="28" w:type="dxa"/>
                  </w:tcMar>
                  <w:vAlign w:val="center"/>
                </w:tcPr>
                <w:p w14:paraId="1677FDE2">
                  <w:pPr>
                    <w:pStyle w:val="40"/>
                  </w:pPr>
                  <w:r>
                    <w:t>项目不属于</w:t>
                  </w:r>
                  <w:r>
                    <w:rPr>
                      <w:rFonts w:hint="eastAsia"/>
                    </w:rPr>
                    <w:t>名录</w:t>
                  </w:r>
                  <w:r>
                    <w:t>中“高污染、高风险”项目</w:t>
                  </w:r>
                </w:p>
              </w:tc>
              <w:tc>
                <w:tcPr>
                  <w:tcW w:w="529" w:type="pct"/>
                  <w:shd w:val="clear" w:color="auto" w:fill="auto"/>
                  <w:noWrap/>
                  <w:tcMar>
                    <w:left w:w="28" w:type="dxa"/>
                    <w:right w:w="28" w:type="dxa"/>
                  </w:tcMar>
                  <w:vAlign w:val="center"/>
                </w:tcPr>
                <w:p w14:paraId="66C02FF7">
                  <w:pPr>
                    <w:pStyle w:val="40"/>
                  </w:pPr>
                  <w:r>
                    <w:rPr>
                      <w:rFonts w:hint="eastAsia"/>
                    </w:rPr>
                    <w:t>符合</w:t>
                  </w:r>
                </w:p>
              </w:tc>
            </w:tr>
            <w:tr w14:paraId="2A741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13" w:type="pct"/>
                  <w:shd w:val="clear" w:color="auto" w:fill="auto"/>
                  <w:noWrap/>
                  <w:tcMar>
                    <w:left w:w="28" w:type="dxa"/>
                    <w:right w:w="28" w:type="dxa"/>
                  </w:tcMar>
                  <w:vAlign w:val="center"/>
                </w:tcPr>
                <w:p w14:paraId="364F2B66">
                  <w:pPr>
                    <w:pStyle w:val="40"/>
                  </w:pPr>
                  <w:r>
                    <w:rPr>
                      <w:rFonts w:hint="eastAsia"/>
                    </w:rPr>
                    <w:t>2</w:t>
                  </w:r>
                </w:p>
              </w:tc>
              <w:tc>
                <w:tcPr>
                  <w:tcW w:w="2446" w:type="pct"/>
                  <w:shd w:val="clear" w:color="auto" w:fill="auto"/>
                  <w:noWrap/>
                  <w:tcMar>
                    <w:left w:w="28" w:type="dxa"/>
                    <w:right w:w="28" w:type="dxa"/>
                  </w:tcMar>
                  <w:vAlign w:val="center"/>
                </w:tcPr>
                <w:p w14:paraId="5FDDE8C7">
                  <w:pPr>
                    <w:pStyle w:val="40"/>
                  </w:pPr>
                  <w:r>
                    <w:rPr>
                      <w:rFonts w:hint="eastAsia"/>
                    </w:rPr>
                    <w:t>表五“大气环境总体管控要求”：a、空间布局约束管控要求：</w:t>
                  </w:r>
                </w:p>
                <w:p w14:paraId="6C6667C4">
                  <w:pPr>
                    <w:pStyle w:val="40"/>
                  </w:pPr>
                  <w:r>
                    <w:rPr>
                      <w:rFonts w:hint="eastAsia"/>
                    </w:rPr>
                    <w:t>3.严禁新增钢铁、水泥、平板玻璃、电解铝等产能，严防封停设备死灰复燃。严格执行钢铁、水泥、平板玻璃等行业产能置换实施政策。</w:t>
                  </w:r>
                </w:p>
                <w:p w14:paraId="2E55C3D9">
                  <w:pPr>
                    <w:pStyle w:val="40"/>
                  </w:pPr>
                  <w:r>
                    <w:rPr>
                      <w:rFonts w:hint="eastAsia"/>
                    </w:rPr>
                    <w:t>6.</w:t>
                  </w:r>
                  <w:bookmarkStart w:id="4" w:name="OLE_LINK13"/>
                  <w:bookmarkStart w:id="5" w:name="OLE_LINK12"/>
                  <w:r>
                    <w:rPr>
                      <w:rFonts w:hint="eastAsia"/>
                    </w:rPr>
                    <w:t>禁燃区内</w:t>
                  </w:r>
                  <w:bookmarkEnd w:id="4"/>
                  <w:bookmarkEnd w:id="5"/>
                  <w:r>
                    <w:rPr>
                      <w:rFonts w:hint="eastAsia"/>
                    </w:rPr>
                    <w:t>不得新建燃烧煤炭（符合政策文件要求的热电联产项目除外）、重油、渣油等高污染燃料的设施。</w:t>
                  </w:r>
                </w:p>
              </w:tc>
              <w:tc>
                <w:tcPr>
                  <w:tcW w:w="1711" w:type="pct"/>
                  <w:shd w:val="clear" w:color="auto" w:fill="auto"/>
                  <w:noWrap/>
                  <w:tcMar>
                    <w:left w:w="28" w:type="dxa"/>
                    <w:right w:w="28" w:type="dxa"/>
                  </w:tcMar>
                  <w:vAlign w:val="center"/>
                </w:tcPr>
                <w:p w14:paraId="6F5EF6E0">
                  <w:pPr>
                    <w:pStyle w:val="40"/>
                  </w:pPr>
                  <w:r>
                    <w:rPr>
                      <w:rFonts w:hint="eastAsia"/>
                    </w:rPr>
                    <w:t>本项目不属于禁止新增产能的行业；</w:t>
                  </w:r>
                </w:p>
                <w:p w14:paraId="483E85B7">
                  <w:pPr>
                    <w:pStyle w:val="40"/>
                  </w:pPr>
                  <w:r>
                    <w:rPr>
                      <w:rFonts w:hint="eastAsia"/>
                    </w:rPr>
                    <w:t>本项目不在禁燃区内</w:t>
                  </w:r>
                </w:p>
              </w:tc>
              <w:tc>
                <w:tcPr>
                  <w:tcW w:w="529" w:type="pct"/>
                  <w:shd w:val="clear" w:color="auto" w:fill="auto"/>
                  <w:noWrap/>
                  <w:tcMar>
                    <w:left w:w="28" w:type="dxa"/>
                    <w:right w:w="28" w:type="dxa"/>
                  </w:tcMar>
                  <w:vAlign w:val="center"/>
                </w:tcPr>
                <w:p w14:paraId="1CFBA82E">
                  <w:pPr>
                    <w:pStyle w:val="40"/>
                  </w:pPr>
                  <w:r>
                    <w:rPr>
                      <w:rFonts w:hint="eastAsia"/>
                    </w:rPr>
                    <w:t>符合</w:t>
                  </w:r>
                </w:p>
              </w:tc>
            </w:tr>
            <w:tr w14:paraId="6B4EA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13" w:type="pct"/>
                  <w:shd w:val="clear" w:color="auto" w:fill="auto"/>
                  <w:noWrap/>
                  <w:tcMar>
                    <w:left w:w="28" w:type="dxa"/>
                    <w:right w:w="28" w:type="dxa"/>
                  </w:tcMar>
                  <w:vAlign w:val="center"/>
                </w:tcPr>
                <w:p w14:paraId="0C9E5BD5">
                  <w:pPr>
                    <w:pStyle w:val="40"/>
                  </w:pPr>
                  <w:r>
                    <w:rPr>
                      <w:rFonts w:hint="eastAsia"/>
                    </w:rPr>
                    <w:t>3</w:t>
                  </w:r>
                </w:p>
              </w:tc>
              <w:tc>
                <w:tcPr>
                  <w:tcW w:w="2446" w:type="pct"/>
                  <w:shd w:val="clear" w:color="auto" w:fill="auto"/>
                  <w:noWrap/>
                  <w:tcMar>
                    <w:left w:w="28" w:type="dxa"/>
                    <w:right w:w="28" w:type="dxa"/>
                  </w:tcMar>
                  <w:vAlign w:val="center"/>
                </w:tcPr>
                <w:p w14:paraId="499B131D">
                  <w:pPr>
                    <w:pStyle w:val="40"/>
                  </w:pPr>
                  <w:r>
                    <w:rPr>
                      <w:rFonts w:hint="eastAsia"/>
                    </w:rPr>
                    <w:t>表五“大气环境总体管控要求”：b、污染物排放管控要求：</w:t>
                  </w:r>
                </w:p>
                <w:p w14:paraId="17F50C12">
                  <w:pPr>
                    <w:pStyle w:val="40"/>
                  </w:pPr>
                  <w:r>
                    <w:rPr>
                      <w:rFonts w:hint="eastAsia"/>
                    </w:rPr>
                    <w:t>1.对于国家或地方排放标准中已规定大气污染物特别排放限值的行业及锅炉，新受理环评的建设项目执行大气污染物特别排放限值；已发布超低排放标准的，按照标准要求执行超低排放标准。</w:t>
                  </w:r>
                </w:p>
                <w:p w14:paraId="6CDF1946">
                  <w:pPr>
                    <w:pStyle w:val="40"/>
                  </w:pPr>
                  <w:r>
                    <w:rPr>
                      <w:rFonts w:hint="eastAsia"/>
                    </w:rPr>
                    <w:t>3.强化污染物排放总量削减。</w:t>
                  </w:r>
                </w:p>
                <w:p w14:paraId="3060CF01">
                  <w:pPr>
                    <w:pStyle w:val="40"/>
                  </w:pPr>
                  <w:r>
                    <w:rPr>
                      <w:rFonts w:hint="eastAsia"/>
                    </w:rPr>
                    <w:t>17.贯彻落实《河北省扬尘污染防治办法》，完善扬尘污染治理技术体系，推进治理精准化和规范化；</w:t>
                  </w:r>
                </w:p>
                <w:p w14:paraId="45F938F9">
                  <w:pPr>
                    <w:pStyle w:val="40"/>
                  </w:pPr>
                  <w:r>
                    <w:rPr>
                      <w:rFonts w:hint="eastAsia"/>
                    </w:rPr>
                    <w:t>18.深化建筑施工扬尘专项整治，严格执行《河北省建筑施工扬尘防治标准》</w:t>
                  </w:r>
                </w:p>
              </w:tc>
              <w:tc>
                <w:tcPr>
                  <w:tcW w:w="1711" w:type="pct"/>
                  <w:shd w:val="clear" w:color="auto" w:fill="auto"/>
                  <w:noWrap/>
                  <w:tcMar>
                    <w:left w:w="28" w:type="dxa"/>
                    <w:right w:w="28" w:type="dxa"/>
                  </w:tcMar>
                  <w:vAlign w:val="center"/>
                </w:tcPr>
                <w:p w14:paraId="3D849F4A">
                  <w:pPr>
                    <w:pStyle w:val="40"/>
                  </w:pPr>
                  <w:r>
                    <w:rPr>
                      <w:rFonts w:hint="eastAsia"/>
                    </w:rPr>
                    <w:t>1.本项目生物质锅炉执行河北省锅炉大气污染物排放标准；</w:t>
                  </w:r>
                </w:p>
                <w:p w14:paraId="3996D62B">
                  <w:pPr>
                    <w:pStyle w:val="40"/>
                  </w:pPr>
                  <w:r>
                    <w:rPr>
                      <w:rFonts w:hint="eastAsia"/>
                    </w:rPr>
                    <w:t>3.本项目生产废水经污水站处理后外运至秦皇岛市抚宁区中冶水务有限公司，项目区域环境空气质量现状基本污染物臭氧不达标，区域为不达标区，项目氮氧化物总量控制指标需倍量削减；</w:t>
                  </w:r>
                </w:p>
                <w:p w14:paraId="4F073737">
                  <w:pPr>
                    <w:pStyle w:val="40"/>
                  </w:pPr>
                  <w:r>
                    <w:rPr>
                      <w:rFonts w:hint="eastAsia"/>
                    </w:rPr>
                    <w:t>17、项目施工期严格按照《河北省扬尘污染防治办法》要求进行施工扬尘防范及治理；</w:t>
                  </w:r>
                </w:p>
                <w:p w14:paraId="51449568">
                  <w:pPr>
                    <w:pStyle w:val="40"/>
                  </w:pPr>
                  <w:r>
                    <w:rPr>
                      <w:rFonts w:hint="eastAsia"/>
                    </w:rPr>
                    <w:t>18、施工期扬尘严格执行《河北省建筑施工扬尘防治标准》</w:t>
                  </w:r>
                </w:p>
              </w:tc>
              <w:tc>
                <w:tcPr>
                  <w:tcW w:w="529" w:type="pct"/>
                  <w:shd w:val="clear" w:color="auto" w:fill="auto"/>
                  <w:noWrap/>
                  <w:tcMar>
                    <w:left w:w="28" w:type="dxa"/>
                    <w:right w:w="28" w:type="dxa"/>
                  </w:tcMar>
                  <w:vAlign w:val="center"/>
                </w:tcPr>
                <w:p w14:paraId="0B4A99F9">
                  <w:pPr>
                    <w:pStyle w:val="40"/>
                  </w:pPr>
                  <w:r>
                    <w:rPr>
                      <w:rFonts w:hint="eastAsia"/>
                    </w:rPr>
                    <w:t>符合</w:t>
                  </w:r>
                </w:p>
              </w:tc>
            </w:tr>
            <w:tr w14:paraId="3710A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13" w:type="pct"/>
                  <w:shd w:val="clear" w:color="auto" w:fill="auto"/>
                  <w:noWrap/>
                  <w:tcMar>
                    <w:left w:w="28" w:type="dxa"/>
                    <w:right w:w="28" w:type="dxa"/>
                  </w:tcMar>
                  <w:vAlign w:val="center"/>
                </w:tcPr>
                <w:p w14:paraId="2BC9AB66">
                  <w:pPr>
                    <w:pStyle w:val="40"/>
                  </w:pPr>
                  <w:r>
                    <w:rPr>
                      <w:rFonts w:hint="eastAsia"/>
                    </w:rPr>
                    <w:t>4</w:t>
                  </w:r>
                </w:p>
              </w:tc>
              <w:tc>
                <w:tcPr>
                  <w:tcW w:w="2446" w:type="pct"/>
                  <w:shd w:val="clear" w:color="auto" w:fill="auto"/>
                  <w:noWrap/>
                  <w:tcMar>
                    <w:left w:w="28" w:type="dxa"/>
                    <w:right w:w="28" w:type="dxa"/>
                  </w:tcMar>
                  <w:vAlign w:val="center"/>
                </w:tcPr>
                <w:p w14:paraId="599FA8BE">
                  <w:pPr>
                    <w:pStyle w:val="40"/>
                  </w:pPr>
                  <w:r>
                    <w:t>表</w:t>
                  </w:r>
                  <w:r>
                    <w:rPr>
                      <w:rFonts w:hint="eastAsia"/>
                    </w:rPr>
                    <w:t>六</w:t>
                  </w:r>
                  <w:r>
                    <w:t>“</w:t>
                  </w:r>
                  <w:r>
                    <w:rPr>
                      <w:rFonts w:hint="eastAsia"/>
                    </w:rPr>
                    <w:t>地表水</w:t>
                  </w:r>
                  <w:r>
                    <w:t>环境总体管控要求”：</w:t>
                  </w:r>
                </w:p>
                <w:p w14:paraId="24FC80FC">
                  <w:pPr>
                    <w:pStyle w:val="40"/>
                  </w:pPr>
                  <w:r>
                    <w:rPr>
                      <w:rFonts w:hint="eastAsia"/>
                    </w:rPr>
                    <w:t>污染物排放管控要求：</w:t>
                  </w:r>
                </w:p>
                <w:p w14:paraId="0BFCABEB">
                  <w:pPr>
                    <w:pStyle w:val="40"/>
                  </w:pPr>
                  <w:r>
                    <w:rPr>
                      <w:rFonts w:hint="eastAsia"/>
                    </w:rPr>
                    <w:t>严格控制高污染、高耗水行业新增产能。</w:t>
                  </w:r>
                </w:p>
              </w:tc>
              <w:tc>
                <w:tcPr>
                  <w:tcW w:w="1711" w:type="pct"/>
                  <w:shd w:val="clear" w:color="auto" w:fill="auto"/>
                  <w:noWrap/>
                  <w:tcMar>
                    <w:left w:w="28" w:type="dxa"/>
                    <w:right w:w="28" w:type="dxa"/>
                  </w:tcMar>
                  <w:vAlign w:val="center"/>
                </w:tcPr>
                <w:p w14:paraId="2E5B5F89">
                  <w:pPr>
                    <w:pStyle w:val="40"/>
                  </w:pPr>
                  <w:r>
                    <w:rPr>
                      <w:rFonts w:hint="eastAsia"/>
                    </w:rPr>
                    <w:t>本项目不属于高污染、高耗水行业</w:t>
                  </w:r>
                </w:p>
              </w:tc>
              <w:tc>
                <w:tcPr>
                  <w:tcW w:w="529" w:type="pct"/>
                  <w:shd w:val="clear" w:color="auto" w:fill="auto"/>
                  <w:noWrap/>
                  <w:tcMar>
                    <w:left w:w="28" w:type="dxa"/>
                    <w:right w:w="28" w:type="dxa"/>
                  </w:tcMar>
                  <w:vAlign w:val="center"/>
                </w:tcPr>
                <w:p w14:paraId="6217C677">
                  <w:pPr>
                    <w:pStyle w:val="40"/>
                  </w:pPr>
                  <w:r>
                    <w:rPr>
                      <w:rFonts w:hint="eastAsia"/>
                    </w:rPr>
                    <w:t>符合</w:t>
                  </w:r>
                </w:p>
              </w:tc>
            </w:tr>
            <w:tr w14:paraId="6052C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13" w:type="pct"/>
                  <w:shd w:val="clear" w:color="auto" w:fill="auto"/>
                  <w:noWrap/>
                  <w:tcMar>
                    <w:left w:w="28" w:type="dxa"/>
                    <w:right w:w="28" w:type="dxa"/>
                  </w:tcMar>
                  <w:vAlign w:val="center"/>
                </w:tcPr>
                <w:p w14:paraId="1B1B7533">
                  <w:pPr>
                    <w:pStyle w:val="40"/>
                  </w:pPr>
                  <w:r>
                    <w:rPr>
                      <w:rFonts w:hint="eastAsia"/>
                    </w:rPr>
                    <w:t>5</w:t>
                  </w:r>
                </w:p>
              </w:tc>
              <w:tc>
                <w:tcPr>
                  <w:tcW w:w="2446" w:type="pct"/>
                  <w:shd w:val="clear" w:color="auto" w:fill="auto"/>
                  <w:noWrap/>
                  <w:tcMar>
                    <w:left w:w="28" w:type="dxa"/>
                    <w:right w:w="28" w:type="dxa"/>
                  </w:tcMar>
                  <w:vAlign w:val="center"/>
                </w:tcPr>
                <w:p w14:paraId="5E1E0FF2">
                  <w:pPr>
                    <w:pStyle w:val="40"/>
                  </w:pPr>
                  <w:r>
                    <w:rPr>
                      <w:rFonts w:hint="eastAsia"/>
                    </w:rPr>
                    <w:t>表九“产业布局总体管控要求”中，与本项目相关的管控要求包括以下内容：1.禁止新建国家《产业结构调整指导目录（2024年本）》中限制类、淘汰类产业项目，《市场准入负面清单》中禁止准入类及《河北省禁</w:t>
                  </w:r>
                </w:p>
                <w:p w14:paraId="1E899270">
                  <w:pPr>
                    <w:pStyle w:val="40"/>
                  </w:pPr>
                  <w:r>
                    <w:rPr>
                      <w:rFonts w:hint="eastAsia"/>
                    </w:rPr>
                    <w:t>止投资的产业目录》、《秦皇岛市限制和禁止投资的产业目录》（2020 年修订版）中的产业项目。</w:t>
                  </w:r>
                </w:p>
                <w:p w14:paraId="755E542B">
                  <w:pPr>
                    <w:pStyle w:val="40"/>
                  </w:pPr>
                  <w:r>
                    <w:rPr>
                      <w:rFonts w:hint="eastAsia"/>
                    </w:rPr>
                    <w:t>2.严格控制建设《环境保护综合名录 (2021 版)》中的高污染、高风险产品加工项目。严格控制在生态脆弱或环境敏感地区建设高污染、高耗能”行业项目。</w:t>
                  </w:r>
                </w:p>
                <w:p w14:paraId="1FDEEA29">
                  <w:pPr>
                    <w:pStyle w:val="40"/>
                  </w:pPr>
                  <w:r>
                    <w:rPr>
                      <w:rFonts w:hint="eastAsia"/>
                    </w:rPr>
                    <w:t xml:space="preserve">5.上一年度环境空气质量年均浓度不达标、水环境质量未达到要求的区县，相关新增污染物应按照建设项目所需替代的主要污染物排放总量指标的2倍进行削减替代（燃煤发电机组大气污染物排放浓度基本达到燃气轮机组排放限值的除外）；PM </w:t>
                  </w:r>
                  <w:r>
                    <w:rPr>
                      <w:rFonts w:hint="eastAsia"/>
                      <w:vertAlign w:val="subscript"/>
                    </w:rPr>
                    <w:t>2.5</w:t>
                  </w:r>
                  <w:r>
                    <w:rPr>
                      <w:rFonts w:hint="eastAsia"/>
                    </w:rPr>
                    <w:t>年均浓度不达标的区县，二氧化硫、氮氧化物、烟粉尘、挥发性有机物四项污染物均需进行2倍削减替代（燃煤发电机组大气污染物排放浓度基本达到燃气轮机组排放限值的除外）。</w:t>
                  </w:r>
                </w:p>
              </w:tc>
              <w:tc>
                <w:tcPr>
                  <w:tcW w:w="1711" w:type="pct"/>
                  <w:shd w:val="clear" w:color="auto" w:fill="auto"/>
                  <w:noWrap/>
                  <w:tcMar>
                    <w:left w:w="28" w:type="dxa"/>
                    <w:right w:w="28" w:type="dxa"/>
                  </w:tcMar>
                  <w:vAlign w:val="center"/>
                </w:tcPr>
                <w:p w14:paraId="5132A84D">
                  <w:pPr>
                    <w:pStyle w:val="40"/>
                  </w:pPr>
                  <w:r>
                    <w:rPr>
                      <w:rFonts w:hint="eastAsia"/>
                    </w:rPr>
                    <w:t>1.本项目不属于上述文件中的限制、淘汰、禁止准入类。</w:t>
                  </w:r>
                </w:p>
                <w:p w14:paraId="5D7E862C">
                  <w:pPr>
                    <w:pStyle w:val="40"/>
                  </w:pPr>
                  <w:r>
                    <w:rPr>
                      <w:rFonts w:hint="eastAsia"/>
                    </w:rPr>
                    <w:t>2. 本项目不属于名录中“高污染、高风险”产品加工项目，不属于“两高”行业项目。</w:t>
                  </w:r>
                </w:p>
                <w:p w14:paraId="21ECC24B">
                  <w:pPr>
                    <w:pStyle w:val="40"/>
                  </w:pPr>
                  <w:r>
                    <w:rPr>
                      <w:rFonts w:hint="eastAsia"/>
                    </w:rPr>
                    <w:t>5. 本项目所在区域2023年度</w:t>
                  </w:r>
                  <w:r>
                    <w:t>环境空气质量现状</w:t>
                  </w:r>
                  <w:r>
                    <w:rPr>
                      <w:rFonts w:hint="eastAsia"/>
                    </w:rPr>
                    <w:t>基本污染物臭氧不达标，</w:t>
                  </w:r>
                  <w:bookmarkStart w:id="6" w:name="OLE_LINK24"/>
                  <w:bookmarkStart w:id="7" w:name="OLE_LINK26"/>
                  <w:r>
                    <w:rPr>
                      <w:rFonts w:hint="eastAsia"/>
                    </w:rPr>
                    <w:t>项目</w:t>
                  </w:r>
                  <w:bookmarkEnd w:id="6"/>
                  <w:bookmarkEnd w:id="7"/>
                  <w:r>
                    <w:rPr>
                      <w:rFonts w:hint="eastAsia"/>
                    </w:rPr>
                    <w:t>氮氧化物总量控制指标需倍量削减替代。</w:t>
                  </w:r>
                </w:p>
              </w:tc>
              <w:tc>
                <w:tcPr>
                  <w:tcW w:w="529" w:type="pct"/>
                  <w:shd w:val="clear" w:color="auto" w:fill="auto"/>
                  <w:noWrap/>
                  <w:tcMar>
                    <w:left w:w="28" w:type="dxa"/>
                    <w:right w:w="28" w:type="dxa"/>
                  </w:tcMar>
                  <w:vAlign w:val="center"/>
                </w:tcPr>
                <w:p w14:paraId="58F48586">
                  <w:pPr>
                    <w:pStyle w:val="40"/>
                  </w:pPr>
                  <w:r>
                    <w:rPr>
                      <w:rFonts w:hint="eastAsia"/>
                    </w:rPr>
                    <w:t>符合</w:t>
                  </w:r>
                </w:p>
              </w:tc>
            </w:tr>
          </w:tbl>
          <w:p w14:paraId="6085453C">
            <w:pPr>
              <w:pStyle w:val="59"/>
            </w:pPr>
            <w:r>
              <w:rPr>
                <w:rFonts w:hint="eastAsia"/>
              </w:rPr>
              <w:t>根据《秦皇岛市人民政府办公室关于</w:t>
            </w:r>
            <w:r>
              <w:rPr>
                <w:rStyle w:val="31"/>
                <w:rFonts w:hint="eastAsia"/>
                <w:bCs/>
                <w:kern w:val="0"/>
                <w:szCs w:val="20"/>
              </w:rPr>
              <w:t>实施生态环境分区管控动态更新成果的通知</w:t>
            </w:r>
            <w:r>
              <w:rPr>
                <w:rFonts w:hint="eastAsia"/>
              </w:rPr>
              <w:t>》（秦皇岛市人民政府办公室</w:t>
            </w:r>
            <w:r>
              <w:t>，202</w:t>
            </w:r>
            <w:r>
              <w:rPr>
                <w:rFonts w:hint="eastAsia"/>
              </w:rPr>
              <w:t>4</w:t>
            </w:r>
            <w:r>
              <w:t>年</w:t>
            </w:r>
            <w:r>
              <w:rPr>
                <w:rFonts w:hint="eastAsia"/>
              </w:rPr>
              <w:t>6</w:t>
            </w:r>
            <w:r>
              <w:t>月</w:t>
            </w:r>
            <w:r>
              <w:rPr>
                <w:rFonts w:hint="eastAsia"/>
              </w:rPr>
              <w:t>7</w:t>
            </w:r>
            <w:r>
              <w:t>日），项目位于重点管控单元 ZH130306200</w:t>
            </w:r>
            <w:r>
              <w:rPr>
                <w:rFonts w:hint="eastAsia"/>
              </w:rPr>
              <w:t>62</w:t>
            </w:r>
            <w:r>
              <w:t>范围内，该管控单元准入要求</w:t>
            </w:r>
            <w:r>
              <w:rPr>
                <w:rFonts w:hint="eastAsia"/>
              </w:rPr>
              <w:t>中从空间布局约束、污染物排放管控、环境风险防范及资源利用率四个方面进行管控。</w:t>
            </w:r>
          </w:p>
          <w:p w14:paraId="2CF22A0B">
            <w:pPr>
              <w:pStyle w:val="71"/>
              <w:widowControl w:val="0"/>
              <w:spacing w:beforeLines="50"/>
              <w:ind w:firstLine="422"/>
              <w:rPr>
                <w:rFonts w:hint="default"/>
                <w:kern w:val="2"/>
              </w:rPr>
            </w:pPr>
            <w:r>
              <w:t>本项目所在管控单元准入清单</w:t>
            </w:r>
          </w:p>
          <w:tbl>
            <w:tblPr>
              <w:tblStyle w:val="25"/>
              <w:tblW w:w="66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45"/>
              <w:gridCol w:w="567"/>
              <w:gridCol w:w="3402"/>
              <w:gridCol w:w="1574"/>
              <w:gridCol w:w="590"/>
            </w:tblGrid>
            <w:tr w14:paraId="4F5D8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545" w:type="dxa"/>
                  <w:vAlign w:val="center"/>
                </w:tcPr>
                <w:p w14:paraId="5A2E4FAE">
                  <w:pPr>
                    <w:pStyle w:val="40"/>
                  </w:pPr>
                  <w:r>
                    <w:rPr>
                      <w:rFonts w:hint="eastAsia"/>
                    </w:rPr>
                    <w:t>编号</w:t>
                  </w:r>
                </w:p>
              </w:tc>
              <w:tc>
                <w:tcPr>
                  <w:tcW w:w="567" w:type="dxa"/>
                  <w:vAlign w:val="center"/>
                </w:tcPr>
                <w:p w14:paraId="71A8D3CD">
                  <w:pPr>
                    <w:pStyle w:val="40"/>
                  </w:pPr>
                  <w:r>
                    <w:t>维度</w:t>
                  </w:r>
                </w:p>
              </w:tc>
              <w:tc>
                <w:tcPr>
                  <w:tcW w:w="3402" w:type="dxa"/>
                  <w:vAlign w:val="center"/>
                </w:tcPr>
                <w:p w14:paraId="2839DD11">
                  <w:pPr>
                    <w:pStyle w:val="40"/>
                  </w:pPr>
                  <w:r>
                    <w:t>准入要求</w:t>
                  </w:r>
                </w:p>
              </w:tc>
              <w:tc>
                <w:tcPr>
                  <w:tcW w:w="1574" w:type="dxa"/>
                  <w:vAlign w:val="center"/>
                </w:tcPr>
                <w:p w14:paraId="19D5E1EB">
                  <w:pPr>
                    <w:pStyle w:val="40"/>
                  </w:pPr>
                  <w:r>
                    <w:t>本项目</w:t>
                  </w:r>
                </w:p>
              </w:tc>
              <w:tc>
                <w:tcPr>
                  <w:tcW w:w="590" w:type="dxa"/>
                  <w:vAlign w:val="center"/>
                </w:tcPr>
                <w:p w14:paraId="62884F47">
                  <w:pPr>
                    <w:pStyle w:val="40"/>
                  </w:pPr>
                  <w:r>
                    <w:t>符合性</w:t>
                  </w:r>
                </w:p>
              </w:tc>
            </w:tr>
            <w:tr w14:paraId="517DE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90" w:hRule="atLeast"/>
                <w:jc w:val="center"/>
              </w:trPr>
              <w:tc>
                <w:tcPr>
                  <w:tcW w:w="545" w:type="dxa"/>
                  <w:vMerge w:val="restart"/>
                  <w:vAlign w:val="center"/>
                </w:tcPr>
                <w:p w14:paraId="731B2FF4">
                  <w:pPr>
                    <w:pStyle w:val="40"/>
                  </w:pPr>
                  <w:r>
                    <w:t>ZH130306200</w:t>
                  </w:r>
                  <w:r>
                    <w:rPr>
                      <w:rFonts w:hint="eastAsia"/>
                    </w:rPr>
                    <w:t>62</w:t>
                  </w:r>
                </w:p>
              </w:tc>
              <w:tc>
                <w:tcPr>
                  <w:tcW w:w="567" w:type="dxa"/>
                  <w:vAlign w:val="center"/>
                </w:tcPr>
                <w:p w14:paraId="59F48068">
                  <w:pPr>
                    <w:pStyle w:val="40"/>
                  </w:pPr>
                  <w:r>
                    <w:t>空间布局约束</w:t>
                  </w:r>
                </w:p>
              </w:tc>
              <w:tc>
                <w:tcPr>
                  <w:tcW w:w="3402" w:type="dxa"/>
                  <w:vAlign w:val="center"/>
                </w:tcPr>
                <w:p w14:paraId="7015F2E0">
                  <w:pPr>
                    <w:pStyle w:val="40"/>
                  </w:pPr>
                  <w:r>
                    <w:rPr>
                      <w:rFonts w:hint="eastAsia"/>
                    </w:rPr>
                    <w:t>1、加快城市建成区玻璃行业搬迁改造或关闭退出，原则上2025年之前完成。2、禁止建设生产和使用高VOCs 含量的溶剂型涂料、油墨、胶粘剂等项目。</w:t>
                  </w:r>
                </w:p>
              </w:tc>
              <w:tc>
                <w:tcPr>
                  <w:tcW w:w="1574" w:type="dxa"/>
                  <w:vAlign w:val="center"/>
                </w:tcPr>
                <w:p w14:paraId="61A96C45">
                  <w:pPr>
                    <w:pStyle w:val="40"/>
                  </w:pPr>
                  <w:r>
                    <w:rPr>
                      <w:rFonts w:hint="eastAsia"/>
                    </w:rPr>
                    <w:t>1、本项目</w:t>
                  </w:r>
                </w:p>
                <w:p w14:paraId="6F1CAAA5">
                  <w:pPr>
                    <w:pStyle w:val="40"/>
                  </w:pPr>
                  <w:r>
                    <w:rPr>
                      <w:rFonts w:hint="eastAsia"/>
                    </w:rPr>
                    <w:t>不涉及；</w:t>
                  </w:r>
                </w:p>
                <w:p w14:paraId="0015521D">
                  <w:pPr>
                    <w:pStyle w:val="40"/>
                  </w:pPr>
                  <w:r>
                    <w:rPr>
                      <w:rFonts w:hint="eastAsia"/>
                    </w:rPr>
                    <w:t>2、本项目</w:t>
                  </w:r>
                </w:p>
                <w:p w14:paraId="2E0A4DA7">
                  <w:pPr>
                    <w:pStyle w:val="40"/>
                  </w:pPr>
                  <w:r>
                    <w:rPr>
                      <w:rFonts w:hint="eastAsia"/>
                    </w:rPr>
                    <w:t>不涉及。</w:t>
                  </w:r>
                </w:p>
              </w:tc>
              <w:tc>
                <w:tcPr>
                  <w:tcW w:w="590" w:type="dxa"/>
                  <w:vAlign w:val="center"/>
                </w:tcPr>
                <w:p w14:paraId="07099121">
                  <w:pPr>
                    <w:pStyle w:val="40"/>
                  </w:pPr>
                  <w:r>
                    <w:t>符合</w:t>
                  </w:r>
                </w:p>
              </w:tc>
            </w:tr>
            <w:tr w14:paraId="3D9B3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93" w:hRule="atLeast"/>
                <w:jc w:val="center"/>
              </w:trPr>
              <w:tc>
                <w:tcPr>
                  <w:tcW w:w="545" w:type="dxa"/>
                  <w:vMerge w:val="continue"/>
                  <w:vAlign w:val="center"/>
                </w:tcPr>
                <w:p w14:paraId="5815828C">
                  <w:pPr>
                    <w:pStyle w:val="40"/>
                  </w:pPr>
                </w:p>
              </w:tc>
              <w:tc>
                <w:tcPr>
                  <w:tcW w:w="567" w:type="dxa"/>
                  <w:vAlign w:val="center"/>
                </w:tcPr>
                <w:p w14:paraId="7B08D2F7">
                  <w:pPr>
                    <w:pStyle w:val="40"/>
                  </w:pPr>
                  <w:r>
                    <w:t>污染物排放管控</w:t>
                  </w:r>
                </w:p>
              </w:tc>
              <w:tc>
                <w:tcPr>
                  <w:tcW w:w="3402" w:type="dxa"/>
                  <w:vAlign w:val="center"/>
                </w:tcPr>
                <w:p w14:paraId="7BDEEFBE">
                  <w:pPr>
                    <w:pStyle w:val="40"/>
                  </w:pPr>
                  <w:r>
                    <w:rPr>
                      <w:rFonts w:hint="eastAsia"/>
                    </w:rPr>
                    <w:t>1、城市和县城建成区禁止新建</w:t>
                  </w:r>
                  <w:bookmarkStart w:id="8" w:name="OLE_LINK23"/>
                  <w:bookmarkStart w:id="9" w:name="OLE_LINK27"/>
                  <w:r>
                    <w:rPr>
                      <w:rFonts w:hint="eastAsia"/>
                    </w:rPr>
                    <w:t>35蒸吨/小时及以下生物质锅炉，</w:t>
                  </w:r>
                  <w:bookmarkEnd w:id="8"/>
                  <w:bookmarkEnd w:id="9"/>
                  <w:r>
                    <w:rPr>
                      <w:rFonts w:hint="eastAsia"/>
                    </w:rPr>
                    <w:t>35蒸吨/小时以上的生物质锅炉要达到超低排放标准。2、</w:t>
                  </w:r>
                  <w:bookmarkStart w:id="10" w:name="OLE_LINK39"/>
                  <w:bookmarkStart w:id="11" w:name="OLE_LINK28"/>
                  <w:r>
                    <w:rPr>
                      <w:rFonts w:hint="eastAsia"/>
                    </w:rPr>
                    <w:t>木制家具制造</w:t>
                  </w:r>
                  <w:bookmarkEnd w:id="10"/>
                  <w:bookmarkEnd w:id="11"/>
                  <w:r>
                    <w:rPr>
                      <w:rFonts w:hint="eastAsia"/>
                    </w:rPr>
                    <w:t>大力推广使用水性/辐射固化/粉末等涂料和水性胶粘剂。3、涉VOCs企业全面完成整治任务，实现稳定达标排放。安装在线监测或超标报警装置。4、涂料行业执行《涂料、油墨及胶粘剂工业大气污染物排放标准》（GB37824—2019）。5、木质家具制造行业执行《工业企业挥发性有机物排放控制标准》（DB13/2322-2016）及《挥发性有机物无组织排放控制标准》（GB37822-2019）相关排放要求。6、包装装潢及其他印刷执行《工业企业挥发性有机物排放控制标准》DB13/2322-2016。7、塑料行业执行《合成树脂工业污染物排放标准》</w:t>
                  </w:r>
                </w:p>
                <w:p w14:paraId="4ED7D926">
                  <w:pPr>
                    <w:pStyle w:val="40"/>
                  </w:pPr>
                  <w:r>
                    <w:rPr>
                      <w:rFonts w:hint="eastAsia"/>
                    </w:rPr>
                    <w:t>（GB31572-2015）、《工业企业挥发性有机物排放控制标准》（DB13/2322-2016）及《挥发性有机物无组织排放控制标准》（GB37822-2019）相关排放要求。</w:t>
                  </w:r>
                </w:p>
              </w:tc>
              <w:tc>
                <w:tcPr>
                  <w:tcW w:w="1574" w:type="dxa"/>
                  <w:vAlign w:val="center"/>
                </w:tcPr>
                <w:p w14:paraId="305A8CF6">
                  <w:pPr>
                    <w:pStyle w:val="40"/>
                  </w:pPr>
                  <w:r>
                    <w:rPr>
                      <w:rFonts w:hint="eastAsia"/>
                    </w:rPr>
                    <w:t>1、本项目位于抚宁区坟坨村，不在城市和县城建成区，本项目新建1台4蒸吨/小时的生物质锅炉为生产提供蒸汽；</w:t>
                  </w:r>
                </w:p>
                <w:p w14:paraId="3AC2EE24">
                  <w:pPr>
                    <w:pStyle w:val="40"/>
                  </w:pPr>
                  <w:r>
                    <w:rPr>
                      <w:rFonts w:hint="eastAsia"/>
                    </w:rPr>
                    <w:t>2、本项目不涉及木制家具制造；</w:t>
                  </w:r>
                </w:p>
                <w:p w14:paraId="17991A44">
                  <w:pPr>
                    <w:pStyle w:val="40"/>
                  </w:pPr>
                  <w:r>
                    <w:rPr>
                      <w:rFonts w:hint="eastAsia"/>
                    </w:rPr>
                    <w:t>3、本项目不涉及VOCs；</w:t>
                  </w:r>
                </w:p>
                <w:p w14:paraId="3BCA099E">
                  <w:pPr>
                    <w:pStyle w:val="40"/>
                  </w:pPr>
                  <w:r>
                    <w:rPr>
                      <w:rFonts w:hint="eastAsia"/>
                    </w:rPr>
                    <w:t>4、本项目不涉及涂料行业；</w:t>
                  </w:r>
                </w:p>
                <w:p w14:paraId="243C2894">
                  <w:pPr>
                    <w:pStyle w:val="40"/>
                  </w:pPr>
                  <w:r>
                    <w:rPr>
                      <w:rFonts w:hint="eastAsia"/>
                    </w:rPr>
                    <w:t>5、本项目不涉及木质家具制造行业；</w:t>
                  </w:r>
                </w:p>
                <w:p w14:paraId="00E79CC8">
                  <w:pPr>
                    <w:pStyle w:val="40"/>
                  </w:pPr>
                  <w:r>
                    <w:rPr>
                      <w:rFonts w:hint="eastAsia"/>
                    </w:rPr>
                    <w:t>6、本项目不涉及包装装潢及其他印刷；</w:t>
                  </w:r>
                </w:p>
                <w:p w14:paraId="51B48911">
                  <w:pPr>
                    <w:pStyle w:val="40"/>
                  </w:pPr>
                  <w:r>
                    <w:rPr>
                      <w:rFonts w:hint="eastAsia"/>
                    </w:rPr>
                    <w:t>7、本项目不涉及塑料行业。</w:t>
                  </w:r>
                </w:p>
              </w:tc>
              <w:tc>
                <w:tcPr>
                  <w:tcW w:w="590" w:type="dxa"/>
                  <w:vAlign w:val="center"/>
                </w:tcPr>
                <w:p w14:paraId="661754E2">
                  <w:pPr>
                    <w:pStyle w:val="40"/>
                  </w:pPr>
                  <w:r>
                    <w:t>符合</w:t>
                  </w:r>
                </w:p>
              </w:tc>
            </w:tr>
            <w:tr w14:paraId="6C28E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76" w:hRule="atLeast"/>
                <w:jc w:val="center"/>
              </w:trPr>
              <w:tc>
                <w:tcPr>
                  <w:tcW w:w="545" w:type="dxa"/>
                  <w:vMerge w:val="continue"/>
                  <w:vAlign w:val="center"/>
                </w:tcPr>
                <w:p w14:paraId="50FD282F">
                  <w:pPr>
                    <w:pStyle w:val="40"/>
                  </w:pPr>
                </w:p>
              </w:tc>
              <w:tc>
                <w:tcPr>
                  <w:tcW w:w="567" w:type="dxa"/>
                  <w:vAlign w:val="center"/>
                </w:tcPr>
                <w:p w14:paraId="5E95A1D3">
                  <w:pPr>
                    <w:pStyle w:val="40"/>
                  </w:pPr>
                  <w:r>
                    <w:t>环境风险防控</w:t>
                  </w:r>
                </w:p>
              </w:tc>
              <w:tc>
                <w:tcPr>
                  <w:tcW w:w="3402" w:type="dxa"/>
                  <w:vAlign w:val="center"/>
                </w:tcPr>
                <w:p w14:paraId="309ED9B0">
                  <w:pPr>
                    <w:pStyle w:val="40"/>
                  </w:pPr>
                  <w:r>
                    <w:rPr>
                      <w:rFonts w:hint="eastAsia"/>
                    </w:rPr>
                    <w:t>1、有关企业要严格遵守环境保护法律、法规，认真履行污染治理责任，建立环境保护责任制度，</w:t>
                  </w:r>
                </w:p>
                <w:p w14:paraId="0A7BD732">
                  <w:pPr>
                    <w:pStyle w:val="40"/>
                  </w:pPr>
                  <w:r>
                    <w:rPr>
                      <w:rFonts w:hint="eastAsia"/>
                    </w:rPr>
                    <w:t>将土壤污染防治纳入环境风险防控体系。2、确定地下水污染来源和路径，进行污染风险评估。</w:t>
                  </w:r>
                </w:p>
              </w:tc>
              <w:tc>
                <w:tcPr>
                  <w:tcW w:w="1574" w:type="dxa"/>
                  <w:vAlign w:val="center"/>
                </w:tcPr>
                <w:p w14:paraId="76A387C1">
                  <w:pPr>
                    <w:pStyle w:val="40"/>
                  </w:pPr>
                  <w:r>
                    <w:rPr>
                      <w:rFonts w:hint="eastAsia"/>
                    </w:rPr>
                    <w:t>1、本项目严格遵守环境保护法律、法规，认真履行污染治理责任，建立环境保护责任制度；</w:t>
                  </w:r>
                </w:p>
                <w:p w14:paraId="46A4CAD1">
                  <w:pPr>
                    <w:pStyle w:val="40"/>
                  </w:pPr>
                  <w:r>
                    <w:rPr>
                      <w:rFonts w:hint="eastAsia"/>
                    </w:rPr>
                    <w:t>2、本项目不涉及地下水污染。</w:t>
                  </w:r>
                </w:p>
              </w:tc>
              <w:tc>
                <w:tcPr>
                  <w:tcW w:w="590" w:type="dxa"/>
                  <w:vAlign w:val="center"/>
                </w:tcPr>
                <w:p w14:paraId="7BF22286">
                  <w:pPr>
                    <w:pStyle w:val="40"/>
                  </w:pPr>
                  <w:r>
                    <w:t>符合</w:t>
                  </w:r>
                </w:p>
              </w:tc>
            </w:tr>
            <w:tr w14:paraId="2FF37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545" w:type="dxa"/>
                  <w:vMerge w:val="continue"/>
                  <w:vAlign w:val="center"/>
                </w:tcPr>
                <w:p w14:paraId="6A792A79">
                  <w:pPr>
                    <w:pStyle w:val="40"/>
                  </w:pPr>
                </w:p>
              </w:tc>
              <w:tc>
                <w:tcPr>
                  <w:tcW w:w="567" w:type="dxa"/>
                  <w:vAlign w:val="center"/>
                </w:tcPr>
                <w:p w14:paraId="75C2B8BA">
                  <w:pPr>
                    <w:pStyle w:val="40"/>
                  </w:pPr>
                  <w:r>
                    <w:t>资源利用效率</w:t>
                  </w:r>
                </w:p>
              </w:tc>
              <w:tc>
                <w:tcPr>
                  <w:tcW w:w="3402" w:type="dxa"/>
                  <w:vAlign w:val="center"/>
                </w:tcPr>
                <w:p w14:paraId="0E604666">
                  <w:pPr>
                    <w:pStyle w:val="40"/>
                  </w:pPr>
                  <w:r>
                    <w:rPr>
                      <w:rFonts w:hint="eastAsia"/>
                    </w:rPr>
                    <w:t>1、淘汰集中供热管网覆盖范围内的散煤。2、</w:t>
                  </w:r>
                  <w:bookmarkStart w:id="12" w:name="OLE_LINK55"/>
                  <w:bookmarkStart w:id="13" w:name="OLE_LINK40"/>
                  <w:r>
                    <w:rPr>
                      <w:rFonts w:hint="eastAsia"/>
                    </w:rPr>
                    <w:t>禁燃区内</w:t>
                  </w:r>
                  <w:bookmarkEnd w:id="12"/>
                  <w:bookmarkEnd w:id="13"/>
                  <w:r>
                    <w:rPr>
                      <w:rFonts w:hint="eastAsia"/>
                    </w:rPr>
                    <w:t>任何单位不得新建、扩建高污染燃料燃用设施，不得将其他燃料燃用设施改造为高污染燃料燃用设施(符合政策文件要求的集中供热设施除外)。3、淘汰公共建筑中不符合节水标准的水嘴、便器水箱等生活用水器具。</w:t>
                  </w:r>
                </w:p>
              </w:tc>
              <w:tc>
                <w:tcPr>
                  <w:tcW w:w="1574" w:type="dxa"/>
                  <w:vAlign w:val="center"/>
                </w:tcPr>
                <w:p w14:paraId="4CF8E11A">
                  <w:pPr>
                    <w:pStyle w:val="40"/>
                  </w:pPr>
                  <w:r>
                    <w:rPr>
                      <w:rFonts w:hint="eastAsia"/>
                    </w:rPr>
                    <w:t>1、本项目不涉及；</w:t>
                  </w:r>
                </w:p>
                <w:p w14:paraId="1C201706">
                  <w:pPr>
                    <w:pStyle w:val="40"/>
                  </w:pPr>
                  <w:r>
                    <w:rPr>
                      <w:rFonts w:hint="eastAsia"/>
                    </w:rPr>
                    <w:t>2、本项目不在禁燃区内；</w:t>
                  </w:r>
                </w:p>
                <w:p w14:paraId="54EEC9E1">
                  <w:pPr>
                    <w:pStyle w:val="40"/>
                  </w:pPr>
                  <w:r>
                    <w:rPr>
                      <w:rFonts w:hint="eastAsia"/>
                    </w:rPr>
                    <w:t>3、本项目不涉及。</w:t>
                  </w:r>
                </w:p>
              </w:tc>
              <w:tc>
                <w:tcPr>
                  <w:tcW w:w="590" w:type="dxa"/>
                  <w:vAlign w:val="center"/>
                </w:tcPr>
                <w:p w14:paraId="0FC24566">
                  <w:pPr>
                    <w:pStyle w:val="40"/>
                  </w:pPr>
                  <w:r>
                    <w:t>符合</w:t>
                  </w:r>
                </w:p>
              </w:tc>
            </w:tr>
          </w:tbl>
          <w:p w14:paraId="58BEAF4B">
            <w:pPr>
              <w:adjustRightInd w:val="0"/>
              <w:snapToGrid w:val="0"/>
              <w:spacing w:line="400" w:lineRule="exact"/>
              <w:ind w:firstLine="420"/>
              <w:rPr>
                <w:bCs/>
                <w:szCs w:val="21"/>
              </w:rPr>
            </w:pPr>
            <w:r>
              <w:rPr>
                <w:rFonts w:hint="eastAsia" w:ascii="宋体" w:hAnsi="宋体" w:cs="宋体"/>
                <w:bCs/>
                <w:szCs w:val="21"/>
              </w:rPr>
              <w:t>综上所述，项目满足《</w:t>
            </w:r>
            <w:r>
              <w:rPr>
                <w:rFonts w:hAnsi="宋体"/>
                <w:bCs/>
                <w:szCs w:val="21"/>
              </w:rPr>
              <w:t>秦皇岛市人民政府关于秦皇岛市</w:t>
            </w:r>
            <w:r>
              <w:rPr>
                <w:bCs/>
                <w:szCs w:val="21"/>
              </w:rPr>
              <w:t>“</w:t>
            </w:r>
            <w:r>
              <w:rPr>
                <w:rFonts w:hAnsi="宋体"/>
                <w:bCs/>
                <w:szCs w:val="21"/>
              </w:rPr>
              <w:t>三线一单</w:t>
            </w:r>
            <w:r>
              <w:rPr>
                <w:bCs/>
                <w:szCs w:val="21"/>
              </w:rPr>
              <w:t>”</w:t>
            </w:r>
            <w:r>
              <w:rPr>
                <w:rFonts w:hAnsi="宋体"/>
                <w:bCs/>
                <w:szCs w:val="21"/>
              </w:rPr>
              <w:t>生态环境分区管控的实施意见》（秦政字</w:t>
            </w:r>
            <w:r>
              <w:rPr>
                <w:bCs/>
                <w:szCs w:val="21"/>
              </w:rPr>
              <w:t>[2021]6</w:t>
            </w:r>
            <w:r>
              <w:rPr>
                <w:rFonts w:hAnsi="宋体"/>
                <w:bCs/>
                <w:szCs w:val="21"/>
              </w:rPr>
              <w:t>号）及</w:t>
            </w:r>
            <w:r>
              <w:rPr>
                <w:rFonts w:hint="eastAsia"/>
              </w:rPr>
              <w:t>《秦皇岛市人民政府办公室关于</w:t>
            </w:r>
            <w:r>
              <w:rPr>
                <w:rStyle w:val="31"/>
                <w:rFonts w:hint="eastAsia"/>
                <w:bCs/>
                <w:kern w:val="0"/>
                <w:szCs w:val="20"/>
              </w:rPr>
              <w:t>实施生态环境分区管控动态更新成果的通知</w:t>
            </w:r>
            <w:r>
              <w:rPr>
                <w:rFonts w:hint="eastAsia"/>
              </w:rPr>
              <w:t>》（秦皇岛市人民政府办公室</w:t>
            </w:r>
            <w:r>
              <w:t>，202</w:t>
            </w:r>
            <w:r>
              <w:rPr>
                <w:rFonts w:hint="eastAsia"/>
              </w:rPr>
              <w:t>4</w:t>
            </w:r>
            <w:r>
              <w:t>年</w:t>
            </w:r>
            <w:r>
              <w:rPr>
                <w:rFonts w:hint="eastAsia"/>
              </w:rPr>
              <w:t>6</w:t>
            </w:r>
            <w:r>
              <w:t>月</w:t>
            </w:r>
            <w:r>
              <w:rPr>
                <w:rFonts w:hint="eastAsia"/>
              </w:rPr>
              <w:t>7</w:t>
            </w:r>
            <w:r>
              <w:t>日）</w:t>
            </w:r>
            <w:r>
              <w:rPr>
                <w:rFonts w:hAnsi="宋体"/>
                <w:bCs/>
                <w:szCs w:val="21"/>
              </w:rPr>
              <w:t>中的生态环境分区管控要求，符合文件中的生态环境准入清单要求</w:t>
            </w:r>
            <w:r>
              <w:rPr>
                <w:rFonts w:hint="eastAsia" w:hAnsi="宋体"/>
                <w:bCs/>
                <w:szCs w:val="21"/>
              </w:rPr>
              <w:t>，</w:t>
            </w:r>
            <w:r>
              <w:rPr>
                <w:rFonts w:hint="eastAsia"/>
                <w:kern w:val="0"/>
                <w:szCs w:val="21"/>
              </w:rPr>
              <w:t>满足</w:t>
            </w:r>
            <w:r>
              <w:rPr>
                <w:rFonts w:hint="eastAsia" w:ascii="宋体" w:hAnsi="宋体" w:cs="宋体"/>
                <w:bCs/>
                <w:szCs w:val="21"/>
              </w:rPr>
              <w:t>“三线一单”要求。</w:t>
            </w:r>
          </w:p>
          <w:p w14:paraId="043EEB9D">
            <w:pPr>
              <w:adjustRightInd w:val="0"/>
              <w:snapToGrid w:val="0"/>
              <w:spacing w:line="400" w:lineRule="exact"/>
              <w:ind w:firstLine="422"/>
              <w:rPr>
                <w:b/>
                <w:szCs w:val="21"/>
              </w:rPr>
            </w:pPr>
            <w:r>
              <w:rPr>
                <w:b/>
                <w:szCs w:val="21"/>
              </w:rPr>
              <w:t>2、相关生态环境保护法律法规政策</w:t>
            </w:r>
          </w:p>
          <w:p w14:paraId="1594C0F3">
            <w:pPr>
              <w:adjustRightInd w:val="0"/>
              <w:snapToGrid w:val="0"/>
              <w:spacing w:line="400" w:lineRule="exact"/>
              <w:ind w:firstLine="420"/>
              <w:rPr>
                <w:bCs/>
                <w:szCs w:val="21"/>
              </w:rPr>
            </w:pPr>
            <w:r>
              <w:rPr>
                <w:rFonts w:hint="eastAsia"/>
                <w:bCs/>
                <w:kern w:val="0"/>
                <w:szCs w:val="21"/>
              </w:rPr>
              <w:t>（1）产业政策符合性</w:t>
            </w:r>
          </w:p>
          <w:p w14:paraId="3569AF01">
            <w:pPr>
              <w:adjustRightInd w:val="0"/>
              <w:snapToGrid w:val="0"/>
              <w:spacing w:line="400" w:lineRule="exact"/>
              <w:ind w:firstLine="420"/>
              <w:rPr>
                <w:bCs/>
                <w:szCs w:val="21"/>
              </w:rPr>
            </w:pPr>
            <w:r>
              <w:rPr>
                <w:bCs/>
                <w:szCs w:val="21"/>
              </w:rPr>
              <w:t>本项目</w:t>
            </w:r>
            <w:r>
              <w:rPr>
                <w:rFonts w:hint="eastAsia"/>
                <w:bCs/>
                <w:szCs w:val="21"/>
              </w:rPr>
              <w:t>不</w:t>
            </w:r>
            <w:r>
              <w:rPr>
                <w:rFonts w:hint="eastAsia"/>
                <w:kern w:val="0"/>
                <w:szCs w:val="21"/>
              </w:rPr>
              <w:t>属于</w:t>
            </w:r>
            <w:r>
              <w:rPr>
                <w:rFonts w:ascii="宋体" w:hAnsi="宋体"/>
                <w:kern w:val="0"/>
                <w:szCs w:val="21"/>
              </w:rPr>
              <w:t>《产业结构调</w:t>
            </w:r>
            <w:r>
              <w:rPr>
                <w:rFonts w:hAnsi="宋体"/>
                <w:kern w:val="0"/>
                <w:szCs w:val="21"/>
              </w:rPr>
              <w:t>整指导目录（</w:t>
            </w:r>
            <w:r>
              <w:rPr>
                <w:kern w:val="0"/>
                <w:szCs w:val="21"/>
              </w:rPr>
              <w:t>2024</w:t>
            </w:r>
            <w:r>
              <w:rPr>
                <w:rFonts w:hAnsi="宋体"/>
                <w:kern w:val="0"/>
                <w:szCs w:val="21"/>
              </w:rPr>
              <w:t>年本）》中鼓励类</w:t>
            </w:r>
            <w:r>
              <w:rPr>
                <w:rFonts w:hint="eastAsia" w:hAnsi="宋体"/>
                <w:kern w:val="0"/>
                <w:szCs w:val="21"/>
              </w:rPr>
              <w:t>、限制类和淘汰类项目，属于允许类项目</w:t>
            </w:r>
            <w:r>
              <w:rPr>
                <w:bCs/>
                <w:szCs w:val="21"/>
              </w:rPr>
              <w:t>，符合国家产业政策。</w:t>
            </w:r>
          </w:p>
          <w:p w14:paraId="0D83AF07">
            <w:pPr>
              <w:adjustRightInd w:val="0"/>
              <w:snapToGrid w:val="0"/>
              <w:spacing w:line="400" w:lineRule="exact"/>
              <w:ind w:firstLine="420"/>
              <w:rPr>
                <w:bCs/>
                <w:szCs w:val="21"/>
              </w:rPr>
            </w:pPr>
            <w:r>
              <w:rPr>
                <w:bCs/>
                <w:szCs w:val="21"/>
              </w:rPr>
              <w:t>另外，本项目不属于《秦皇岛市限制和禁止投资的产业目录</w:t>
            </w:r>
            <w:r>
              <w:rPr>
                <w:kern w:val="0"/>
                <w:szCs w:val="21"/>
              </w:rPr>
              <w:t>(2020年修订版)</w:t>
            </w:r>
            <w:r>
              <w:rPr>
                <w:bCs/>
                <w:szCs w:val="21"/>
              </w:rPr>
              <w:t>》中限制和禁止投资项目。项目已取得</w:t>
            </w:r>
            <w:r>
              <w:rPr>
                <w:szCs w:val="21"/>
              </w:rPr>
              <w:t>秦皇岛市抚宁区行政审批局</w:t>
            </w:r>
            <w:r>
              <w:rPr>
                <w:bCs/>
                <w:szCs w:val="21"/>
              </w:rPr>
              <w:t>出具的《企业投资项目备案信息》（</w:t>
            </w:r>
            <w:r>
              <w:t>抚行审备〔2024〕</w:t>
            </w:r>
            <w:r>
              <w:rPr>
                <w:rFonts w:hint="eastAsia"/>
              </w:rPr>
              <w:t>7</w:t>
            </w:r>
            <w:r>
              <w:t>5号</w:t>
            </w:r>
            <w:r>
              <w:rPr>
                <w:bCs/>
                <w:szCs w:val="21"/>
              </w:rPr>
              <w:t>）</w:t>
            </w:r>
            <w:r>
              <w:rPr>
                <w:rFonts w:hint="eastAsia"/>
                <w:bCs/>
                <w:szCs w:val="21"/>
              </w:rPr>
              <w:t>，</w:t>
            </w:r>
            <w:r>
              <w:rPr>
                <w:bCs/>
                <w:szCs w:val="21"/>
              </w:rPr>
              <w:t>因此，本项目符合相关产业政策</w:t>
            </w:r>
            <w:r>
              <w:rPr>
                <w:rFonts w:hint="eastAsia"/>
                <w:bCs/>
                <w:szCs w:val="21"/>
              </w:rPr>
              <w:t>要求</w:t>
            </w:r>
            <w:r>
              <w:rPr>
                <w:bCs/>
                <w:szCs w:val="21"/>
              </w:rPr>
              <w:t>。</w:t>
            </w:r>
          </w:p>
          <w:p w14:paraId="4A01BE4F">
            <w:pPr>
              <w:adjustRightInd w:val="0"/>
              <w:snapToGrid w:val="0"/>
              <w:spacing w:line="400" w:lineRule="exact"/>
              <w:ind w:firstLine="422"/>
              <w:rPr>
                <w:b/>
                <w:szCs w:val="21"/>
              </w:rPr>
            </w:pPr>
            <w:r>
              <w:rPr>
                <w:b/>
                <w:szCs w:val="21"/>
              </w:rPr>
              <w:t>3、生态环境保护规划的符合性</w:t>
            </w:r>
          </w:p>
          <w:p w14:paraId="2B0024F0">
            <w:pPr>
              <w:pStyle w:val="59"/>
            </w:pPr>
            <w:bookmarkStart w:id="14" w:name="_Hlk112147274"/>
            <w:r>
              <w:rPr>
                <w:rFonts w:hint="eastAsia"/>
              </w:rPr>
              <w:t>（</w:t>
            </w:r>
            <w:r>
              <w:t>1</w:t>
            </w:r>
            <w:r>
              <w:rPr>
                <w:rFonts w:hint="eastAsia"/>
              </w:rPr>
              <w:t>）《河北省生态环境保护“十四五”规划》中与本项目相关的要求符合性分析如下：</w:t>
            </w:r>
          </w:p>
          <w:p w14:paraId="6B4E5D91">
            <w:pPr>
              <w:pStyle w:val="71"/>
              <w:widowControl w:val="0"/>
              <w:spacing w:beforeLines="50"/>
              <w:ind w:firstLine="422"/>
              <w:rPr>
                <w:rFonts w:hint="default"/>
              </w:rPr>
            </w:pPr>
            <w:r>
              <w:t>本项目与河北省生态环境保护“十四五”规划符合性分析</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9"/>
              <w:gridCol w:w="3864"/>
              <w:gridCol w:w="1759"/>
              <w:gridCol w:w="471"/>
            </w:tblGrid>
            <w:tr w14:paraId="3BA1A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9" w:type="dxa"/>
                  <w:vAlign w:val="center"/>
                </w:tcPr>
                <w:p w14:paraId="7B24B0E6">
                  <w:pPr>
                    <w:pStyle w:val="40"/>
                  </w:pPr>
                  <w:r>
                    <w:rPr>
                      <w:rFonts w:hint="eastAsia"/>
                    </w:rPr>
                    <w:t>类别</w:t>
                  </w:r>
                </w:p>
              </w:tc>
              <w:tc>
                <w:tcPr>
                  <w:tcW w:w="3864" w:type="dxa"/>
                  <w:vAlign w:val="center"/>
                </w:tcPr>
                <w:p w14:paraId="72C34B1F">
                  <w:pPr>
                    <w:pStyle w:val="40"/>
                  </w:pPr>
                  <w:r>
                    <w:rPr>
                      <w:rFonts w:hint="eastAsia"/>
                    </w:rPr>
                    <w:t>文件要求</w:t>
                  </w:r>
                </w:p>
              </w:tc>
              <w:tc>
                <w:tcPr>
                  <w:tcW w:w="1759" w:type="dxa"/>
                  <w:vAlign w:val="center"/>
                </w:tcPr>
                <w:p w14:paraId="68214B53">
                  <w:pPr>
                    <w:pStyle w:val="40"/>
                  </w:pPr>
                  <w:r>
                    <w:rPr>
                      <w:rFonts w:hint="eastAsia"/>
                    </w:rPr>
                    <w:t>本项目情况</w:t>
                  </w:r>
                </w:p>
              </w:tc>
              <w:tc>
                <w:tcPr>
                  <w:tcW w:w="471" w:type="dxa"/>
                  <w:vAlign w:val="center"/>
                </w:tcPr>
                <w:p w14:paraId="62E0E879">
                  <w:pPr>
                    <w:pStyle w:val="40"/>
                  </w:pPr>
                  <w:r>
                    <w:rPr>
                      <w:rFonts w:hint="eastAsia"/>
                    </w:rPr>
                    <w:t>符合性</w:t>
                  </w:r>
                </w:p>
              </w:tc>
            </w:tr>
            <w:tr w14:paraId="7F4AA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9" w:type="dxa"/>
                  <w:vAlign w:val="center"/>
                </w:tcPr>
                <w:p w14:paraId="1380BA63">
                  <w:pPr>
                    <w:pStyle w:val="40"/>
                  </w:pPr>
                  <w:r>
                    <w:rPr>
                      <w:rFonts w:hint="eastAsia"/>
                    </w:rPr>
                    <w:t>创新引领，推动绿色低碳发展</w:t>
                  </w:r>
                </w:p>
              </w:tc>
              <w:tc>
                <w:tcPr>
                  <w:tcW w:w="3864" w:type="dxa"/>
                  <w:vAlign w:val="center"/>
                </w:tcPr>
                <w:p w14:paraId="7EB009B2">
                  <w:pPr>
                    <w:pStyle w:val="40"/>
                  </w:pPr>
                  <w:r>
                    <w:rPr>
                      <w:rFonts w:hint="eastAsia"/>
                    </w:rPr>
                    <w:t>（二）加快产业绿色转型升级。</w:t>
                  </w:r>
                </w:p>
                <w:p w14:paraId="401F61CE">
                  <w:pPr>
                    <w:pStyle w:val="40"/>
                  </w:pPr>
                  <w:r>
                    <w:rPr>
                      <w:rFonts w:hint="eastAsia"/>
                    </w:rPr>
                    <w:t xml:space="preserve">1、加强宏观治理的环境政策支撑。加强能耗总量和强度双控、煤炭消费和污染物排放总量控制，强化市场准入约束，抑制高碳投资，严格控制高耗能高排放项目盲目发展。严禁新增钢铁、焦化、水泥熟料、平板玻璃、煤化工产能，合理控制煤制油气产能规模。依法依规加强节能审查事中事后监管。深化生态环境“放管服”改革，推进环评审批、生态环境监管和监督执法“正面清单”制度化、规范化，持续优化营商环境； 2、优化重点行业企业布局。引导重点行业向环境容量充足、扩散条件较好区域布局； </w:t>
                  </w:r>
                </w:p>
                <w:p w14:paraId="5D2EA118">
                  <w:pPr>
                    <w:pStyle w:val="40"/>
                  </w:pPr>
                  <w:r>
                    <w:rPr>
                      <w:rFonts w:hint="eastAsia"/>
                    </w:rPr>
                    <w:t xml:space="preserve">3、推进重点行业绿色转型。以钢铁、 焦化、铸造、建材、有色、石化、化 工、工业涂装、包装印刷、电镀、制 革、石油开采、造纸、纺织印染、农副食品加工等行业为重点，开展全流程清洁化、循环化、低碳化改造，促进传统产业绿色转型升级。依法推进强制性清洁生产审核，行业、园区和产业集群探索开展整体审核； </w:t>
                  </w:r>
                </w:p>
              </w:tc>
              <w:tc>
                <w:tcPr>
                  <w:tcW w:w="1759" w:type="dxa"/>
                  <w:vAlign w:val="center"/>
                </w:tcPr>
                <w:p w14:paraId="43C39A1F">
                  <w:pPr>
                    <w:pStyle w:val="40"/>
                  </w:pPr>
                  <w:r>
                    <w:rPr>
                      <w:rFonts w:hint="eastAsia"/>
                    </w:rPr>
                    <w:t>1、本项目不在“高耗能、高排放”项目管理目录内；</w:t>
                  </w:r>
                </w:p>
                <w:p w14:paraId="50248524">
                  <w:pPr>
                    <w:pStyle w:val="40"/>
                  </w:pPr>
                  <w:r>
                    <w:rPr>
                      <w:rFonts w:hint="eastAsia"/>
                    </w:rPr>
                    <w:t>2、本项目不属于重点行业；</w:t>
                  </w:r>
                </w:p>
                <w:p w14:paraId="4BE2E03F">
                  <w:pPr>
                    <w:pStyle w:val="40"/>
                    <w:rPr>
                      <w:highlight w:val="yellow"/>
                    </w:rPr>
                  </w:pPr>
                  <w:r>
                    <w:rPr>
                      <w:rFonts w:hint="eastAsia"/>
                    </w:rPr>
                    <w:t>3、本项目不属于钢铁、焦化、铸造、建材、有色、石化、化 工、工业涂装、包装印刷、电镀、制革、石油开采、造纸、纺织印染、农副食品加工等行业。</w:t>
                  </w:r>
                </w:p>
              </w:tc>
              <w:tc>
                <w:tcPr>
                  <w:tcW w:w="471" w:type="dxa"/>
                  <w:vAlign w:val="center"/>
                </w:tcPr>
                <w:p w14:paraId="586BBBDF">
                  <w:pPr>
                    <w:pStyle w:val="40"/>
                  </w:pPr>
                  <w:r>
                    <w:rPr>
                      <w:rFonts w:hint="eastAsia"/>
                    </w:rPr>
                    <w:t>符合</w:t>
                  </w:r>
                </w:p>
              </w:tc>
            </w:tr>
            <w:tr w14:paraId="52FD5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9" w:type="dxa"/>
                  <w:vAlign w:val="center"/>
                </w:tcPr>
                <w:p w14:paraId="1D2CD1C3">
                  <w:pPr>
                    <w:pStyle w:val="40"/>
                  </w:pPr>
                  <w:r>
                    <w:rPr>
                      <w:rFonts w:hint="eastAsia"/>
                    </w:rPr>
                    <w:t>精准治理，持续改善环境空气质量</w:t>
                  </w:r>
                </w:p>
              </w:tc>
              <w:tc>
                <w:tcPr>
                  <w:tcW w:w="3864" w:type="dxa"/>
                  <w:vAlign w:val="center"/>
                </w:tcPr>
                <w:p w14:paraId="699AB1BC">
                  <w:pPr>
                    <w:pStyle w:val="40"/>
                  </w:pPr>
                  <w:r>
                    <w:rPr>
                      <w:rFonts w:hint="eastAsia"/>
                    </w:rPr>
                    <w:t>（二）推进工业领域污染减排。</w:t>
                  </w:r>
                </w:p>
                <w:p w14:paraId="3BFD97A9">
                  <w:pPr>
                    <w:pStyle w:val="40"/>
                  </w:pPr>
                  <w:r>
                    <w:rPr>
                      <w:rFonts w:hint="eastAsia"/>
                    </w:rPr>
                    <w:t>1、推动重点行业深度治理和超低排放。巩固钢铁、焦化、煤电、水泥、平板玻璃、陶瓷等行业超低排放成效，实施工艺全流程深度治理，全面加强无组织排放管控。推进砖瓦、石灰、铸造、铁合金、耐火材料等重点行业污染深度治理。以工业炉窑污染 综合治理为重点，深化工业氮氧化物减排。开展生活垃圾焚烧烟气深度治理，探索研发二噁英治理和控制技术，到2025年，所有焚烧炉烟气达到生活垃圾焚烧大气污染物排放控制标准；深化重点行业挥发性有机物 (VOCs)治理；</w:t>
                  </w:r>
                </w:p>
                <w:p w14:paraId="024C35B1">
                  <w:pPr>
                    <w:pStyle w:val="40"/>
                  </w:pPr>
                  <w:r>
                    <w:rPr>
                      <w:rFonts w:hint="eastAsia"/>
                    </w:rPr>
                    <w:t>（三）强化机动车污染防治。</w:t>
                  </w:r>
                </w:p>
                <w:p w14:paraId="1250600A">
                  <w:pPr>
                    <w:pStyle w:val="40"/>
                  </w:pPr>
                  <w:r>
                    <w:rPr>
                      <w:rFonts w:hint="eastAsia"/>
                    </w:rPr>
                    <w:t xml:space="preserve">2、加强非道路移动机械污染管控。全面实施非道路移动机械第四阶段排放准。加快老旧工程机械淘汰，基本淘汰国一级以下排放标准或使用15年以上的工程机械，具备条件的更换国三及以上排放标准的发动机； </w:t>
                  </w:r>
                </w:p>
              </w:tc>
              <w:tc>
                <w:tcPr>
                  <w:tcW w:w="1759" w:type="dxa"/>
                  <w:vAlign w:val="center"/>
                </w:tcPr>
                <w:p w14:paraId="02CEA85E">
                  <w:pPr>
                    <w:pStyle w:val="40"/>
                  </w:pPr>
                  <w:r>
                    <w:rPr>
                      <w:rFonts w:hint="eastAsia"/>
                    </w:rPr>
                    <w:t>1、本项目不属于重点行业；</w:t>
                  </w:r>
                </w:p>
                <w:p w14:paraId="19827426">
                  <w:pPr>
                    <w:pStyle w:val="40"/>
                    <w:rPr>
                      <w:highlight w:val="yellow"/>
                    </w:rPr>
                  </w:pPr>
                  <w:r>
                    <w:rPr>
                      <w:rFonts w:hint="eastAsia"/>
                    </w:rPr>
                    <w:t>2、本项目不涉及非道路移动机械。</w:t>
                  </w:r>
                </w:p>
              </w:tc>
              <w:tc>
                <w:tcPr>
                  <w:tcW w:w="471" w:type="dxa"/>
                  <w:vAlign w:val="center"/>
                </w:tcPr>
                <w:p w14:paraId="21C749D4">
                  <w:pPr>
                    <w:pStyle w:val="40"/>
                  </w:pPr>
                  <w:r>
                    <w:rPr>
                      <w:rFonts w:hint="eastAsia"/>
                    </w:rPr>
                    <w:t>符合</w:t>
                  </w:r>
                </w:p>
              </w:tc>
            </w:tr>
            <w:tr w14:paraId="01317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9" w:type="dxa"/>
                  <w:vAlign w:val="center"/>
                </w:tcPr>
                <w:p w14:paraId="0D02125F">
                  <w:pPr>
                    <w:pStyle w:val="40"/>
                  </w:pPr>
                  <w:r>
                    <w:rPr>
                      <w:rFonts w:hint="eastAsia"/>
                    </w:rPr>
                    <w:t>防治结合，构建固体废物监管体系</w:t>
                  </w:r>
                </w:p>
              </w:tc>
              <w:tc>
                <w:tcPr>
                  <w:tcW w:w="3864" w:type="dxa"/>
                  <w:vAlign w:val="center"/>
                </w:tcPr>
                <w:p w14:paraId="629BE82E">
                  <w:pPr>
                    <w:pStyle w:val="40"/>
                  </w:pPr>
                  <w:r>
                    <w:rPr>
                      <w:rFonts w:hint="eastAsia"/>
                    </w:rPr>
                    <w:t>（一）规范危险废物环境管理。</w:t>
                  </w:r>
                </w:p>
                <w:p w14:paraId="6C18DE06">
                  <w:pPr>
                    <w:pStyle w:val="40"/>
                  </w:pPr>
                  <w:r>
                    <w:rPr>
                      <w:rFonts w:hint="eastAsia"/>
                    </w:rPr>
                    <w:t>2、加大源头管控力度。严格执行危险废物名录管理制度，动态更新危险废物环境重点监管单位清单。严把涉危险废物工业项目环境准入关，落实工业危险废物排污许可制度。组织危险废物相关企业实施强制性清洁生产审核。鼓励生产者责任延伸，支持研发、推广减少工业危险废物产生量和降低工业危险废物危害性的生产工艺和设备；</w:t>
                  </w:r>
                </w:p>
                <w:p w14:paraId="520B24F9">
                  <w:pPr>
                    <w:pStyle w:val="40"/>
                  </w:pPr>
                  <w:r>
                    <w:rPr>
                      <w:rFonts w:hint="eastAsia"/>
                    </w:rPr>
                    <w:t>6、强化危险废物环境风险防控能力。强化对危险废物收集、贮存、处置单位的监管，严防危险废物超期超量贮存。推进智能化视频监控体系建设。在环境风险可控的前提下，鼓励工业企业对产生的危险废物回收再利用处置，开展“点对点”定向利用的危险废物经营许可豁免管理试点；</w:t>
                  </w:r>
                </w:p>
                <w:p w14:paraId="7020BFE0">
                  <w:pPr>
                    <w:pStyle w:val="40"/>
                  </w:pPr>
                  <w:r>
                    <w:rPr>
                      <w:rFonts w:hint="eastAsia"/>
                    </w:rPr>
                    <w:t>（三）提高固体废物综合利用水平。</w:t>
                  </w:r>
                </w:p>
                <w:p w14:paraId="315A8783">
                  <w:pPr>
                    <w:pStyle w:val="40"/>
                  </w:pPr>
                  <w:r>
                    <w:rPr>
                      <w:rFonts w:hint="eastAsia"/>
                    </w:rPr>
                    <w:t>2、强化工业固体废物污染防治。持续开展非法和不规范堆存渣场排查整治，建立排污单位工业固体废物管理台账。</w:t>
                  </w:r>
                </w:p>
              </w:tc>
              <w:tc>
                <w:tcPr>
                  <w:tcW w:w="1759" w:type="dxa"/>
                  <w:vAlign w:val="center"/>
                </w:tcPr>
                <w:p w14:paraId="068F2B8D">
                  <w:pPr>
                    <w:pStyle w:val="40"/>
                  </w:pPr>
                  <w:r>
                    <w:rPr>
                      <w:rFonts w:hint="eastAsia"/>
                    </w:rPr>
                    <w:t>本项目不产生危险废物；</w:t>
                  </w:r>
                </w:p>
                <w:p w14:paraId="49068278">
                  <w:pPr>
                    <w:pStyle w:val="40"/>
                    <w:rPr>
                      <w:highlight w:val="yellow"/>
                    </w:rPr>
                  </w:pPr>
                  <w:r>
                    <w:rPr>
                      <w:rFonts w:hint="eastAsia"/>
                    </w:rPr>
                    <w:t>本项目固废全部综合利用或合理处置，并要求建立管理过程账，并保留记录</w:t>
                  </w:r>
                </w:p>
              </w:tc>
              <w:tc>
                <w:tcPr>
                  <w:tcW w:w="471" w:type="dxa"/>
                  <w:vAlign w:val="center"/>
                </w:tcPr>
                <w:p w14:paraId="553E9619">
                  <w:pPr>
                    <w:pStyle w:val="40"/>
                  </w:pPr>
                  <w:r>
                    <w:rPr>
                      <w:rFonts w:hint="eastAsia"/>
                    </w:rPr>
                    <w:t>符合</w:t>
                  </w:r>
                </w:p>
              </w:tc>
            </w:tr>
          </w:tbl>
          <w:p w14:paraId="70FE510C">
            <w:pPr>
              <w:adjustRightInd w:val="0"/>
              <w:snapToGrid w:val="0"/>
              <w:spacing w:line="400" w:lineRule="exact"/>
              <w:ind w:firstLine="420"/>
              <w:rPr>
                <w:szCs w:val="21"/>
              </w:rPr>
            </w:pPr>
            <w:r>
              <w:rPr>
                <w:rFonts w:hint="eastAsia"/>
                <w:szCs w:val="21"/>
              </w:rPr>
              <w:t>由上分析可知，本项目可以满足河北省生态环境保护“十四五”规划的相关要求。</w:t>
            </w:r>
          </w:p>
          <w:p w14:paraId="7FA29FDF">
            <w:pPr>
              <w:pStyle w:val="59"/>
              <w:rPr>
                <w:bCs/>
              </w:rPr>
            </w:pPr>
            <w:r>
              <w:t>（2）《秦皇岛市生态环境保护“十四五”规划（2021-2025年）》中与本项目相关的要求符合性分析如下：</w:t>
            </w:r>
          </w:p>
          <w:p w14:paraId="3DAD72A9">
            <w:pPr>
              <w:pStyle w:val="71"/>
              <w:widowControl w:val="0"/>
              <w:spacing w:beforeLines="50"/>
              <w:ind w:firstLine="422"/>
              <w:rPr>
                <w:rFonts w:hint="default"/>
              </w:rPr>
            </w:pPr>
            <w:r>
              <w:t>本项目与</w:t>
            </w:r>
            <w:r>
              <w:rPr>
                <w:bCs/>
              </w:rPr>
              <w:t>秦皇岛市生态环境保护“十四五”规划符合性分析</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7"/>
              <w:gridCol w:w="2838"/>
              <w:gridCol w:w="2325"/>
              <w:gridCol w:w="725"/>
            </w:tblGrid>
            <w:tr w14:paraId="1FD1B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7" w:type="dxa"/>
                  <w:vAlign w:val="center"/>
                </w:tcPr>
                <w:p w14:paraId="7C2DBAA0">
                  <w:pPr>
                    <w:pStyle w:val="40"/>
                  </w:pPr>
                  <w:r>
                    <w:rPr>
                      <w:rFonts w:hint="eastAsia"/>
                    </w:rPr>
                    <w:t>类别</w:t>
                  </w:r>
                </w:p>
              </w:tc>
              <w:tc>
                <w:tcPr>
                  <w:tcW w:w="2838" w:type="dxa"/>
                  <w:vAlign w:val="center"/>
                </w:tcPr>
                <w:p w14:paraId="6408AC16">
                  <w:pPr>
                    <w:pStyle w:val="40"/>
                  </w:pPr>
                  <w:r>
                    <w:rPr>
                      <w:rFonts w:hint="eastAsia"/>
                    </w:rPr>
                    <w:t>文件要求</w:t>
                  </w:r>
                </w:p>
              </w:tc>
              <w:tc>
                <w:tcPr>
                  <w:tcW w:w="2325" w:type="dxa"/>
                  <w:vAlign w:val="center"/>
                </w:tcPr>
                <w:p w14:paraId="22A55522">
                  <w:pPr>
                    <w:pStyle w:val="40"/>
                  </w:pPr>
                  <w:r>
                    <w:rPr>
                      <w:rFonts w:hint="eastAsia"/>
                    </w:rPr>
                    <w:t>本项目情况</w:t>
                  </w:r>
                </w:p>
              </w:tc>
              <w:tc>
                <w:tcPr>
                  <w:tcW w:w="725" w:type="dxa"/>
                  <w:vAlign w:val="center"/>
                </w:tcPr>
                <w:p w14:paraId="29BDC56C">
                  <w:pPr>
                    <w:pStyle w:val="40"/>
                  </w:pPr>
                  <w:r>
                    <w:rPr>
                      <w:rFonts w:hint="eastAsia"/>
                    </w:rPr>
                    <w:t>符合性</w:t>
                  </w:r>
                </w:p>
              </w:tc>
            </w:tr>
            <w:tr w14:paraId="2F2B4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77" w:type="dxa"/>
                  <w:vAlign w:val="center"/>
                </w:tcPr>
                <w:p w14:paraId="2A5D9977">
                  <w:pPr>
                    <w:pStyle w:val="40"/>
                  </w:pPr>
                  <w:r>
                    <w:rPr>
                      <w:rFonts w:hint="eastAsia"/>
                    </w:rPr>
                    <w:t>坚持创新引领，推动绿色低碳发展</w:t>
                  </w:r>
                </w:p>
              </w:tc>
              <w:tc>
                <w:tcPr>
                  <w:tcW w:w="2838" w:type="dxa"/>
                  <w:vAlign w:val="center"/>
                </w:tcPr>
                <w:p w14:paraId="7ACA830C">
                  <w:pPr>
                    <w:pStyle w:val="40"/>
                  </w:pPr>
                  <w:r>
                    <w:rPr>
                      <w:rFonts w:hint="eastAsia"/>
                    </w:rPr>
                    <w:t>第一节 统筹推进区域绿色低碳发展</w:t>
                  </w:r>
                </w:p>
                <w:p w14:paraId="2C8379CC">
                  <w:pPr>
                    <w:pStyle w:val="40"/>
                  </w:pPr>
                  <w:r>
                    <w:rPr>
                      <w:rFonts w:hint="eastAsia"/>
                    </w:rPr>
                    <w:t>1、建立以“三线一单”为核心的全覆盖的生态环境分区管控体系；</w:t>
                  </w:r>
                </w:p>
                <w:p w14:paraId="4DA07363">
                  <w:pPr>
                    <w:pStyle w:val="40"/>
                  </w:pPr>
                  <w:r>
                    <w:rPr>
                      <w:rFonts w:hint="eastAsia"/>
                    </w:rPr>
                    <w:t>第二节 推进产业绿色转型升级</w:t>
                  </w:r>
                </w:p>
                <w:p w14:paraId="64945C2E">
                  <w:pPr>
                    <w:pStyle w:val="40"/>
                  </w:pPr>
                  <w:r>
                    <w:rPr>
                      <w:rFonts w:hint="eastAsia"/>
                    </w:rPr>
                    <w:t>1、严格执行产业准入负面清单；</w:t>
                  </w:r>
                </w:p>
                <w:p w14:paraId="0F06B1E4">
                  <w:pPr>
                    <w:pStyle w:val="40"/>
                  </w:pPr>
                  <w:r>
                    <w:rPr>
                      <w:rFonts w:hint="eastAsia"/>
                    </w:rPr>
                    <w:t>2、严禁新增低端落后产能，加快淘汰落后产能</w:t>
                  </w:r>
                </w:p>
              </w:tc>
              <w:tc>
                <w:tcPr>
                  <w:tcW w:w="2325" w:type="dxa"/>
                  <w:vAlign w:val="center"/>
                </w:tcPr>
                <w:p w14:paraId="19B8972E">
                  <w:pPr>
                    <w:pStyle w:val="40"/>
                  </w:pPr>
                  <w:r>
                    <w:rPr>
                      <w:rFonts w:hint="eastAsia"/>
                    </w:rPr>
                    <w:t>本</w:t>
                  </w:r>
                  <w:r>
                    <w:t>项目符合“三线一 单”生态环境分区管控要求</w:t>
                  </w:r>
                  <w:r>
                    <w:rPr>
                      <w:rFonts w:hint="eastAsia"/>
                    </w:rPr>
                    <w:t>；</w:t>
                  </w:r>
                </w:p>
                <w:p w14:paraId="7B05C570">
                  <w:pPr>
                    <w:pStyle w:val="40"/>
                  </w:pPr>
                  <w:r>
                    <w:t>本项目不属于准入负面清单内内容</w:t>
                  </w:r>
                  <w:r>
                    <w:rPr>
                      <w:rFonts w:hint="eastAsia"/>
                    </w:rPr>
                    <w:t>；</w:t>
                  </w:r>
                </w:p>
                <w:p w14:paraId="632148D9">
                  <w:pPr>
                    <w:pStyle w:val="40"/>
                  </w:pPr>
                  <w:r>
                    <w:t>本项目不属于低端落后类项目</w:t>
                  </w:r>
                  <w:r>
                    <w:rPr>
                      <w:rFonts w:hint="eastAsia"/>
                    </w:rPr>
                    <w:t>。</w:t>
                  </w:r>
                </w:p>
              </w:tc>
              <w:tc>
                <w:tcPr>
                  <w:tcW w:w="725" w:type="dxa"/>
                  <w:vAlign w:val="center"/>
                </w:tcPr>
                <w:p w14:paraId="199F6D08">
                  <w:pPr>
                    <w:pStyle w:val="40"/>
                  </w:pPr>
                  <w:r>
                    <w:rPr>
                      <w:rFonts w:hint="eastAsia"/>
                    </w:rPr>
                    <w:t>符合</w:t>
                  </w:r>
                </w:p>
              </w:tc>
            </w:tr>
            <w:tr w14:paraId="454E6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77" w:type="dxa"/>
                  <w:vAlign w:val="center"/>
                </w:tcPr>
                <w:p w14:paraId="4CAF9006">
                  <w:pPr>
                    <w:pStyle w:val="40"/>
                  </w:pPr>
                  <w:r>
                    <w:rPr>
                      <w:rFonts w:hint="eastAsia"/>
                    </w:rPr>
                    <w:t>加强协同控制，改善大气环境</w:t>
                  </w:r>
                </w:p>
              </w:tc>
              <w:tc>
                <w:tcPr>
                  <w:tcW w:w="2838" w:type="dxa"/>
                  <w:vAlign w:val="center"/>
                </w:tcPr>
                <w:p w14:paraId="035F7D36">
                  <w:pPr>
                    <w:pStyle w:val="40"/>
                  </w:pPr>
                  <w:r>
                    <w:rPr>
                      <w:rFonts w:hint="eastAsia"/>
                    </w:rPr>
                    <w:t>巩固和完善蓝天保卫战攻坚成效，坚持系统施治、歼灭战与持久战相结合，推进细颗粒物(PM</w:t>
                  </w:r>
                  <w:r>
                    <w:rPr>
                      <w:rFonts w:hint="eastAsia"/>
                      <w:vertAlign w:val="subscript"/>
                    </w:rPr>
                    <w:t>2.5</w:t>
                  </w:r>
                  <w:r>
                    <w:rPr>
                      <w:rFonts w:hint="eastAsia"/>
                    </w:rPr>
                    <w:t>)与臭氧污染协同控制，持续削减氮氧化物和VOCs排放量，推动环境空气质量持续改善，努力实现“蓝天白云、繁星闪烁”；</w:t>
                  </w:r>
                </w:p>
                <w:p w14:paraId="24C3018E">
                  <w:pPr>
                    <w:pStyle w:val="40"/>
                  </w:pPr>
                  <w:r>
                    <w:rPr>
                      <w:rFonts w:hint="eastAsia"/>
                    </w:rPr>
                    <w:t>第六节 推进扬尘综合整治</w:t>
                  </w:r>
                </w:p>
              </w:tc>
              <w:tc>
                <w:tcPr>
                  <w:tcW w:w="2325" w:type="dxa"/>
                  <w:vAlign w:val="center"/>
                </w:tcPr>
                <w:p w14:paraId="77E8AF34">
                  <w:pPr>
                    <w:pStyle w:val="40"/>
                  </w:pPr>
                  <w:r>
                    <w:rPr>
                      <w:rFonts w:hint="eastAsia"/>
                    </w:rPr>
                    <w:t>本项目产生的颗粒物、SO</w:t>
                  </w:r>
                  <w:r>
                    <w:rPr>
                      <w:rFonts w:hint="eastAsia"/>
                      <w:vertAlign w:val="subscript"/>
                    </w:rPr>
                    <w:t>2</w:t>
                  </w:r>
                  <w:r>
                    <w:rPr>
                      <w:rFonts w:hint="eastAsia"/>
                    </w:rPr>
                    <w:t>、NOx，经治理措施处理后可实现达标排放；</w:t>
                  </w:r>
                </w:p>
                <w:p w14:paraId="52ED2063">
                  <w:pPr>
                    <w:pStyle w:val="40"/>
                  </w:pPr>
                  <w:r>
                    <w:rPr>
                      <w:rFonts w:hint="eastAsia"/>
                    </w:rPr>
                    <w:t>本项目</w:t>
                  </w:r>
                  <w:r>
                    <w:t xml:space="preserve">施工期仅进行 设备搬运与安装，无 土建施工及扬尘，施 工期环境影响较小。 </w:t>
                  </w:r>
                </w:p>
                <w:p w14:paraId="4DCC4CD1">
                  <w:pPr>
                    <w:pStyle w:val="40"/>
                  </w:pPr>
                </w:p>
              </w:tc>
              <w:tc>
                <w:tcPr>
                  <w:tcW w:w="725" w:type="dxa"/>
                  <w:vAlign w:val="center"/>
                </w:tcPr>
                <w:p w14:paraId="170EE4EA">
                  <w:pPr>
                    <w:pStyle w:val="40"/>
                  </w:pPr>
                  <w:r>
                    <w:rPr>
                      <w:rFonts w:hint="eastAsia"/>
                    </w:rPr>
                    <w:t>符合</w:t>
                  </w:r>
                </w:p>
              </w:tc>
            </w:tr>
            <w:tr w14:paraId="06884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7" w:type="dxa"/>
                  <w:vAlign w:val="center"/>
                </w:tcPr>
                <w:p w14:paraId="3A7E802D">
                  <w:pPr>
                    <w:pStyle w:val="40"/>
                  </w:pPr>
                  <w:r>
                    <w:rPr>
                      <w:rFonts w:hint="eastAsia"/>
                    </w:rPr>
                    <w:t>建立健全固体废物防治体系</w:t>
                  </w:r>
                </w:p>
              </w:tc>
              <w:tc>
                <w:tcPr>
                  <w:tcW w:w="2838" w:type="dxa"/>
                  <w:vAlign w:val="center"/>
                </w:tcPr>
                <w:p w14:paraId="613BF0AB">
                  <w:pPr>
                    <w:pStyle w:val="40"/>
                  </w:pPr>
                  <w:r>
                    <w:rPr>
                      <w:rFonts w:hint="eastAsia"/>
                    </w:rPr>
                    <w:t>聚焦固体废物、危险化学品生态环境风险防控，加快构建危险废物、医疗废物收集处置管理体系，全面推动废旧物资和可再生资源循环利用，加快垃圾分类和资源化利用，减少固体废物对环境的污染；</w:t>
                  </w:r>
                </w:p>
              </w:tc>
              <w:tc>
                <w:tcPr>
                  <w:tcW w:w="2325" w:type="dxa"/>
                  <w:vAlign w:val="center"/>
                </w:tcPr>
                <w:p w14:paraId="493EC646">
                  <w:pPr>
                    <w:pStyle w:val="40"/>
                  </w:pPr>
                  <w:r>
                    <w:rPr>
                      <w:rFonts w:hint="eastAsia"/>
                    </w:rPr>
                    <w:t>本项目不产生危险废物；本项目固体废物均得到综合利用或合理处置，并要求建立管理过程台账，并保留记录。</w:t>
                  </w:r>
                </w:p>
              </w:tc>
              <w:tc>
                <w:tcPr>
                  <w:tcW w:w="725" w:type="dxa"/>
                  <w:vAlign w:val="center"/>
                </w:tcPr>
                <w:p w14:paraId="0852B4A9">
                  <w:pPr>
                    <w:pStyle w:val="40"/>
                  </w:pPr>
                  <w:r>
                    <w:rPr>
                      <w:rFonts w:hint="eastAsia"/>
                    </w:rPr>
                    <w:t>符合</w:t>
                  </w:r>
                </w:p>
              </w:tc>
            </w:tr>
          </w:tbl>
          <w:p w14:paraId="728125FB">
            <w:pPr>
              <w:adjustRightInd w:val="0"/>
              <w:snapToGrid w:val="0"/>
              <w:spacing w:line="400" w:lineRule="exact"/>
              <w:ind w:firstLine="420"/>
              <w:rPr>
                <w:bCs/>
                <w:szCs w:val="21"/>
              </w:rPr>
            </w:pPr>
            <w:r>
              <w:rPr>
                <w:rFonts w:hint="eastAsia"/>
                <w:bCs/>
                <w:szCs w:val="21"/>
              </w:rPr>
              <w:t>由上可知，本项目实施可以满足</w:t>
            </w:r>
            <w:r>
              <w:rPr>
                <w:rFonts w:hint="eastAsia"/>
                <w:szCs w:val="21"/>
              </w:rPr>
              <w:t>《秦皇岛市生态环境保护“十四五”规划（2021-2025年）》</w:t>
            </w:r>
            <w:r>
              <w:rPr>
                <w:rFonts w:hint="eastAsia"/>
                <w:bCs/>
                <w:szCs w:val="21"/>
              </w:rPr>
              <w:t>要求。</w:t>
            </w:r>
            <w:bookmarkEnd w:id="14"/>
          </w:p>
          <w:p w14:paraId="43D629F1">
            <w:pPr>
              <w:adjustRightInd w:val="0"/>
              <w:snapToGrid w:val="0"/>
              <w:spacing w:line="400" w:lineRule="exact"/>
              <w:ind w:firstLine="422"/>
              <w:rPr>
                <w:bCs/>
                <w:szCs w:val="21"/>
              </w:rPr>
            </w:pPr>
            <w:r>
              <w:rPr>
                <w:rFonts w:hint="eastAsia"/>
                <w:b/>
                <w:bCs/>
                <w:szCs w:val="21"/>
              </w:rPr>
              <w:t>4、选址合理性分析</w:t>
            </w:r>
          </w:p>
          <w:p w14:paraId="58956F56">
            <w:pPr>
              <w:adjustRightInd w:val="0"/>
              <w:snapToGrid w:val="0"/>
              <w:spacing w:line="400" w:lineRule="exact"/>
              <w:ind w:firstLine="420"/>
              <w:rPr>
                <w:rFonts w:hAnsi="宋体"/>
                <w:bCs/>
                <w:szCs w:val="21"/>
              </w:rPr>
            </w:pPr>
            <w:r>
              <w:rPr>
                <w:rFonts w:hint="eastAsia" w:hAnsi="宋体"/>
                <w:bCs/>
                <w:szCs w:val="21"/>
              </w:rPr>
              <w:t>本项目位于秦皇岛市天马食品厂院内现有厂房，不新增占地</w:t>
            </w:r>
            <w:r>
              <w:rPr>
                <w:rFonts w:hint="eastAsia"/>
                <w:bCs/>
                <w:szCs w:val="21"/>
              </w:rPr>
              <w:t>。</w:t>
            </w:r>
          </w:p>
          <w:p w14:paraId="0171ADB8">
            <w:pPr>
              <w:adjustRightInd w:val="0"/>
              <w:snapToGrid w:val="0"/>
              <w:spacing w:line="400" w:lineRule="exact"/>
              <w:ind w:firstLine="420"/>
              <w:rPr>
                <w:bCs/>
                <w:szCs w:val="21"/>
              </w:rPr>
            </w:pPr>
            <w:r>
              <w:rPr>
                <w:rFonts w:hint="eastAsia"/>
                <w:bCs/>
                <w:szCs w:val="21"/>
              </w:rPr>
              <w:t>本项目不属于《限制用地项目目录（</w:t>
            </w:r>
            <w:r>
              <w:rPr>
                <w:bCs/>
                <w:szCs w:val="21"/>
              </w:rPr>
              <w:t>2012</w:t>
            </w:r>
            <w:r>
              <w:rPr>
                <w:rFonts w:hint="eastAsia"/>
                <w:bCs/>
                <w:szCs w:val="21"/>
              </w:rPr>
              <w:t>年本）》和《禁止用地项目目录（</w:t>
            </w:r>
            <w:r>
              <w:rPr>
                <w:bCs/>
                <w:szCs w:val="21"/>
              </w:rPr>
              <w:t>2012</w:t>
            </w:r>
            <w:r>
              <w:rPr>
                <w:rFonts w:hint="eastAsia"/>
                <w:bCs/>
                <w:szCs w:val="21"/>
              </w:rPr>
              <w:t>年本）》的限制或禁止项目，项目用地符合国家土地政策要求。</w:t>
            </w:r>
          </w:p>
          <w:p w14:paraId="41C8D477">
            <w:pPr>
              <w:widowControl/>
              <w:spacing w:line="400" w:lineRule="exact"/>
              <w:ind w:firstLine="420"/>
              <w:rPr>
                <w:rFonts w:ascii="宋体" w:hAnsi="宋体" w:cs="宋体"/>
                <w:bCs/>
                <w:szCs w:val="21"/>
              </w:rPr>
            </w:pPr>
            <w:r>
              <w:rPr>
                <w:rFonts w:hint="eastAsia"/>
                <w:bCs/>
                <w:szCs w:val="21"/>
              </w:rPr>
              <w:t>根据前文分析可知，本</w:t>
            </w:r>
            <w:r>
              <w:rPr>
                <w:rFonts w:hAnsi="宋体"/>
                <w:bCs/>
                <w:szCs w:val="21"/>
              </w:rPr>
              <w:t>项目满足《秦皇岛市人民政府关于秦皇岛市</w:t>
            </w:r>
            <w:r>
              <w:rPr>
                <w:bCs/>
                <w:szCs w:val="21"/>
              </w:rPr>
              <w:t>“</w:t>
            </w:r>
            <w:r>
              <w:rPr>
                <w:rFonts w:hAnsi="宋体"/>
                <w:bCs/>
                <w:szCs w:val="21"/>
              </w:rPr>
              <w:t>三线一单</w:t>
            </w:r>
            <w:r>
              <w:rPr>
                <w:bCs/>
                <w:szCs w:val="21"/>
              </w:rPr>
              <w:t>”</w:t>
            </w:r>
            <w:r>
              <w:rPr>
                <w:rFonts w:hAnsi="宋体"/>
                <w:bCs/>
                <w:szCs w:val="21"/>
              </w:rPr>
              <w:t>生态环境分区管控的实施意见》（秦政字</w:t>
            </w:r>
            <w:r>
              <w:rPr>
                <w:bCs/>
                <w:szCs w:val="21"/>
              </w:rPr>
              <w:t>[2021]6</w:t>
            </w:r>
            <w:r>
              <w:rPr>
                <w:rFonts w:hAnsi="宋体"/>
                <w:bCs/>
                <w:szCs w:val="21"/>
              </w:rPr>
              <w:t>号）及</w:t>
            </w:r>
            <w:r>
              <w:rPr>
                <w:rFonts w:hint="eastAsia"/>
              </w:rPr>
              <w:t>《秦皇岛市人民政府办公室关于</w:t>
            </w:r>
            <w:r>
              <w:rPr>
                <w:rStyle w:val="31"/>
                <w:rFonts w:hint="eastAsia"/>
                <w:bCs/>
                <w:kern w:val="0"/>
                <w:szCs w:val="20"/>
              </w:rPr>
              <w:t>实施生态环境分区管控动态更新成果的通知</w:t>
            </w:r>
            <w:r>
              <w:rPr>
                <w:rFonts w:hint="eastAsia"/>
              </w:rPr>
              <w:t>》（秦皇岛市人民政府办公室</w:t>
            </w:r>
            <w:r>
              <w:t>，202</w:t>
            </w:r>
            <w:r>
              <w:rPr>
                <w:rFonts w:hint="eastAsia"/>
              </w:rPr>
              <w:t>4</w:t>
            </w:r>
            <w:r>
              <w:t>年</w:t>
            </w:r>
            <w:r>
              <w:rPr>
                <w:rFonts w:hint="eastAsia"/>
              </w:rPr>
              <w:t>6</w:t>
            </w:r>
            <w:r>
              <w:t>月</w:t>
            </w:r>
            <w:r>
              <w:rPr>
                <w:rFonts w:hint="eastAsia"/>
              </w:rPr>
              <w:t>7</w:t>
            </w:r>
            <w:r>
              <w:t>日）</w:t>
            </w:r>
            <w:r>
              <w:rPr>
                <w:rFonts w:hAnsi="宋体"/>
                <w:bCs/>
                <w:szCs w:val="21"/>
              </w:rPr>
              <w:t>中的生态环境分区管控要求，符合文件中的生态环境准入清单要求</w:t>
            </w:r>
            <w:r>
              <w:rPr>
                <w:rFonts w:hint="eastAsia" w:hAnsi="宋体"/>
                <w:bCs/>
                <w:szCs w:val="21"/>
              </w:rPr>
              <w:t>，</w:t>
            </w:r>
            <w:r>
              <w:rPr>
                <w:rFonts w:hint="eastAsia"/>
                <w:kern w:val="0"/>
                <w:szCs w:val="21"/>
              </w:rPr>
              <w:t>满足</w:t>
            </w:r>
            <w:r>
              <w:rPr>
                <w:rFonts w:hint="eastAsia" w:ascii="宋体" w:hAnsi="宋体" w:cs="宋体"/>
                <w:bCs/>
                <w:szCs w:val="21"/>
              </w:rPr>
              <w:t>“三线一单”要求。</w:t>
            </w:r>
          </w:p>
          <w:p w14:paraId="325FBFBF">
            <w:pPr>
              <w:adjustRightInd w:val="0"/>
              <w:snapToGrid w:val="0"/>
              <w:spacing w:line="400" w:lineRule="exact"/>
              <w:ind w:firstLine="420"/>
              <w:rPr>
                <w:bCs/>
                <w:szCs w:val="21"/>
              </w:rPr>
            </w:pPr>
            <w:r>
              <w:rPr>
                <w:rFonts w:hint="eastAsia" w:ascii="宋体" w:hAnsi="宋体" w:cs="宋体"/>
                <w:bCs/>
                <w:szCs w:val="21"/>
              </w:rPr>
              <w:t>本项目各产污环节采取了完善的污染防治措施，废气、废水、噪声均能够实现达标排放，</w:t>
            </w:r>
            <w:r>
              <w:rPr>
                <w:rFonts w:hint="eastAsia"/>
                <w:bCs/>
                <w:szCs w:val="21"/>
              </w:rPr>
              <w:t>固体废物均能得到综合利用或合理处置，项目实施后</w:t>
            </w:r>
            <w:r>
              <w:rPr>
                <w:rFonts w:hint="eastAsia" w:ascii="宋体" w:hAnsi="宋体" w:cs="宋体"/>
                <w:bCs/>
                <w:szCs w:val="21"/>
              </w:rPr>
              <w:t>对环境影响较小。</w:t>
            </w:r>
          </w:p>
          <w:p w14:paraId="59E5A60D">
            <w:pPr>
              <w:widowControl/>
              <w:spacing w:line="400" w:lineRule="exact"/>
              <w:ind w:firstLine="420"/>
              <w:rPr>
                <w:rFonts w:ascii="宋体" w:hAnsi="宋体" w:cs="宋体"/>
                <w:bCs/>
                <w:szCs w:val="21"/>
              </w:rPr>
            </w:pPr>
            <w:r>
              <w:rPr>
                <w:rFonts w:hint="eastAsia"/>
                <w:bCs/>
                <w:szCs w:val="21"/>
              </w:rPr>
              <w:t>综上所述，本项目选址合理。</w:t>
            </w:r>
          </w:p>
          <w:p w14:paraId="401CA20D">
            <w:pPr>
              <w:widowControl/>
              <w:spacing w:line="400" w:lineRule="exact"/>
              <w:ind w:firstLine="420"/>
              <w:rPr>
                <w:bCs/>
                <w:szCs w:val="21"/>
              </w:rPr>
            </w:pPr>
          </w:p>
          <w:p w14:paraId="10C7E475">
            <w:pPr>
              <w:widowControl/>
              <w:spacing w:line="400" w:lineRule="exact"/>
              <w:ind w:firstLine="420"/>
            </w:pPr>
          </w:p>
          <w:p w14:paraId="1566A5EF">
            <w:pPr>
              <w:widowControl/>
              <w:spacing w:line="400" w:lineRule="exact"/>
              <w:ind w:firstLine="420"/>
              <w:rPr>
                <w:szCs w:val="21"/>
              </w:rPr>
            </w:pPr>
          </w:p>
        </w:tc>
      </w:tr>
    </w:tbl>
    <w:p w14:paraId="1A7A2754">
      <w:pPr>
        <w:rPr>
          <w:rFonts w:eastAsia="黑体"/>
          <w:sz w:val="30"/>
        </w:rPr>
        <w:sectPr>
          <w:footerReference r:id="rId11" w:type="default"/>
          <w:pgSz w:w="11906" w:h="16838"/>
          <w:pgMar w:top="1134" w:right="1418" w:bottom="1134" w:left="1418" w:header="851" w:footer="1077" w:gutter="0"/>
          <w:pgNumType w:fmt="numberInDash" w:start="1"/>
          <w:cols w:space="720" w:num="1"/>
          <w:docGrid w:linePitch="312" w:charSpace="0"/>
        </w:sectPr>
      </w:pPr>
    </w:p>
    <w:p w14:paraId="51ADEEEE">
      <w:pPr>
        <w:pStyle w:val="21"/>
        <w:jc w:val="center"/>
        <w:outlineLvl w:val="0"/>
        <w:rPr>
          <w:rFonts w:ascii="黑体" w:hAnsi="黑体" w:eastAsia="黑体"/>
          <w:snapToGrid w:val="0"/>
          <w:sz w:val="30"/>
          <w:szCs w:val="30"/>
        </w:rPr>
      </w:pPr>
      <w:bookmarkStart w:id="15" w:name="_Toc24631"/>
      <w:r>
        <w:rPr>
          <w:rFonts w:hint="eastAsia" w:ascii="黑体" w:hAnsi="黑体" w:eastAsia="黑体"/>
          <w:snapToGrid w:val="0"/>
          <w:sz w:val="30"/>
          <w:szCs w:val="30"/>
        </w:rPr>
        <w:t>二、建设项目工程分析</w:t>
      </w:r>
      <w:bookmarkEnd w:id="15"/>
    </w:p>
    <w:tbl>
      <w:tblPr>
        <w:tblStyle w:val="25"/>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76"/>
        <w:gridCol w:w="8384"/>
      </w:tblGrid>
      <w:tr w14:paraId="4B2FB1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23" w:hRule="atLeast"/>
          <w:jc w:val="center"/>
        </w:trPr>
        <w:tc>
          <w:tcPr>
            <w:tcW w:w="373" w:type="pct"/>
            <w:vAlign w:val="center"/>
          </w:tcPr>
          <w:p w14:paraId="0AFDDD5B">
            <w:pPr>
              <w:pStyle w:val="40"/>
            </w:pPr>
            <w:r>
              <w:rPr>
                <w:rFonts w:hint="eastAsia"/>
              </w:rPr>
              <w:t>建设内容</w:t>
            </w:r>
          </w:p>
        </w:tc>
        <w:tc>
          <w:tcPr>
            <w:tcW w:w="4627" w:type="pct"/>
          </w:tcPr>
          <w:p w14:paraId="36DFDC9B">
            <w:pPr>
              <w:spacing w:line="400" w:lineRule="exact"/>
              <w:ind w:firstLine="422"/>
            </w:pPr>
            <w:r>
              <w:rPr>
                <w:rFonts w:hint="eastAsia"/>
                <w:b/>
                <w:bCs/>
              </w:rPr>
              <w:t>1、项目由来</w:t>
            </w:r>
          </w:p>
          <w:p w14:paraId="60B9DE4A">
            <w:pPr>
              <w:spacing w:line="400" w:lineRule="exact"/>
              <w:ind w:firstLine="420"/>
              <w:rPr>
                <w:rFonts w:hAnsi="宋体"/>
                <w:bCs/>
                <w:szCs w:val="21"/>
              </w:rPr>
            </w:pPr>
            <w:bookmarkStart w:id="16" w:name="OLE_LINK107"/>
            <w:bookmarkStart w:id="17" w:name="OLE_LINK106"/>
            <w:r>
              <w:rPr>
                <w:rFonts w:hint="eastAsia" w:hAnsi="宋体"/>
                <w:bCs/>
                <w:szCs w:val="21"/>
              </w:rPr>
              <w:t>秦皇岛市天马食品厂</w:t>
            </w:r>
            <w:bookmarkEnd w:id="16"/>
            <w:bookmarkEnd w:id="17"/>
            <w:r>
              <w:rPr>
                <w:rFonts w:hAnsi="宋体"/>
                <w:bCs/>
                <w:szCs w:val="21"/>
              </w:rPr>
              <w:t>位于</w:t>
            </w:r>
            <w:r>
              <w:rPr>
                <w:rFonts w:hint="eastAsia"/>
              </w:rPr>
              <w:t>河北省秦皇岛市抚宁区坟坨镇坟坨村</w:t>
            </w:r>
            <w:r>
              <w:rPr>
                <w:rFonts w:hAnsi="宋体"/>
                <w:bCs/>
                <w:szCs w:val="21"/>
              </w:rPr>
              <w:t>，</w:t>
            </w:r>
            <w:r>
              <w:rPr>
                <w:rFonts w:hint="eastAsia" w:hAnsi="宋体"/>
                <w:bCs/>
                <w:szCs w:val="21"/>
              </w:rPr>
              <w:t>占地面积3930</w:t>
            </w:r>
            <w:r>
              <w:rPr>
                <w:rFonts w:hAnsi="宋体"/>
                <w:bCs/>
                <w:szCs w:val="21"/>
              </w:rPr>
              <w:t>m</w:t>
            </w:r>
            <w:r>
              <w:rPr>
                <w:rFonts w:hAnsi="宋体"/>
                <w:bCs/>
                <w:szCs w:val="21"/>
                <w:vertAlign w:val="superscript"/>
              </w:rPr>
              <w:t>2</w:t>
            </w:r>
            <w:r>
              <w:rPr>
                <w:rFonts w:hAnsi="宋体"/>
                <w:bCs/>
                <w:szCs w:val="21"/>
              </w:rPr>
              <w:t>，</w:t>
            </w:r>
            <w:r>
              <w:rPr>
                <w:rFonts w:hint="eastAsia" w:hAnsi="宋体"/>
                <w:bCs/>
                <w:szCs w:val="21"/>
              </w:rPr>
              <w:t>现有</w:t>
            </w:r>
            <w:bookmarkStart w:id="18" w:name="OLE_LINK32"/>
            <w:bookmarkStart w:id="19" w:name="OLE_LINK31"/>
            <w:r>
              <w:rPr>
                <w:rFonts w:hint="eastAsia" w:hAnsi="宋体"/>
                <w:bCs/>
                <w:szCs w:val="21"/>
              </w:rPr>
              <w:t>水果罐头生产线1条</w:t>
            </w:r>
            <w:bookmarkEnd w:id="18"/>
            <w:bookmarkEnd w:id="19"/>
            <w:r>
              <w:rPr>
                <w:rFonts w:hint="eastAsia" w:hAnsi="宋体"/>
                <w:bCs/>
                <w:szCs w:val="21"/>
              </w:rPr>
              <w:t>，生产规模为年生产各类水果罐头30万瓶。</w:t>
            </w:r>
          </w:p>
          <w:p w14:paraId="2EE4C568">
            <w:pPr>
              <w:spacing w:line="400" w:lineRule="exact"/>
              <w:ind w:firstLine="420"/>
              <w:rPr>
                <w:rFonts w:hAnsi="宋体"/>
                <w:bCs/>
                <w:szCs w:val="21"/>
              </w:rPr>
            </w:pPr>
            <w:r>
              <w:rPr>
                <w:rFonts w:hint="eastAsia"/>
              </w:rPr>
              <w:t>现为适应市场需求，公司决定在现有生产线基础上依托现有厂区进行改扩建，</w:t>
            </w:r>
            <w:r>
              <w:rPr>
                <w:szCs w:val="21"/>
              </w:rPr>
              <w:t>主</w:t>
            </w:r>
            <w:r>
              <w:t>要建设内容为</w:t>
            </w:r>
            <w:r>
              <w:rPr>
                <w:rFonts w:hint="eastAsia"/>
              </w:rPr>
              <w:t>：</w:t>
            </w:r>
            <w:r>
              <w:rPr>
                <w:rFonts w:hint="eastAsia" w:hAnsi="宋体"/>
                <w:bCs/>
                <w:szCs w:val="21"/>
              </w:rPr>
              <w:t>项目不新增占地，利用现有厂房530m</w:t>
            </w:r>
            <w:r>
              <w:rPr>
                <w:rFonts w:hint="eastAsia" w:hAnsi="宋体"/>
                <w:bCs/>
                <w:szCs w:val="21"/>
                <w:vertAlign w:val="superscript"/>
              </w:rPr>
              <w:t>2</w:t>
            </w:r>
            <w:r>
              <w:rPr>
                <w:rFonts w:hint="eastAsia" w:hAnsi="宋体"/>
                <w:bCs/>
                <w:szCs w:val="21"/>
              </w:rPr>
              <w:t>（生产厂房480m</w:t>
            </w:r>
            <w:r>
              <w:rPr>
                <w:rFonts w:hint="eastAsia" w:hAnsi="宋体"/>
                <w:bCs/>
                <w:szCs w:val="21"/>
                <w:vertAlign w:val="superscript"/>
              </w:rPr>
              <w:t>2</w:t>
            </w:r>
            <w:r>
              <w:rPr>
                <w:rFonts w:hint="eastAsia" w:hAnsi="宋体"/>
                <w:bCs/>
                <w:szCs w:val="21"/>
              </w:rPr>
              <w:t>、锅炉房50m</w:t>
            </w:r>
            <w:r>
              <w:rPr>
                <w:rFonts w:hint="eastAsia" w:hAnsi="宋体"/>
                <w:bCs/>
                <w:szCs w:val="21"/>
                <w:vertAlign w:val="superscript"/>
              </w:rPr>
              <w:t>2</w:t>
            </w:r>
            <w:r>
              <w:rPr>
                <w:rFonts w:hint="eastAsia" w:hAnsi="宋体"/>
                <w:bCs/>
                <w:szCs w:val="21"/>
              </w:rPr>
              <w:t>），扩大当前水果罐头生产线规模，新增全自动挖核机、切条机等设备，预煮机改为预煮线，分选案改为分选线，装罐车改为装罐线（装罐线包括原有洗瓶机、封瓶机），取消蒸箱，杀菌车改为杀菌线，拆除现有1台2t/h生物质锅炉，新上1台型号为DZL4-1.25-T的4t/h生物质锅炉。主要生产工艺流程不变，扩建前生产规模为年生产各类水果罐头 30万瓶，扩建后生产规模为年生产各类水果罐头 40万瓶。</w:t>
            </w:r>
          </w:p>
          <w:p w14:paraId="3D1B7650">
            <w:pPr>
              <w:adjustRightInd w:val="0"/>
              <w:snapToGrid w:val="0"/>
              <w:spacing w:line="400" w:lineRule="exact"/>
              <w:ind w:firstLine="420"/>
            </w:pPr>
            <w:r>
              <w:rPr>
                <w:bCs/>
                <w:szCs w:val="21"/>
              </w:rPr>
              <w:t>根据《中华人民共和国环境影响评价法》、《建设项目环境保护管理条例》及《建设项目环境影响评价分类管理名录（2021年版）》中的有关规定，本项目属于名录中“</w:t>
            </w:r>
            <w:r>
              <w:rPr>
                <w:rFonts w:hint="eastAsia"/>
              </w:rPr>
              <w:t>十一、食品制造业14中21.罐头食品制造145*：除单纯分装外的及</w:t>
            </w:r>
            <w:r>
              <w:rPr>
                <w:bCs/>
                <w:szCs w:val="21"/>
              </w:rPr>
              <w:t>“</w:t>
            </w:r>
            <w:r>
              <w:rPr>
                <w:rFonts w:hint="eastAsia"/>
                <w:bCs/>
                <w:szCs w:val="21"/>
              </w:rPr>
              <w:t>四</w:t>
            </w:r>
            <w:r>
              <w:rPr>
                <w:rFonts w:hint="eastAsia"/>
              </w:rPr>
              <w:t>十一、电力、热力生产和供应业91.热力生产和供应工程（包括建设单位自建自用的供热工程）：使用其它高污染燃料的</w:t>
            </w:r>
            <w:r>
              <w:rPr>
                <w:rFonts w:hint="eastAsia"/>
                <w:bCs/>
                <w:szCs w:val="21"/>
              </w:rPr>
              <w:t>，应编制环境影响报告表。</w:t>
            </w:r>
            <w:r>
              <w:rPr>
                <w:rFonts w:hint="eastAsia" w:ascii="宋体" w:hAnsi="宋体" w:cs="宋体"/>
                <w:szCs w:val="21"/>
              </w:rPr>
              <w:t>秦皇岛市天马食品厂</w:t>
            </w:r>
            <w:r>
              <w:rPr>
                <w:rFonts w:hint="eastAsia"/>
                <w:bCs/>
                <w:szCs w:val="21"/>
              </w:rPr>
              <w:t>委托我单位承担该项目环境影响报告表的编制工作。接受委托后，我单位组织技术人员进行了现场踏勘、资料收集与调研，并按环评技术导则、报告表编制技术指南要求编写了本项目环境影响报告表。</w:t>
            </w:r>
          </w:p>
          <w:p w14:paraId="17195C7B">
            <w:pPr>
              <w:adjustRightInd w:val="0"/>
              <w:snapToGrid w:val="0"/>
              <w:spacing w:line="400" w:lineRule="exact"/>
              <w:ind w:firstLine="422"/>
              <w:rPr>
                <w:b/>
                <w:szCs w:val="21"/>
              </w:rPr>
            </w:pPr>
            <w:r>
              <w:rPr>
                <w:rFonts w:hint="eastAsia"/>
                <w:b/>
                <w:szCs w:val="21"/>
              </w:rPr>
              <w:t>2、现有工程概况</w:t>
            </w:r>
          </w:p>
          <w:p w14:paraId="3A8F17AA">
            <w:pPr>
              <w:spacing w:line="400" w:lineRule="exact"/>
              <w:ind w:firstLine="420"/>
              <w:rPr>
                <w:bCs/>
                <w:szCs w:val="21"/>
              </w:rPr>
            </w:pPr>
            <w:r>
              <w:rPr>
                <w:rFonts w:hint="eastAsia"/>
                <w:bCs/>
                <w:szCs w:val="21"/>
              </w:rPr>
              <w:t>（1）</w:t>
            </w:r>
            <w:r>
              <w:rPr>
                <w:bCs/>
                <w:szCs w:val="21"/>
              </w:rPr>
              <w:t>公司概况</w:t>
            </w:r>
          </w:p>
          <w:p w14:paraId="3BD27C57">
            <w:pPr>
              <w:spacing w:line="400" w:lineRule="exact"/>
              <w:ind w:firstLine="420"/>
              <w:rPr>
                <w:rFonts w:hAnsi="宋体"/>
                <w:szCs w:val="21"/>
              </w:rPr>
            </w:pPr>
            <w:r>
              <w:rPr>
                <w:rFonts w:hint="eastAsia" w:hAnsi="宋体"/>
                <w:bCs/>
                <w:szCs w:val="21"/>
              </w:rPr>
              <w:t>秦皇岛市天马食品厂位于河北省秦皇岛市抚宁区</w:t>
            </w:r>
            <w:r>
              <w:rPr>
                <w:rFonts w:hint="eastAsia"/>
              </w:rPr>
              <w:t>坟坨</w:t>
            </w:r>
            <w:r>
              <w:rPr>
                <w:rFonts w:hint="eastAsia" w:hAnsi="宋体"/>
                <w:bCs/>
                <w:szCs w:val="21"/>
              </w:rPr>
              <w:t>镇坟坨村，占地面积3930m</w:t>
            </w:r>
            <w:r>
              <w:rPr>
                <w:rFonts w:hint="eastAsia" w:hAnsi="宋体"/>
                <w:bCs/>
                <w:szCs w:val="21"/>
                <w:vertAlign w:val="superscript"/>
              </w:rPr>
              <w:t>2</w:t>
            </w:r>
            <w:r>
              <w:rPr>
                <w:rFonts w:hAnsi="宋体"/>
                <w:szCs w:val="21"/>
              </w:rPr>
              <w:t>，</w:t>
            </w:r>
            <w:r>
              <w:rPr>
                <w:szCs w:val="21"/>
              </w:rPr>
              <w:t>项目中心地理位置坐标为东经119°1</w:t>
            </w:r>
            <w:r>
              <w:rPr>
                <w:rFonts w:hint="eastAsia"/>
                <w:szCs w:val="21"/>
              </w:rPr>
              <w:t>2</w:t>
            </w:r>
            <w:r>
              <w:rPr>
                <w:szCs w:val="21"/>
              </w:rPr>
              <w:t>′</w:t>
            </w:r>
            <w:r>
              <w:rPr>
                <w:rFonts w:hint="eastAsia"/>
                <w:szCs w:val="21"/>
              </w:rPr>
              <w:t>6.481</w:t>
            </w:r>
            <w:r>
              <w:rPr>
                <w:szCs w:val="21"/>
              </w:rPr>
              <w:t>″，北纬 39°5</w:t>
            </w:r>
            <w:r>
              <w:rPr>
                <w:rFonts w:hint="eastAsia"/>
                <w:szCs w:val="21"/>
              </w:rPr>
              <w:t>0</w:t>
            </w:r>
            <w:r>
              <w:rPr>
                <w:szCs w:val="21"/>
              </w:rPr>
              <w:t>′</w:t>
            </w:r>
            <w:r>
              <w:rPr>
                <w:rFonts w:hint="eastAsia"/>
                <w:szCs w:val="21"/>
              </w:rPr>
              <w:t>39.040</w:t>
            </w:r>
            <w:r>
              <w:rPr>
                <w:szCs w:val="21"/>
              </w:rPr>
              <w:t>″，</w:t>
            </w:r>
            <w:r>
              <w:rPr>
                <w:snapToGrid w:val="0"/>
                <w:szCs w:val="21"/>
              </w:rPr>
              <w:t>厂区</w:t>
            </w:r>
            <w:r>
              <w:rPr>
                <w:rFonts w:hint="eastAsia"/>
                <w:snapToGrid w:val="0"/>
                <w:szCs w:val="21"/>
              </w:rPr>
              <w:t>东侧、南侧、北侧均为</w:t>
            </w:r>
            <w:r>
              <w:rPr>
                <w:rFonts w:hint="eastAsia" w:hAnsi="宋体"/>
                <w:bCs/>
                <w:szCs w:val="21"/>
              </w:rPr>
              <w:t>坟坨村</w:t>
            </w:r>
            <w:r>
              <w:rPr>
                <w:rFonts w:hint="eastAsia"/>
                <w:snapToGrid w:val="0"/>
                <w:szCs w:val="21"/>
              </w:rPr>
              <w:t>住宅，西侧为</w:t>
            </w:r>
            <w:r>
              <w:rPr>
                <w:rFonts w:hint="eastAsia" w:hAnsi="宋体"/>
                <w:bCs/>
                <w:szCs w:val="21"/>
              </w:rPr>
              <w:t>坟坨</w:t>
            </w:r>
            <w:r>
              <w:rPr>
                <w:rFonts w:hint="eastAsia"/>
                <w:snapToGrid w:val="0"/>
                <w:szCs w:val="21"/>
              </w:rPr>
              <w:t>小学。</w:t>
            </w:r>
          </w:p>
          <w:p w14:paraId="7927D415">
            <w:pPr>
              <w:spacing w:line="400" w:lineRule="exact"/>
              <w:ind w:firstLine="420"/>
              <w:rPr>
                <w:rFonts w:hAnsi="宋体"/>
                <w:bCs/>
                <w:szCs w:val="21"/>
              </w:rPr>
            </w:pPr>
            <w:r>
              <w:rPr>
                <w:rFonts w:hint="eastAsia" w:hAnsi="宋体"/>
                <w:bCs/>
                <w:szCs w:val="21"/>
              </w:rPr>
              <w:t>秦皇岛市天马食品厂现有水果罐头生产线1条，生产规模为年生产各类水果罐头30万瓶。</w:t>
            </w:r>
          </w:p>
          <w:p w14:paraId="52231A7D">
            <w:pPr>
              <w:spacing w:line="400" w:lineRule="exact"/>
              <w:ind w:firstLine="420"/>
              <w:rPr>
                <w:rFonts w:hAnsi="宋体"/>
                <w:bCs/>
                <w:szCs w:val="21"/>
              </w:rPr>
            </w:pPr>
            <w:bookmarkStart w:id="20" w:name="_Toc10506"/>
            <w:bookmarkStart w:id="21" w:name="_Toc9203"/>
            <w:r>
              <w:rPr>
                <w:rFonts w:hint="eastAsia" w:hAnsi="宋体"/>
                <w:bCs/>
                <w:szCs w:val="21"/>
              </w:rPr>
              <w:t>公司现有污水处理站一座，废水</w:t>
            </w:r>
            <w:bookmarkStart w:id="22" w:name="OLE_LINK119"/>
            <w:bookmarkStart w:id="23" w:name="OLE_LINK118"/>
            <w:r>
              <w:rPr>
                <w:rFonts w:hint="eastAsia" w:hAnsi="宋体"/>
                <w:bCs/>
                <w:szCs w:val="21"/>
              </w:rPr>
              <w:t>处理达标后运至秦皇岛市抚宁区中冶水务有限公司。</w:t>
            </w:r>
            <w:bookmarkEnd w:id="22"/>
            <w:bookmarkEnd w:id="23"/>
          </w:p>
          <w:p w14:paraId="548BB285">
            <w:pPr>
              <w:spacing w:line="400" w:lineRule="exact"/>
              <w:ind w:firstLine="420"/>
              <w:rPr>
                <w:rFonts w:hAnsi="宋体"/>
                <w:bCs/>
                <w:szCs w:val="21"/>
              </w:rPr>
            </w:pPr>
            <w:r>
              <w:rPr>
                <w:rFonts w:hint="eastAsia" w:hAnsi="宋体"/>
                <w:bCs/>
                <w:szCs w:val="21"/>
              </w:rPr>
              <w:t>公司现有一台2t/h生物质锅炉为生产过程提供蒸汽。</w:t>
            </w:r>
          </w:p>
          <w:p w14:paraId="2D502793">
            <w:pPr>
              <w:spacing w:line="400" w:lineRule="exact"/>
              <w:ind w:firstLine="420"/>
              <w:rPr>
                <w:rFonts w:hAnsi="宋体"/>
                <w:bCs/>
                <w:szCs w:val="21"/>
              </w:rPr>
            </w:pPr>
            <w:r>
              <w:rPr>
                <w:rFonts w:hint="eastAsia" w:hAnsi="宋体"/>
                <w:bCs/>
                <w:szCs w:val="21"/>
              </w:rPr>
              <w:t>公司</w:t>
            </w:r>
            <w:r>
              <w:rPr>
                <w:rFonts w:hAnsi="宋体"/>
                <w:bCs/>
                <w:szCs w:val="21"/>
              </w:rPr>
              <w:t>现有</w:t>
            </w:r>
            <w:r>
              <w:rPr>
                <w:rFonts w:hint="eastAsia" w:hAnsi="宋体"/>
                <w:bCs/>
                <w:szCs w:val="21"/>
              </w:rPr>
              <w:t>员工35人，一班制，</w:t>
            </w:r>
            <w:r>
              <w:rPr>
                <w:rFonts w:hAnsi="宋体"/>
                <w:bCs/>
                <w:szCs w:val="21"/>
              </w:rPr>
              <w:t>每</w:t>
            </w:r>
            <w:r>
              <w:rPr>
                <w:rFonts w:hint="eastAsia" w:hAnsi="宋体"/>
                <w:bCs/>
                <w:szCs w:val="21"/>
              </w:rPr>
              <w:t>班</w:t>
            </w:r>
            <w:r>
              <w:rPr>
                <w:rFonts w:hAnsi="宋体"/>
                <w:bCs/>
                <w:szCs w:val="21"/>
              </w:rPr>
              <w:t>生产8小时，</w:t>
            </w:r>
            <w:r>
              <w:rPr>
                <w:rFonts w:hint="eastAsia" w:hAnsi="宋体"/>
                <w:bCs/>
                <w:szCs w:val="21"/>
              </w:rPr>
              <w:t>每年5~11月生产，年生产210天。</w:t>
            </w:r>
            <w:bookmarkEnd w:id="20"/>
            <w:bookmarkEnd w:id="21"/>
          </w:p>
          <w:p w14:paraId="69D12019">
            <w:pPr>
              <w:spacing w:line="400" w:lineRule="exact"/>
              <w:ind w:firstLine="420"/>
              <w:rPr>
                <w:rFonts w:hAnsi="宋体"/>
                <w:bCs/>
                <w:szCs w:val="21"/>
              </w:rPr>
            </w:pPr>
            <w:r>
              <w:rPr>
                <w:rFonts w:hint="eastAsia"/>
                <w:bCs/>
                <w:szCs w:val="21"/>
              </w:rPr>
              <w:t>（2）现有工程项目</w:t>
            </w:r>
            <w:r>
              <w:rPr>
                <w:bCs/>
                <w:szCs w:val="21"/>
              </w:rPr>
              <w:t>组成</w:t>
            </w:r>
          </w:p>
          <w:p w14:paraId="5E2BC838">
            <w:pPr>
              <w:adjustRightInd w:val="0"/>
              <w:snapToGrid w:val="0"/>
              <w:spacing w:beforeLines="50"/>
              <w:ind w:firstLine="420"/>
              <w:rPr>
                <w:rFonts w:hAnsi="宋体"/>
                <w:bCs/>
                <w:szCs w:val="21"/>
              </w:rPr>
            </w:pPr>
            <w:r>
              <w:rPr>
                <w:rFonts w:hint="eastAsia"/>
                <w:bCs/>
                <w:szCs w:val="21"/>
              </w:rPr>
              <w:t>项目现有工程组成见表2-1。</w:t>
            </w:r>
          </w:p>
          <w:p w14:paraId="01A73CC4">
            <w:pPr>
              <w:pStyle w:val="73"/>
              <w:rPr>
                <w:kern w:val="2"/>
              </w:rPr>
            </w:pPr>
            <w:r>
              <w:rPr>
                <w:rFonts w:hint="eastAsia"/>
              </w:rPr>
              <w:t>表2-1 现有工程项目</w:t>
            </w:r>
            <w:r>
              <w:t>组成表</w:t>
            </w: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1"/>
              <w:gridCol w:w="1010"/>
              <w:gridCol w:w="5224"/>
              <w:gridCol w:w="1183"/>
            </w:tblGrid>
            <w:tr w14:paraId="6145E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3" w:type="pct"/>
                  <w:gridSpan w:val="2"/>
                  <w:vAlign w:val="center"/>
                </w:tcPr>
                <w:p w14:paraId="1A3BC153">
                  <w:pPr>
                    <w:pStyle w:val="40"/>
                  </w:pPr>
                  <w:r>
                    <w:t>工程组成</w:t>
                  </w:r>
                </w:p>
              </w:tc>
              <w:tc>
                <w:tcPr>
                  <w:tcW w:w="3201" w:type="pct"/>
                  <w:vAlign w:val="center"/>
                </w:tcPr>
                <w:p w14:paraId="56C82E80">
                  <w:pPr>
                    <w:pStyle w:val="40"/>
                  </w:pPr>
                  <w:r>
                    <w:t>工程内容</w:t>
                  </w:r>
                </w:p>
              </w:tc>
              <w:tc>
                <w:tcPr>
                  <w:tcW w:w="725" w:type="pct"/>
                  <w:vAlign w:val="center"/>
                </w:tcPr>
                <w:p w14:paraId="33DB253B">
                  <w:pPr>
                    <w:pStyle w:val="40"/>
                  </w:pPr>
                  <w:r>
                    <w:rPr>
                      <w:rFonts w:hint="eastAsia"/>
                    </w:rPr>
                    <w:t>备注</w:t>
                  </w:r>
                </w:p>
              </w:tc>
            </w:tr>
            <w:tr w14:paraId="6EA99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restart"/>
                  <w:vAlign w:val="center"/>
                </w:tcPr>
                <w:p w14:paraId="01AE03E6">
                  <w:pPr>
                    <w:pStyle w:val="40"/>
                  </w:pPr>
                  <w:r>
                    <w:t>主体工程</w:t>
                  </w:r>
                </w:p>
              </w:tc>
              <w:tc>
                <w:tcPr>
                  <w:tcW w:w="619" w:type="pct"/>
                  <w:vAlign w:val="center"/>
                </w:tcPr>
                <w:p w14:paraId="28F6B7DC">
                  <w:pPr>
                    <w:pStyle w:val="40"/>
                  </w:pPr>
                  <w:r>
                    <w:rPr>
                      <w:rFonts w:hint="eastAsia"/>
                    </w:rPr>
                    <w:t>生产主厂房</w:t>
                  </w:r>
                </w:p>
              </w:tc>
              <w:tc>
                <w:tcPr>
                  <w:tcW w:w="3201" w:type="pct"/>
                  <w:vAlign w:val="center"/>
                </w:tcPr>
                <w:p w14:paraId="688DF8BF">
                  <w:pPr>
                    <w:pStyle w:val="40"/>
                  </w:pPr>
                  <w:r>
                    <w:t>建筑面积</w:t>
                  </w:r>
                  <w:r>
                    <w:rPr>
                      <w:rFonts w:hint="eastAsia" w:hAnsi="宋体"/>
                      <w:bCs/>
                    </w:rPr>
                    <w:t>480</w:t>
                  </w:r>
                  <w:r>
                    <w:rPr>
                      <w:rFonts w:hAnsi="宋体"/>
                      <w:bCs/>
                    </w:rPr>
                    <w:t>m</w:t>
                  </w:r>
                  <w:r>
                    <w:rPr>
                      <w:rFonts w:hAnsi="宋体"/>
                      <w:bCs/>
                      <w:vertAlign w:val="superscript"/>
                    </w:rPr>
                    <w:t>2</w:t>
                  </w:r>
                  <w:r>
                    <w:rPr>
                      <w:rFonts w:hint="eastAsia" w:hAnsi="宋体"/>
                      <w:bCs/>
                    </w:rPr>
                    <w:t>，</w:t>
                  </w:r>
                  <w:r>
                    <w:rPr>
                      <w:rFonts w:hint="eastAsia"/>
                    </w:rPr>
                    <w:t>1条水果罐头生产线，年生产各类水果罐头30万瓶</w:t>
                  </w:r>
                </w:p>
              </w:tc>
              <w:tc>
                <w:tcPr>
                  <w:tcW w:w="725" w:type="pct"/>
                  <w:vAlign w:val="center"/>
                </w:tcPr>
                <w:p w14:paraId="25BC7DB5">
                  <w:pPr>
                    <w:pStyle w:val="40"/>
                  </w:pPr>
                  <w:r>
                    <w:rPr>
                      <w:rFonts w:hint="eastAsia"/>
                    </w:rPr>
                    <w:t>/</w:t>
                  </w:r>
                </w:p>
              </w:tc>
            </w:tr>
            <w:tr w14:paraId="4C1AE1A1">
              <w:tblPrEx>
                <w:tblCellMar>
                  <w:top w:w="0" w:type="dxa"/>
                  <w:left w:w="108" w:type="dxa"/>
                  <w:bottom w:w="0" w:type="dxa"/>
                  <w:right w:w="108" w:type="dxa"/>
                </w:tblCellMar>
              </w:tblPrEx>
              <w:trPr>
                <w:jc w:val="center"/>
              </w:trPr>
              <w:tc>
                <w:tcPr>
                  <w:tcW w:w="454" w:type="pct"/>
                  <w:vMerge w:val="continue"/>
                  <w:vAlign w:val="center"/>
                </w:tcPr>
                <w:p w14:paraId="1663B40F">
                  <w:pPr>
                    <w:pStyle w:val="40"/>
                  </w:pPr>
                </w:p>
              </w:tc>
              <w:tc>
                <w:tcPr>
                  <w:tcW w:w="619" w:type="pct"/>
                  <w:vAlign w:val="center"/>
                </w:tcPr>
                <w:p w14:paraId="0A7C1A1F">
                  <w:pPr>
                    <w:pStyle w:val="40"/>
                    <w:rPr>
                      <w:highlight w:val="yellow"/>
                    </w:rPr>
                  </w:pPr>
                  <w:r>
                    <w:rPr>
                      <w:rFonts w:hint="eastAsia"/>
                    </w:rPr>
                    <w:t>蜜饯车间</w:t>
                  </w:r>
                </w:p>
              </w:tc>
              <w:tc>
                <w:tcPr>
                  <w:tcW w:w="3201" w:type="pct"/>
                  <w:vAlign w:val="center"/>
                </w:tcPr>
                <w:p w14:paraId="26FD7055">
                  <w:pPr>
                    <w:pStyle w:val="40"/>
                    <w:rPr>
                      <w:highlight w:val="yellow"/>
                    </w:rPr>
                  </w:pPr>
                  <w:r>
                    <w:t>建筑面积</w:t>
                  </w:r>
                  <w:r>
                    <w:rPr>
                      <w:rFonts w:hint="eastAsia"/>
                    </w:rPr>
                    <w:t>300</w:t>
                  </w:r>
                  <w:r>
                    <w:t>m</w:t>
                  </w:r>
                  <w:r>
                    <w:rPr>
                      <w:vertAlign w:val="superscript"/>
                    </w:rPr>
                    <w:t>2</w:t>
                  </w:r>
                  <w:r>
                    <w:rPr>
                      <w:rFonts w:hint="eastAsia"/>
                    </w:rPr>
                    <w:t>，原为1条蜜饯生产线，现已取消，作为库房</w:t>
                  </w:r>
                </w:p>
              </w:tc>
              <w:tc>
                <w:tcPr>
                  <w:tcW w:w="725" w:type="pct"/>
                  <w:vAlign w:val="center"/>
                </w:tcPr>
                <w:p w14:paraId="4EA9C5B2">
                  <w:pPr>
                    <w:pStyle w:val="40"/>
                  </w:pPr>
                  <w:r>
                    <w:rPr>
                      <w:rFonts w:hint="eastAsia"/>
                    </w:rPr>
                    <w:t>/</w:t>
                  </w:r>
                </w:p>
              </w:tc>
            </w:tr>
            <w:tr w14:paraId="34BF9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restart"/>
                  <w:vAlign w:val="center"/>
                </w:tcPr>
                <w:p w14:paraId="40D63748">
                  <w:pPr>
                    <w:pStyle w:val="40"/>
                  </w:pPr>
                  <w:r>
                    <w:rPr>
                      <w:rFonts w:hint="eastAsia"/>
                    </w:rPr>
                    <w:t>辅助工程</w:t>
                  </w:r>
                </w:p>
              </w:tc>
              <w:tc>
                <w:tcPr>
                  <w:tcW w:w="619" w:type="pct"/>
                  <w:vAlign w:val="center"/>
                </w:tcPr>
                <w:p w14:paraId="38301EB0">
                  <w:pPr>
                    <w:pStyle w:val="40"/>
                  </w:pPr>
                  <w:r>
                    <w:rPr>
                      <w:rFonts w:hint="eastAsia"/>
                    </w:rPr>
                    <w:t>锅炉房</w:t>
                  </w:r>
                </w:p>
              </w:tc>
              <w:tc>
                <w:tcPr>
                  <w:tcW w:w="3201" w:type="pct"/>
                  <w:vAlign w:val="center"/>
                </w:tcPr>
                <w:p w14:paraId="4EBF7482">
                  <w:pPr>
                    <w:pStyle w:val="40"/>
                    <w:rPr>
                      <w:highlight w:val="yellow"/>
                    </w:rPr>
                  </w:pPr>
                  <w:r>
                    <w:rPr>
                      <w:rFonts w:hint="eastAsia"/>
                    </w:rPr>
                    <w:t>建筑面积为50m</w:t>
                  </w:r>
                  <w:r>
                    <w:rPr>
                      <w:rFonts w:hint="eastAsia"/>
                      <w:vertAlign w:val="superscript"/>
                    </w:rPr>
                    <w:t>2</w:t>
                  </w:r>
                  <w:r>
                    <w:rPr>
                      <w:rFonts w:hint="eastAsia"/>
                    </w:rPr>
                    <w:t>，设置1台生物质锅炉为生产提供蒸汽，锅炉吨位为</w:t>
                  </w:r>
                  <w:r>
                    <w:t>2t/h</w:t>
                  </w:r>
                  <w:r>
                    <w:rPr>
                      <w:rFonts w:hint="eastAsia"/>
                    </w:rPr>
                    <w:t>，型号为DZL2-1.0-S，燃料为生物质成型颗粒，介质为热水；设置一套软化水制备装置</w:t>
                  </w:r>
                </w:p>
              </w:tc>
              <w:tc>
                <w:tcPr>
                  <w:tcW w:w="725" w:type="pct"/>
                  <w:vAlign w:val="center"/>
                </w:tcPr>
                <w:p w14:paraId="52DA4F0D">
                  <w:pPr>
                    <w:pStyle w:val="40"/>
                  </w:pPr>
                  <w:r>
                    <w:rPr>
                      <w:rFonts w:hint="eastAsia"/>
                    </w:rPr>
                    <w:t>/</w:t>
                  </w:r>
                </w:p>
              </w:tc>
            </w:tr>
            <w:tr w14:paraId="368B060A">
              <w:tblPrEx>
                <w:tblCellMar>
                  <w:top w:w="0" w:type="dxa"/>
                  <w:left w:w="108" w:type="dxa"/>
                  <w:bottom w:w="0" w:type="dxa"/>
                  <w:right w:w="108" w:type="dxa"/>
                </w:tblCellMar>
              </w:tblPrEx>
              <w:trPr>
                <w:jc w:val="center"/>
              </w:trPr>
              <w:tc>
                <w:tcPr>
                  <w:tcW w:w="454" w:type="pct"/>
                  <w:vMerge w:val="continue"/>
                  <w:vAlign w:val="center"/>
                </w:tcPr>
                <w:p w14:paraId="1D9CDDFD">
                  <w:pPr>
                    <w:pStyle w:val="40"/>
                  </w:pPr>
                </w:p>
              </w:tc>
              <w:tc>
                <w:tcPr>
                  <w:tcW w:w="619" w:type="pct"/>
                </w:tcPr>
                <w:p w14:paraId="56B504BC">
                  <w:pPr>
                    <w:pStyle w:val="40"/>
                  </w:pPr>
                  <w:r>
                    <w:rPr>
                      <w:rFonts w:hint="eastAsia"/>
                    </w:rPr>
                    <w:t>办公管理用房</w:t>
                  </w:r>
                </w:p>
              </w:tc>
              <w:tc>
                <w:tcPr>
                  <w:tcW w:w="3201" w:type="pct"/>
                  <w:vAlign w:val="center"/>
                </w:tcPr>
                <w:p w14:paraId="5C729653">
                  <w:pPr>
                    <w:pStyle w:val="40"/>
                  </w:pPr>
                  <w:r>
                    <w:rPr>
                      <w:rFonts w:hint="eastAsia"/>
                    </w:rPr>
                    <w:t>建筑面积200 m</w:t>
                  </w:r>
                  <w:r>
                    <w:rPr>
                      <w:rFonts w:hint="eastAsia"/>
                      <w:vertAlign w:val="superscript"/>
                    </w:rPr>
                    <w:t>2</w:t>
                  </w:r>
                  <w:r>
                    <w:rPr>
                      <w:rFonts w:hint="eastAsia"/>
                    </w:rPr>
                    <w:t>，用于办公</w:t>
                  </w:r>
                </w:p>
              </w:tc>
              <w:tc>
                <w:tcPr>
                  <w:tcW w:w="725" w:type="pct"/>
                  <w:vAlign w:val="center"/>
                </w:tcPr>
                <w:p w14:paraId="09137F2B">
                  <w:pPr>
                    <w:pStyle w:val="40"/>
                  </w:pPr>
                  <w:r>
                    <w:rPr>
                      <w:rFonts w:hint="eastAsia"/>
                    </w:rPr>
                    <w:t>/</w:t>
                  </w:r>
                </w:p>
              </w:tc>
            </w:tr>
            <w:tr w14:paraId="64122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6DB01176">
                  <w:pPr>
                    <w:pStyle w:val="40"/>
                  </w:pPr>
                </w:p>
              </w:tc>
              <w:tc>
                <w:tcPr>
                  <w:tcW w:w="619" w:type="pct"/>
                  <w:vAlign w:val="center"/>
                </w:tcPr>
                <w:p w14:paraId="62DDB943">
                  <w:pPr>
                    <w:pStyle w:val="40"/>
                  </w:pPr>
                  <w:r>
                    <w:rPr>
                      <w:rFonts w:hint="eastAsia"/>
                    </w:rPr>
                    <w:t>包材间</w:t>
                  </w:r>
                </w:p>
              </w:tc>
              <w:tc>
                <w:tcPr>
                  <w:tcW w:w="3201" w:type="pct"/>
                  <w:vAlign w:val="center"/>
                </w:tcPr>
                <w:p w14:paraId="4CF4D45E">
                  <w:pPr>
                    <w:pStyle w:val="40"/>
                  </w:pPr>
                  <w:r>
                    <w:rPr>
                      <w:rFonts w:hint="eastAsia"/>
                    </w:rPr>
                    <w:t>建筑面积100m</w:t>
                  </w:r>
                  <w:r>
                    <w:rPr>
                      <w:rFonts w:hint="eastAsia"/>
                      <w:vertAlign w:val="superscript"/>
                    </w:rPr>
                    <w:t>2</w:t>
                  </w:r>
                </w:p>
              </w:tc>
              <w:tc>
                <w:tcPr>
                  <w:tcW w:w="725" w:type="pct"/>
                  <w:vAlign w:val="center"/>
                </w:tcPr>
                <w:p w14:paraId="4ED787C7">
                  <w:pPr>
                    <w:pStyle w:val="40"/>
                  </w:pPr>
                  <w:r>
                    <w:rPr>
                      <w:rFonts w:hint="eastAsia"/>
                    </w:rPr>
                    <w:t>/</w:t>
                  </w:r>
                </w:p>
              </w:tc>
            </w:tr>
            <w:tr w14:paraId="17AB7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3007C807">
                  <w:pPr>
                    <w:pStyle w:val="40"/>
                  </w:pPr>
                </w:p>
              </w:tc>
              <w:tc>
                <w:tcPr>
                  <w:tcW w:w="619" w:type="pct"/>
                  <w:vAlign w:val="center"/>
                </w:tcPr>
                <w:p w14:paraId="01A3411D">
                  <w:pPr>
                    <w:pStyle w:val="40"/>
                  </w:pPr>
                  <w:r>
                    <w:rPr>
                      <w:rFonts w:hint="eastAsia"/>
                    </w:rPr>
                    <w:t>化验室</w:t>
                  </w:r>
                </w:p>
              </w:tc>
              <w:tc>
                <w:tcPr>
                  <w:tcW w:w="3201" w:type="pct"/>
                  <w:vAlign w:val="center"/>
                </w:tcPr>
                <w:p w14:paraId="54C34B33">
                  <w:pPr>
                    <w:pStyle w:val="40"/>
                  </w:pPr>
                  <w:r>
                    <w:rPr>
                      <w:rFonts w:hint="eastAsia"/>
                    </w:rPr>
                    <w:t>建筑面积100 m</w:t>
                  </w:r>
                  <w:r>
                    <w:rPr>
                      <w:rFonts w:hint="eastAsia"/>
                      <w:vertAlign w:val="superscript"/>
                    </w:rPr>
                    <w:t>2</w:t>
                  </w:r>
                  <w:r>
                    <w:rPr>
                      <w:rFonts w:hint="eastAsia"/>
                    </w:rPr>
                    <w:t>，用于检验产品</w:t>
                  </w:r>
                </w:p>
              </w:tc>
              <w:tc>
                <w:tcPr>
                  <w:tcW w:w="725" w:type="pct"/>
                  <w:vAlign w:val="center"/>
                </w:tcPr>
                <w:p w14:paraId="1D0A07EC">
                  <w:pPr>
                    <w:pStyle w:val="40"/>
                  </w:pPr>
                  <w:r>
                    <w:rPr>
                      <w:rFonts w:hint="eastAsia"/>
                    </w:rPr>
                    <w:t>/</w:t>
                  </w:r>
                </w:p>
              </w:tc>
            </w:tr>
            <w:tr w14:paraId="144B1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3EAC778E">
                  <w:pPr>
                    <w:pStyle w:val="40"/>
                  </w:pPr>
                </w:p>
              </w:tc>
              <w:tc>
                <w:tcPr>
                  <w:tcW w:w="619" w:type="pct"/>
                  <w:vAlign w:val="center"/>
                </w:tcPr>
                <w:p w14:paraId="11ABBBD5">
                  <w:pPr>
                    <w:pStyle w:val="40"/>
                  </w:pPr>
                  <w:r>
                    <w:rPr>
                      <w:rFonts w:hint="eastAsia"/>
                    </w:rPr>
                    <w:t>设备室</w:t>
                  </w:r>
                </w:p>
              </w:tc>
              <w:tc>
                <w:tcPr>
                  <w:tcW w:w="3201" w:type="pct"/>
                </w:tcPr>
                <w:p w14:paraId="195978F3">
                  <w:pPr>
                    <w:pStyle w:val="40"/>
                  </w:pPr>
                  <w:r>
                    <w:rPr>
                      <w:rFonts w:hint="eastAsia"/>
                    </w:rPr>
                    <w:t>建筑面积100m</w:t>
                  </w:r>
                  <w:r>
                    <w:rPr>
                      <w:rFonts w:hint="eastAsia"/>
                      <w:vertAlign w:val="superscript"/>
                    </w:rPr>
                    <w:t>2</w:t>
                  </w:r>
                  <w:r>
                    <w:rPr>
                      <w:rFonts w:hint="eastAsia"/>
                    </w:rPr>
                    <w:t>，用于污水处理设备存放</w:t>
                  </w:r>
                </w:p>
              </w:tc>
              <w:tc>
                <w:tcPr>
                  <w:tcW w:w="725" w:type="pct"/>
                  <w:vAlign w:val="center"/>
                </w:tcPr>
                <w:p w14:paraId="6B56F7A4">
                  <w:pPr>
                    <w:pStyle w:val="40"/>
                  </w:pPr>
                  <w:r>
                    <w:rPr>
                      <w:rFonts w:hint="eastAsia"/>
                    </w:rPr>
                    <w:t>/</w:t>
                  </w:r>
                </w:p>
              </w:tc>
            </w:tr>
            <w:tr w14:paraId="023F6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0FFD3C53">
                  <w:pPr>
                    <w:pStyle w:val="40"/>
                  </w:pPr>
                </w:p>
              </w:tc>
              <w:tc>
                <w:tcPr>
                  <w:tcW w:w="619" w:type="pct"/>
                  <w:vAlign w:val="center"/>
                </w:tcPr>
                <w:p w14:paraId="7B74C09F">
                  <w:pPr>
                    <w:pStyle w:val="40"/>
                  </w:pPr>
                  <w:r>
                    <w:rPr>
                      <w:rFonts w:hint="eastAsia"/>
                    </w:rPr>
                    <w:t>门卫</w:t>
                  </w:r>
                </w:p>
              </w:tc>
              <w:tc>
                <w:tcPr>
                  <w:tcW w:w="3201" w:type="pct"/>
                </w:tcPr>
                <w:p w14:paraId="389DA2E4">
                  <w:pPr>
                    <w:pStyle w:val="40"/>
                  </w:pPr>
                  <w:r>
                    <w:rPr>
                      <w:rFonts w:hint="eastAsia"/>
                    </w:rPr>
                    <w:t>建筑面积20m</w:t>
                  </w:r>
                  <w:r>
                    <w:rPr>
                      <w:rFonts w:hint="eastAsia"/>
                      <w:vertAlign w:val="superscript"/>
                    </w:rPr>
                    <w:t>2</w:t>
                  </w:r>
                </w:p>
              </w:tc>
              <w:tc>
                <w:tcPr>
                  <w:tcW w:w="725" w:type="pct"/>
                  <w:vAlign w:val="center"/>
                </w:tcPr>
                <w:p w14:paraId="150CB371">
                  <w:pPr>
                    <w:pStyle w:val="40"/>
                  </w:pPr>
                  <w:r>
                    <w:rPr>
                      <w:rFonts w:hint="eastAsia"/>
                    </w:rPr>
                    <w:t>/</w:t>
                  </w:r>
                </w:p>
              </w:tc>
            </w:tr>
            <w:tr w14:paraId="0D29D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restart"/>
                  <w:vAlign w:val="center"/>
                </w:tcPr>
                <w:p w14:paraId="39FF9AF0">
                  <w:pPr>
                    <w:pStyle w:val="40"/>
                  </w:pPr>
                  <w:r>
                    <w:rPr>
                      <w:rFonts w:hint="eastAsia"/>
                    </w:rPr>
                    <w:t>储运工程</w:t>
                  </w:r>
                </w:p>
              </w:tc>
              <w:tc>
                <w:tcPr>
                  <w:tcW w:w="619" w:type="pct"/>
                  <w:vAlign w:val="center"/>
                </w:tcPr>
                <w:p w14:paraId="25518F28">
                  <w:pPr>
                    <w:pStyle w:val="40"/>
                  </w:pPr>
                  <w:r>
                    <w:rPr>
                      <w:rFonts w:hint="eastAsia"/>
                    </w:rPr>
                    <w:t>罐头原料库</w:t>
                  </w:r>
                </w:p>
              </w:tc>
              <w:tc>
                <w:tcPr>
                  <w:tcW w:w="3201" w:type="pct"/>
                  <w:vAlign w:val="center"/>
                </w:tcPr>
                <w:p w14:paraId="123FF0DD">
                  <w:pPr>
                    <w:pStyle w:val="40"/>
                  </w:pPr>
                  <w:r>
                    <w:rPr>
                      <w:rFonts w:hint="eastAsia"/>
                    </w:rPr>
                    <w:t>建筑面积430m</w:t>
                  </w:r>
                  <w:r>
                    <w:rPr>
                      <w:rFonts w:hint="eastAsia"/>
                      <w:vertAlign w:val="superscript"/>
                    </w:rPr>
                    <w:t>2</w:t>
                  </w:r>
                  <w:r>
                    <w:rPr>
                      <w:rFonts w:hint="eastAsia"/>
                    </w:rPr>
                    <w:t>，用于罐头原料储存</w:t>
                  </w:r>
                </w:p>
              </w:tc>
              <w:tc>
                <w:tcPr>
                  <w:tcW w:w="725" w:type="pct"/>
                  <w:vAlign w:val="center"/>
                </w:tcPr>
                <w:p w14:paraId="4868753A">
                  <w:pPr>
                    <w:pStyle w:val="40"/>
                  </w:pPr>
                  <w:r>
                    <w:rPr>
                      <w:rFonts w:hint="eastAsia"/>
                    </w:rPr>
                    <w:t>/</w:t>
                  </w:r>
                </w:p>
              </w:tc>
            </w:tr>
            <w:tr w14:paraId="21016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4247CB55">
                  <w:pPr>
                    <w:pStyle w:val="40"/>
                  </w:pPr>
                </w:p>
              </w:tc>
              <w:tc>
                <w:tcPr>
                  <w:tcW w:w="619" w:type="pct"/>
                  <w:vAlign w:val="center"/>
                </w:tcPr>
                <w:p w14:paraId="1BAC656D">
                  <w:pPr>
                    <w:pStyle w:val="40"/>
                  </w:pPr>
                  <w:r>
                    <w:rPr>
                      <w:rFonts w:hint="eastAsia"/>
                    </w:rPr>
                    <w:t>成品库</w:t>
                  </w:r>
                </w:p>
              </w:tc>
              <w:tc>
                <w:tcPr>
                  <w:tcW w:w="3201" w:type="pct"/>
                  <w:vAlign w:val="center"/>
                </w:tcPr>
                <w:p w14:paraId="7234DA1E">
                  <w:pPr>
                    <w:pStyle w:val="40"/>
                  </w:pPr>
                  <w:r>
                    <w:rPr>
                      <w:rFonts w:hint="eastAsia"/>
                    </w:rPr>
                    <w:t>建筑面积100m</w:t>
                  </w:r>
                  <w:r>
                    <w:rPr>
                      <w:rFonts w:hint="eastAsia"/>
                      <w:vertAlign w:val="superscript"/>
                    </w:rPr>
                    <w:t>2</w:t>
                  </w:r>
                  <w:r>
                    <w:rPr>
                      <w:rFonts w:hint="eastAsia"/>
                    </w:rPr>
                    <w:t>，用于成品储存</w:t>
                  </w:r>
                </w:p>
              </w:tc>
              <w:tc>
                <w:tcPr>
                  <w:tcW w:w="725" w:type="pct"/>
                  <w:vAlign w:val="center"/>
                </w:tcPr>
                <w:p w14:paraId="4D827E12">
                  <w:pPr>
                    <w:pStyle w:val="40"/>
                  </w:pPr>
                  <w:r>
                    <w:rPr>
                      <w:rFonts w:hint="eastAsia"/>
                    </w:rPr>
                    <w:t>/</w:t>
                  </w:r>
                </w:p>
              </w:tc>
            </w:tr>
            <w:tr w14:paraId="4D52D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3ABED993">
                  <w:pPr>
                    <w:pStyle w:val="40"/>
                  </w:pPr>
                </w:p>
              </w:tc>
              <w:tc>
                <w:tcPr>
                  <w:tcW w:w="619" w:type="pct"/>
                  <w:vAlign w:val="center"/>
                </w:tcPr>
                <w:p w14:paraId="0FF7F5E7">
                  <w:pPr>
                    <w:pStyle w:val="40"/>
                  </w:pPr>
                  <w:r>
                    <w:rPr>
                      <w:rFonts w:hint="eastAsia"/>
                    </w:rPr>
                    <w:t>瓶库</w:t>
                  </w:r>
                </w:p>
              </w:tc>
              <w:tc>
                <w:tcPr>
                  <w:tcW w:w="3201" w:type="pct"/>
                  <w:vAlign w:val="center"/>
                </w:tcPr>
                <w:p w14:paraId="7321060B">
                  <w:pPr>
                    <w:pStyle w:val="40"/>
                  </w:pPr>
                  <w:r>
                    <w:rPr>
                      <w:rFonts w:hint="eastAsia"/>
                    </w:rPr>
                    <w:t>建筑面积100m</w:t>
                  </w:r>
                  <w:r>
                    <w:rPr>
                      <w:rFonts w:hint="eastAsia"/>
                      <w:vertAlign w:val="superscript"/>
                    </w:rPr>
                    <w:t>2</w:t>
                  </w:r>
                  <w:r>
                    <w:rPr>
                      <w:rFonts w:hint="eastAsia"/>
                    </w:rPr>
                    <w:t>，用于存放瓶。</w:t>
                  </w:r>
                </w:p>
              </w:tc>
              <w:tc>
                <w:tcPr>
                  <w:tcW w:w="725" w:type="pct"/>
                  <w:vAlign w:val="center"/>
                </w:tcPr>
                <w:p w14:paraId="218DD8FB">
                  <w:pPr>
                    <w:pStyle w:val="40"/>
                  </w:pPr>
                  <w:r>
                    <w:rPr>
                      <w:rFonts w:hint="eastAsia"/>
                    </w:rPr>
                    <w:t>/</w:t>
                  </w:r>
                </w:p>
              </w:tc>
            </w:tr>
            <w:tr w14:paraId="0295C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restart"/>
                  <w:vAlign w:val="center"/>
                </w:tcPr>
                <w:p w14:paraId="77CE0B0F">
                  <w:pPr>
                    <w:pStyle w:val="40"/>
                  </w:pPr>
                  <w:r>
                    <w:t>公用工程</w:t>
                  </w:r>
                </w:p>
              </w:tc>
              <w:tc>
                <w:tcPr>
                  <w:tcW w:w="619" w:type="pct"/>
                  <w:vAlign w:val="center"/>
                </w:tcPr>
                <w:p w14:paraId="76A321CC">
                  <w:pPr>
                    <w:pStyle w:val="40"/>
                  </w:pPr>
                  <w:r>
                    <w:t>供水工程</w:t>
                  </w:r>
                </w:p>
              </w:tc>
              <w:tc>
                <w:tcPr>
                  <w:tcW w:w="3201" w:type="pct"/>
                  <w:vAlign w:val="center"/>
                </w:tcPr>
                <w:p w14:paraId="3988EC05">
                  <w:pPr>
                    <w:pStyle w:val="40"/>
                  </w:pPr>
                  <w:r>
                    <w:rPr>
                      <w:rFonts w:hint="eastAsia"/>
                    </w:rPr>
                    <w:t>用水外购</w:t>
                  </w:r>
                </w:p>
              </w:tc>
              <w:tc>
                <w:tcPr>
                  <w:tcW w:w="725" w:type="pct"/>
                  <w:vAlign w:val="center"/>
                </w:tcPr>
                <w:p w14:paraId="1F79F9C5">
                  <w:pPr>
                    <w:pStyle w:val="40"/>
                  </w:pPr>
                  <w:r>
                    <w:rPr>
                      <w:rFonts w:hint="eastAsia"/>
                    </w:rPr>
                    <w:t>/</w:t>
                  </w:r>
                </w:p>
              </w:tc>
            </w:tr>
            <w:tr w14:paraId="11FC6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1D515E40">
                  <w:pPr>
                    <w:pStyle w:val="40"/>
                  </w:pPr>
                </w:p>
              </w:tc>
              <w:tc>
                <w:tcPr>
                  <w:tcW w:w="619" w:type="pct"/>
                  <w:vAlign w:val="center"/>
                </w:tcPr>
                <w:p w14:paraId="18E7AD39">
                  <w:pPr>
                    <w:pStyle w:val="40"/>
                  </w:pPr>
                  <w:r>
                    <w:rPr>
                      <w:rFonts w:hint="eastAsia"/>
                    </w:rPr>
                    <w:t>排水工程</w:t>
                  </w:r>
                </w:p>
              </w:tc>
              <w:tc>
                <w:tcPr>
                  <w:tcW w:w="3201" w:type="pct"/>
                  <w:vAlign w:val="center"/>
                </w:tcPr>
                <w:p w14:paraId="7B9483E5">
                  <w:pPr>
                    <w:pStyle w:val="108"/>
                    <w:rPr>
                      <w:rFonts w:hAnsi="宋体"/>
                      <w:bCs/>
                      <w:szCs w:val="21"/>
                    </w:rPr>
                  </w:pPr>
                  <w:r>
                    <w:rPr>
                      <w:rFonts w:hint="eastAsia"/>
                    </w:rPr>
                    <w:t>生活污水进入防渗旱厕，定期清掏作农肥，不外排；生产废水进入厂区</w:t>
                  </w:r>
                  <w:r>
                    <w:rPr>
                      <w:rFonts w:hint="eastAsia" w:hAnsi="宋体"/>
                      <w:bCs/>
                      <w:szCs w:val="21"/>
                    </w:rPr>
                    <w:t>污水处理站，污水处理站</w:t>
                  </w:r>
                  <w:r>
                    <w:rPr>
                      <w:rFonts w:hint="eastAsia"/>
                    </w:rPr>
                    <w:t>采用“厌氧塔+气浮+地埋式一体化污水处理装置（AC厌氧+二级接触氧化+沉淀）+过滤”处理工艺，处理能力200t/d，</w:t>
                  </w:r>
                  <w:r>
                    <w:rPr>
                      <w:rFonts w:hint="eastAsia" w:hAnsi="宋体"/>
                      <w:bCs/>
                      <w:szCs w:val="21"/>
                    </w:rPr>
                    <w:t>处理达标后运至秦皇岛市抚宁区中冶水务有限公司；</w:t>
                  </w:r>
                </w:p>
                <w:p w14:paraId="134496F8">
                  <w:pPr>
                    <w:pStyle w:val="108"/>
                    <w:rPr>
                      <w:rFonts w:hAnsi="宋体"/>
                      <w:bCs/>
                      <w:szCs w:val="21"/>
                    </w:rPr>
                  </w:pPr>
                  <w:r>
                    <w:rPr>
                      <w:bCs/>
                      <w:szCs w:val="21"/>
                    </w:rPr>
                    <w:t>锅炉排污水及软化处理废水</w:t>
                  </w:r>
                  <w:r>
                    <w:rPr>
                      <w:rFonts w:hint="eastAsia"/>
                    </w:rPr>
                    <w:t>厂区洒水抑尘</w:t>
                  </w:r>
                </w:p>
              </w:tc>
              <w:tc>
                <w:tcPr>
                  <w:tcW w:w="725" w:type="pct"/>
                  <w:vAlign w:val="center"/>
                </w:tcPr>
                <w:p w14:paraId="37F08DD2">
                  <w:pPr>
                    <w:pStyle w:val="108"/>
                  </w:pPr>
                  <w:r>
                    <w:rPr>
                      <w:rFonts w:hint="eastAsia"/>
                    </w:rPr>
                    <w:t>/</w:t>
                  </w:r>
                </w:p>
              </w:tc>
            </w:tr>
            <w:tr w14:paraId="61CDE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4A3C2A4A">
                  <w:pPr>
                    <w:pStyle w:val="40"/>
                  </w:pPr>
                </w:p>
              </w:tc>
              <w:tc>
                <w:tcPr>
                  <w:tcW w:w="619" w:type="pct"/>
                  <w:vAlign w:val="center"/>
                </w:tcPr>
                <w:p w14:paraId="292D3925">
                  <w:pPr>
                    <w:pStyle w:val="40"/>
                  </w:pPr>
                  <w:r>
                    <w:t>供电工程</w:t>
                  </w:r>
                </w:p>
              </w:tc>
              <w:tc>
                <w:tcPr>
                  <w:tcW w:w="3201" w:type="pct"/>
                  <w:vAlign w:val="center"/>
                </w:tcPr>
                <w:p w14:paraId="1FE313BD">
                  <w:pPr>
                    <w:pStyle w:val="40"/>
                  </w:pPr>
                  <w:r>
                    <w:rPr>
                      <w:rFonts w:hint="eastAsia"/>
                    </w:rPr>
                    <w:t>由抚宁区</w:t>
                  </w:r>
                  <w:r>
                    <w:t>供电管网供</w:t>
                  </w:r>
                  <w:r>
                    <w:rPr>
                      <w:rFonts w:hint="eastAsia"/>
                    </w:rPr>
                    <w:t>电</w:t>
                  </w:r>
                </w:p>
              </w:tc>
              <w:tc>
                <w:tcPr>
                  <w:tcW w:w="725" w:type="pct"/>
                  <w:vAlign w:val="center"/>
                </w:tcPr>
                <w:p w14:paraId="19ED3338">
                  <w:pPr>
                    <w:pStyle w:val="40"/>
                  </w:pPr>
                  <w:r>
                    <w:rPr>
                      <w:rFonts w:hint="eastAsia"/>
                    </w:rPr>
                    <w:t>/</w:t>
                  </w:r>
                </w:p>
              </w:tc>
            </w:tr>
            <w:tr w14:paraId="57C7F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3321E157">
                  <w:pPr>
                    <w:pStyle w:val="40"/>
                  </w:pPr>
                </w:p>
              </w:tc>
              <w:tc>
                <w:tcPr>
                  <w:tcW w:w="619" w:type="pct"/>
                  <w:vAlign w:val="center"/>
                </w:tcPr>
                <w:p w14:paraId="79586A18">
                  <w:pPr>
                    <w:pStyle w:val="40"/>
                  </w:pPr>
                  <w:r>
                    <w:t>供暖工程</w:t>
                  </w:r>
                </w:p>
              </w:tc>
              <w:tc>
                <w:tcPr>
                  <w:tcW w:w="3201" w:type="pct"/>
                  <w:vAlign w:val="center"/>
                </w:tcPr>
                <w:p w14:paraId="5E53919C">
                  <w:pPr>
                    <w:pStyle w:val="40"/>
                  </w:pPr>
                  <w:r>
                    <w:rPr>
                      <w:rFonts w:hint="eastAsia"/>
                    </w:rPr>
                    <w:t>办公室取暖使用空调、车间冬季不生产无需供暖，生产供热由生物质锅炉提供</w:t>
                  </w:r>
                </w:p>
              </w:tc>
              <w:tc>
                <w:tcPr>
                  <w:tcW w:w="725" w:type="pct"/>
                  <w:vAlign w:val="center"/>
                </w:tcPr>
                <w:p w14:paraId="3654B945">
                  <w:pPr>
                    <w:pStyle w:val="40"/>
                  </w:pPr>
                  <w:r>
                    <w:rPr>
                      <w:rFonts w:hint="eastAsia"/>
                    </w:rPr>
                    <w:t>/</w:t>
                  </w:r>
                </w:p>
              </w:tc>
            </w:tr>
            <w:tr w14:paraId="50A2D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454" w:type="pct"/>
                  <w:vMerge w:val="restart"/>
                  <w:vAlign w:val="center"/>
                </w:tcPr>
                <w:p w14:paraId="5F13CF82">
                  <w:pPr>
                    <w:pStyle w:val="40"/>
                  </w:pPr>
                  <w:r>
                    <w:t>环保工程</w:t>
                  </w:r>
                </w:p>
              </w:tc>
              <w:tc>
                <w:tcPr>
                  <w:tcW w:w="619" w:type="pct"/>
                  <w:vMerge w:val="restart"/>
                  <w:vAlign w:val="center"/>
                </w:tcPr>
                <w:p w14:paraId="483EAF1A">
                  <w:pPr>
                    <w:pStyle w:val="40"/>
                  </w:pPr>
                  <w:r>
                    <w:t>废气</w:t>
                  </w:r>
                </w:p>
              </w:tc>
              <w:tc>
                <w:tcPr>
                  <w:tcW w:w="3201" w:type="pct"/>
                  <w:vAlign w:val="center"/>
                </w:tcPr>
                <w:p w14:paraId="28FB1AF9">
                  <w:pPr>
                    <w:pStyle w:val="40"/>
                  </w:pPr>
                  <w:r>
                    <w:rPr>
                      <w:rFonts w:hint="eastAsia"/>
                    </w:rPr>
                    <w:t>污水处理站厌氧塔臭气通过活性炭除臭装置处理后经1根20m高排气筒排放</w:t>
                  </w:r>
                </w:p>
              </w:tc>
              <w:tc>
                <w:tcPr>
                  <w:tcW w:w="725" w:type="pct"/>
                  <w:vAlign w:val="center"/>
                </w:tcPr>
                <w:p w14:paraId="171035A7">
                  <w:pPr>
                    <w:pStyle w:val="40"/>
                  </w:pPr>
                  <w:r>
                    <w:rPr>
                      <w:rFonts w:hint="eastAsia"/>
                    </w:rPr>
                    <w:t>/</w:t>
                  </w:r>
                </w:p>
              </w:tc>
            </w:tr>
            <w:tr w14:paraId="7AABC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454" w:type="pct"/>
                  <w:vMerge w:val="continue"/>
                  <w:vAlign w:val="center"/>
                </w:tcPr>
                <w:p w14:paraId="27CAED44">
                  <w:pPr>
                    <w:pStyle w:val="40"/>
                  </w:pPr>
                </w:p>
              </w:tc>
              <w:tc>
                <w:tcPr>
                  <w:tcW w:w="619" w:type="pct"/>
                  <w:vMerge w:val="continue"/>
                  <w:vAlign w:val="center"/>
                </w:tcPr>
                <w:p w14:paraId="4ABF4E40">
                  <w:pPr>
                    <w:pStyle w:val="40"/>
                  </w:pPr>
                </w:p>
              </w:tc>
              <w:tc>
                <w:tcPr>
                  <w:tcW w:w="3201" w:type="pct"/>
                  <w:vAlign w:val="center"/>
                </w:tcPr>
                <w:p w14:paraId="7B8DCE9B">
                  <w:pPr>
                    <w:pStyle w:val="40"/>
                  </w:pPr>
                  <w:r>
                    <w:rPr>
                      <w:rFonts w:hint="eastAsia"/>
                    </w:rPr>
                    <w:t>生物质锅炉烟气经1套布袋除尘器处理后经1根30m高排气筒排放</w:t>
                  </w:r>
                </w:p>
              </w:tc>
              <w:tc>
                <w:tcPr>
                  <w:tcW w:w="725" w:type="pct"/>
                  <w:vAlign w:val="center"/>
                </w:tcPr>
                <w:p w14:paraId="157DEB88">
                  <w:pPr>
                    <w:pStyle w:val="40"/>
                  </w:pPr>
                  <w:r>
                    <w:rPr>
                      <w:rFonts w:hint="eastAsia"/>
                    </w:rPr>
                    <w:t>/</w:t>
                  </w:r>
                </w:p>
              </w:tc>
            </w:tr>
            <w:tr w14:paraId="3B5D6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454" w:type="pct"/>
                  <w:vMerge w:val="continue"/>
                  <w:vAlign w:val="center"/>
                </w:tcPr>
                <w:p w14:paraId="1A1582E3">
                  <w:pPr>
                    <w:pStyle w:val="40"/>
                  </w:pPr>
                </w:p>
              </w:tc>
              <w:tc>
                <w:tcPr>
                  <w:tcW w:w="619" w:type="pct"/>
                  <w:vMerge w:val="restart"/>
                  <w:vAlign w:val="center"/>
                </w:tcPr>
                <w:p w14:paraId="060DF9FC">
                  <w:pPr>
                    <w:pStyle w:val="40"/>
                  </w:pPr>
                  <w:r>
                    <w:t>废水</w:t>
                  </w:r>
                </w:p>
              </w:tc>
              <w:tc>
                <w:tcPr>
                  <w:tcW w:w="3201" w:type="pct"/>
                  <w:vAlign w:val="center"/>
                </w:tcPr>
                <w:p w14:paraId="16CCC579">
                  <w:pPr>
                    <w:pStyle w:val="40"/>
                  </w:pPr>
                  <w:r>
                    <w:rPr>
                      <w:rFonts w:hint="eastAsia"/>
                    </w:rPr>
                    <w:t>生活污水进入防渗旱厕，定期清掏作农肥，不外排</w:t>
                  </w:r>
                </w:p>
              </w:tc>
              <w:tc>
                <w:tcPr>
                  <w:tcW w:w="725" w:type="pct"/>
                  <w:vAlign w:val="center"/>
                </w:tcPr>
                <w:p w14:paraId="787BE26B">
                  <w:pPr>
                    <w:pStyle w:val="40"/>
                  </w:pPr>
                  <w:r>
                    <w:rPr>
                      <w:rFonts w:hint="eastAsia"/>
                    </w:rPr>
                    <w:t>/</w:t>
                  </w:r>
                </w:p>
              </w:tc>
            </w:tr>
            <w:tr w14:paraId="62911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454" w:type="pct"/>
                  <w:vMerge w:val="continue"/>
                  <w:vAlign w:val="center"/>
                </w:tcPr>
                <w:p w14:paraId="76B3A179">
                  <w:pPr>
                    <w:pStyle w:val="40"/>
                  </w:pPr>
                </w:p>
              </w:tc>
              <w:tc>
                <w:tcPr>
                  <w:tcW w:w="619" w:type="pct"/>
                  <w:vMerge w:val="continue"/>
                  <w:vAlign w:val="center"/>
                </w:tcPr>
                <w:p w14:paraId="1C5629D9">
                  <w:pPr>
                    <w:pStyle w:val="40"/>
                  </w:pPr>
                </w:p>
              </w:tc>
              <w:tc>
                <w:tcPr>
                  <w:tcW w:w="3201" w:type="pct"/>
                  <w:vAlign w:val="center"/>
                </w:tcPr>
                <w:p w14:paraId="5D93AB51">
                  <w:pPr>
                    <w:pStyle w:val="40"/>
                  </w:pPr>
                  <w:r>
                    <w:rPr>
                      <w:rFonts w:hint="eastAsia"/>
                    </w:rPr>
                    <w:t>生产废水进入污水处理站，污水处理站采用“厌氧塔+气浮+地埋式一体化污水处理装置（AC厌氧+二级接触氧化+沉淀）+过滤”处理工艺，处理能力200t/d，处理达标后运至秦皇岛市抚宁区中冶水务有限公司</w:t>
                  </w:r>
                </w:p>
              </w:tc>
              <w:tc>
                <w:tcPr>
                  <w:tcW w:w="725" w:type="pct"/>
                  <w:vAlign w:val="center"/>
                </w:tcPr>
                <w:p w14:paraId="006BC1BD">
                  <w:pPr>
                    <w:pStyle w:val="40"/>
                  </w:pPr>
                  <w:r>
                    <w:rPr>
                      <w:rFonts w:hint="eastAsia"/>
                    </w:rPr>
                    <w:t>/</w:t>
                  </w:r>
                </w:p>
              </w:tc>
            </w:tr>
            <w:tr w14:paraId="0BD91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454" w:type="pct"/>
                  <w:vMerge w:val="continue"/>
                  <w:vAlign w:val="center"/>
                </w:tcPr>
                <w:p w14:paraId="173D63B4">
                  <w:pPr>
                    <w:pStyle w:val="40"/>
                  </w:pPr>
                </w:p>
              </w:tc>
              <w:tc>
                <w:tcPr>
                  <w:tcW w:w="619" w:type="pct"/>
                  <w:vMerge w:val="continue"/>
                  <w:vAlign w:val="center"/>
                </w:tcPr>
                <w:p w14:paraId="55726453">
                  <w:pPr>
                    <w:pStyle w:val="40"/>
                  </w:pPr>
                </w:p>
              </w:tc>
              <w:tc>
                <w:tcPr>
                  <w:tcW w:w="3201" w:type="pct"/>
                  <w:vAlign w:val="center"/>
                </w:tcPr>
                <w:p w14:paraId="731501D5">
                  <w:pPr>
                    <w:pStyle w:val="40"/>
                  </w:pPr>
                  <w:r>
                    <w:t>锅炉排污水及软化处理废水</w:t>
                  </w:r>
                  <w:r>
                    <w:rPr>
                      <w:rFonts w:hint="eastAsia"/>
                    </w:rPr>
                    <w:t>厂区洒水抑尘</w:t>
                  </w:r>
                </w:p>
              </w:tc>
              <w:tc>
                <w:tcPr>
                  <w:tcW w:w="725" w:type="pct"/>
                  <w:vAlign w:val="center"/>
                </w:tcPr>
                <w:p w14:paraId="653573DA">
                  <w:pPr>
                    <w:pStyle w:val="40"/>
                  </w:pPr>
                  <w:r>
                    <w:rPr>
                      <w:rFonts w:hint="eastAsia"/>
                    </w:rPr>
                    <w:t>/</w:t>
                  </w:r>
                </w:p>
              </w:tc>
            </w:tr>
            <w:tr w14:paraId="4B4DA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jc w:val="center"/>
              </w:trPr>
              <w:tc>
                <w:tcPr>
                  <w:tcW w:w="454" w:type="pct"/>
                  <w:vMerge w:val="continue"/>
                  <w:vAlign w:val="center"/>
                </w:tcPr>
                <w:p w14:paraId="03364ADF">
                  <w:pPr>
                    <w:pStyle w:val="40"/>
                  </w:pPr>
                </w:p>
              </w:tc>
              <w:tc>
                <w:tcPr>
                  <w:tcW w:w="619" w:type="pct"/>
                  <w:vAlign w:val="center"/>
                </w:tcPr>
                <w:p w14:paraId="07112C82">
                  <w:pPr>
                    <w:pStyle w:val="40"/>
                  </w:pPr>
                  <w:r>
                    <w:t>噪声</w:t>
                  </w:r>
                </w:p>
              </w:tc>
              <w:tc>
                <w:tcPr>
                  <w:tcW w:w="3201" w:type="pct"/>
                  <w:vAlign w:val="center"/>
                </w:tcPr>
                <w:p w14:paraId="3C4A31B1">
                  <w:pPr>
                    <w:pStyle w:val="40"/>
                  </w:pPr>
                  <w:r>
                    <w:rPr>
                      <w:rFonts w:hint="eastAsia"/>
                    </w:rPr>
                    <w:t>选用低噪声设备，采取设备减振，建筑隔声等</w:t>
                  </w:r>
                </w:p>
                <w:p w14:paraId="75B44020">
                  <w:pPr>
                    <w:pStyle w:val="40"/>
                  </w:pPr>
                  <w:r>
                    <w:rPr>
                      <w:rFonts w:hint="eastAsia"/>
                    </w:rPr>
                    <w:t>措施</w:t>
                  </w:r>
                </w:p>
              </w:tc>
              <w:tc>
                <w:tcPr>
                  <w:tcW w:w="725" w:type="pct"/>
                  <w:vAlign w:val="center"/>
                </w:tcPr>
                <w:p w14:paraId="4B9CD410">
                  <w:pPr>
                    <w:pStyle w:val="40"/>
                  </w:pPr>
                  <w:r>
                    <w:rPr>
                      <w:rFonts w:hint="eastAsia"/>
                    </w:rPr>
                    <w:t>/</w:t>
                  </w:r>
                </w:p>
              </w:tc>
            </w:tr>
            <w:tr w14:paraId="59FF8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454" w:type="pct"/>
                  <w:vMerge w:val="continue"/>
                  <w:vAlign w:val="center"/>
                </w:tcPr>
                <w:p w14:paraId="03E48CB5">
                  <w:pPr>
                    <w:pStyle w:val="40"/>
                  </w:pPr>
                </w:p>
              </w:tc>
              <w:tc>
                <w:tcPr>
                  <w:tcW w:w="619" w:type="pct"/>
                  <w:vMerge w:val="restart"/>
                  <w:vAlign w:val="center"/>
                </w:tcPr>
                <w:p w14:paraId="4CA959DD">
                  <w:pPr>
                    <w:pStyle w:val="40"/>
                  </w:pPr>
                  <w:r>
                    <w:t>固体废物</w:t>
                  </w:r>
                </w:p>
              </w:tc>
              <w:tc>
                <w:tcPr>
                  <w:tcW w:w="3201" w:type="pct"/>
                  <w:vAlign w:val="center"/>
                </w:tcPr>
                <w:p w14:paraId="5C883410">
                  <w:pPr>
                    <w:pStyle w:val="40"/>
                  </w:pPr>
                  <w:r>
                    <w:rPr>
                      <w:rFonts w:hint="eastAsia"/>
                    </w:rPr>
                    <w:t>生活垃圾收集后交由环卫部门统一清运</w:t>
                  </w:r>
                </w:p>
              </w:tc>
              <w:tc>
                <w:tcPr>
                  <w:tcW w:w="725" w:type="pct"/>
                  <w:vAlign w:val="center"/>
                </w:tcPr>
                <w:p w14:paraId="323D9607">
                  <w:pPr>
                    <w:pStyle w:val="40"/>
                  </w:pPr>
                  <w:r>
                    <w:rPr>
                      <w:rFonts w:hint="eastAsia"/>
                    </w:rPr>
                    <w:t>/</w:t>
                  </w:r>
                </w:p>
              </w:tc>
            </w:tr>
            <w:tr w14:paraId="429D4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454" w:type="pct"/>
                  <w:vMerge w:val="continue"/>
                  <w:vAlign w:val="center"/>
                </w:tcPr>
                <w:p w14:paraId="3795004F">
                  <w:pPr>
                    <w:pStyle w:val="40"/>
                  </w:pPr>
                </w:p>
              </w:tc>
              <w:tc>
                <w:tcPr>
                  <w:tcW w:w="619" w:type="pct"/>
                  <w:vMerge w:val="continue"/>
                  <w:vAlign w:val="center"/>
                </w:tcPr>
                <w:p w14:paraId="5EA37E25">
                  <w:pPr>
                    <w:pStyle w:val="40"/>
                  </w:pPr>
                </w:p>
              </w:tc>
              <w:tc>
                <w:tcPr>
                  <w:tcW w:w="3201" w:type="pct"/>
                  <w:vAlign w:val="center"/>
                </w:tcPr>
                <w:p w14:paraId="19E6B874">
                  <w:pPr>
                    <w:pStyle w:val="40"/>
                  </w:pPr>
                  <w:r>
                    <w:rPr>
                      <w:rFonts w:hint="eastAsia"/>
                    </w:rPr>
                    <w:t>不合格水果、果皮、果核、软烂果块、不合格品外售农民综合利用</w:t>
                  </w:r>
                </w:p>
              </w:tc>
              <w:tc>
                <w:tcPr>
                  <w:tcW w:w="725" w:type="pct"/>
                  <w:vAlign w:val="center"/>
                </w:tcPr>
                <w:p w14:paraId="3DD44AA7">
                  <w:pPr>
                    <w:pStyle w:val="40"/>
                  </w:pPr>
                  <w:r>
                    <w:rPr>
                      <w:rFonts w:hint="eastAsia"/>
                    </w:rPr>
                    <w:t>/</w:t>
                  </w:r>
                </w:p>
              </w:tc>
            </w:tr>
            <w:tr w14:paraId="1472C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454" w:type="pct"/>
                  <w:vMerge w:val="continue"/>
                  <w:vAlign w:val="center"/>
                </w:tcPr>
                <w:p w14:paraId="0C9CE467">
                  <w:pPr>
                    <w:pStyle w:val="40"/>
                  </w:pPr>
                </w:p>
              </w:tc>
              <w:tc>
                <w:tcPr>
                  <w:tcW w:w="619" w:type="pct"/>
                  <w:vMerge w:val="continue"/>
                  <w:vAlign w:val="center"/>
                </w:tcPr>
                <w:p w14:paraId="449A5DF7">
                  <w:pPr>
                    <w:pStyle w:val="40"/>
                  </w:pPr>
                </w:p>
              </w:tc>
              <w:tc>
                <w:tcPr>
                  <w:tcW w:w="3201" w:type="pct"/>
                  <w:vAlign w:val="center"/>
                </w:tcPr>
                <w:p w14:paraId="7A5295F5">
                  <w:pPr>
                    <w:pStyle w:val="40"/>
                  </w:pPr>
                  <w:r>
                    <w:t>布袋收尘灰、锅炉灰渣统一收集外售</w:t>
                  </w:r>
                  <w:r>
                    <w:rPr>
                      <w:rFonts w:hint="eastAsia"/>
                    </w:rPr>
                    <w:t>做建材</w:t>
                  </w:r>
                </w:p>
              </w:tc>
              <w:tc>
                <w:tcPr>
                  <w:tcW w:w="725" w:type="pct"/>
                  <w:vAlign w:val="center"/>
                </w:tcPr>
                <w:p w14:paraId="286604F7">
                  <w:pPr>
                    <w:pStyle w:val="40"/>
                  </w:pPr>
                  <w:r>
                    <w:rPr>
                      <w:rFonts w:hint="eastAsia"/>
                    </w:rPr>
                    <w:t>/</w:t>
                  </w:r>
                </w:p>
              </w:tc>
            </w:tr>
            <w:tr w14:paraId="07EE9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454" w:type="pct"/>
                  <w:vMerge w:val="continue"/>
                  <w:vAlign w:val="center"/>
                </w:tcPr>
                <w:p w14:paraId="7FDE8B8F">
                  <w:pPr>
                    <w:pStyle w:val="40"/>
                  </w:pPr>
                </w:p>
              </w:tc>
              <w:tc>
                <w:tcPr>
                  <w:tcW w:w="619" w:type="pct"/>
                  <w:vMerge w:val="continue"/>
                  <w:vAlign w:val="center"/>
                </w:tcPr>
                <w:p w14:paraId="5322AA65">
                  <w:pPr>
                    <w:pStyle w:val="40"/>
                  </w:pPr>
                </w:p>
              </w:tc>
              <w:tc>
                <w:tcPr>
                  <w:tcW w:w="3201" w:type="pct"/>
                  <w:vAlign w:val="center"/>
                </w:tcPr>
                <w:p w14:paraId="6786DCEC">
                  <w:pPr>
                    <w:pStyle w:val="40"/>
                  </w:pPr>
                  <w:r>
                    <w:rPr>
                      <w:rFonts w:hint="eastAsia"/>
                    </w:rPr>
                    <w:t>废活性炭、废离子树脂由厂家回收</w:t>
                  </w:r>
                </w:p>
              </w:tc>
              <w:tc>
                <w:tcPr>
                  <w:tcW w:w="725" w:type="pct"/>
                  <w:vAlign w:val="center"/>
                </w:tcPr>
                <w:p w14:paraId="40F19223">
                  <w:pPr>
                    <w:pStyle w:val="40"/>
                  </w:pPr>
                  <w:r>
                    <w:rPr>
                      <w:rFonts w:hint="eastAsia"/>
                    </w:rPr>
                    <w:t>/</w:t>
                  </w:r>
                </w:p>
              </w:tc>
            </w:tr>
            <w:tr w14:paraId="43FC6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1B76829D">
                  <w:pPr>
                    <w:pStyle w:val="40"/>
                  </w:pPr>
                </w:p>
              </w:tc>
              <w:tc>
                <w:tcPr>
                  <w:tcW w:w="619" w:type="pct"/>
                  <w:vMerge w:val="continue"/>
                  <w:vAlign w:val="center"/>
                </w:tcPr>
                <w:p w14:paraId="106CD622">
                  <w:pPr>
                    <w:pStyle w:val="40"/>
                  </w:pPr>
                </w:p>
              </w:tc>
              <w:tc>
                <w:tcPr>
                  <w:tcW w:w="3201" w:type="pct"/>
                  <w:vAlign w:val="center"/>
                </w:tcPr>
                <w:p w14:paraId="242A05BC">
                  <w:pPr>
                    <w:pStyle w:val="40"/>
                  </w:pPr>
                  <w:r>
                    <w:rPr>
                      <w:rFonts w:hint="eastAsia"/>
                    </w:rPr>
                    <w:t>污水处理站污泥委托环保手续齐全，具备污泥处理主体资格和技术能力的单位进行处置</w:t>
                  </w:r>
                </w:p>
              </w:tc>
              <w:tc>
                <w:tcPr>
                  <w:tcW w:w="725" w:type="pct"/>
                  <w:vAlign w:val="center"/>
                </w:tcPr>
                <w:p w14:paraId="05EE10DD">
                  <w:pPr>
                    <w:pStyle w:val="40"/>
                  </w:pPr>
                  <w:r>
                    <w:rPr>
                      <w:rFonts w:hint="eastAsia"/>
                    </w:rPr>
                    <w:t>/</w:t>
                  </w:r>
                </w:p>
              </w:tc>
            </w:tr>
          </w:tbl>
          <w:p w14:paraId="4FD55374">
            <w:pPr>
              <w:adjustRightInd w:val="0"/>
              <w:snapToGrid w:val="0"/>
              <w:spacing w:line="400" w:lineRule="exact"/>
              <w:ind w:firstLine="420"/>
              <w:rPr>
                <w:bCs/>
                <w:szCs w:val="21"/>
              </w:rPr>
            </w:pPr>
            <w:r>
              <w:rPr>
                <w:rFonts w:hint="eastAsia"/>
                <w:bCs/>
                <w:szCs w:val="21"/>
              </w:rPr>
              <w:t>（3）现有工程主要原辅材料及</w:t>
            </w:r>
            <w:r>
              <w:rPr>
                <w:rFonts w:hint="eastAsia"/>
                <w:szCs w:val="21"/>
              </w:rPr>
              <w:t>能源</w:t>
            </w:r>
            <w:r>
              <w:rPr>
                <w:bCs/>
                <w:szCs w:val="21"/>
              </w:rPr>
              <w:t>消耗</w:t>
            </w:r>
            <w:r>
              <w:rPr>
                <w:rFonts w:hint="eastAsia"/>
                <w:bCs/>
                <w:szCs w:val="21"/>
              </w:rPr>
              <w:t>情况</w:t>
            </w:r>
          </w:p>
          <w:p w14:paraId="06DD67E6">
            <w:pPr>
              <w:adjustRightInd w:val="0"/>
              <w:snapToGrid w:val="0"/>
              <w:spacing w:beforeLines="50"/>
              <w:ind w:firstLine="420"/>
              <w:rPr>
                <w:bCs/>
                <w:szCs w:val="21"/>
              </w:rPr>
            </w:pPr>
            <w:r>
              <w:rPr>
                <w:rFonts w:hint="eastAsia"/>
                <w:bCs/>
                <w:szCs w:val="21"/>
              </w:rPr>
              <w:t>现有工程</w:t>
            </w:r>
            <w:r>
              <w:rPr>
                <w:bCs/>
                <w:szCs w:val="21"/>
              </w:rPr>
              <w:t>主要原、辅材料消耗量</w:t>
            </w:r>
            <w:r>
              <w:rPr>
                <w:rFonts w:hint="eastAsia"/>
                <w:bCs/>
                <w:szCs w:val="21"/>
              </w:rPr>
              <w:t>及</w:t>
            </w:r>
            <w:r>
              <w:rPr>
                <w:rFonts w:hint="eastAsia"/>
                <w:szCs w:val="21"/>
              </w:rPr>
              <w:t>能源</w:t>
            </w:r>
            <w:r>
              <w:rPr>
                <w:bCs/>
                <w:szCs w:val="21"/>
              </w:rPr>
              <w:t>消耗</w:t>
            </w:r>
            <w:r>
              <w:rPr>
                <w:rFonts w:hint="eastAsia"/>
                <w:bCs/>
                <w:szCs w:val="21"/>
              </w:rPr>
              <w:t>见下表。</w:t>
            </w:r>
          </w:p>
          <w:p w14:paraId="72A2354E">
            <w:pPr>
              <w:pStyle w:val="73"/>
              <w:rPr>
                <w:kern w:val="2"/>
              </w:rPr>
            </w:pPr>
            <w:r>
              <w:rPr>
                <w:rFonts w:hint="eastAsia"/>
                <w:bCs w:val="0"/>
              </w:rPr>
              <w:t xml:space="preserve">表2-2 </w:t>
            </w:r>
            <w:r>
              <w:rPr>
                <w:rFonts w:hint="eastAsia"/>
              </w:rPr>
              <w:t>现有工程</w:t>
            </w:r>
            <w:r>
              <w:t>主要原、辅材料</w:t>
            </w:r>
            <w:r>
              <w:rPr>
                <w:rFonts w:hint="eastAsia"/>
              </w:rPr>
              <w:t>及能源</w:t>
            </w:r>
            <w:r>
              <w:t>消耗</w:t>
            </w:r>
            <w:r>
              <w:rPr>
                <w:rFonts w:hint="eastAsia"/>
              </w:rPr>
              <w:t>表</w:t>
            </w:r>
          </w:p>
          <w:tbl>
            <w:tblPr>
              <w:tblStyle w:val="25"/>
              <w:tblW w:w="75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9"/>
              <w:gridCol w:w="1008"/>
              <w:gridCol w:w="1342"/>
              <w:gridCol w:w="1138"/>
              <w:gridCol w:w="1769"/>
              <w:gridCol w:w="1608"/>
            </w:tblGrid>
            <w:tr w14:paraId="4AE09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5" w:hRule="atLeast"/>
                <w:jc w:val="center"/>
              </w:trPr>
              <w:tc>
                <w:tcPr>
                  <w:tcW w:w="432" w:type="pct"/>
                  <w:vAlign w:val="center"/>
                </w:tcPr>
                <w:p w14:paraId="1C1A39D6">
                  <w:pPr>
                    <w:pStyle w:val="40"/>
                  </w:pPr>
                  <w:r>
                    <w:t>序号</w:t>
                  </w:r>
                </w:p>
              </w:tc>
              <w:tc>
                <w:tcPr>
                  <w:tcW w:w="671" w:type="pct"/>
                  <w:vAlign w:val="center"/>
                </w:tcPr>
                <w:p w14:paraId="249728EB">
                  <w:pPr>
                    <w:pStyle w:val="40"/>
                  </w:pPr>
                  <w:r>
                    <w:rPr>
                      <w:rFonts w:hint="eastAsia"/>
                    </w:rPr>
                    <w:t>类别</w:t>
                  </w:r>
                </w:p>
              </w:tc>
              <w:tc>
                <w:tcPr>
                  <w:tcW w:w="893" w:type="pct"/>
                  <w:vAlign w:val="center"/>
                </w:tcPr>
                <w:p w14:paraId="75C2CEA6">
                  <w:pPr>
                    <w:pStyle w:val="40"/>
                  </w:pPr>
                  <w:r>
                    <w:t>名称</w:t>
                  </w:r>
                </w:p>
              </w:tc>
              <w:tc>
                <w:tcPr>
                  <w:tcW w:w="757" w:type="pct"/>
                  <w:vAlign w:val="center"/>
                </w:tcPr>
                <w:p w14:paraId="49624F7C">
                  <w:pPr>
                    <w:pStyle w:val="40"/>
                  </w:pPr>
                  <w:r>
                    <w:rPr>
                      <w:rFonts w:hint="eastAsia"/>
                    </w:rPr>
                    <w:t>消耗</w:t>
                  </w:r>
                  <w:r>
                    <w:t>量</w:t>
                  </w:r>
                </w:p>
              </w:tc>
              <w:tc>
                <w:tcPr>
                  <w:tcW w:w="1177" w:type="pct"/>
                  <w:vAlign w:val="center"/>
                </w:tcPr>
                <w:p w14:paraId="1A414976">
                  <w:pPr>
                    <w:pStyle w:val="40"/>
                  </w:pPr>
                  <w:r>
                    <w:rPr>
                      <w:rFonts w:hint="eastAsia"/>
                    </w:rPr>
                    <w:t>包装规格</w:t>
                  </w:r>
                </w:p>
              </w:tc>
              <w:tc>
                <w:tcPr>
                  <w:tcW w:w="1070" w:type="pct"/>
                  <w:vAlign w:val="center"/>
                </w:tcPr>
                <w:p w14:paraId="09B8F63C">
                  <w:pPr>
                    <w:pStyle w:val="40"/>
                  </w:pPr>
                  <w:r>
                    <w:t>备注</w:t>
                  </w:r>
                </w:p>
              </w:tc>
            </w:tr>
            <w:tr w14:paraId="6F1FA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2" w:hRule="atLeast"/>
                <w:jc w:val="center"/>
              </w:trPr>
              <w:tc>
                <w:tcPr>
                  <w:tcW w:w="432" w:type="pct"/>
                  <w:vAlign w:val="center"/>
                </w:tcPr>
                <w:p w14:paraId="18DF5903">
                  <w:pPr>
                    <w:pStyle w:val="40"/>
                  </w:pPr>
                  <w:r>
                    <w:t>1</w:t>
                  </w:r>
                </w:p>
              </w:tc>
              <w:tc>
                <w:tcPr>
                  <w:tcW w:w="671" w:type="pct"/>
                  <w:vMerge w:val="restart"/>
                  <w:vAlign w:val="center"/>
                </w:tcPr>
                <w:p w14:paraId="0FF9A558">
                  <w:pPr>
                    <w:pStyle w:val="40"/>
                  </w:pPr>
                  <w:r>
                    <w:rPr>
                      <w:rFonts w:hint="eastAsia"/>
                    </w:rPr>
                    <w:t>原、辅材料</w:t>
                  </w:r>
                </w:p>
              </w:tc>
              <w:tc>
                <w:tcPr>
                  <w:tcW w:w="893" w:type="pct"/>
                  <w:vAlign w:val="center"/>
                </w:tcPr>
                <w:p w14:paraId="4338B69D">
                  <w:pPr>
                    <w:pStyle w:val="40"/>
                  </w:pPr>
                  <w:r>
                    <w:rPr>
                      <w:rFonts w:hint="eastAsia"/>
                    </w:rPr>
                    <w:t>各类水果</w:t>
                  </w:r>
                </w:p>
              </w:tc>
              <w:tc>
                <w:tcPr>
                  <w:tcW w:w="757" w:type="pct"/>
                  <w:vAlign w:val="center"/>
                </w:tcPr>
                <w:p w14:paraId="4683C928">
                  <w:pPr>
                    <w:pStyle w:val="40"/>
                  </w:pPr>
                  <w:r>
                    <w:rPr>
                      <w:rFonts w:hint="eastAsia"/>
                    </w:rPr>
                    <w:t>350</w:t>
                  </w:r>
                  <w:r>
                    <w:t>t</w:t>
                  </w:r>
                  <w:bookmarkStart w:id="24" w:name="OLE_LINK10"/>
                  <w:r>
                    <w:rPr>
                      <w:rFonts w:hint="eastAsia"/>
                    </w:rPr>
                    <w:t>/a</w:t>
                  </w:r>
                  <w:bookmarkEnd w:id="24"/>
                </w:p>
              </w:tc>
              <w:tc>
                <w:tcPr>
                  <w:tcW w:w="1177" w:type="pct"/>
                  <w:vAlign w:val="center"/>
                </w:tcPr>
                <w:p w14:paraId="57D9D9E4">
                  <w:pPr>
                    <w:pStyle w:val="40"/>
                  </w:pPr>
                  <w:r>
                    <w:rPr>
                      <w:rFonts w:hint="eastAsia"/>
                    </w:rPr>
                    <w:t>散装，从果农处购买后存于库房，按需购入</w:t>
                  </w:r>
                </w:p>
              </w:tc>
              <w:tc>
                <w:tcPr>
                  <w:tcW w:w="1070" w:type="pct"/>
                  <w:vAlign w:val="center"/>
                </w:tcPr>
                <w:p w14:paraId="468D221A">
                  <w:pPr>
                    <w:pStyle w:val="40"/>
                  </w:pPr>
                  <w:r>
                    <w:rPr>
                      <w:rFonts w:hint="eastAsia"/>
                    </w:rPr>
                    <w:t>苹果、梨、桃、草莓、杏等</w:t>
                  </w:r>
                </w:p>
              </w:tc>
            </w:tr>
            <w:tr w14:paraId="69FC3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03" w:hRule="atLeast"/>
                <w:jc w:val="center"/>
              </w:trPr>
              <w:tc>
                <w:tcPr>
                  <w:tcW w:w="432" w:type="pct"/>
                  <w:vAlign w:val="center"/>
                </w:tcPr>
                <w:p w14:paraId="561CB584">
                  <w:pPr>
                    <w:pStyle w:val="40"/>
                  </w:pPr>
                  <w:r>
                    <w:rPr>
                      <w:rFonts w:hint="eastAsia"/>
                    </w:rPr>
                    <w:t>2</w:t>
                  </w:r>
                </w:p>
              </w:tc>
              <w:tc>
                <w:tcPr>
                  <w:tcW w:w="671" w:type="pct"/>
                  <w:vMerge w:val="continue"/>
                  <w:vAlign w:val="center"/>
                </w:tcPr>
                <w:p w14:paraId="1317BD4B">
                  <w:pPr>
                    <w:pStyle w:val="40"/>
                  </w:pPr>
                </w:p>
              </w:tc>
              <w:tc>
                <w:tcPr>
                  <w:tcW w:w="893" w:type="pct"/>
                  <w:vAlign w:val="center"/>
                </w:tcPr>
                <w:p w14:paraId="3B761FE9">
                  <w:pPr>
                    <w:pStyle w:val="40"/>
                  </w:pPr>
                  <w:r>
                    <w:rPr>
                      <w:rFonts w:hint="eastAsia"/>
                    </w:rPr>
                    <w:t>糖</w:t>
                  </w:r>
                </w:p>
              </w:tc>
              <w:tc>
                <w:tcPr>
                  <w:tcW w:w="757" w:type="pct"/>
                  <w:vAlign w:val="center"/>
                </w:tcPr>
                <w:p w14:paraId="219D7408">
                  <w:pPr>
                    <w:pStyle w:val="40"/>
                  </w:pPr>
                  <w:r>
                    <w:rPr>
                      <w:rFonts w:hint="eastAsia"/>
                    </w:rPr>
                    <w:t>42</w:t>
                  </w:r>
                  <w:r>
                    <w:t>t</w:t>
                  </w:r>
                  <w:r>
                    <w:rPr>
                      <w:rFonts w:hint="eastAsia"/>
                    </w:rPr>
                    <w:t>/a</w:t>
                  </w:r>
                </w:p>
              </w:tc>
              <w:tc>
                <w:tcPr>
                  <w:tcW w:w="1177" w:type="pct"/>
                  <w:vAlign w:val="center"/>
                </w:tcPr>
                <w:p w14:paraId="5673B4D2">
                  <w:pPr>
                    <w:pStyle w:val="40"/>
                  </w:pPr>
                  <w:r>
                    <w:t>外购</w:t>
                  </w:r>
                  <w:r>
                    <w:rPr>
                      <w:rFonts w:hint="eastAsia"/>
                    </w:rPr>
                    <w:t>，袋装，25kg/袋</w:t>
                  </w:r>
                </w:p>
              </w:tc>
              <w:tc>
                <w:tcPr>
                  <w:tcW w:w="1070" w:type="pct"/>
                  <w:vAlign w:val="center"/>
                </w:tcPr>
                <w:p w14:paraId="091DA2E0">
                  <w:pPr>
                    <w:pStyle w:val="40"/>
                  </w:pPr>
                  <w:r>
                    <w:rPr>
                      <w:rFonts w:hint="eastAsia"/>
                    </w:rPr>
                    <w:t>/</w:t>
                  </w:r>
                </w:p>
              </w:tc>
            </w:tr>
            <w:tr w14:paraId="44713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3" w:hRule="atLeast"/>
                <w:jc w:val="center"/>
              </w:trPr>
              <w:tc>
                <w:tcPr>
                  <w:tcW w:w="432" w:type="pct"/>
                  <w:vAlign w:val="center"/>
                </w:tcPr>
                <w:p w14:paraId="6444014E">
                  <w:pPr>
                    <w:pStyle w:val="40"/>
                  </w:pPr>
                  <w:r>
                    <w:rPr>
                      <w:rFonts w:hint="eastAsia"/>
                    </w:rPr>
                    <w:t>3</w:t>
                  </w:r>
                </w:p>
              </w:tc>
              <w:tc>
                <w:tcPr>
                  <w:tcW w:w="671" w:type="pct"/>
                  <w:vMerge w:val="continue"/>
                  <w:vAlign w:val="center"/>
                </w:tcPr>
                <w:p w14:paraId="711880E4">
                  <w:pPr>
                    <w:pStyle w:val="40"/>
                  </w:pPr>
                </w:p>
              </w:tc>
              <w:tc>
                <w:tcPr>
                  <w:tcW w:w="893" w:type="pct"/>
                  <w:vAlign w:val="center"/>
                </w:tcPr>
                <w:p w14:paraId="5F3923F5">
                  <w:pPr>
                    <w:pStyle w:val="40"/>
                  </w:pPr>
                  <w:r>
                    <w:rPr>
                      <w:rFonts w:hint="eastAsia"/>
                    </w:rPr>
                    <w:t>柠檬酸</w:t>
                  </w:r>
                </w:p>
              </w:tc>
              <w:tc>
                <w:tcPr>
                  <w:tcW w:w="757" w:type="pct"/>
                  <w:vAlign w:val="center"/>
                </w:tcPr>
                <w:p w14:paraId="483AA8B0">
                  <w:pPr>
                    <w:pStyle w:val="40"/>
                  </w:pPr>
                  <w:r>
                    <w:t>0.</w:t>
                  </w:r>
                  <w:r>
                    <w:rPr>
                      <w:rFonts w:hint="eastAsia"/>
                    </w:rPr>
                    <w:t>4</w:t>
                  </w:r>
                  <w:r>
                    <w:t>t</w:t>
                  </w:r>
                  <w:r>
                    <w:rPr>
                      <w:rFonts w:hint="eastAsia"/>
                    </w:rPr>
                    <w:t>/a</w:t>
                  </w:r>
                </w:p>
              </w:tc>
              <w:tc>
                <w:tcPr>
                  <w:tcW w:w="1177" w:type="pct"/>
                  <w:vAlign w:val="center"/>
                </w:tcPr>
                <w:p w14:paraId="500A74BD">
                  <w:pPr>
                    <w:pStyle w:val="40"/>
                  </w:pPr>
                  <w:r>
                    <w:rPr>
                      <w:rFonts w:hint="eastAsia"/>
                    </w:rPr>
                    <w:t>外购，袋装，25kg/袋</w:t>
                  </w:r>
                </w:p>
              </w:tc>
              <w:tc>
                <w:tcPr>
                  <w:tcW w:w="1070" w:type="pct"/>
                  <w:vAlign w:val="center"/>
                </w:tcPr>
                <w:p w14:paraId="41D7D897">
                  <w:pPr>
                    <w:pStyle w:val="40"/>
                  </w:pPr>
                  <w:r>
                    <w:rPr>
                      <w:rFonts w:hint="eastAsia"/>
                    </w:rPr>
                    <w:t>/</w:t>
                  </w:r>
                </w:p>
              </w:tc>
            </w:tr>
            <w:tr w14:paraId="5C5DF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2" w:hRule="atLeast"/>
                <w:jc w:val="center"/>
              </w:trPr>
              <w:tc>
                <w:tcPr>
                  <w:tcW w:w="432" w:type="pct"/>
                  <w:vAlign w:val="center"/>
                </w:tcPr>
                <w:p w14:paraId="757ECBB4">
                  <w:pPr>
                    <w:pStyle w:val="40"/>
                  </w:pPr>
                  <w:r>
                    <w:rPr>
                      <w:rFonts w:hint="eastAsia"/>
                    </w:rPr>
                    <w:t>4</w:t>
                  </w:r>
                </w:p>
              </w:tc>
              <w:tc>
                <w:tcPr>
                  <w:tcW w:w="671" w:type="pct"/>
                  <w:vMerge w:val="continue"/>
                  <w:vAlign w:val="center"/>
                </w:tcPr>
                <w:p w14:paraId="59801916">
                  <w:pPr>
                    <w:pStyle w:val="40"/>
                  </w:pPr>
                </w:p>
              </w:tc>
              <w:tc>
                <w:tcPr>
                  <w:tcW w:w="893" w:type="pct"/>
                  <w:vAlign w:val="center"/>
                </w:tcPr>
                <w:p w14:paraId="595D543E">
                  <w:pPr>
                    <w:pStyle w:val="40"/>
                  </w:pPr>
                  <w:r>
                    <w:rPr>
                      <w:rFonts w:hint="eastAsia"/>
                    </w:rPr>
                    <w:t>食用色素</w:t>
                  </w:r>
                </w:p>
              </w:tc>
              <w:tc>
                <w:tcPr>
                  <w:tcW w:w="757" w:type="pct"/>
                  <w:vAlign w:val="center"/>
                </w:tcPr>
                <w:p w14:paraId="487B9FA0">
                  <w:pPr>
                    <w:pStyle w:val="40"/>
                  </w:pPr>
                  <w:r>
                    <w:rPr>
                      <w:rFonts w:hint="eastAsia"/>
                    </w:rPr>
                    <w:t>0.05</w:t>
                  </w:r>
                  <w:r>
                    <w:t>t</w:t>
                  </w:r>
                  <w:r>
                    <w:rPr>
                      <w:rFonts w:hint="eastAsia"/>
                    </w:rPr>
                    <w:t>/a</w:t>
                  </w:r>
                </w:p>
              </w:tc>
              <w:tc>
                <w:tcPr>
                  <w:tcW w:w="1177" w:type="pct"/>
                  <w:vAlign w:val="center"/>
                </w:tcPr>
                <w:p w14:paraId="0AF2A10B">
                  <w:pPr>
                    <w:pStyle w:val="40"/>
                  </w:pPr>
                  <w:r>
                    <w:t>外购</w:t>
                  </w:r>
                  <w:r>
                    <w:rPr>
                      <w:rFonts w:hint="eastAsia"/>
                    </w:rPr>
                    <w:t>，袋装</w:t>
                  </w:r>
                </w:p>
              </w:tc>
              <w:tc>
                <w:tcPr>
                  <w:tcW w:w="1070" w:type="pct"/>
                  <w:vAlign w:val="center"/>
                </w:tcPr>
                <w:p w14:paraId="066E2FAB">
                  <w:pPr>
                    <w:pStyle w:val="40"/>
                  </w:pPr>
                  <w:r>
                    <w:rPr>
                      <w:rFonts w:hint="eastAsia"/>
                    </w:rPr>
                    <w:t>/</w:t>
                  </w:r>
                </w:p>
              </w:tc>
            </w:tr>
            <w:tr w14:paraId="665BE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2" w:hRule="atLeast"/>
                <w:jc w:val="center"/>
              </w:trPr>
              <w:tc>
                <w:tcPr>
                  <w:tcW w:w="432" w:type="pct"/>
                  <w:vAlign w:val="center"/>
                </w:tcPr>
                <w:p w14:paraId="33E666C6">
                  <w:pPr>
                    <w:pStyle w:val="40"/>
                  </w:pPr>
                  <w:r>
                    <w:rPr>
                      <w:rFonts w:hint="eastAsia"/>
                    </w:rPr>
                    <w:t>5</w:t>
                  </w:r>
                </w:p>
              </w:tc>
              <w:tc>
                <w:tcPr>
                  <w:tcW w:w="671" w:type="pct"/>
                  <w:vMerge w:val="continue"/>
                  <w:vAlign w:val="center"/>
                </w:tcPr>
                <w:p w14:paraId="2A882896">
                  <w:pPr>
                    <w:pStyle w:val="40"/>
                  </w:pPr>
                </w:p>
              </w:tc>
              <w:tc>
                <w:tcPr>
                  <w:tcW w:w="893" w:type="pct"/>
                  <w:vAlign w:val="center"/>
                </w:tcPr>
                <w:p w14:paraId="6794F6E6">
                  <w:pPr>
                    <w:pStyle w:val="40"/>
                  </w:pPr>
                  <w:r>
                    <w:rPr>
                      <w:rFonts w:hint="eastAsia"/>
                    </w:rPr>
                    <w:t>罐头瓶</w:t>
                  </w:r>
                </w:p>
              </w:tc>
              <w:tc>
                <w:tcPr>
                  <w:tcW w:w="757" w:type="pct"/>
                  <w:vAlign w:val="center"/>
                </w:tcPr>
                <w:p w14:paraId="708584F4">
                  <w:pPr>
                    <w:pStyle w:val="40"/>
                  </w:pPr>
                  <w:r>
                    <w:rPr>
                      <w:rFonts w:hint="eastAsia"/>
                    </w:rPr>
                    <w:t>30万瓶/a</w:t>
                  </w:r>
                </w:p>
              </w:tc>
              <w:tc>
                <w:tcPr>
                  <w:tcW w:w="1177" w:type="pct"/>
                  <w:vAlign w:val="center"/>
                </w:tcPr>
                <w:p w14:paraId="6D2B1788">
                  <w:pPr>
                    <w:pStyle w:val="40"/>
                  </w:pPr>
                  <w:r>
                    <w:rPr>
                      <w:rFonts w:hint="eastAsia"/>
                    </w:rPr>
                    <w:t>/</w:t>
                  </w:r>
                </w:p>
              </w:tc>
              <w:tc>
                <w:tcPr>
                  <w:tcW w:w="1070" w:type="pct"/>
                  <w:vAlign w:val="center"/>
                </w:tcPr>
                <w:p w14:paraId="698F45EB">
                  <w:pPr>
                    <w:pStyle w:val="40"/>
                  </w:pPr>
                  <w:r>
                    <w:rPr>
                      <w:rFonts w:hint="eastAsia"/>
                    </w:rPr>
                    <w:t>/</w:t>
                  </w:r>
                </w:p>
              </w:tc>
            </w:tr>
            <w:tr w14:paraId="089D6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 w:hRule="atLeast"/>
                <w:jc w:val="center"/>
              </w:trPr>
              <w:tc>
                <w:tcPr>
                  <w:tcW w:w="432" w:type="pct"/>
                  <w:vAlign w:val="center"/>
                </w:tcPr>
                <w:p w14:paraId="1DA8F744">
                  <w:pPr>
                    <w:pStyle w:val="40"/>
                  </w:pPr>
                  <w:r>
                    <w:rPr>
                      <w:rFonts w:hint="eastAsia"/>
                    </w:rPr>
                    <w:t>6</w:t>
                  </w:r>
                </w:p>
              </w:tc>
              <w:tc>
                <w:tcPr>
                  <w:tcW w:w="671" w:type="pct"/>
                  <w:vMerge w:val="continue"/>
                </w:tcPr>
                <w:p w14:paraId="583E55A7">
                  <w:pPr>
                    <w:pStyle w:val="40"/>
                  </w:pPr>
                </w:p>
              </w:tc>
              <w:tc>
                <w:tcPr>
                  <w:tcW w:w="893" w:type="pct"/>
                  <w:vAlign w:val="center"/>
                </w:tcPr>
                <w:p w14:paraId="6882DF32">
                  <w:pPr>
                    <w:pStyle w:val="40"/>
                  </w:pPr>
                  <w:r>
                    <w:rPr>
                      <w:rFonts w:hint="eastAsia"/>
                    </w:rPr>
                    <w:t>包装纸箱</w:t>
                  </w:r>
                </w:p>
              </w:tc>
              <w:tc>
                <w:tcPr>
                  <w:tcW w:w="757" w:type="pct"/>
                  <w:vAlign w:val="center"/>
                </w:tcPr>
                <w:p w14:paraId="0CC44538">
                  <w:pPr>
                    <w:pStyle w:val="40"/>
                  </w:pPr>
                  <w:r>
                    <w:rPr>
                      <w:rFonts w:hint="eastAsia"/>
                    </w:rPr>
                    <w:t>2.5万个/a</w:t>
                  </w:r>
                </w:p>
              </w:tc>
              <w:tc>
                <w:tcPr>
                  <w:tcW w:w="1177" w:type="pct"/>
                  <w:vAlign w:val="center"/>
                </w:tcPr>
                <w:p w14:paraId="53B0E2A1">
                  <w:pPr>
                    <w:pStyle w:val="40"/>
                  </w:pPr>
                  <w:r>
                    <w:rPr>
                      <w:rFonts w:hint="eastAsia"/>
                    </w:rPr>
                    <w:t>/</w:t>
                  </w:r>
                </w:p>
              </w:tc>
              <w:tc>
                <w:tcPr>
                  <w:tcW w:w="1070" w:type="pct"/>
                  <w:vAlign w:val="center"/>
                </w:tcPr>
                <w:p w14:paraId="026D9155">
                  <w:pPr>
                    <w:pStyle w:val="40"/>
                  </w:pPr>
                  <w:r>
                    <w:rPr>
                      <w:rFonts w:hint="eastAsia"/>
                    </w:rPr>
                    <w:t>相关厂家定制</w:t>
                  </w:r>
                </w:p>
              </w:tc>
            </w:tr>
            <w:tr w14:paraId="3BA82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 w:hRule="atLeast"/>
                <w:jc w:val="center"/>
              </w:trPr>
              <w:tc>
                <w:tcPr>
                  <w:tcW w:w="432" w:type="pct"/>
                  <w:vAlign w:val="center"/>
                </w:tcPr>
                <w:p w14:paraId="3C9DFBC4">
                  <w:pPr>
                    <w:pStyle w:val="40"/>
                  </w:pPr>
                  <w:r>
                    <w:rPr>
                      <w:rFonts w:hint="eastAsia"/>
                    </w:rPr>
                    <w:t>7</w:t>
                  </w:r>
                </w:p>
              </w:tc>
              <w:tc>
                <w:tcPr>
                  <w:tcW w:w="671" w:type="pct"/>
                  <w:vMerge w:val="continue"/>
                </w:tcPr>
                <w:p w14:paraId="2343CA1A">
                  <w:pPr>
                    <w:pStyle w:val="40"/>
                  </w:pPr>
                </w:p>
              </w:tc>
              <w:tc>
                <w:tcPr>
                  <w:tcW w:w="893" w:type="pct"/>
                  <w:vAlign w:val="center"/>
                </w:tcPr>
                <w:p w14:paraId="419AD57E">
                  <w:pPr>
                    <w:pStyle w:val="40"/>
                  </w:pPr>
                  <w:r>
                    <w:rPr>
                      <w:rFonts w:hint="eastAsia"/>
                    </w:rPr>
                    <w:t>标签</w:t>
                  </w:r>
                </w:p>
              </w:tc>
              <w:tc>
                <w:tcPr>
                  <w:tcW w:w="757" w:type="pct"/>
                  <w:vAlign w:val="center"/>
                </w:tcPr>
                <w:p w14:paraId="5C49EC64">
                  <w:pPr>
                    <w:pStyle w:val="40"/>
                  </w:pPr>
                  <w:r>
                    <w:rPr>
                      <w:rFonts w:hint="eastAsia"/>
                    </w:rPr>
                    <w:t>若干</w:t>
                  </w:r>
                </w:p>
              </w:tc>
              <w:tc>
                <w:tcPr>
                  <w:tcW w:w="1177" w:type="pct"/>
                  <w:vAlign w:val="center"/>
                </w:tcPr>
                <w:p w14:paraId="4DC55710">
                  <w:pPr>
                    <w:pStyle w:val="40"/>
                  </w:pPr>
                  <w:r>
                    <w:rPr>
                      <w:rFonts w:hint="eastAsia"/>
                    </w:rPr>
                    <w:t>/</w:t>
                  </w:r>
                </w:p>
              </w:tc>
              <w:tc>
                <w:tcPr>
                  <w:tcW w:w="1070" w:type="pct"/>
                  <w:vAlign w:val="center"/>
                </w:tcPr>
                <w:p w14:paraId="267EE8C3">
                  <w:pPr>
                    <w:pStyle w:val="40"/>
                  </w:pPr>
                  <w:r>
                    <w:rPr>
                      <w:rFonts w:hint="eastAsia"/>
                    </w:rPr>
                    <w:t>相关厂家定制</w:t>
                  </w:r>
                </w:p>
              </w:tc>
            </w:tr>
            <w:tr w14:paraId="455E7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 w:hRule="atLeast"/>
                <w:jc w:val="center"/>
              </w:trPr>
              <w:tc>
                <w:tcPr>
                  <w:tcW w:w="432" w:type="pct"/>
                  <w:vAlign w:val="center"/>
                </w:tcPr>
                <w:p w14:paraId="1DB0F5DC">
                  <w:pPr>
                    <w:pStyle w:val="40"/>
                  </w:pPr>
                  <w:r>
                    <w:t>8</w:t>
                  </w:r>
                </w:p>
              </w:tc>
              <w:tc>
                <w:tcPr>
                  <w:tcW w:w="671" w:type="pct"/>
                  <w:vAlign w:val="center"/>
                </w:tcPr>
                <w:p w14:paraId="2B6A14B1">
                  <w:pPr>
                    <w:pStyle w:val="40"/>
                  </w:pPr>
                  <w:r>
                    <w:rPr>
                      <w:rFonts w:hint="eastAsia"/>
                    </w:rPr>
                    <w:t>废气治理</w:t>
                  </w:r>
                </w:p>
              </w:tc>
              <w:tc>
                <w:tcPr>
                  <w:tcW w:w="893" w:type="pct"/>
                  <w:vAlign w:val="center"/>
                </w:tcPr>
                <w:p w14:paraId="6E25BE4B">
                  <w:pPr>
                    <w:pStyle w:val="40"/>
                  </w:pPr>
                  <w:r>
                    <w:rPr>
                      <w:rFonts w:hint="eastAsia"/>
                    </w:rPr>
                    <w:t>活性炭</w:t>
                  </w:r>
                </w:p>
              </w:tc>
              <w:tc>
                <w:tcPr>
                  <w:tcW w:w="757" w:type="pct"/>
                  <w:vAlign w:val="center"/>
                </w:tcPr>
                <w:p w14:paraId="51A32B14">
                  <w:pPr>
                    <w:pStyle w:val="40"/>
                  </w:pPr>
                  <w:r>
                    <w:rPr>
                      <w:rFonts w:hint="eastAsia"/>
                    </w:rPr>
                    <w:t>0.01t/a</w:t>
                  </w:r>
                </w:p>
              </w:tc>
              <w:tc>
                <w:tcPr>
                  <w:tcW w:w="1177" w:type="pct"/>
                  <w:vAlign w:val="center"/>
                </w:tcPr>
                <w:p w14:paraId="2A65B1CB">
                  <w:pPr>
                    <w:pStyle w:val="40"/>
                  </w:pPr>
                  <w:r>
                    <w:rPr>
                      <w:rFonts w:hint="eastAsia"/>
                    </w:rPr>
                    <w:t>/</w:t>
                  </w:r>
                </w:p>
              </w:tc>
              <w:tc>
                <w:tcPr>
                  <w:tcW w:w="1070" w:type="pct"/>
                  <w:vAlign w:val="center"/>
                </w:tcPr>
                <w:p w14:paraId="2B03FC1B">
                  <w:pPr>
                    <w:pStyle w:val="40"/>
                  </w:pPr>
                  <w:r>
                    <w:rPr>
                      <w:rFonts w:hint="eastAsia"/>
                    </w:rPr>
                    <w:t>除臭</w:t>
                  </w:r>
                </w:p>
              </w:tc>
            </w:tr>
            <w:tr w14:paraId="4E31E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 w:hRule="atLeast"/>
                <w:jc w:val="center"/>
              </w:trPr>
              <w:tc>
                <w:tcPr>
                  <w:tcW w:w="432" w:type="pct"/>
                  <w:vAlign w:val="center"/>
                </w:tcPr>
                <w:p w14:paraId="663C766B">
                  <w:pPr>
                    <w:pStyle w:val="40"/>
                  </w:pPr>
                  <w:r>
                    <w:t>9</w:t>
                  </w:r>
                </w:p>
              </w:tc>
              <w:tc>
                <w:tcPr>
                  <w:tcW w:w="671" w:type="pct"/>
                  <w:vMerge w:val="restart"/>
                  <w:vAlign w:val="center"/>
                </w:tcPr>
                <w:p w14:paraId="43AA082F">
                  <w:pPr>
                    <w:pStyle w:val="40"/>
                  </w:pPr>
                  <w:r>
                    <w:rPr>
                      <w:rFonts w:hint="eastAsia"/>
                    </w:rPr>
                    <w:t>污水处理药剂</w:t>
                  </w:r>
                </w:p>
              </w:tc>
              <w:tc>
                <w:tcPr>
                  <w:tcW w:w="893" w:type="pct"/>
                  <w:vAlign w:val="center"/>
                </w:tcPr>
                <w:p w14:paraId="59B03C7D">
                  <w:pPr>
                    <w:pStyle w:val="40"/>
                  </w:pPr>
                  <w:r>
                    <w:rPr>
                      <w:rFonts w:hint="eastAsia"/>
                    </w:rPr>
                    <w:t>Ca（OH）</w:t>
                  </w:r>
                  <w:r>
                    <w:rPr>
                      <w:rFonts w:hint="eastAsia"/>
                      <w:vertAlign w:val="subscript"/>
                    </w:rPr>
                    <w:t>2</w:t>
                  </w:r>
                </w:p>
              </w:tc>
              <w:tc>
                <w:tcPr>
                  <w:tcW w:w="757" w:type="pct"/>
                  <w:vAlign w:val="center"/>
                </w:tcPr>
                <w:p w14:paraId="64DE4A15">
                  <w:pPr>
                    <w:pStyle w:val="40"/>
                  </w:pPr>
                  <w:r>
                    <w:rPr>
                      <w:rFonts w:hint="eastAsia"/>
                    </w:rPr>
                    <w:t>12.6</w:t>
                  </w:r>
                  <w:r>
                    <w:t>t</w:t>
                  </w:r>
                  <w:r>
                    <w:rPr>
                      <w:rFonts w:hint="eastAsia"/>
                    </w:rPr>
                    <w:t>/a</w:t>
                  </w:r>
                </w:p>
              </w:tc>
              <w:tc>
                <w:tcPr>
                  <w:tcW w:w="1177" w:type="pct"/>
                  <w:vAlign w:val="center"/>
                </w:tcPr>
                <w:p w14:paraId="52C78D8F">
                  <w:pPr>
                    <w:pStyle w:val="40"/>
                  </w:pPr>
                  <w:r>
                    <w:rPr>
                      <w:rFonts w:hint="eastAsia"/>
                    </w:rPr>
                    <w:t>/</w:t>
                  </w:r>
                </w:p>
              </w:tc>
              <w:tc>
                <w:tcPr>
                  <w:tcW w:w="1070" w:type="pct"/>
                  <w:vAlign w:val="center"/>
                </w:tcPr>
                <w:p w14:paraId="223CC8A6">
                  <w:pPr>
                    <w:pStyle w:val="40"/>
                  </w:pPr>
                  <w:r>
                    <w:rPr>
                      <w:rFonts w:hint="eastAsia"/>
                    </w:rPr>
                    <w:t>/</w:t>
                  </w:r>
                </w:p>
              </w:tc>
            </w:tr>
            <w:tr w14:paraId="133C3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 w:hRule="atLeast"/>
                <w:jc w:val="center"/>
              </w:trPr>
              <w:tc>
                <w:tcPr>
                  <w:tcW w:w="432" w:type="pct"/>
                  <w:vAlign w:val="center"/>
                </w:tcPr>
                <w:p w14:paraId="4F39A444">
                  <w:pPr>
                    <w:pStyle w:val="40"/>
                  </w:pPr>
                  <w:r>
                    <w:t>10</w:t>
                  </w:r>
                </w:p>
              </w:tc>
              <w:tc>
                <w:tcPr>
                  <w:tcW w:w="671" w:type="pct"/>
                  <w:vMerge w:val="continue"/>
                </w:tcPr>
                <w:p w14:paraId="00378DD4">
                  <w:pPr>
                    <w:pStyle w:val="40"/>
                  </w:pPr>
                </w:p>
              </w:tc>
              <w:tc>
                <w:tcPr>
                  <w:tcW w:w="893" w:type="pct"/>
                  <w:vAlign w:val="center"/>
                </w:tcPr>
                <w:p w14:paraId="6CB8DABB">
                  <w:pPr>
                    <w:pStyle w:val="40"/>
                  </w:pPr>
                  <w:r>
                    <w:rPr>
                      <w:rFonts w:hint="eastAsia"/>
                    </w:rPr>
                    <w:t>PAC</w:t>
                  </w:r>
                </w:p>
              </w:tc>
              <w:tc>
                <w:tcPr>
                  <w:tcW w:w="757" w:type="pct"/>
                  <w:vAlign w:val="center"/>
                </w:tcPr>
                <w:p w14:paraId="2697944F">
                  <w:pPr>
                    <w:pStyle w:val="40"/>
                  </w:pPr>
                  <w:r>
                    <w:rPr>
                      <w:rFonts w:hint="eastAsia"/>
                    </w:rPr>
                    <w:t>2.205</w:t>
                  </w:r>
                  <w:r>
                    <w:t>t</w:t>
                  </w:r>
                  <w:r>
                    <w:rPr>
                      <w:rFonts w:hint="eastAsia"/>
                    </w:rPr>
                    <w:t>/a</w:t>
                  </w:r>
                </w:p>
              </w:tc>
              <w:tc>
                <w:tcPr>
                  <w:tcW w:w="1177" w:type="pct"/>
                  <w:vAlign w:val="center"/>
                </w:tcPr>
                <w:p w14:paraId="5EC3E3EC">
                  <w:pPr>
                    <w:pStyle w:val="40"/>
                  </w:pPr>
                  <w:r>
                    <w:rPr>
                      <w:rFonts w:hint="eastAsia"/>
                    </w:rPr>
                    <w:t>/</w:t>
                  </w:r>
                </w:p>
              </w:tc>
              <w:tc>
                <w:tcPr>
                  <w:tcW w:w="1070" w:type="pct"/>
                  <w:vAlign w:val="center"/>
                </w:tcPr>
                <w:p w14:paraId="3F91E04C">
                  <w:pPr>
                    <w:pStyle w:val="40"/>
                  </w:pPr>
                  <w:r>
                    <w:rPr>
                      <w:rFonts w:hint="eastAsia"/>
                    </w:rPr>
                    <w:t>絮凝剂</w:t>
                  </w:r>
                </w:p>
              </w:tc>
            </w:tr>
            <w:tr w14:paraId="06EEF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 w:hRule="atLeast"/>
                <w:jc w:val="center"/>
              </w:trPr>
              <w:tc>
                <w:tcPr>
                  <w:tcW w:w="432" w:type="pct"/>
                  <w:vAlign w:val="center"/>
                </w:tcPr>
                <w:p w14:paraId="440E2B25">
                  <w:pPr>
                    <w:pStyle w:val="40"/>
                  </w:pPr>
                  <w:r>
                    <w:t>11</w:t>
                  </w:r>
                </w:p>
              </w:tc>
              <w:tc>
                <w:tcPr>
                  <w:tcW w:w="671" w:type="pct"/>
                  <w:vMerge w:val="continue"/>
                </w:tcPr>
                <w:p w14:paraId="6DF3560E">
                  <w:pPr>
                    <w:pStyle w:val="40"/>
                  </w:pPr>
                </w:p>
              </w:tc>
              <w:tc>
                <w:tcPr>
                  <w:tcW w:w="893" w:type="pct"/>
                  <w:vAlign w:val="center"/>
                </w:tcPr>
                <w:p w14:paraId="590C582E">
                  <w:pPr>
                    <w:pStyle w:val="40"/>
                  </w:pPr>
                  <w:r>
                    <w:rPr>
                      <w:rFonts w:hint="eastAsia"/>
                    </w:rPr>
                    <w:t>PAM</w:t>
                  </w:r>
                </w:p>
              </w:tc>
              <w:tc>
                <w:tcPr>
                  <w:tcW w:w="757" w:type="pct"/>
                  <w:vAlign w:val="center"/>
                </w:tcPr>
                <w:p w14:paraId="1E4A025D">
                  <w:pPr>
                    <w:pStyle w:val="40"/>
                  </w:pPr>
                  <w:r>
                    <w:rPr>
                      <w:rFonts w:hint="eastAsia"/>
                    </w:rPr>
                    <w:t>0.441</w:t>
                  </w:r>
                  <w:r>
                    <w:t>t</w:t>
                  </w:r>
                  <w:r>
                    <w:rPr>
                      <w:rFonts w:hint="eastAsia"/>
                    </w:rPr>
                    <w:t>/a</w:t>
                  </w:r>
                </w:p>
              </w:tc>
              <w:tc>
                <w:tcPr>
                  <w:tcW w:w="1177" w:type="pct"/>
                  <w:vAlign w:val="center"/>
                </w:tcPr>
                <w:p w14:paraId="1F78DB23">
                  <w:pPr>
                    <w:pStyle w:val="40"/>
                  </w:pPr>
                  <w:r>
                    <w:rPr>
                      <w:rFonts w:hint="eastAsia"/>
                    </w:rPr>
                    <w:t>/</w:t>
                  </w:r>
                </w:p>
              </w:tc>
              <w:tc>
                <w:tcPr>
                  <w:tcW w:w="1070" w:type="pct"/>
                  <w:vAlign w:val="center"/>
                </w:tcPr>
                <w:p w14:paraId="45A7DA1C">
                  <w:pPr>
                    <w:pStyle w:val="40"/>
                  </w:pPr>
                  <w:r>
                    <w:rPr>
                      <w:rFonts w:hint="eastAsia"/>
                    </w:rPr>
                    <w:t>助凝剂</w:t>
                  </w:r>
                </w:p>
              </w:tc>
            </w:tr>
            <w:tr w14:paraId="2CDD9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 w:hRule="atLeast"/>
                <w:jc w:val="center"/>
              </w:trPr>
              <w:tc>
                <w:tcPr>
                  <w:tcW w:w="432" w:type="pct"/>
                  <w:vAlign w:val="center"/>
                </w:tcPr>
                <w:p w14:paraId="68186F77">
                  <w:pPr>
                    <w:pStyle w:val="40"/>
                  </w:pPr>
                  <w:r>
                    <w:t>12</w:t>
                  </w:r>
                </w:p>
              </w:tc>
              <w:tc>
                <w:tcPr>
                  <w:tcW w:w="671" w:type="pct"/>
                  <w:vMerge w:val="restart"/>
                  <w:vAlign w:val="center"/>
                </w:tcPr>
                <w:p w14:paraId="02134E55">
                  <w:pPr>
                    <w:pStyle w:val="40"/>
                  </w:pPr>
                  <w:r>
                    <w:rPr>
                      <w:rFonts w:hint="eastAsia"/>
                    </w:rPr>
                    <w:t>能源</w:t>
                  </w:r>
                </w:p>
              </w:tc>
              <w:tc>
                <w:tcPr>
                  <w:tcW w:w="893" w:type="pct"/>
                  <w:vAlign w:val="center"/>
                </w:tcPr>
                <w:p w14:paraId="3AD51684">
                  <w:pPr>
                    <w:pStyle w:val="40"/>
                  </w:pPr>
                  <w:r>
                    <w:rPr>
                      <w:rFonts w:hint="eastAsia"/>
                    </w:rPr>
                    <w:t>新鲜水</w:t>
                  </w:r>
                </w:p>
              </w:tc>
              <w:tc>
                <w:tcPr>
                  <w:tcW w:w="757" w:type="pct"/>
                  <w:vAlign w:val="center"/>
                </w:tcPr>
                <w:p w14:paraId="19C76DB0">
                  <w:pPr>
                    <w:pStyle w:val="40"/>
                  </w:pPr>
                  <w:r>
                    <w:rPr>
                      <w:rFonts w:hint="eastAsia"/>
                    </w:rPr>
                    <w:t>10680.6</w:t>
                  </w:r>
                  <w:r>
                    <w:t>t/a</w:t>
                  </w:r>
                </w:p>
              </w:tc>
              <w:tc>
                <w:tcPr>
                  <w:tcW w:w="1177" w:type="pct"/>
                  <w:vAlign w:val="center"/>
                </w:tcPr>
                <w:p w14:paraId="183A98BD">
                  <w:pPr>
                    <w:pStyle w:val="40"/>
                  </w:pPr>
                  <w:r>
                    <w:rPr>
                      <w:rFonts w:hint="eastAsia"/>
                    </w:rPr>
                    <w:t>/</w:t>
                  </w:r>
                </w:p>
              </w:tc>
              <w:tc>
                <w:tcPr>
                  <w:tcW w:w="1070" w:type="pct"/>
                  <w:vAlign w:val="center"/>
                </w:tcPr>
                <w:p w14:paraId="21D51B6F">
                  <w:pPr>
                    <w:pStyle w:val="40"/>
                  </w:pPr>
                  <w:r>
                    <w:rPr>
                      <w:rFonts w:hint="eastAsia"/>
                    </w:rPr>
                    <w:t>用水外购</w:t>
                  </w:r>
                </w:p>
              </w:tc>
            </w:tr>
            <w:tr w14:paraId="3A1A3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 w:hRule="atLeast"/>
                <w:jc w:val="center"/>
              </w:trPr>
              <w:tc>
                <w:tcPr>
                  <w:tcW w:w="432" w:type="pct"/>
                  <w:vAlign w:val="center"/>
                </w:tcPr>
                <w:p w14:paraId="6CF4D276">
                  <w:pPr>
                    <w:pStyle w:val="40"/>
                  </w:pPr>
                  <w:r>
                    <w:t>13</w:t>
                  </w:r>
                </w:p>
              </w:tc>
              <w:tc>
                <w:tcPr>
                  <w:tcW w:w="671" w:type="pct"/>
                  <w:vMerge w:val="continue"/>
                </w:tcPr>
                <w:p w14:paraId="35E614A2">
                  <w:pPr>
                    <w:pStyle w:val="40"/>
                  </w:pPr>
                </w:p>
              </w:tc>
              <w:tc>
                <w:tcPr>
                  <w:tcW w:w="893" w:type="pct"/>
                  <w:vAlign w:val="center"/>
                </w:tcPr>
                <w:p w14:paraId="564ACCC9">
                  <w:pPr>
                    <w:pStyle w:val="40"/>
                  </w:pPr>
                  <w:r>
                    <w:rPr>
                      <w:rFonts w:hint="eastAsia"/>
                    </w:rPr>
                    <w:t>电</w:t>
                  </w:r>
                </w:p>
              </w:tc>
              <w:tc>
                <w:tcPr>
                  <w:tcW w:w="757" w:type="pct"/>
                  <w:vAlign w:val="center"/>
                </w:tcPr>
                <w:p w14:paraId="58970E02">
                  <w:pPr>
                    <w:pStyle w:val="40"/>
                  </w:pPr>
                  <w:r>
                    <w:rPr>
                      <w:rFonts w:hint="eastAsia"/>
                    </w:rPr>
                    <w:t>7万kWh/a</w:t>
                  </w:r>
                </w:p>
              </w:tc>
              <w:tc>
                <w:tcPr>
                  <w:tcW w:w="1177" w:type="pct"/>
                  <w:vAlign w:val="center"/>
                </w:tcPr>
                <w:p w14:paraId="7D26C6A8">
                  <w:pPr>
                    <w:pStyle w:val="40"/>
                  </w:pPr>
                  <w:r>
                    <w:rPr>
                      <w:rFonts w:hint="eastAsia"/>
                    </w:rPr>
                    <w:t>/</w:t>
                  </w:r>
                </w:p>
              </w:tc>
              <w:tc>
                <w:tcPr>
                  <w:tcW w:w="1070" w:type="pct"/>
                  <w:vAlign w:val="center"/>
                </w:tcPr>
                <w:p w14:paraId="60BE059F">
                  <w:pPr>
                    <w:pStyle w:val="40"/>
                  </w:pPr>
                  <w:r>
                    <w:rPr>
                      <w:rFonts w:hint="eastAsia"/>
                    </w:rPr>
                    <w:t>/</w:t>
                  </w:r>
                </w:p>
              </w:tc>
            </w:tr>
            <w:tr w14:paraId="517CE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 w:hRule="atLeast"/>
                <w:jc w:val="center"/>
              </w:trPr>
              <w:tc>
                <w:tcPr>
                  <w:tcW w:w="432" w:type="pct"/>
                  <w:vAlign w:val="center"/>
                </w:tcPr>
                <w:p w14:paraId="7A57CCE1">
                  <w:pPr>
                    <w:pStyle w:val="40"/>
                  </w:pPr>
                  <w:r>
                    <w:rPr>
                      <w:rFonts w:hint="eastAsia"/>
                    </w:rPr>
                    <w:t>14</w:t>
                  </w:r>
                </w:p>
              </w:tc>
              <w:tc>
                <w:tcPr>
                  <w:tcW w:w="671" w:type="pct"/>
                  <w:vMerge w:val="continue"/>
                </w:tcPr>
                <w:p w14:paraId="60EECEE9">
                  <w:pPr>
                    <w:pStyle w:val="40"/>
                  </w:pPr>
                </w:p>
              </w:tc>
              <w:tc>
                <w:tcPr>
                  <w:tcW w:w="893" w:type="pct"/>
                  <w:vAlign w:val="center"/>
                </w:tcPr>
                <w:p w14:paraId="7E29466B">
                  <w:pPr>
                    <w:pStyle w:val="40"/>
                  </w:pPr>
                  <w:r>
                    <w:rPr>
                      <w:rFonts w:hint="eastAsia"/>
                    </w:rPr>
                    <w:t>生物质成型燃料</w:t>
                  </w:r>
                </w:p>
              </w:tc>
              <w:tc>
                <w:tcPr>
                  <w:tcW w:w="757" w:type="pct"/>
                  <w:vAlign w:val="center"/>
                </w:tcPr>
                <w:p w14:paraId="621B605D">
                  <w:pPr>
                    <w:pStyle w:val="40"/>
                  </w:pPr>
                  <w:r>
                    <w:rPr>
                      <w:rFonts w:hint="eastAsia"/>
                    </w:rPr>
                    <w:t>274t/a</w:t>
                  </w:r>
                </w:p>
              </w:tc>
              <w:tc>
                <w:tcPr>
                  <w:tcW w:w="1177" w:type="pct"/>
                  <w:vAlign w:val="center"/>
                </w:tcPr>
                <w:p w14:paraId="64546577">
                  <w:pPr>
                    <w:pStyle w:val="40"/>
                  </w:pPr>
                  <w:r>
                    <w:rPr>
                      <w:rFonts w:hint="eastAsia"/>
                    </w:rPr>
                    <w:t>/</w:t>
                  </w:r>
                </w:p>
              </w:tc>
              <w:tc>
                <w:tcPr>
                  <w:tcW w:w="1070" w:type="pct"/>
                  <w:vAlign w:val="center"/>
                </w:tcPr>
                <w:p w14:paraId="73B3318C">
                  <w:pPr>
                    <w:pStyle w:val="40"/>
                  </w:pPr>
                  <w:r>
                    <w:rPr>
                      <w:rFonts w:hint="eastAsia"/>
                    </w:rPr>
                    <w:t>/</w:t>
                  </w:r>
                </w:p>
              </w:tc>
            </w:tr>
          </w:tbl>
          <w:p w14:paraId="26DA04B9">
            <w:pPr>
              <w:adjustRightInd w:val="0"/>
              <w:snapToGrid w:val="0"/>
              <w:spacing w:line="400" w:lineRule="exact"/>
              <w:ind w:firstLine="420"/>
              <w:rPr>
                <w:bCs/>
                <w:szCs w:val="21"/>
              </w:rPr>
            </w:pPr>
            <w:r>
              <w:rPr>
                <w:rFonts w:hint="eastAsia"/>
                <w:bCs/>
                <w:szCs w:val="21"/>
              </w:rPr>
              <w:t>（4）现有工程产品方案情况</w:t>
            </w:r>
          </w:p>
          <w:p w14:paraId="1085DE0E">
            <w:pPr>
              <w:adjustRightInd w:val="0"/>
              <w:snapToGrid w:val="0"/>
              <w:spacing w:beforeLines="50"/>
              <w:ind w:firstLine="420"/>
              <w:rPr>
                <w:bCs/>
                <w:szCs w:val="21"/>
              </w:rPr>
            </w:pPr>
            <w:r>
              <w:rPr>
                <w:rFonts w:hint="eastAsia"/>
                <w:bCs/>
                <w:szCs w:val="21"/>
              </w:rPr>
              <w:t>现有工程</w:t>
            </w:r>
            <w:r>
              <w:rPr>
                <w:bCs/>
                <w:szCs w:val="21"/>
              </w:rPr>
              <w:t>主要</w:t>
            </w:r>
            <w:r>
              <w:rPr>
                <w:rFonts w:hint="eastAsia"/>
                <w:bCs/>
                <w:szCs w:val="21"/>
              </w:rPr>
              <w:t>产品方案见下表。</w:t>
            </w:r>
          </w:p>
          <w:p w14:paraId="06FAEF19">
            <w:pPr>
              <w:pStyle w:val="73"/>
              <w:rPr>
                <w:kern w:val="2"/>
              </w:rPr>
            </w:pPr>
            <w:r>
              <w:rPr>
                <w:rFonts w:hint="eastAsia"/>
                <w:bCs w:val="0"/>
              </w:rPr>
              <w:t>表2-3</w:t>
            </w:r>
            <w:r>
              <w:rPr>
                <w:rFonts w:hint="eastAsia"/>
              </w:rPr>
              <w:t>现有工程</w:t>
            </w:r>
            <w:r>
              <w:t>产品方案一览表</w:t>
            </w:r>
          </w:p>
          <w:tbl>
            <w:tblPr>
              <w:tblStyle w:val="25"/>
              <w:tblW w:w="77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1"/>
              <w:gridCol w:w="1871"/>
              <w:gridCol w:w="2174"/>
              <w:gridCol w:w="2553"/>
            </w:tblGrid>
            <w:tr w14:paraId="499BF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754" w:type="pct"/>
                  <w:vAlign w:val="center"/>
                </w:tcPr>
                <w:p w14:paraId="775F3981">
                  <w:pPr>
                    <w:pStyle w:val="40"/>
                  </w:pPr>
                  <w:r>
                    <w:t>序号</w:t>
                  </w:r>
                </w:p>
              </w:tc>
              <w:tc>
                <w:tcPr>
                  <w:tcW w:w="1204" w:type="pct"/>
                  <w:shd w:val="clear" w:color="auto" w:fill="auto"/>
                  <w:vAlign w:val="center"/>
                </w:tcPr>
                <w:p w14:paraId="05721ECF">
                  <w:pPr>
                    <w:pStyle w:val="40"/>
                  </w:pPr>
                  <w:r>
                    <w:t>产品名称</w:t>
                  </w:r>
                </w:p>
              </w:tc>
              <w:tc>
                <w:tcPr>
                  <w:tcW w:w="1399" w:type="pct"/>
                  <w:vAlign w:val="center"/>
                </w:tcPr>
                <w:p w14:paraId="7C819586">
                  <w:pPr>
                    <w:pStyle w:val="40"/>
                  </w:pPr>
                  <w:r>
                    <w:t>年产量</w:t>
                  </w:r>
                </w:p>
              </w:tc>
              <w:tc>
                <w:tcPr>
                  <w:tcW w:w="1643" w:type="pct"/>
                  <w:vAlign w:val="center"/>
                </w:tcPr>
                <w:p w14:paraId="7EA2D0A3">
                  <w:pPr>
                    <w:pStyle w:val="40"/>
                  </w:pPr>
                  <w:r>
                    <w:rPr>
                      <w:rFonts w:hint="eastAsia"/>
                    </w:rPr>
                    <w:t>备注</w:t>
                  </w:r>
                </w:p>
              </w:tc>
            </w:tr>
            <w:tr w14:paraId="3058E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754" w:type="pct"/>
                  <w:vAlign w:val="center"/>
                </w:tcPr>
                <w:p w14:paraId="17E0CBF1">
                  <w:pPr>
                    <w:pStyle w:val="40"/>
                  </w:pPr>
                  <w:r>
                    <w:t>1</w:t>
                  </w:r>
                </w:p>
              </w:tc>
              <w:tc>
                <w:tcPr>
                  <w:tcW w:w="1204" w:type="pct"/>
                  <w:shd w:val="clear" w:color="auto" w:fill="auto"/>
                  <w:vAlign w:val="center"/>
                </w:tcPr>
                <w:p w14:paraId="73D674F7">
                  <w:pPr>
                    <w:pStyle w:val="40"/>
                  </w:pPr>
                  <w:r>
                    <w:rPr>
                      <w:rFonts w:hint="eastAsia"/>
                    </w:rPr>
                    <w:t>水果罐头</w:t>
                  </w:r>
                </w:p>
              </w:tc>
              <w:tc>
                <w:tcPr>
                  <w:tcW w:w="1399" w:type="pct"/>
                  <w:vAlign w:val="center"/>
                </w:tcPr>
                <w:p w14:paraId="126DA27A">
                  <w:pPr>
                    <w:pStyle w:val="40"/>
                  </w:pPr>
                  <w:r>
                    <w:rPr>
                      <w:rFonts w:hint="eastAsia"/>
                    </w:rPr>
                    <w:t>3</w:t>
                  </w:r>
                  <w:r>
                    <w:t>0</w:t>
                  </w:r>
                  <w:r>
                    <w:rPr>
                      <w:rFonts w:hint="eastAsia"/>
                    </w:rPr>
                    <w:t>万瓶</w:t>
                  </w:r>
                </w:p>
              </w:tc>
              <w:tc>
                <w:tcPr>
                  <w:tcW w:w="1643" w:type="pct"/>
                  <w:vAlign w:val="center"/>
                </w:tcPr>
                <w:p w14:paraId="57480FAF">
                  <w:pPr>
                    <w:pStyle w:val="40"/>
                  </w:pPr>
                  <w:r>
                    <w:rPr>
                      <w:rFonts w:hint="eastAsia"/>
                    </w:rPr>
                    <w:t>12瓶/箱，2.5万箱/a</w:t>
                  </w:r>
                </w:p>
              </w:tc>
            </w:tr>
          </w:tbl>
          <w:p w14:paraId="239B9922">
            <w:pPr>
              <w:adjustRightInd w:val="0"/>
              <w:snapToGrid w:val="0"/>
              <w:spacing w:line="400" w:lineRule="exact"/>
              <w:ind w:firstLine="420"/>
              <w:rPr>
                <w:szCs w:val="21"/>
              </w:rPr>
            </w:pPr>
            <w:r>
              <w:rPr>
                <w:rFonts w:hint="eastAsia"/>
                <w:szCs w:val="21"/>
              </w:rPr>
              <w:t>（5）现有工程主要生产设备</w:t>
            </w:r>
          </w:p>
          <w:p w14:paraId="75B597C9">
            <w:pPr>
              <w:adjustRightInd w:val="0"/>
              <w:snapToGrid w:val="0"/>
              <w:spacing w:beforeLines="50"/>
              <w:ind w:firstLine="420"/>
              <w:rPr>
                <w:szCs w:val="21"/>
              </w:rPr>
            </w:pPr>
            <w:r>
              <w:rPr>
                <w:rFonts w:hint="eastAsia"/>
                <w:szCs w:val="21"/>
              </w:rPr>
              <w:t>现有工程主要生产设备见下表。</w:t>
            </w:r>
          </w:p>
          <w:p w14:paraId="2607A8ED">
            <w:pPr>
              <w:pStyle w:val="73"/>
            </w:pPr>
            <w:r>
              <w:rPr>
                <w:rFonts w:hint="eastAsia"/>
                <w:bCs w:val="0"/>
              </w:rPr>
              <w:t xml:space="preserve">表2-4 </w:t>
            </w:r>
            <w:r>
              <w:rPr>
                <w:rFonts w:hint="eastAsia"/>
              </w:rPr>
              <w:t>现有工程</w:t>
            </w:r>
            <w:r>
              <w:t>主要</w:t>
            </w:r>
            <w:r>
              <w:rPr>
                <w:rFonts w:hint="eastAsia"/>
              </w:rPr>
              <w:t>生产设备</w:t>
            </w:r>
          </w:p>
          <w:tbl>
            <w:tblPr>
              <w:tblStyle w:val="25"/>
              <w:tblW w:w="488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9"/>
              <w:gridCol w:w="992"/>
              <w:gridCol w:w="1940"/>
              <w:gridCol w:w="1805"/>
              <w:gridCol w:w="910"/>
              <w:gridCol w:w="1819"/>
            </w:tblGrid>
            <w:tr w14:paraId="1A6A1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99A052B">
                  <w:pPr>
                    <w:pStyle w:val="40"/>
                  </w:pPr>
                  <w:bookmarkStart w:id="25" w:name="OLE_LINK53"/>
                  <w:bookmarkStart w:id="26" w:name="OLE_LINK54"/>
                  <w:r>
                    <w:t>序号</w:t>
                  </w:r>
                </w:p>
              </w:tc>
              <w:tc>
                <w:tcPr>
                  <w:tcW w:w="623" w:type="pct"/>
                  <w:vAlign w:val="center"/>
                </w:tcPr>
                <w:p w14:paraId="10C2C6AD">
                  <w:pPr>
                    <w:pStyle w:val="40"/>
                  </w:pPr>
                  <w:r>
                    <w:rPr>
                      <w:rFonts w:hint="eastAsia"/>
                    </w:rPr>
                    <w:t>工序</w:t>
                  </w:r>
                </w:p>
              </w:tc>
              <w:tc>
                <w:tcPr>
                  <w:tcW w:w="1218" w:type="pct"/>
                  <w:vAlign w:val="center"/>
                </w:tcPr>
                <w:p w14:paraId="5490159B">
                  <w:pPr>
                    <w:pStyle w:val="40"/>
                  </w:pPr>
                  <w:r>
                    <w:t>设备设施名称</w:t>
                  </w:r>
                </w:p>
              </w:tc>
              <w:tc>
                <w:tcPr>
                  <w:tcW w:w="1133" w:type="pct"/>
                  <w:vAlign w:val="center"/>
                </w:tcPr>
                <w:p w14:paraId="1E97FA21">
                  <w:pPr>
                    <w:pStyle w:val="40"/>
                  </w:pPr>
                  <w:r>
                    <w:t>规格/型号</w:t>
                  </w:r>
                </w:p>
              </w:tc>
              <w:tc>
                <w:tcPr>
                  <w:tcW w:w="571" w:type="pct"/>
                  <w:vAlign w:val="center"/>
                </w:tcPr>
                <w:p w14:paraId="25A055DD">
                  <w:pPr>
                    <w:pStyle w:val="40"/>
                  </w:pPr>
                  <w:r>
                    <w:t>数量</w:t>
                  </w:r>
                </w:p>
              </w:tc>
              <w:tc>
                <w:tcPr>
                  <w:tcW w:w="1142" w:type="pct"/>
                  <w:vAlign w:val="center"/>
                </w:tcPr>
                <w:p w14:paraId="2B2415D5">
                  <w:pPr>
                    <w:pStyle w:val="40"/>
                  </w:pPr>
                  <w:r>
                    <w:t>备注</w:t>
                  </w:r>
                </w:p>
              </w:tc>
            </w:tr>
            <w:tr w14:paraId="1F034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DCB70E4">
                  <w:pPr>
                    <w:pStyle w:val="40"/>
                  </w:pPr>
                  <w:r>
                    <w:t>1</w:t>
                  </w:r>
                </w:p>
              </w:tc>
              <w:tc>
                <w:tcPr>
                  <w:tcW w:w="623" w:type="pct"/>
                  <w:vMerge w:val="restart"/>
                  <w:vAlign w:val="center"/>
                </w:tcPr>
                <w:p w14:paraId="1ED1A3E7">
                  <w:pPr>
                    <w:pStyle w:val="40"/>
                  </w:pPr>
                  <w:r>
                    <w:rPr>
                      <w:rFonts w:hint="eastAsia"/>
                    </w:rPr>
                    <w:t>生产线</w:t>
                  </w:r>
                </w:p>
              </w:tc>
              <w:tc>
                <w:tcPr>
                  <w:tcW w:w="1218" w:type="pct"/>
                  <w:vAlign w:val="center"/>
                </w:tcPr>
                <w:p w14:paraId="7745AFEA">
                  <w:pPr>
                    <w:pStyle w:val="40"/>
                  </w:pPr>
                  <w:r>
                    <w:rPr>
                      <w:rFonts w:hint="eastAsia"/>
                    </w:rPr>
                    <w:t>削皮器</w:t>
                  </w:r>
                </w:p>
              </w:tc>
              <w:tc>
                <w:tcPr>
                  <w:tcW w:w="1133" w:type="pct"/>
                  <w:vAlign w:val="center"/>
                </w:tcPr>
                <w:p w14:paraId="2D3F81AA">
                  <w:pPr>
                    <w:pStyle w:val="40"/>
                  </w:pPr>
                  <w:r>
                    <w:rPr>
                      <w:rFonts w:hint="eastAsia"/>
                    </w:rPr>
                    <w:t>/</w:t>
                  </w:r>
                </w:p>
              </w:tc>
              <w:tc>
                <w:tcPr>
                  <w:tcW w:w="571" w:type="pct"/>
                  <w:vAlign w:val="center"/>
                </w:tcPr>
                <w:p w14:paraId="01070280">
                  <w:pPr>
                    <w:pStyle w:val="40"/>
                  </w:pPr>
                  <w:r>
                    <w:rPr>
                      <w:rFonts w:hint="eastAsia"/>
                    </w:rPr>
                    <w:t>1</w:t>
                  </w:r>
                  <w:r>
                    <w:t>台</w:t>
                  </w:r>
                </w:p>
              </w:tc>
              <w:tc>
                <w:tcPr>
                  <w:tcW w:w="1142" w:type="pct"/>
                  <w:vAlign w:val="center"/>
                </w:tcPr>
                <w:p w14:paraId="0641FA46">
                  <w:pPr>
                    <w:pStyle w:val="40"/>
                  </w:pPr>
                  <w:r>
                    <w:rPr>
                      <w:rFonts w:hint="eastAsia"/>
                    </w:rPr>
                    <w:t>/</w:t>
                  </w:r>
                </w:p>
              </w:tc>
            </w:tr>
            <w:tr w14:paraId="6785F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4584657">
                  <w:pPr>
                    <w:pStyle w:val="40"/>
                  </w:pPr>
                  <w:r>
                    <w:rPr>
                      <w:rFonts w:hint="eastAsia"/>
                    </w:rPr>
                    <w:t>2</w:t>
                  </w:r>
                </w:p>
              </w:tc>
              <w:tc>
                <w:tcPr>
                  <w:tcW w:w="623" w:type="pct"/>
                  <w:vMerge w:val="continue"/>
                  <w:vAlign w:val="center"/>
                </w:tcPr>
                <w:p w14:paraId="761F21E4">
                  <w:pPr>
                    <w:pStyle w:val="40"/>
                  </w:pPr>
                </w:p>
              </w:tc>
              <w:tc>
                <w:tcPr>
                  <w:tcW w:w="1218" w:type="pct"/>
                  <w:vAlign w:val="center"/>
                </w:tcPr>
                <w:p w14:paraId="7194F638">
                  <w:pPr>
                    <w:pStyle w:val="40"/>
                  </w:pPr>
                  <w:r>
                    <w:rPr>
                      <w:rFonts w:hint="eastAsia"/>
                    </w:rPr>
                    <w:t>预煮机</w:t>
                  </w:r>
                </w:p>
              </w:tc>
              <w:tc>
                <w:tcPr>
                  <w:tcW w:w="1133" w:type="pct"/>
                  <w:vAlign w:val="center"/>
                </w:tcPr>
                <w:p w14:paraId="32120138">
                  <w:pPr>
                    <w:pStyle w:val="40"/>
                  </w:pPr>
                  <w:r>
                    <w:rPr>
                      <w:rFonts w:hint="eastAsia"/>
                    </w:rPr>
                    <w:t>/</w:t>
                  </w:r>
                </w:p>
              </w:tc>
              <w:tc>
                <w:tcPr>
                  <w:tcW w:w="571" w:type="pct"/>
                  <w:vAlign w:val="center"/>
                </w:tcPr>
                <w:p w14:paraId="0DE6B8E5">
                  <w:pPr>
                    <w:pStyle w:val="40"/>
                  </w:pPr>
                  <w:r>
                    <w:rPr>
                      <w:rFonts w:hint="eastAsia"/>
                    </w:rPr>
                    <w:t>1</w:t>
                  </w:r>
                  <w:r>
                    <w:t>台</w:t>
                  </w:r>
                </w:p>
              </w:tc>
              <w:tc>
                <w:tcPr>
                  <w:tcW w:w="1142" w:type="pct"/>
                  <w:vAlign w:val="center"/>
                </w:tcPr>
                <w:p w14:paraId="1A15F9EE">
                  <w:pPr>
                    <w:pStyle w:val="40"/>
                  </w:pPr>
                  <w:r>
                    <w:rPr>
                      <w:rFonts w:hint="eastAsia"/>
                    </w:rPr>
                    <w:t>/</w:t>
                  </w:r>
                </w:p>
              </w:tc>
            </w:tr>
            <w:tr w14:paraId="797A8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B369EEA">
                  <w:pPr>
                    <w:pStyle w:val="40"/>
                  </w:pPr>
                  <w:r>
                    <w:rPr>
                      <w:rFonts w:hint="eastAsia"/>
                    </w:rPr>
                    <w:t>3</w:t>
                  </w:r>
                </w:p>
              </w:tc>
              <w:tc>
                <w:tcPr>
                  <w:tcW w:w="623" w:type="pct"/>
                  <w:vMerge w:val="continue"/>
                  <w:vAlign w:val="center"/>
                </w:tcPr>
                <w:p w14:paraId="713A59A6">
                  <w:pPr>
                    <w:pStyle w:val="40"/>
                  </w:pPr>
                </w:p>
              </w:tc>
              <w:tc>
                <w:tcPr>
                  <w:tcW w:w="1218" w:type="pct"/>
                  <w:vAlign w:val="center"/>
                </w:tcPr>
                <w:p w14:paraId="4361CBF3">
                  <w:pPr>
                    <w:pStyle w:val="40"/>
                  </w:pPr>
                  <w:r>
                    <w:rPr>
                      <w:rFonts w:hint="eastAsia"/>
                    </w:rPr>
                    <w:t>分选案</w:t>
                  </w:r>
                </w:p>
              </w:tc>
              <w:tc>
                <w:tcPr>
                  <w:tcW w:w="1133" w:type="pct"/>
                  <w:vAlign w:val="center"/>
                </w:tcPr>
                <w:p w14:paraId="5D4B8697">
                  <w:pPr>
                    <w:pStyle w:val="40"/>
                  </w:pPr>
                  <w:r>
                    <w:rPr>
                      <w:rFonts w:hint="eastAsia"/>
                    </w:rPr>
                    <w:t>/</w:t>
                  </w:r>
                </w:p>
              </w:tc>
              <w:tc>
                <w:tcPr>
                  <w:tcW w:w="571" w:type="pct"/>
                  <w:vAlign w:val="center"/>
                </w:tcPr>
                <w:p w14:paraId="692BDE0C">
                  <w:pPr>
                    <w:pStyle w:val="40"/>
                  </w:pPr>
                  <w:r>
                    <w:rPr>
                      <w:rFonts w:hint="eastAsia"/>
                    </w:rPr>
                    <w:t>10套</w:t>
                  </w:r>
                </w:p>
              </w:tc>
              <w:tc>
                <w:tcPr>
                  <w:tcW w:w="1142" w:type="pct"/>
                  <w:vAlign w:val="center"/>
                </w:tcPr>
                <w:p w14:paraId="70400226">
                  <w:pPr>
                    <w:pStyle w:val="40"/>
                  </w:pPr>
                  <w:r>
                    <w:rPr>
                      <w:rFonts w:hint="eastAsia"/>
                    </w:rPr>
                    <w:t>/</w:t>
                  </w:r>
                </w:p>
              </w:tc>
            </w:tr>
            <w:tr w14:paraId="19F62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949A377">
                  <w:pPr>
                    <w:pStyle w:val="40"/>
                  </w:pPr>
                  <w:r>
                    <w:rPr>
                      <w:rFonts w:hint="eastAsia"/>
                    </w:rPr>
                    <w:t>4</w:t>
                  </w:r>
                </w:p>
              </w:tc>
              <w:tc>
                <w:tcPr>
                  <w:tcW w:w="623" w:type="pct"/>
                  <w:vMerge w:val="continue"/>
                  <w:vAlign w:val="center"/>
                </w:tcPr>
                <w:p w14:paraId="2F240411">
                  <w:pPr>
                    <w:pStyle w:val="40"/>
                  </w:pPr>
                </w:p>
              </w:tc>
              <w:tc>
                <w:tcPr>
                  <w:tcW w:w="1218" w:type="pct"/>
                  <w:vAlign w:val="center"/>
                </w:tcPr>
                <w:p w14:paraId="6D27957A">
                  <w:pPr>
                    <w:pStyle w:val="40"/>
                  </w:pPr>
                  <w:r>
                    <w:rPr>
                      <w:rFonts w:hint="eastAsia"/>
                    </w:rPr>
                    <w:t>切半机</w:t>
                  </w:r>
                </w:p>
              </w:tc>
              <w:tc>
                <w:tcPr>
                  <w:tcW w:w="1133" w:type="pct"/>
                  <w:vAlign w:val="center"/>
                </w:tcPr>
                <w:p w14:paraId="3CA6443A">
                  <w:pPr>
                    <w:pStyle w:val="40"/>
                  </w:pPr>
                  <w:r>
                    <w:rPr>
                      <w:rFonts w:hint="eastAsia"/>
                    </w:rPr>
                    <w:t>/</w:t>
                  </w:r>
                </w:p>
              </w:tc>
              <w:tc>
                <w:tcPr>
                  <w:tcW w:w="571" w:type="pct"/>
                  <w:vAlign w:val="center"/>
                </w:tcPr>
                <w:p w14:paraId="5C81ADC0">
                  <w:pPr>
                    <w:pStyle w:val="40"/>
                  </w:pPr>
                  <w:r>
                    <w:rPr>
                      <w:rFonts w:hint="eastAsia"/>
                    </w:rPr>
                    <w:t>1台</w:t>
                  </w:r>
                </w:p>
              </w:tc>
              <w:tc>
                <w:tcPr>
                  <w:tcW w:w="1142" w:type="pct"/>
                  <w:vAlign w:val="center"/>
                </w:tcPr>
                <w:p w14:paraId="4C950B4C">
                  <w:pPr>
                    <w:pStyle w:val="40"/>
                  </w:pPr>
                  <w:r>
                    <w:rPr>
                      <w:rFonts w:hint="eastAsia"/>
                    </w:rPr>
                    <w:t>/</w:t>
                  </w:r>
                </w:p>
              </w:tc>
            </w:tr>
            <w:tr w14:paraId="0578E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F85C46C">
                  <w:pPr>
                    <w:pStyle w:val="40"/>
                  </w:pPr>
                  <w:r>
                    <w:rPr>
                      <w:rFonts w:hint="eastAsia"/>
                    </w:rPr>
                    <w:t>5</w:t>
                  </w:r>
                </w:p>
              </w:tc>
              <w:tc>
                <w:tcPr>
                  <w:tcW w:w="623" w:type="pct"/>
                  <w:vMerge w:val="continue"/>
                  <w:vAlign w:val="center"/>
                </w:tcPr>
                <w:p w14:paraId="794F3548">
                  <w:pPr>
                    <w:pStyle w:val="40"/>
                  </w:pPr>
                </w:p>
              </w:tc>
              <w:tc>
                <w:tcPr>
                  <w:tcW w:w="1218" w:type="pct"/>
                  <w:vAlign w:val="center"/>
                </w:tcPr>
                <w:p w14:paraId="5ED68B3E">
                  <w:pPr>
                    <w:pStyle w:val="40"/>
                  </w:pPr>
                  <w:r>
                    <w:rPr>
                      <w:rFonts w:hint="eastAsia"/>
                    </w:rPr>
                    <w:t>装罐车</w:t>
                  </w:r>
                </w:p>
              </w:tc>
              <w:tc>
                <w:tcPr>
                  <w:tcW w:w="1133" w:type="pct"/>
                  <w:vAlign w:val="center"/>
                </w:tcPr>
                <w:p w14:paraId="7BEBC671">
                  <w:pPr>
                    <w:pStyle w:val="40"/>
                  </w:pPr>
                  <w:r>
                    <w:rPr>
                      <w:rFonts w:hint="eastAsia"/>
                    </w:rPr>
                    <w:t>/</w:t>
                  </w:r>
                </w:p>
              </w:tc>
              <w:tc>
                <w:tcPr>
                  <w:tcW w:w="571" w:type="pct"/>
                  <w:vAlign w:val="center"/>
                </w:tcPr>
                <w:p w14:paraId="06445DB8">
                  <w:pPr>
                    <w:pStyle w:val="40"/>
                    <w:rPr>
                      <w:highlight w:val="yellow"/>
                    </w:rPr>
                  </w:pPr>
                  <w:r>
                    <w:rPr>
                      <w:rFonts w:hint="eastAsia"/>
                    </w:rPr>
                    <w:t>10</w:t>
                  </w:r>
                  <w:r>
                    <w:t>台</w:t>
                  </w:r>
                </w:p>
              </w:tc>
              <w:tc>
                <w:tcPr>
                  <w:tcW w:w="1142" w:type="pct"/>
                  <w:vAlign w:val="center"/>
                </w:tcPr>
                <w:p w14:paraId="7F65B1B8">
                  <w:pPr>
                    <w:pStyle w:val="40"/>
                  </w:pPr>
                  <w:r>
                    <w:rPr>
                      <w:rFonts w:hint="eastAsia"/>
                    </w:rPr>
                    <w:t>/</w:t>
                  </w:r>
                </w:p>
              </w:tc>
            </w:tr>
            <w:tr w14:paraId="6EB11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908D956">
                  <w:pPr>
                    <w:pStyle w:val="40"/>
                  </w:pPr>
                  <w:r>
                    <w:rPr>
                      <w:rFonts w:hint="eastAsia"/>
                    </w:rPr>
                    <w:t>6</w:t>
                  </w:r>
                </w:p>
              </w:tc>
              <w:tc>
                <w:tcPr>
                  <w:tcW w:w="623" w:type="pct"/>
                  <w:vMerge w:val="continue"/>
                  <w:vAlign w:val="center"/>
                </w:tcPr>
                <w:p w14:paraId="178B0F75">
                  <w:pPr>
                    <w:pStyle w:val="40"/>
                  </w:pPr>
                </w:p>
              </w:tc>
              <w:tc>
                <w:tcPr>
                  <w:tcW w:w="1218" w:type="pct"/>
                  <w:vAlign w:val="center"/>
                </w:tcPr>
                <w:p w14:paraId="15FD5B44">
                  <w:pPr>
                    <w:pStyle w:val="40"/>
                  </w:pPr>
                  <w:r>
                    <w:rPr>
                      <w:rFonts w:hint="eastAsia"/>
                    </w:rPr>
                    <w:t>蒸箱</w:t>
                  </w:r>
                </w:p>
              </w:tc>
              <w:tc>
                <w:tcPr>
                  <w:tcW w:w="1133" w:type="pct"/>
                  <w:vAlign w:val="center"/>
                </w:tcPr>
                <w:p w14:paraId="1F31D1FD">
                  <w:pPr>
                    <w:pStyle w:val="40"/>
                  </w:pPr>
                  <w:r>
                    <w:rPr>
                      <w:rFonts w:hint="eastAsia"/>
                    </w:rPr>
                    <w:t>/</w:t>
                  </w:r>
                </w:p>
              </w:tc>
              <w:tc>
                <w:tcPr>
                  <w:tcW w:w="571" w:type="pct"/>
                  <w:vAlign w:val="center"/>
                </w:tcPr>
                <w:p w14:paraId="12148362">
                  <w:pPr>
                    <w:pStyle w:val="40"/>
                  </w:pPr>
                  <w:r>
                    <w:rPr>
                      <w:rFonts w:hint="eastAsia"/>
                    </w:rPr>
                    <w:t>4个</w:t>
                  </w:r>
                </w:p>
              </w:tc>
              <w:tc>
                <w:tcPr>
                  <w:tcW w:w="1142" w:type="pct"/>
                  <w:vAlign w:val="center"/>
                </w:tcPr>
                <w:p w14:paraId="56DAD86D">
                  <w:pPr>
                    <w:pStyle w:val="40"/>
                  </w:pPr>
                  <w:r>
                    <w:rPr>
                      <w:rFonts w:hint="eastAsia"/>
                    </w:rPr>
                    <w:t>/</w:t>
                  </w:r>
                </w:p>
              </w:tc>
            </w:tr>
            <w:tr w14:paraId="455CE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13E8C04">
                  <w:pPr>
                    <w:pStyle w:val="40"/>
                  </w:pPr>
                  <w:r>
                    <w:rPr>
                      <w:rFonts w:hint="eastAsia"/>
                    </w:rPr>
                    <w:t>7</w:t>
                  </w:r>
                </w:p>
              </w:tc>
              <w:tc>
                <w:tcPr>
                  <w:tcW w:w="623" w:type="pct"/>
                  <w:vMerge w:val="continue"/>
                  <w:vAlign w:val="center"/>
                </w:tcPr>
                <w:p w14:paraId="0DB7B145">
                  <w:pPr>
                    <w:pStyle w:val="40"/>
                  </w:pPr>
                </w:p>
              </w:tc>
              <w:tc>
                <w:tcPr>
                  <w:tcW w:w="1218" w:type="pct"/>
                  <w:vAlign w:val="center"/>
                </w:tcPr>
                <w:p w14:paraId="417F6343">
                  <w:pPr>
                    <w:pStyle w:val="40"/>
                  </w:pPr>
                  <w:r>
                    <w:rPr>
                      <w:rFonts w:hint="eastAsia"/>
                    </w:rPr>
                    <w:t>杀菌车</w:t>
                  </w:r>
                </w:p>
              </w:tc>
              <w:tc>
                <w:tcPr>
                  <w:tcW w:w="1133" w:type="pct"/>
                  <w:vAlign w:val="center"/>
                </w:tcPr>
                <w:p w14:paraId="274A0E08">
                  <w:pPr>
                    <w:pStyle w:val="40"/>
                  </w:pPr>
                  <w:r>
                    <w:rPr>
                      <w:rFonts w:hint="eastAsia"/>
                    </w:rPr>
                    <w:t>/</w:t>
                  </w:r>
                </w:p>
              </w:tc>
              <w:tc>
                <w:tcPr>
                  <w:tcW w:w="571" w:type="pct"/>
                  <w:vAlign w:val="center"/>
                </w:tcPr>
                <w:p w14:paraId="781FA11F">
                  <w:pPr>
                    <w:pStyle w:val="40"/>
                  </w:pPr>
                  <w:r>
                    <w:rPr>
                      <w:rFonts w:hint="eastAsia"/>
                    </w:rPr>
                    <w:t>10台</w:t>
                  </w:r>
                </w:p>
              </w:tc>
              <w:tc>
                <w:tcPr>
                  <w:tcW w:w="1142" w:type="pct"/>
                  <w:vAlign w:val="center"/>
                </w:tcPr>
                <w:p w14:paraId="7A04F7CF">
                  <w:pPr>
                    <w:pStyle w:val="40"/>
                  </w:pPr>
                  <w:r>
                    <w:rPr>
                      <w:rFonts w:hint="eastAsia"/>
                    </w:rPr>
                    <w:t>/</w:t>
                  </w:r>
                </w:p>
              </w:tc>
            </w:tr>
            <w:tr w14:paraId="44E3E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F7185C3">
                  <w:pPr>
                    <w:pStyle w:val="40"/>
                  </w:pPr>
                  <w:r>
                    <w:rPr>
                      <w:rFonts w:hint="eastAsia"/>
                    </w:rPr>
                    <w:t>8</w:t>
                  </w:r>
                </w:p>
              </w:tc>
              <w:tc>
                <w:tcPr>
                  <w:tcW w:w="623" w:type="pct"/>
                  <w:vMerge w:val="continue"/>
                  <w:vAlign w:val="center"/>
                </w:tcPr>
                <w:p w14:paraId="57B193EB">
                  <w:pPr>
                    <w:pStyle w:val="40"/>
                  </w:pPr>
                </w:p>
              </w:tc>
              <w:tc>
                <w:tcPr>
                  <w:tcW w:w="1218" w:type="pct"/>
                  <w:vAlign w:val="center"/>
                </w:tcPr>
                <w:p w14:paraId="582F36FB">
                  <w:pPr>
                    <w:pStyle w:val="40"/>
                    <w:rPr>
                      <w:highlight w:val="yellow"/>
                    </w:rPr>
                  </w:pPr>
                  <w:r>
                    <w:rPr>
                      <w:rFonts w:hint="eastAsia"/>
                    </w:rPr>
                    <w:t>洗瓶机</w:t>
                  </w:r>
                </w:p>
              </w:tc>
              <w:tc>
                <w:tcPr>
                  <w:tcW w:w="1133" w:type="pct"/>
                  <w:vAlign w:val="center"/>
                </w:tcPr>
                <w:p w14:paraId="48431A3C">
                  <w:pPr>
                    <w:pStyle w:val="40"/>
                  </w:pPr>
                  <w:r>
                    <w:rPr>
                      <w:rFonts w:hint="eastAsia"/>
                    </w:rPr>
                    <w:t>/</w:t>
                  </w:r>
                </w:p>
              </w:tc>
              <w:tc>
                <w:tcPr>
                  <w:tcW w:w="571" w:type="pct"/>
                  <w:vAlign w:val="center"/>
                </w:tcPr>
                <w:p w14:paraId="602908D0">
                  <w:pPr>
                    <w:pStyle w:val="40"/>
                  </w:pPr>
                  <w:r>
                    <w:t>1</w:t>
                  </w:r>
                  <w:r>
                    <w:rPr>
                      <w:rFonts w:hint="eastAsia"/>
                    </w:rPr>
                    <w:t>台</w:t>
                  </w:r>
                </w:p>
              </w:tc>
              <w:tc>
                <w:tcPr>
                  <w:tcW w:w="1142" w:type="pct"/>
                  <w:vAlign w:val="center"/>
                </w:tcPr>
                <w:p w14:paraId="34C2FC3E">
                  <w:pPr>
                    <w:pStyle w:val="40"/>
                  </w:pPr>
                  <w:r>
                    <w:rPr>
                      <w:rFonts w:hint="eastAsia"/>
                    </w:rPr>
                    <w:t>/</w:t>
                  </w:r>
                </w:p>
              </w:tc>
            </w:tr>
            <w:tr w14:paraId="026F9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DF14967">
                  <w:pPr>
                    <w:pStyle w:val="40"/>
                  </w:pPr>
                  <w:r>
                    <w:rPr>
                      <w:rFonts w:hint="eastAsia"/>
                    </w:rPr>
                    <w:t>9</w:t>
                  </w:r>
                </w:p>
              </w:tc>
              <w:tc>
                <w:tcPr>
                  <w:tcW w:w="623" w:type="pct"/>
                  <w:vMerge w:val="continue"/>
                  <w:vAlign w:val="center"/>
                </w:tcPr>
                <w:p w14:paraId="367A9178">
                  <w:pPr>
                    <w:pStyle w:val="40"/>
                  </w:pPr>
                </w:p>
              </w:tc>
              <w:tc>
                <w:tcPr>
                  <w:tcW w:w="1218" w:type="pct"/>
                  <w:vAlign w:val="center"/>
                </w:tcPr>
                <w:p w14:paraId="544CA1E5">
                  <w:pPr>
                    <w:pStyle w:val="40"/>
                    <w:rPr>
                      <w:highlight w:val="yellow"/>
                    </w:rPr>
                  </w:pPr>
                  <w:r>
                    <w:rPr>
                      <w:rFonts w:hint="eastAsia"/>
                    </w:rPr>
                    <w:t>封瓶机</w:t>
                  </w:r>
                </w:p>
              </w:tc>
              <w:tc>
                <w:tcPr>
                  <w:tcW w:w="1133" w:type="pct"/>
                  <w:vAlign w:val="center"/>
                </w:tcPr>
                <w:p w14:paraId="69707AE5">
                  <w:pPr>
                    <w:pStyle w:val="40"/>
                  </w:pPr>
                  <w:r>
                    <w:rPr>
                      <w:rFonts w:hint="eastAsia"/>
                    </w:rPr>
                    <w:t>/</w:t>
                  </w:r>
                </w:p>
              </w:tc>
              <w:tc>
                <w:tcPr>
                  <w:tcW w:w="571" w:type="pct"/>
                  <w:vAlign w:val="center"/>
                </w:tcPr>
                <w:p w14:paraId="158212F3">
                  <w:pPr>
                    <w:pStyle w:val="40"/>
                  </w:pPr>
                  <w:r>
                    <w:rPr>
                      <w:rFonts w:hint="eastAsia"/>
                    </w:rPr>
                    <w:t>1台</w:t>
                  </w:r>
                </w:p>
              </w:tc>
              <w:tc>
                <w:tcPr>
                  <w:tcW w:w="1142" w:type="pct"/>
                  <w:vAlign w:val="center"/>
                </w:tcPr>
                <w:p w14:paraId="3F6ABCB9">
                  <w:pPr>
                    <w:pStyle w:val="40"/>
                  </w:pPr>
                  <w:r>
                    <w:rPr>
                      <w:rFonts w:hint="eastAsia"/>
                    </w:rPr>
                    <w:t>/</w:t>
                  </w:r>
                </w:p>
              </w:tc>
            </w:tr>
            <w:tr w14:paraId="6A3A1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C3776B9">
                  <w:pPr>
                    <w:pStyle w:val="40"/>
                  </w:pPr>
                  <w:r>
                    <w:rPr>
                      <w:rFonts w:hint="eastAsia"/>
                    </w:rPr>
                    <w:t>10</w:t>
                  </w:r>
                </w:p>
              </w:tc>
              <w:tc>
                <w:tcPr>
                  <w:tcW w:w="623" w:type="pct"/>
                  <w:vAlign w:val="center"/>
                </w:tcPr>
                <w:p w14:paraId="3C59AC21">
                  <w:pPr>
                    <w:pStyle w:val="40"/>
                  </w:pPr>
                  <w:r>
                    <w:rPr>
                      <w:rFonts w:hint="eastAsia"/>
                    </w:rPr>
                    <w:t>锅炉</w:t>
                  </w:r>
                </w:p>
              </w:tc>
              <w:tc>
                <w:tcPr>
                  <w:tcW w:w="1218" w:type="pct"/>
                  <w:vAlign w:val="center"/>
                </w:tcPr>
                <w:p w14:paraId="4800A9F6">
                  <w:pPr>
                    <w:pStyle w:val="40"/>
                  </w:pPr>
                  <w:r>
                    <w:rPr>
                      <w:rFonts w:hint="eastAsia"/>
                    </w:rPr>
                    <w:t>2t/h生物质锅炉</w:t>
                  </w:r>
                </w:p>
              </w:tc>
              <w:tc>
                <w:tcPr>
                  <w:tcW w:w="1133" w:type="pct"/>
                  <w:vAlign w:val="center"/>
                </w:tcPr>
                <w:p w14:paraId="7551AEAD">
                  <w:pPr>
                    <w:pStyle w:val="40"/>
                  </w:pPr>
                  <w:r>
                    <w:rPr>
                      <w:rFonts w:hint="eastAsia"/>
                    </w:rPr>
                    <w:t>DZL2-1.0-S</w:t>
                  </w:r>
                </w:p>
              </w:tc>
              <w:tc>
                <w:tcPr>
                  <w:tcW w:w="571" w:type="pct"/>
                  <w:vAlign w:val="center"/>
                </w:tcPr>
                <w:p w14:paraId="611082F1">
                  <w:pPr>
                    <w:pStyle w:val="40"/>
                  </w:pPr>
                  <w:r>
                    <w:rPr>
                      <w:rFonts w:hint="eastAsia"/>
                    </w:rPr>
                    <w:t>1台</w:t>
                  </w:r>
                </w:p>
              </w:tc>
              <w:tc>
                <w:tcPr>
                  <w:tcW w:w="1142" w:type="pct"/>
                  <w:vAlign w:val="center"/>
                </w:tcPr>
                <w:p w14:paraId="3015099C">
                  <w:pPr>
                    <w:pStyle w:val="40"/>
                  </w:pPr>
                  <w:r>
                    <w:rPr>
                      <w:rFonts w:hint="eastAsia"/>
                    </w:rPr>
                    <w:t>/</w:t>
                  </w:r>
                </w:p>
              </w:tc>
            </w:tr>
            <w:tr w14:paraId="4A5FF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B665134">
                  <w:pPr>
                    <w:pStyle w:val="40"/>
                  </w:pPr>
                  <w:r>
                    <w:rPr>
                      <w:rFonts w:hint="eastAsia"/>
                    </w:rPr>
                    <w:t>11</w:t>
                  </w:r>
                </w:p>
              </w:tc>
              <w:tc>
                <w:tcPr>
                  <w:tcW w:w="623" w:type="pct"/>
                  <w:vMerge w:val="restart"/>
                  <w:vAlign w:val="center"/>
                </w:tcPr>
                <w:p w14:paraId="19CAE14A">
                  <w:pPr>
                    <w:pStyle w:val="40"/>
                  </w:pPr>
                  <w:r>
                    <w:rPr>
                      <w:rFonts w:hint="eastAsia"/>
                    </w:rPr>
                    <w:t>环保设</w:t>
                  </w:r>
                </w:p>
                <w:p w14:paraId="28789B76">
                  <w:pPr>
                    <w:pStyle w:val="40"/>
                  </w:pPr>
                  <w:r>
                    <w:rPr>
                      <w:rFonts w:hint="eastAsia"/>
                    </w:rPr>
                    <w:t>备</w:t>
                  </w:r>
                </w:p>
              </w:tc>
              <w:tc>
                <w:tcPr>
                  <w:tcW w:w="1218" w:type="pct"/>
                  <w:vAlign w:val="center"/>
                </w:tcPr>
                <w:p w14:paraId="4AE9E0FF">
                  <w:pPr>
                    <w:pStyle w:val="40"/>
                  </w:pPr>
                  <w:r>
                    <w:rPr>
                      <w:rFonts w:hint="eastAsia"/>
                    </w:rPr>
                    <w:t>布袋除尘器</w:t>
                  </w:r>
                </w:p>
              </w:tc>
              <w:tc>
                <w:tcPr>
                  <w:tcW w:w="1133" w:type="pct"/>
                  <w:vAlign w:val="center"/>
                </w:tcPr>
                <w:p w14:paraId="2FE938F9">
                  <w:pPr>
                    <w:pStyle w:val="40"/>
                  </w:pPr>
                  <w:r>
                    <w:rPr>
                      <w:rFonts w:hint="eastAsia"/>
                    </w:rPr>
                    <w:t>/</w:t>
                  </w:r>
                </w:p>
              </w:tc>
              <w:tc>
                <w:tcPr>
                  <w:tcW w:w="571" w:type="pct"/>
                  <w:vAlign w:val="center"/>
                </w:tcPr>
                <w:p w14:paraId="13914B87">
                  <w:pPr>
                    <w:pStyle w:val="40"/>
                  </w:pPr>
                  <w:bookmarkStart w:id="27" w:name="OLE_LINK18"/>
                  <w:bookmarkStart w:id="28" w:name="OLE_LINK11"/>
                  <w:r>
                    <w:rPr>
                      <w:rFonts w:hint="eastAsia"/>
                    </w:rPr>
                    <w:t>1</w:t>
                  </w:r>
                  <w:r>
                    <w:t>套</w:t>
                  </w:r>
                  <w:bookmarkEnd w:id="27"/>
                  <w:bookmarkEnd w:id="28"/>
                </w:p>
              </w:tc>
              <w:tc>
                <w:tcPr>
                  <w:tcW w:w="1142" w:type="pct"/>
                  <w:vAlign w:val="center"/>
                </w:tcPr>
                <w:p w14:paraId="75099E7A">
                  <w:pPr>
                    <w:pStyle w:val="40"/>
                  </w:pPr>
                  <w:r>
                    <w:rPr>
                      <w:rFonts w:hint="eastAsia"/>
                    </w:rPr>
                    <w:t>/</w:t>
                  </w:r>
                </w:p>
              </w:tc>
            </w:tr>
            <w:tr w14:paraId="3635E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96A52A1">
                  <w:pPr>
                    <w:pStyle w:val="40"/>
                  </w:pPr>
                  <w:r>
                    <w:rPr>
                      <w:rFonts w:hint="eastAsia"/>
                    </w:rPr>
                    <w:t>12</w:t>
                  </w:r>
                </w:p>
              </w:tc>
              <w:tc>
                <w:tcPr>
                  <w:tcW w:w="623" w:type="pct"/>
                  <w:vMerge w:val="continue"/>
                  <w:vAlign w:val="center"/>
                </w:tcPr>
                <w:p w14:paraId="4F5FCC1D">
                  <w:pPr>
                    <w:pStyle w:val="40"/>
                  </w:pPr>
                </w:p>
              </w:tc>
              <w:tc>
                <w:tcPr>
                  <w:tcW w:w="1218" w:type="pct"/>
                  <w:vAlign w:val="center"/>
                </w:tcPr>
                <w:p w14:paraId="2C077F8B">
                  <w:pPr>
                    <w:pStyle w:val="40"/>
                  </w:pPr>
                  <w:r>
                    <w:rPr>
                      <w:rFonts w:hint="eastAsia"/>
                    </w:rPr>
                    <w:t>活性炭除臭装置</w:t>
                  </w:r>
                </w:p>
              </w:tc>
              <w:tc>
                <w:tcPr>
                  <w:tcW w:w="1133" w:type="pct"/>
                  <w:vAlign w:val="center"/>
                </w:tcPr>
                <w:p w14:paraId="4001778E">
                  <w:pPr>
                    <w:pStyle w:val="40"/>
                  </w:pPr>
                  <w:r>
                    <w:rPr>
                      <w:rFonts w:hint="eastAsia"/>
                    </w:rPr>
                    <w:t>/</w:t>
                  </w:r>
                </w:p>
              </w:tc>
              <w:tc>
                <w:tcPr>
                  <w:tcW w:w="571" w:type="pct"/>
                  <w:vAlign w:val="center"/>
                </w:tcPr>
                <w:p w14:paraId="1D548F41">
                  <w:pPr>
                    <w:pStyle w:val="40"/>
                  </w:pPr>
                  <w:r>
                    <w:rPr>
                      <w:rFonts w:hint="eastAsia"/>
                    </w:rPr>
                    <w:t>1</w:t>
                  </w:r>
                  <w:r>
                    <w:t>套</w:t>
                  </w:r>
                </w:p>
              </w:tc>
              <w:tc>
                <w:tcPr>
                  <w:tcW w:w="1142" w:type="pct"/>
                  <w:vAlign w:val="center"/>
                </w:tcPr>
                <w:p w14:paraId="1B26E2E8">
                  <w:pPr>
                    <w:pStyle w:val="40"/>
                  </w:pPr>
                  <w:r>
                    <w:rPr>
                      <w:rFonts w:hint="eastAsia"/>
                    </w:rPr>
                    <w:t>/</w:t>
                  </w:r>
                </w:p>
              </w:tc>
            </w:tr>
            <w:tr w14:paraId="711C6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B587037">
                  <w:pPr>
                    <w:pStyle w:val="40"/>
                  </w:pPr>
                  <w:r>
                    <w:rPr>
                      <w:rFonts w:hint="eastAsia"/>
                    </w:rPr>
                    <w:t>13</w:t>
                  </w:r>
                </w:p>
              </w:tc>
              <w:tc>
                <w:tcPr>
                  <w:tcW w:w="623" w:type="pct"/>
                  <w:vMerge w:val="continue"/>
                  <w:vAlign w:val="center"/>
                </w:tcPr>
                <w:p w14:paraId="62A25DD8">
                  <w:pPr>
                    <w:pStyle w:val="40"/>
                  </w:pPr>
                </w:p>
              </w:tc>
              <w:tc>
                <w:tcPr>
                  <w:tcW w:w="1218" w:type="pct"/>
                  <w:vAlign w:val="center"/>
                </w:tcPr>
                <w:p w14:paraId="1ED4983D">
                  <w:pPr>
                    <w:pStyle w:val="40"/>
                  </w:pPr>
                  <w:r>
                    <w:rPr>
                      <w:rFonts w:hint="eastAsia"/>
                    </w:rPr>
                    <w:t>污水处理站</w:t>
                  </w:r>
                </w:p>
              </w:tc>
              <w:tc>
                <w:tcPr>
                  <w:tcW w:w="1133" w:type="pct"/>
                  <w:vAlign w:val="center"/>
                </w:tcPr>
                <w:p w14:paraId="711BCCAF">
                  <w:pPr>
                    <w:pStyle w:val="40"/>
                  </w:pPr>
                  <w:r>
                    <w:rPr>
                      <w:rFonts w:hint="eastAsia"/>
                    </w:rPr>
                    <w:t>/</w:t>
                  </w:r>
                </w:p>
              </w:tc>
              <w:tc>
                <w:tcPr>
                  <w:tcW w:w="571" w:type="pct"/>
                  <w:vAlign w:val="center"/>
                </w:tcPr>
                <w:p w14:paraId="59D8AD11">
                  <w:pPr>
                    <w:pStyle w:val="40"/>
                  </w:pPr>
                  <w:bookmarkStart w:id="29" w:name="OLE_LINK19"/>
                  <w:bookmarkStart w:id="30" w:name="OLE_LINK22"/>
                  <w:r>
                    <w:rPr>
                      <w:rFonts w:hint="eastAsia"/>
                    </w:rPr>
                    <w:t>1</w:t>
                  </w:r>
                  <w:bookmarkEnd w:id="29"/>
                  <w:bookmarkEnd w:id="30"/>
                  <w:r>
                    <w:rPr>
                      <w:rFonts w:hint="eastAsia"/>
                    </w:rPr>
                    <w:t>个</w:t>
                  </w:r>
                </w:p>
              </w:tc>
              <w:tc>
                <w:tcPr>
                  <w:tcW w:w="1142" w:type="pct"/>
                  <w:vAlign w:val="center"/>
                </w:tcPr>
                <w:p w14:paraId="37D44886">
                  <w:pPr>
                    <w:pStyle w:val="40"/>
                  </w:pPr>
                  <w:r>
                    <w:rPr>
                      <w:rFonts w:hint="eastAsia"/>
                    </w:rPr>
                    <w:t>用于处理生产废水</w:t>
                  </w:r>
                </w:p>
              </w:tc>
            </w:tr>
            <w:tr w14:paraId="34638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2007914">
                  <w:pPr>
                    <w:pStyle w:val="40"/>
                  </w:pPr>
                  <w:r>
                    <w:rPr>
                      <w:rFonts w:hint="eastAsia"/>
                    </w:rPr>
                    <w:t>14</w:t>
                  </w:r>
                </w:p>
              </w:tc>
              <w:tc>
                <w:tcPr>
                  <w:tcW w:w="623" w:type="pct"/>
                  <w:vAlign w:val="center"/>
                </w:tcPr>
                <w:p w14:paraId="7B6EC098">
                  <w:pPr>
                    <w:pStyle w:val="40"/>
                  </w:pPr>
                  <w:r>
                    <w:rPr>
                      <w:rFonts w:hint="eastAsia"/>
                    </w:rPr>
                    <w:t>辅助设备</w:t>
                  </w:r>
                </w:p>
              </w:tc>
              <w:tc>
                <w:tcPr>
                  <w:tcW w:w="1218" w:type="pct"/>
                  <w:vAlign w:val="center"/>
                </w:tcPr>
                <w:p w14:paraId="7C7D40DE">
                  <w:pPr>
                    <w:pStyle w:val="40"/>
                  </w:pPr>
                  <w:r>
                    <w:rPr>
                      <w:rFonts w:hint="eastAsia"/>
                    </w:rPr>
                    <w:t>软化水制备装置</w:t>
                  </w:r>
                </w:p>
              </w:tc>
              <w:tc>
                <w:tcPr>
                  <w:tcW w:w="1133" w:type="pct"/>
                  <w:vAlign w:val="center"/>
                </w:tcPr>
                <w:p w14:paraId="7265DB80">
                  <w:pPr>
                    <w:pStyle w:val="40"/>
                  </w:pPr>
                  <w:r>
                    <w:rPr>
                      <w:rFonts w:hint="eastAsia"/>
                    </w:rPr>
                    <w:t>/</w:t>
                  </w:r>
                </w:p>
              </w:tc>
              <w:tc>
                <w:tcPr>
                  <w:tcW w:w="571" w:type="pct"/>
                  <w:vAlign w:val="center"/>
                </w:tcPr>
                <w:p w14:paraId="47CE6B4F">
                  <w:pPr>
                    <w:pStyle w:val="40"/>
                  </w:pPr>
                  <w:r>
                    <w:rPr>
                      <w:rFonts w:hint="eastAsia"/>
                    </w:rPr>
                    <w:t>1</w:t>
                  </w:r>
                  <w:r>
                    <w:t>套</w:t>
                  </w:r>
                </w:p>
              </w:tc>
              <w:tc>
                <w:tcPr>
                  <w:tcW w:w="1142" w:type="pct"/>
                  <w:vAlign w:val="center"/>
                </w:tcPr>
                <w:p w14:paraId="27E83714">
                  <w:pPr>
                    <w:pStyle w:val="40"/>
                  </w:pPr>
                  <w:r>
                    <w:rPr>
                      <w:rFonts w:hint="eastAsia"/>
                    </w:rPr>
                    <w:t>用于制备软化水</w:t>
                  </w:r>
                </w:p>
              </w:tc>
            </w:tr>
            <w:bookmarkEnd w:id="25"/>
            <w:bookmarkEnd w:id="26"/>
          </w:tbl>
          <w:p w14:paraId="1BB30E14">
            <w:pPr>
              <w:adjustRightInd w:val="0"/>
              <w:snapToGrid w:val="0"/>
              <w:spacing w:beforeLines="50"/>
              <w:ind w:firstLine="420"/>
              <w:rPr>
                <w:szCs w:val="21"/>
              </w:rPr>
            </w:pPr>
            <w:r>
              <w:rPr>
                <w:rFonts w:hint="eastAsia"/>
                <w:szCs w:val="21"/>
              </w:rPr>
              <w:t>(5)现有工程给排水情况</w:t>
            </w:r>
          </w:p>
          <w:p w14:paraId="6D739D38">
            <w:pPr>
              <w:adjustRightInd w:val="0"/>
              <w:snapToGrid w:val="0"/>
              <w:ind w:firstLine="420"/>
            </w:pPr>
            <w:r>
              <w:t>1）给水</w:t>
            </w:r>
          </w:p>
          <w:p w14:paraId="247CC3C1">
            <w:pPr>
              <w:adjustRightInd w:val="0"/>
              <w:snapToGrid w:val="0"/>
              <w:ind w:firstLine="420"/>
            </w:pPr>
            <w:r>
              <w:rPr>
                <w:rFonts w:hint="eastAsia"/>
              </w:rPr>
              <w:t>现有项目用水外购，用水主要包括生产用水和生活用水。</w:t>
            </w:r>
          </w:p>
          <w:p w14:paraId="301BB1FD">
            <w:pPr>
              <w:adjustRightInd w:val="0"/>
              <w:snapToGrid w:val="0"/>
              <w:ind w:firstLine="420"/>
              <w:rPr>
                <w:bCs/>
                <w:szCs w:val="21"/>
              </w:rPr>
            </w:pPr>
            <w:r>
              <w:rPr>
                <w:rFonts w:hint="eastAsia"/>
                <w:bCs/>
                <w:szCs w:val="21"/>
              </w:rPr>
              <w:t>生活用水仅为饮用水，直接外购桶装水；生产用水用量</w:t>
            </w:r>
            <w:r>
              <w:rPr>
                <w:rFonts w:hint="eastAsia"/>
              </w:rPr>
              <w:t>较少，直接外购</w:t>
            </w:r>
            <w:bookmarkStart w:id="31" w:name="OLE_LINK82"/>
            <w:r>
              <w:rPr>
                <w:rFonts w:hint="eastAsia"/>
              </w:rPr>
              <w:t>自来水</w:t>
            </w:r>
            <w:bookmarkEnd w:id="31"/>
            <w:r>
              <w:rPr>
                <w:rFonts w:hint="eastAsia"/>
                <w:bCs/>
                <w:kern w:val="0"/>
                <w:szCs w:val="21"/>
              </w:rPr>
              <w:t>，由秦皇岛市骊洋水务有限公司供应，</w:t>
            </w:r>
            <w:r>
              <w:rPr>
                <w:rFonts w:hint="eastAsia"/>
              </w:rPr>
              <w:t>自来水</w:t>
            </w:r>
            <w:r>
              <w:rPr>
                <w:rFonts w:hint="eastAsia"/>
                <w:bCs/>
                <w:kern w:val="0"/>
                <w:szCs w:val="21"/>
              </w:rPr>
              <w:t>由罐车运至厂内。</w:t>
            </w:r>
          </w:p>
          <w:p w14:paraId="1D32B1C6">
            <w:pPr>
              <w:adjustRightInd w:val="0"/>
              <w:snapToGrid w:val="0"/>
              <w:ind w:firstLine="420"/>
              <w:rPr>
                <w:bCs/>
                <w:szCs w:val="21"/>
              </w:rPr>
            </w:pPr>
            <w:r>
              <w:rPr>
                <w:rFonts w:hint="eastAsia"/>
                <w:bCs/>
                <w:szCs w:val="21"/>
              </w:rPr>
              <w:t>生产用水包括罐头生产线用水、</w:t>
            </w:r>
            <w:r>
              <w:rPr>
                <w:bCs/>
                <w:szCs w:val="21"/>
              </w:rPr>
              <w:t>锅炉用水</w:t>
            </w:r>
            <w:r>
              <w:rPr>
                <w:rFonts w:hint="eastAsia"/>
                <w:bCs/>
                <w:szCs w:val="21"/>
              </w:rPr>
              <w:t>。</w:t>
            </w:r>
          </w:p>
          <w:p w14:paraId="42C9FE7F">
            <w:pPr>
              <w:adjustRightInd w:val="0"/>
              <w:snapToGrid w:val="0"/>
              <w:ind w:firstLine="420"/>
              <w:rPr>
                <w:bCs/>
                <w:szCs w:val="21"/>
              </w:rPr>
            </w:pPr>
            <w:r>
              <w:rPr>
                <w:rFonts w:hint="eastAsia"/>
                <w:bCs/>
                <w:szCs w:val="21"/>
              </w:rPr>
              <w:t>罐头生产线用水：</w:t>
            </w:r>
            <w:r>
              <w:rPr>
                <w:rFonts w:hint="eastAsia"/>
              </w:rPr>
              <w:t>包括罐头瓶清洗用水、水果清洗、蒸煮用水、罐头制作用水等，</w:t>
            </w:r>
            <w:r>
              <w:rPr>
                <w:rFonts w:hint="eastAsia"/>
                <w:bCs/>
                <w:szCs w:val="21"/>
              </w:rPr>
              <w:t>生产用水总量约为6976.2t/a，33.22t/d。</w:t>
            </w:r>
          </w:p>
          <w:p w14:paraId="421BC1FA">
            <w:pPr>
              <w:adjustRightInd w:val="0"/>
              <w:snapToGrid w:val="0"/>
              <w:ind w:firstLine="420"/>
              <w:rPr>
                <w:bCs/>
                <w:szCs w:val="21"/>
              </w:rPr>
            </w:pPr>
            <w:r>
              <w:rPr>
                <w:bCs/>
                <w:szCs w:val="21"/>
              </w:rPr>
              <w:t>锅炉用水：项目以1台</w:t>
            </w:r>
            <w:r>
              <w:rPr>
                <w:rFonts w:hint="eastAsia"/>
                <w:bCs/>
                <w:szCs w:val="21"/>
              </w:rPr>
              <w:t>2</w:t>
            </w:r>
            <w:r>
              <w:rPr>
                <w:bCs/>
                <w:szCs w:val="21"/>
              </w:rPr>
              <w:t>t/h</w:t>
            </w:r>
            <w:r>
              <w:rPr>
                <w:rFonts w:hint="eastAsia"/>
                <w:bCs/>
                <w:szCs w:val="21"/>
              </w:rPr>
              <w:t>生物质蒸汽</w:t>
            </w:r>
            <w:r>
              <w:rPr>
                <w:bCs/>
                <w:szCs w:val="21"/>
              </w:rPr>
              <w:t>锅炉为生产提供蒸汽，锅炉运行时间按每天</w:t>
            </w:r>
            <w:r>
              <w:rPr>
                <w:rFonts w:hint="eastAsia"/>
                <w:bCs/>
                <w:szCs w:val="21"/>
              </w:rPr>
              <w:t>8</w:t>
            </w:r>
            <w:r>
              <w:rPr>
                <w:bCs/>
                <w:szCs w:val="21"/>
              </w:rPr>
              <w:t>h计算</w:t>
            </w:r>
            <w:r>
              <w:rPr>
                <w:rFonts w:hint="eastAsia"/>
                <w:bCs/>
                <w:szCs w:val="21"/>
              </w:rPr>
              <w:t>，锅炉</w:t>
            </w:r>
            <w:r>
              <w:rPr>
                <w:bCs/>
                <w:szCs w:val="21"/>
              </w:rPr>
              <w:t>软水制水</w:t>
            </w:r>
            <w:r>
              <w:rPr>
                <w:rFonts w:hint="eastAsia"/>
                <w:bCs/>
                <w:szCs w:val="21"/>
              </w:rPr>
              <w:t>效率为95%，本项目锅炉用水主要为定期锅炉补充水，补充水量为16.84</w:t>
            </w:r>
            <w:r>
              <w:rPr>
                <w:bCs/>
                <w:szCs w:val="21"/>
              </w:rPr>
              <w:t>t/d</w:t>
            </w:r>
            <w:r>
              <w:rPr>
                <w:rFonts w:hint="eastAsia"/>
                <w:bCs/>
                <w:szCs w:val="21"/>
              </w:rPr>
              <w:t>，3536.4</w:t>
            </w:r>
            <w:r>
              <w:rPr>
                <w:bCs/>
                <w:szCs w:val="21"/>
              </w:rPr>
              <w:t>t/a</w:t>
            </w:r>
            <w:r>
              <w:rPr>
                <w:rFonts w:hint="eastAsia"/>
                <w:bCs/>
                <w:szCs w:val="21"/>
              </w:rPr>
              <w:t>。</w:t>
            </w:r>
          </w:p>
          <w:p w14:paraId="23F25082">
            <w:pPr>
              <w:adjustRightInd w:val="0"/>
              <w:snapToGrid w:val="0"/>
              <w:ind w:firstLine="420"/>
              <w:rPr>
                <w:bCs/>
                <w:szCs w:val="21"/>
              </w:rPr>
            </w:pPr>
            <w:r>
              <w:rPr>
                <w:rFonts w:hint="eastAsia"/>
              </w:rPr>
              <w:t>生活用水：生活用水量为 168m</w:t>
            </w:r>
            <w:r>
              <w:rPr>
                <w:rFonts w:hint="eastAsia"/>
                <w:vertAlign w:val="superscript"/>
              </w:rPr>
              <w:t xml:space="preserve"> 3</w:t>
            </w:r>
            <w:r>
              <w:rPr>
                <w:rFonts w:hint="eastAsia"/>
              </w:rPr>
              <w:t>/a，0.8m</w:t>
            </w:r>
            <w:r>
              <w:rPr>
                <w:rFonts w:hint="eastAsia"/>
                <w:vertAlign w:val="superscript"/>
              </w:rPr>
              <w:t>3</w:t>
            </w:r>
            <w:r>
              <w:rPr>
                <w:rFonts w:hint="eastAsia"/>
              </w:rPr>
              <w:t>/d。</w:t>
            </w:r>
          </w:p>
          <w:p w14:paraId="7231292C">
            <w:pPr>
              <w:adjustRightInd w:val="0"/>
              <w:snapToGrid w:val="0"/>
              <w:ind w:firstLine="420"/>
            </w:pPr>
            <w:r>
              <w:t>2）排水</w:t>
            </w:r>
          </w:p>
          <w:p w14:paraId="417C27BD">
            <w:pPr>
              <w:adjustRightInd w:val="0"/>
              <w:snapToGrid w:val="0"/>
              <w:ind w:firstLine="420"/>
            </w:pPr>
            <w:r>
              <w:rPr>
                <w:rFonts w:hint="eastAsia"/>
              </w:rPr>
              <w:t>生活污水产生量为151.2t/a，0.72t/d</w:t>
            </w:r>
            <w:r>
              <w:rPr>
                <w:rFonts w:hint="eastAsia"/>
                <w:bCs/>
                <w:szCs w:val="21"/>
              </w:rPr>
              <w:t>，</w:t>
            </w:r>
            <w:r>
              <w:rPr>
                <w:rFonts w:hint="eastAsia"/>
              </w:rPr>
              <w:t>进入防渗旱厕，定期清掏作农肥，不外排。</w:t>
            </w:r>
          </w:p>
          <w:p w14:paraId="08E17A1F">
            <w:pPr>
              <w:adjustRightInd w:val="0"/>
              <w:snapToGrid w:val="0"/>
              <w:ind w:firstLine="420"/>
            </w:pPr>
            <w:r>
              <w:rPr>
                <w:rFonts w:hint="eastAsia"/>
                <w:bCs/>
                <w:szCs w:val="21"/>
              </w:rPr>
              <w:t>罐头生产线</w:t>
            </w:r>
            <w:r>
              <w:rPr>
                <w:rFonts w:hint="eastAsia"/>
              </w:rPr>
              <w:t>废水产生量为6278.58t/a，29.90t/d</w:t>
            </w:r>
            <w:r>
              <w:rPr>
                <w:rFonts w:hint="eastAsia"/>
                <w:bCs/>
                <w:szCs w:val="21"/>
              </w:rPr>
              <w:t>，</w:t>
            </w:r>
            <w:r>
              <w:rPr>
                <w:rFonts w:hint="eastAsia"/>
              </w:rPr>
              <w:t>废水</w:t>
            </w:r>
            <w:r>
              <w:rPr>
                <w:rFonts w:hint="eastAsia"/>
                <w:bCs/>
                <w:szCs w:val="21"/>
              </w:rPr>
              <w:t>进入污水处理站处理，污水处理站</w:t>
            </w:r>
            <w:r>
              <w:rPr>
                <w:rFonts w:hint="eastAsia"/>
              </w:rPr>
              <w:t>采用“厌氧塔+气浮+地埋式一体化污水处理装置（AC厌氧+二级接触氧化+沉淀）+过滤”处理工艺，处理能力200t/d，处理</w:t>
            </w:r>
            <w:r>
              <w:rPr>
                <w:rFonts w:hint="eastAsia" w:hAnsi="宋体"/>
                <w:bCs/>
              </w:rPr>
              <w:t>达标后运至秦皇岛市抚宁区中冶水务有限公司。</w:t>
            </w:r>
          </w:p>
          <w:p w14:paraId="019861B1">
            <w:pPr>
              <w:adjustRightInd w:val="0"/>
              <w:snapToGrid w:val="0"/>
              <w:ind w:firstLine="420"/>
              <w:rPr>
                <w:highlight w:val="yellow"/>
              </w:rPr>
            </w:pPr>
            <w:r>
              <w:rPr>
                <w:bCs/>
                <w:szCs w:val="21"/>
              </w:rPr>
              <w:t>锅炉排污水及软化处理废水</w:t>
            </w:r>
            <w:r>
              <w:rPr>
                <w:rFonts w:hint="eastAsia"/>
              </w:rPr>
              <w:t>产生量为97.544t/a，0.464t/d，用于厂区洒水抑尘。</w:t>
            </w:r>
          </w:p>
          <w:p w14:paraId="71988250">
            <w:pPr>
              <w:ind w:firstLine="420"/>
            </w:pPr>
            <w:r>
              <w:t>（</w:t>
            </w:r>
            <w:r>
              <w:rPr>
                <w:rFonts w:hint="eastAsia"/>
              </w:rPr>
              <w:t>6</w:t>
            </w:r>
            <w:r>
              <w:t>）供热</w:t>
            </w:r>
          </w:p>
          <w:p w14:paraId="3886D7BE">
            <w:pPr>
              <w:ind w:firstLine="420"/>
            </w:pPr>
            <w:r>
              <w:t>生产车间不供暖，冬季办公区空调供暖。</w:t>
            </w:r>
          </w:p>
          <w:p w14:paraId="4A40D39F">
            <w:pPr>
              <w:ind w:firstLine="420"/>
            </w:pPr>
            <w:r>
              <w:t>（</w:t>
            </w:r>
            <w:r>
              <w:rPr>
                <w:rFonts w:hint="eastAsia"/>
              </w:rPr>
              <w:t>7</w:t>
            </w:r>
            <w:r>
              <w:t>）供电</w:t>
            </w:r>
          </w:p>
          <w:p w14:paraId="62F1FEC1">
            <w:pPr>
              <w:ind w:firstLine="420"/>
              <w:rPr>
                <w:snapToGrid w:val="0"/>
              </w:rPr>
            </w:pPr>
            <w:r>
              <w:rPr>
                <w:rFonts w:hint="eastAsia"/>
              </w:rPr>
              <w:t>现有工程</w:t>
            </w:r>
            <w:r>
              <w:rPr>
                <w:snapToGrid w:val="0"/>
              </w:rPr>
              <w:t>用电接自抚宁区电网。</w:t>
            </w:r>
          </w:p>
          <w:p w14:paraId="582E2675">
            <w:pPr>
              <w:adjustRightInd w:val="0"/>
              <w:snapToGrid w:val="0"/>
              <w:ind w:firstLine="422"/>
              <w:rPr>
                <w:b/>
                <w:szCs w:val="21"/>
              </w:rPr>
            </w:pPr>
            <w:r>
              <w:rPr>
                <w:rFonts w:hint="eastAsia"/>
                <w:b/>
                <w:szCs w:val="21"/>
              </w:rPr>
              <w:t>3、改扩建项目</w:t>
            </w:r>
          </w:p>
          <w:p w14:paraId="0D72FA35">
            <w:pPr>
              <w:adjustRightInd w:val="0"/>
              <w:snapToGrid w:val="0"/>
              <w:ind w:firstLine="422"/>
              <w:rPr>
                <w:b/>
                <w:szCs w:val="21"/>
              </w:rPr>
            </w:pPr>
            <w:r>
              <w:rPr>
                <w:rFonts w:hint="eastAsia"/>
                <w:b/>
                <w:szCs w:val="21"/>
              </w:rPr>
              <w:t>（1）改扩建项目概况</w:t>
            </w:r>
          </w:p>
          <w:p w14:paraId="089C75DA">
            <w:pPr>
              <w:ind w:firstLine="420"/>
            </w:pPr>
            <w:r>
              <w:rPr>
                <w:rFonts w:hint="eastAsia"/>
              </w:rPr>
              <w:t>①项目名称：秦皇岛市天马食品厂水果罐头生产线改</w:t>
            </w:r>
            <w:r>
              <w:t>扩</w:t>
            </w:r>
            <w:r>
              <w:rPr>
                <w:szCs w:val="21"/>
              </w:rPr>
              <w:t>建项目</w:t>
            </w:r>
          </w:p>
          <w:p w14:paraId="3CEA3212">
            <w:pPr>
              <w:ind w:firstLine="420"/>
            </w:pPr>
            <w:r>
              <w:rPr>
                <w:rFonts w:hint="eastAsia"/>
              </w:rPr>
              <w:t>②建设单位：秦皇岛市天马食品厂</w:t>
            </w:r>
          </w:p>
          <w:p w14:paraId="560F5AF4">
            <w:pPr>
              <w:ind w:firstLine="420"/>
            </w:pPr>
            <w:r>
              <w:rPr>
                <w:rFonts w:hint="eastAsia"/>
              </w:rPr>
              <w:t>③建设性质：</w:t>
            </w:r>
            <w:bookmarkStart w:id="32" w:name="OLE_LINK56"/>
            <w:bookmarkStart w:id="33" w:name="OLE_LINK52"/>
            <w:r>
              <w:rPr>
                <w:rFonts w:hint="eastAsia"/>
                <w:szCs w:val="21"/>
              </w:rPr>
              <w:t>改</w:t>
            </w:r>
            <w:bookmarkEnd w:id="32"/>
            <w:bookmarkEnd w:id="33"/>
            <w:r>
              <w:rPr>
                <w:szCs w:val="21"/>
              </w:rPr>
              <w:t>扩建</w:t>
            </w:r>
          </w:p>
          <w:p w14:paraId="436A9542">
            <w:pPr>
              <w:ind w:firstLine="420"/>
            </w:pPr>
            <w:r>
              <w:rPr>
                <w:rFonts w:hint="eastAsia"/>
              </w:rPr>
              <w:t>④</w:t>
            </w:r>
            <w:r>
              <w:t>建设地点及占地：</w:t>
            </w:r>
            <w:r>
              <w:rPr>
                <w:rFonts w:hint="eastAsia"/>
              </w:rPr>
              <w:t>利用厂区内现有厂房，不新增占地。地理位置见附图1。</w:t>
            </w:r>
          </w:p>
          <w:p w14:paraId="396108F1">
            <w:pPr>
              <w:ind w:firstLine="420"/>
            </w:pPr>
            <w:r>
              <w:rPr>
                <w:rFonts w:hint="eastAsia"/>
              </w:rPr>
              <w:t>⑤周边关系：</w:t>
            </w:r>
            <w:r>
              <w:rPr>
                <w:rFonts w:hint="eastAsia" w:hAnsi="宋体"/>
                <w:szCs w:val="21"/>
              </w:rPr>
              <w:t>厂区东侧、南侧、北侧均为坟坨村住宅，西侧为坟坨小学</w:t>
            </w:r>
            <w:r>
              <w:rPr>
                <w:rFonts w:hint="eastAsia"/>
              </w:rPr>
              <w:t>。</w:t>
            </w:r>
          </w:p>
          <w:p w14:paraId="11600E10">
            <w:pPr>
              <w:ind w:firstLine="420"/>
              <w:rPr>
                <w:rFonts w:hAnsi="宋体"/>
                <w:bCs/>
                <w:szCs w:val="21"/>
              </w:rPr>
            </w:pPr>
            <w:r>
              <w:rPr>
                <w:rFonts w:hint="eastAsia"/>
              </w:rPr>
              <w:t>⑥建设内容：</w:t>
            </w:r>
            <w:bookmarkStart w:id="34" w:name="_Hlk130216987"/>
            <w:r>
              <w:rPr>
                <w:rFonts w:hint="eastAsia" w:ascii="宋体" w:hAnsi="宋体" w:cs="宋体"/>
                <w:szCs w:val="21"/>
              </w:rPr>
              <w:t>根据项目《企业投资项目备案信息》可知，备案信息中项目主要建设内容及规模为：</w:t>
            </w:r>
            <w:bookmarkStart w:id="35" w:name="OLE_LINK35"/>
            <w:bookmarkStart w:id="36" w:name="OLE_LINK36"/>
            <w:r>
              <w:rPr>
                <w:rFonts w:hint="eastAsia" w:hAnsi="宋体"/>
                <w:bCs/>
                <w:szCs w:val="21"/>
              </w:rPr>
              <w:t>项目不新增占地，利用现有厂房530m</w:t>
            </w:r>
            <w:r>
              <w:rPr>
                <w:rFonts w:hint="eastAsia" w:hAnsi="宋体"/>
                <w:bCs/>
                <w:szCs w:val="21"/>
                <w:vertAlign w:val="superscript"/>
              </w:rPr>
              <w:t>2</w:t>
            </w:r>
            <w:r>
              <w:rPr>
                <w:rFonts w:hint="eastAsia" w:hAnsi="宋体"/>
                <w:bCs/>
                <w:szCs w:val="21"/>
              </w:rPr>
              <w:t>（生产厂房480m</w:t>
            </w:r>
            <w:r>
              <w:rPr>
                <w:rFonts w:hint="eastAsia" w:hAnsi="宋体"/>
                <w:bCs/>
                <w:szCs w:val="21"/>
                <w:vertAlign w:val="superscript"/>
              </w:rPr>
              <w:t>2</w:t>
            </w:r>
            <w:r>
              <w:rPr>
                <w:rFonts w:hint="eastAsia" w:hAnsi="宋体"/>
                <w:bCs/>
                <w:szCs w:val="21"/>
              </w:rPr>
              <w:t>、锅炉房50m</w:t>
            </w:r>
            <w:r>
              <w:rPr>
                <w:rFonts w:hint="eastAsia" w:hAnsi="宋体"/>
                <w:bCs/>
                <w:szCs w:val="21"/>
                <w:vertAlign w:val="superscript"/>
              </w:rPr>
              <w:t>2</w:t>
            </w:r>
            <w:r>
              <w:rPr>
                <w:rFonts w:hint="eastAsia" w:hAnsi="宋体"/>
                <w:bCs/>
                <w:szCs w:val="21"/>
              </w:rPr>
              <w:t>），扩大当前水果罐头生产线规模，新增全自动挖核机、切条机等设备，预煮机改为预煮线，分选案改为分选线，装罐车改为装罐线（装罐线包括原有洗瓶机、封瓶机），取消蒸箱，杀菌车改为杀菌线，拆除现有1台2t/h生物质锅炉，新上1台型号为DZL4-1.25-T的4t/h生物质锅炉。主要生产工艺流程不变，扩建前生产规模为年生产各类水果罐头 30万瓶，扩建后生产规模为年生产各类水果罐头 40万瓶</w:t>
            </w:r>
            <w:bookmarkEnd w:id="35"/>
            <w:bookmarkEnd w:id="36"/>
            <w:r>
              <w:rPr>
                <w:rFonts w:hint="eastAsia"/>
              </w:rPr>
              <w:t>。</w:t>
            </w:r>
            <w:bookmarkEnd w:id="34"/>
          </w:p>
          <w:p w14:paraId="3477BC53">
            <w:pPr>
              <w:ind w:firstLine="420"/>
            </w:pPr>
            <w:r>
              <w:rPr>
                <w:rFonts w:hint="eastAsia"/>
              </w:rPr>
              <w:t>产品方案见下表。</w:t>
            </w:r>
          </w:p>
          <w:p w14:paraId="36D60BB5">
            <w:pPr>
              <w:pStyle w:val="73"/>
            </w:pPr>
            <w:r>
              <w:rPr>
                <w:rFonts w:hint="eastAsia"/>
                <w:bCs w:val="0"/>
              </w:rPr>
              <w:t xml:space="preserve">表2-5 </w:t>
            </w:r>
            <w:r>
              <w:rPr>
                <w:rFonts w:hint="eastAsia"/>
              </w:rPr>
              <w:t>产品方案表</w:t>
            </w:r>
          </w:p>
          <w:tbl>
            <w:tblPr>
              <w:tblStyle w:val="25"/>
              <w:tblW w:w="81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3"/>
              <w:gridCol w:w="2068"/>
              <w:gridCol w:w="2399"/>
              <w:gridCol w:w="2398"/>
            </w:tblGrid>
            <w:tr w14:paraId="22F2D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792" w:type="pct"/>
                  <w:vAlign w:val="center"/>
                </w:tcPr>
                <w:p w14:paraId="58C8BA6F">
                  <w:pPr>
                    <w:pStyle w:val="40"/>
                  </w:pPr>
                  <w:r>
                    <w:t>序号</w:t>
                  </w:r>
                </w:p>
              </w:tc>
              <w:tc>
                <w:tcPr>
                  <w:tcW w:w="1267" w:type="pct"/>
                  <w:shd w:val="clear" w:color="auto" w:fill="auto"/>
                  <w:vAlign w:val="center"/>
                </w:tcPr>
                <w:p w14:paraId="25D41EFA">
                  <w:pPr>
                    <w:pStyle w:val="40"/>
                  </w:pPr>
                  <w:r>
                    <w:t>产品名称</w:t>
                  </w:r>
                </w:p>
              </w:tc>
              <w:tc>
                <w:tcPr>
                  <w:tcW w:w="1470" w:type="pct"/>
                  <w:vAlign w:val="center"/>
                </w:tcPr>
                <w:p w14:paraId="5031816E">
                  <w:pPr>
                    <w:pStyle w:val="40"/>
                  </w:pPr>
                  <w:r>
                    <w:t>年产量</w:t>
                  </w:r>
                </w:p>
              </w:tc>
              <w:tc>
                <w:tcPr>
                  <w:tcW w:w="1470" w:type="pct"/>
                  <w:vAlign w:val="center"/>
                </w:tcPr>
                <w:p w14:paraId="66CA1769">
                  <w:pPr>
                    <w:pStyle w:val="40"/>
                  </w:pPr>
                  <w:r>
                    <w:rPr>
                      <w:rFonts w:hint="eastAsia"/>
                    </w:rPr>
                    <w:t>备注</w:t>
                  </w:r>
                </w:p>
              </w:tc>
            </w:tr>
            <w:tr w14:paraId="62D1C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792" w:type="pct"/>
                  <w:vAlign w:val="center"/>
                </w:tcPr>
                <w:p w14:paraId="29C76972">
                  <w:pPr>
                    <w:pStyle w:val="40"/>
                  </w:pPr>
                  <w:r>
                    <w:t>1</w:t>
                  </w:r>
                </w:p>
              </w:tc>
              <w:tc>
                <w:tcPr>
                  <w:tcW w:w="1267" w:type="pct"/>
                  <w:shd w:val="clear" w:color="auto" w:fill="auto"/>
                  <w:vAlign w:val="center"/>
                </w:tcPr>
                <w:p w14:paraId="4FA14512">
                  <w:pPr>
                    <w:pStyle w:val="40"/>
                  </w:pPr>
                  <w:r>
                    <w:rPr>
                      <w:rFonts w:hint="eastAsia"/>
                    </w:rPr>
                    <w:t>各类水果罐头</w:t>
                  </w:r>
                </w:p>
              </w:tc>
              <w:tc>
                <w:tcPr>
                  <w:tcW w:w="1470" w:type="pct"/>
                  <w:vAlign w:val="center"/>
                </w:tcPr>
                <w:p w14:paraId="58CBC306">
                  <w:pPr>
                    <w:pStyle w:val="40"/>
                  </w:pPr>
                  <w:r>
                    <w:rPr>
                      <w:rFonts w:hint="eastAsia"/>
                    </w:rPr>
                    <w:t>4</w:t>
                  </w:r>
                  <w:r>
                    <w:t>0</w:t>
                  </w:r>
                  <w:r>
                    <w:rPr>
                      <w:rFonts w:hint="eastAsia"/>
                    </w:rPr>
                    <w:t>万瓶</w:t>
                  </w:r>
                </w:p>
              </w:tc>
              <w:tc>
                <w:tcPr>
                  <w:tcW w:w="1470" w:type="pct"/>
                  <w:vAlign w:val="center"/>
                </w:tcPr>
                <w:p w14:paraId="6D414AD3">
                  <w:pPr>
                    <w:pStyle w:val="40"/>
                  </w:pPr>
                  <w:r>
                    <w:rPr>
                      <w:rFonts w:hint="eastAsia"/>
                    </w:rPr>
                    <w:t>12瓶/箱，3.3万箱/a</w:t>
                  </w:r>
                </w:p>
              </w:tc>
            </w:tr>
          </w:tbl>
          <w:p w14:paraId="0D09DE12">
            <w:pPr>
              <w:adjustRightInd w:val="0"/>
              <w:snapToGrid w:val="0"/>
              <w:spacing w:beforeLines="50"/>
              <w:ind w:firstLine="420"/>
              <w:jc w:val="left"/>
              <w:rPr>
                <w:rFonts w:hAnsi="宋体"/>
                <w:szCs w:val="21"/>
              </w:rPr>
            </w:pPr>
            <w:r>
              <w:rPr>
                <w:rFonts w:hAnsi="宋体"/>
                <w:szCs w:val="21"/>
              </w:rPr>
              <w:t>⑦劳动定员及工作制度：</w:t>
            </w:r>
            <w:bookmarkStart w:id="37" w:name="OLE_LINK37"/>
            <w:bookmarkStart w:id="38" w:name="OLE_LINK38"/>
            <w:r>
              <w:rPr>
                <w:rFonts w:hAnsi="宋体"/>
                <w:szCs w:val="21"/>
              </w:rPr>
              <w:t>本次扩建项目</w:t>
            </w:r>
            <w:r>
              <w:rPr>
                <w:rFonts w:hint="eastAsia" w:hAnsi="宋体"/>
                <w:szCs w:val="21"/>
              </w:rPr>
              <w:t>不</w:t>
            </w:r>
            <w:r>
              <w:rPr>
                <w:rFonts w:hAnsi="宋体"/>
                <w:szCs w:val="21"/>
              </w:rPr>
              <w:t>新增员工，</w:t>
            </w:r>
            <w:r>
              <w:rPr>
                <w:rFonts w:hint="eastAsia"/>
              </w:rPr>
              <w:t>工作制度不变，</w:t>
            </w:r>
            <w:bookmarkEnd w:id="37"/>
            <w:bookmarkEnd w:id="38"/>
            <w:r>
              <w:rPr>
                <w:rFonts w:hint="eastAsia" w:hAnsi="宋体"/>
                <w:bCs/>
                <w:szCs w:val="21"/>
              </w:rPr>
              <w:t>一班制，</w:t>
            </w:r>
            <w:r>
              <w:rPr>
                <w:rFonts w:hAnsi="宋体"/>
                <w:bCs/>
                <w:szCs w:val="21"/>
              </w:rPr>
              <w:t>每</w:t>
            </w:r>
            <w:r>
              <w:rPr>
                <w:rFonts w:hint="eastAsia" w:hAnsi="宋体"/>
                <w:bCs/>
                <w:szCs w:val="21"/>
              </w:rPr>
              <w:t>班</w:t>
            </w:r>
            <w:r>
              <w:rPr>
                <w:rFonts w:hAnsi="宋体"/>
                <w:bCs/>
                <w:szCs w:val="21"/>
              </w:rPr>
              <w:t>生产8小时，</w:t>
            </w:r>
            <w:r>
              <w:rPr>
                <w:rFonts w:hint="eastAsia" w:hAnsi="宋体"/>
                <w:bCs/>
                <w:szCs w:val="21"/>
              </w:rPr>
              <w:t>每年5~11月生产，年生产210天。</w:t>
            </w:r>
          </w:p>
          <w:p w14:paraId="6E24675B">
            <w:pPr>
              <w:adjustRightInd w:val="0"/>
              <w:snapToGrid w:val="0"/>
              <w:ind w:firstLine="420"/>
              <w:jc w:val="left"/>
              <w:rPr>
                <w:szCs w:val="21"/>
              </w:rPr>
            </w:pPr>
            <w:r>
              <w:rPr>
                <w:rFonts w:hAnsi="宋体"/>
                <w:szCs w:val="21"/>
              </w:rPr>
              <w:t>⑧总投资及环保投资：总投资</w:t>
            </w:r>
            <w:r>
              <w:rPr>
                <w:rFonts w:hint="eastAsia"/>
                <w:szCs w:val="21"/>
              </w:rPr>
              <w:t>35</w:t>
            </w:r>
            <w:r>
              <w:rPr>
                <w:rFonts w:hAnsi="宋体"/>
                <w:szCs w:val="21"/>
              </w:rPr>
              <w:t>万元，环保投资</w:t>
            </w:r>
            <w:r>
              <w:rPr>
                <w:rFonts w:hint="eastAsia"/>
                <w:szCs w:val="21"/>
              </w:rPr>
              <w:t>5</w:t>
            </w:r>
            <w:r>
              <w:rPr>
                <w:rFonts w:hAnsi="宋体"/>
                <w:szCs w:val="21"/>
              </w:rPr>
              <w:t>万元，占比</w:t>
            </w:r>
            <w:r>
              <w:rPr>
                <w:rFonts w:hint="eastAsia"/>
                <w:szCs w:val="21"/>
              </w:rPr>
              <w:t>14.3</w:t>
            </w:r>
            <w:r>
              <w:rPr>
                <w:szCs w:val="21"/>
              </w:rPr>
              <w:t>%</w:t>
            </w:r>
            <w:r>
              <w:rPr>
                <w:rFonts w:hAnsi="宋体"/>
                <w:szCs w:val="21"/>
              </w:rPr>
              <w:t>。</w:t>
            </w:r>
          </w:p>
          <w:p w14:paraId="1DA3BDD8">
            <w:pPr>
              <w:adjustRightInd w:val="0"/>
              <w:snapToGrid w:val="0"/>
              <w:ind w:firstLine="422"/>
              <w:jc w:val="left"/>
              <w:rPr>
                <w:szCs w:val="21"/>
              </w:rPr>
            </w:pPr>
            <w:r>
              <w:rPr>
                <w:rFonts w:hint="eastAsia"/>
                <w:b/>
                <w:szCs w:val="21"/>
              </w:rPr>
              <w:t>（2）改扩建项目组成</w:t>
            </w:r>
            <w:bookmarkStart w:id="39" w:name="_Hlk130216978"/>
          </w:p>
          <w:bookmarkEnd w:id="39"/>
          <w:p w14:paraId="4B9D9E40">
            <w:pPr>
              <w:adjustRightInd w:val="0"/>
              <w:snapToGrid w:val="0"/>
              <w:ind w:firstLine="420"/>
              <w:jc w:val="left"/>
              <w:rPr>
                <w:szCs w:val="21"/>
              </w:rPr>
            </w:pPr>
            <w:bookmarkStart w:id="40" w:name="OLE_LINK58"/>
            <w:bookmarkStart w:id="41" w:name="OLE_LINK57"/>
            <w:r>
              <w:rPr>
                <w:rFonts w:hint="eastAsia"/>
                <w:szCs w:val="21"/>
              </w:rPr>
              <w:t>改</w:t>
            </w:r>
            <w:bookmarkEnd w:id="40"/>
            <w:bookmarkEnd w:id="41"/>
            <w:r>
              <w:rPr>
                <w:rFonts w:hint="eastAsia"/>
                <w:bCs/>
                <w:szCs w:val="21"/>
              </w:rPr>
              <w:t>扩建</w:t>
            </w:r>
            <w:r>
              <w:rPr>
                <w:bCs/>
                <w:szCs w:val="21"/>
              </w:rPr>
              <w:t>项目</w:t>
            </w:r>
            <w:r>
              <w:rPr>
                <w:rFonts w:hint="eastAsia"/>
                <w:bCs/>
                <w:szCs w:val="21"/>
              </w:rPr>
              <w:t>组成情况如下：</w:t>
            </w:r>
          </w:p>
          <w:p w14:paraId="04EF8352">
            <w:pPr>
              <w:pStyle w:val="73"/>
            </w:pPr>
            <w:r>
              <w:rPr>
                <w:rFonts w:hint="eastAsia"/>
                <w:bCs w:val="0"/>
              </w:rPr>
              <w:t xml:space="preserve">表2-6 </w:t>
            </w:r>
            <w:bookmarkStart w:id="42" w:name="OLE_LINK61"/>
            <w:bookmarkStart w:id="43" w:name="OLE_LINK62"/>
            <w:r>
              <w:rPr>
                <w:rFonts w:hint="eastAsia"/>
              </w:rPr>
              <w:t>改</w:t>
            </w:r>
            <w:bookmarkEnd w:id="42"/>
            <w:bookmarkEnd w:id="43"/>
            <w:r>
              <w:rPr>
                <w:rFonts w:hint="eastAsia"/>
              </w:rPr>
              <w:t>扩建</w:t>
            </w:r>
            <w:r>
              <w:t>项目组成一览表</w:t>
            </w: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1"/>
              <w:gridCol w:w="1010"/>
              <w:gridCol w:w="5224"/>
              <w:gridCol w:w="1183"/>
            </w:tblGrid>
            <w:tr w14:paraId="6C796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073" w:type="pct"/>
                  <w:gridSpan w:val="2"/>
                  <w:vAlign w:val="center"/>
                </w:tcPr>
                <w:p w14:paraId="53ED1D8B">
                  <w:pPr>
                    <w:pStyle w:val="40"/>
                  </w:pPr>
                  <w:r>
                    <w:t>工程组成</w:t>
                  </w:r>
                </w:p>
              </w:tc>
              <w:tc>
                <w:tcPr>
                  <w:tcW w:w="3202" w:type="pct"/>
                  <w:vAlign w:val="center"/>
                </w:tcPr>
                <w:p w14:paraId="76EADEB9">
                  <w:pPr>
                    <w:pStyle w:val="40"/>
                  </w:pPr>
                  <w:r>
                    <w:t>工程内容</w:t>
                  </w:r>
                </w:p>
              </w:tc>
              <w:tc>
                <w:tcPr>
                  <w:tcW w:w="725" w:type="pct"/>
                  <w:vAlign w:val="center"/>
                </w:tcPr>
                <w:p w14:paraId="4B3E5561">
                  <w:pPr>
                    <w:pStyle w:val="40"/>
                  </w:pPr>
                  <w:r>
                    <w:rPr>
                      <w:rFonts w:hint="eastAsia"/>
                    </w:rPr>
                    <w:t>备注</w:t>
                  </w:r>
                </w:p>
              </w:tc>
            </w:tr>
            <w:tr w14:paraId="5A564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Align w:val="center"/>
                </w:tcPr>
                <w:p w14:paraId="4E24613F">
                  <w:pPr>
                    <w:pStyle w:val="40"/>
                  </w:pPr>
                  <w:r>
                    <w:t>主体工程</w:t>
                  </w:r>
                </w:p>
              </w:tc>
              <w:tc>
                <w:tcPr>
                  <w:tcW w:w="619" w:type="pct"/>
                  <w:vAlign w:val="center"/>
                </w:tcPr>
                <w:p w14:paraId="2D046378">
                  <w:pPr>
                    <w:pStyle w:val="40"/>
                  </w:pPr>
                  <w:r>
                    <w:rPr>
                      <w:rFonts w:hint="eastAsia"/>
                    </w:rPr>
                    <w:t>生产主厂房</w:t>
                  </w:r>
                </w:p>
              </w:tc>
              <w:tc>
                <w:tcPr>
                  <w:tcW w:w="3202" w:type="pct"/>
                  <w:vAlign w:val="center"/>
                </w:tcPr>
                <w:p w14:paraId="59B825D3">
                  <w:pPr>
                    <w:pStyle w:val="40"/>
                  </w:pPr>
                  <w:r>
                    <w:t>建筑面积</w:t>
                  </w:r>
                  <w:r>
                    <w:rPr>
                      <w:rFonts w:hint="eastAsia" w:hAnsi="宋体"/>
                      <w:bCs/>
                    </w:rPr>
                    <w:t>480</w:t>
                  </w:r>
                  <w:r>
                    <w:rPr>
                      <w:rFonts w:hAnsi="宋体"/>
                      <w:bCs/>
                    </w:rPr>
                    <w:t>m</w:t>
                  </w:r>
                  <w:r>
                    <w:rPr>
                      <w:rFonts w:hAnsi="宋体"/>
                      <w:bCs/>
                      <w:vertAlign w:val="superscript"/>
                    </w:rPr>
                    <w:t>2</w:t>
                  </w:r>
                  <w:r>
                    <w:rPr>
                      <w:rFonts w:hint="eastAsia" w:hAnsi="宋体"/>
                      <w:bCs/>
                    </w:rPr>
                    <w:t>，</w:t>
                  </w:r>
                  <w:r>
                    <w:rPr>
                      <w:rFonts w:hint="eastAsia"/>
                    </w:rPr>
                    <w:t>1条水果罐头生产线，</w:t>
                  </w:r>
                  <w:r>
                    <w:rPr>
                      <w:rFonts w:hint="eastAsia" w:ascii="宋体" w:hAnsi="宋体" w:cs="宋体"/>
                    </w:rPr>
                    <w:t>扩大生产线规模，</w:t>
                  </w:r>
                  <w:r>
                    <w:rPr>
                      <w:rFonts w:hint="eastAsia"/>
                    </w:rPr>
                    <w:t>年生产各类水果罐头40万瓶</w:t>
                  </w:r>
                </w:p>
              </w:tc>
              <w:tc>
                <w:tcPr>
                  <w:tcW w:w="725" w:type="pct"/>
                  <w:vAlign w:val="center"/>
                </w:tcPr>
                <w:p w14:paraId="61DBF30E">
                  <w:pPr>
                    <w:pStyle w:val="40"/>
                  </w:pPr>
                  <w:bookmarkStart w:id="44" w:name="OLE_LINK21"/>
                  <w:bookmarkStart w:id="45" w:name="OLE_LINK20"/>
                  <w:r>
                    <w:rPr>
                      <w:rFonts w:hint="eastAsia"/>
                    </w:rPr>
                    <w:t>厂房利用现有，设备新增</w:t>
                  </w:r>
                  <w:bookmarkEnd w:id="44"/>
                  <w:bookmarkEnd w:id="45"/>
                </w:p>
              </w:tc>
            </w:tr>
            <w:tr w14:paraId="1CA78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restart"/>
                  <w:vAlign w:val="center"/>
                </w:tcPr>
                <w:p w14:paraId="25F6967E">
                  <w:pPr>
                    <w:pStyle w:val="40"/>
                  </w:pPr>
                  <w:r>
                    <w:rPr>
                      <w:rFonts w:hint="eastAsia"/>
                    </w:rPr>
                    <w:t>辅助工程</w:t>
                  </w:r>
                </w:p>
              </w:tc>
              <w:tc>
                <w:tcPr>
                  <w:tcW w:w="619" w:type="pct"/>
                  <w:vAlign w:val="center"/>
                </w:tcPr>
                <w:p w14:paraId="2C511582">
                  <w:pPr>
                    <w:pStyle w:val="40"/>
                  </w:pPr>
                  <w:r>
                    <w:rPr>
                      <w:rFonts w:hint="eastAsia"/>
                    </w:rPr>
                    <w:t>锅炉房</w:t>
                  </w:r>
                </w:p>
              </w:tc>
              <w:tc>
                <w:tcPr>
                  <w:tcW w:w="3202" w:type="pct"/>
                  <w:vAlign w:val="center"/>
                </w:tcPr>
                <w:p w14:paraId="6BBF4B12">
                  <w:pPr>
                    <w:pStyle w:val="40"/>
                    <w:rPr>
                      <w:highlight w:val="yellow"/>
                    </w:rPr>
                  </w:pPr>
                  <w:r>
                    <w:rPr>
                      <w:rFonts w:hint="eastAsia"/>
                    </w:rPr>
                    <w:t>建筑面积为50m</w:t>
                  </w:r>
                  <w:r>
                    <w:rPr>
                      <w:rFonts w:hint="eastAsia"/>
                      <w:vertAlign w:val="superscript"/>
                    </w:rPr>
                    <w:t>2</w:t>
                  </w:r>
                  <w:r>
                    <w:rPr>
                      <w:rFonts w:hint="eastAsia"/>
                    </w:rPr>
                    <w:t>，拆除现有2t/h生物质锅炉，新上1台生物质锅炉为生产提供蒸汽，锅炉吨位为4</w:t>
                  </w:r>
                  <w:r>
                    <w:t>t/h</w:t>
                  </w:r>
                  <w:r>
                    <w:rPr>
                      <w:rFonts w:hint="eastAsia"/>
                    </w:rPr>
                    <w:t>，型号为DZL4-1.25-T，燃料为生物质成型颗粒，介质为热水；一套软化水制备装置（利用现有）</w:t>
                  </w:r>
                </w:p>
              </w:tc>
              <w:tc>
                <w:tcPr>
                  <w:tcW w:w="725" w:type="pct"/>
                  <w:vAlign w:val="center"/>
                </w:tcPr>
                <w:p w14:paraId="5843F2F1">
                  <w:pPr>
                    <w:pStyle w:val="40"/>
                  </w:pPr>
                  <w:r>
                    <w:rPr>
                      <w:rFonts w:hint="eastAsia"/>
                    </w:rPr>
                    <w:t>厂房利用现有，设备新增</w:t>
                  </w:r>
                </w:p>
              </w:tc>
            </w:tr>
            <w:tr w14:paraId="6A274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2A78D35F">
                  <w:pPr>
                    <w:pStyle w:val="40"/>
                  </w:pPr>
                </w:p>
              </w:tc>
              <w:tc>
                <w:tcPr>
                  <w:tcW w:w="619" w:type="pct"/>
                </w:tcPr>
                <w:p w14:paraId="034E1564">
                  <w:pPr>
                    <w:pStyle w:val="40"/>
                  </w:pPr>
                  <w:r>
                    <w:rPr>
                      <w:rFonts w:hint="eastAsia"/>
                    </w:rPr>
                    <w:t>办公管理用房</w:t>
                  </w:r>
                </w:p>
              </w:tc>
              <w:tc>
                <w:tcPr>
                  <w:tcW w:w="3202" w:type="pct"/>
                  <w:vAlign w:val="center"/>
                </w:tcPr>
                <w:p w14:paraId="17372503">
                  <w:pPr>
                    <w:pStyle w:val="40"/>
                  </w:pPr>
                  <w:r>
                    <w:rPr>
                      <w:rFonts w:hint="eastAsia"/>
                    </w:rPr>
                    <w:t>建筑面积995 m</w:t>
                  </w:r>
                  <w:r>
                    <w:rPr>
                      <w:rFonts w:hint="eastAsia"/>
                      <w:vertAlign w:val="superscript"/>
                    </w:rPr>
                    <w:t>2</w:t>
                  </w:r>
                  <w:r>
                    <w:rPr>
                      <w:rFonts w:hint="eastAsia"/>
                    </w:rPr>
                    <w:t>，用于办公</w:t>
                  </w:r>
                </w:p>
              </w:tc>
              <w:tc>
                <w:tcPr>
                  <w:tcW w:w="725" w:type="pct"/>
                  <w:vAlign w:val="center"/>
                </w:tcPr>
                <w:p w14:paraId="11986690">
                  <w:pPr>
                    <w:pStyle w:val="40"/>
                  </w:pPr>
                  <w:r>
                    <w:rPr>
                      <w:rFonts w:hint="eastAsia"/>
                    </w:rPr>
                    <w:t>依托现有</w:t>
                  </w:r>
                </w:p>
              </w:tc>
            </w:tr>
            <w:tr w14:paraId="5AE8D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032C9A0C">
                  <w:pPr>
                    <w:pStyle w:val="40"/>
                  </w:pPr>
                </w:p>
              </w:tc>
              <w:tc>
                <w:tcPr>
                  <w:tcW w:w="619" w:type="pct"/>
                  <w:vAlign w:val="center"/>
                </w:tcPr>
                <w:p w14:paraId="258AF1B6">
                  <w:pPr>
                    <w:pStyle w:val="40"/>
                  </w:pPr>
                  <w:r>
                    <w:rPr>
                      <w:rFonts w:hint="eastAsia"/>
                    </w:rPr>
                    <w:t>包材间</w:t>
                  </w:r>
                </w:p>
              </w:tc>
              <w:tc>
                <w:tcPr>
                  <w:tcW w:w="3202" w:type="pct"/>
                  <w:vAlign w:val="center"/>
                </w:tcPr>
                <w:p w14:paraId="1E1EEBA6">
                  <w:pPr>
                    <w:pStyle w:val="40"/>
                  </w:pPr>
                  <w:r>
                    <w:rPr>
                      <w:rFonts w:hint="eastAsia"/>
                    </w:rPr>
                    <w:t>建筑面积100 m</w:t>
                  </w:r>
                  <w:r>
                    <w:rPr>
                      <w:rFonts w:hint="eastAsia"/>
                      <w:vertAlign w:val="superscript"/>
                    </w:rPr>
                    <w:t>2</w:t>
                  </w:r>
                </w:p>
              </w:tc>
              <w:tc>
                <w:tcPr>
                  <w:tcW w:w="725" w:type="pct"/>
                </w:tcPr>
                <w:p w14:paraId="1A3E1B8F">
                  <w:pPr>
                    <w:pStyle w:val="40"/>
                  </w:pPr>
                  <w:r>
                    <w:rPr>
                      <w:rFonts w:hint="eastAsia"/>
                    </w:rPr>
                    <w:t>依托现有</w:t>
                  </w:r>
                </w:p>
              </w:tc>
            </w:tr>
            <w:tr w14:paraId="2FABD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0A69D210">
                  <w:pPr>
                    <w:pStyle w:val="40"/>
                  </w:pPr>
                </w:p>
              </w:tc>
              <w:tc>
                <w:tcPr>
                  <w:tcW w:w="619" w:type="pct"/>
                  <w:vAlign w:val="center"/>
                </w:tcPr>
                <w:p w14:paraId="442D3207">
                  <w:pPr>
                    <w:pStyle w:val="40"/>
                  </w:pPr>
                  <w:r>
                    <w:rPr>
                      <w:rFonts w:hint="eastAsia"/>
                    </w:rPr>
                    <w:t>化验室</w:t>
                  </w:r>
                </w:p>
              </w:tc>
              <w:tc>
                <w:tcPr>
                  <w:tcW w:w="3202" w:type="pct"/>
                  <w:vAlign w:val="center"/>
                </w:tcPr>
                <w:p w14:paraId="2C328652">
                  <w:pPr>
                    <w:pStyle w:val="40"/>
                  </w:pPr>
                  <w:r>
                    <w:rPr>
                      <w:rFonts w:hint="eastAsia"/>
                    </w:rPr>
                    <w:t>建筑面积20 m</w:t>
                  </w:r>
                  <w:r>
                    <w:rPr>
                      <w:rFonts w:hint="eastAsia"/>
                      <w:vertAlign w:val="superscript"/>
                    </w:rPr>
                    <w:t>2</w:t>
                  </w:r>
                  <w:r>
                    <w:rPr>
                      <w:rFonts w:hint="eastAsia"/>
                    </w:rPr>
                    <w:t>，用于检验产品</w:t>
                  </w:r>
                </w:p>
              </w:tc>
              <w:tc>
                <w:tcPr>
                  <w:tcW w:w="725" w:type="pct"/>
                </w:tcPr>
                <w:p w14:paraId="711037F8">
                  <w:pPr>
                    <w:pStyle w:val="40"/>
                  </w:pPr>
                  <w:r>
                    <w:rPr>
                      <w:rFonts w:hint="eastAsia"/>
                    </w:rPr>
                    <w:t>依托现有</w:t>
                  </w:r>
                </w:p>
              </w:tc>
            </w:tr>
            <w:tr w14:paraId="69FF1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5181B28E">
                  <w:pPr>
                    <w:pStyle w:val="40"/>
                  </w:pPr>
                </w:p>
              </w:tc>
              <w:tc>
                <w:tcPr>
                  <w:tcW w:w="619" w:type="pct"/>
                  <w:vAlign w:val="center"/>
                </w:tcPr>
                <w:p w14:paraId="640ABD58">
                  <w:pPr>
                    <w:pStyle w:val="40"/>
                  </w:pPr>
                  <w:r>
                    <w:rPr>
                      <w:rFonts w:hint="eastAsia"/>
                    </w:rPr>
                    <w:t>设备室</w:t>
                  </w:r>
                </w:p>
              </w:tc>
              <w:tc>
                <w:tcPr>
                  <w:tcW w:w="3202" w:type="pct"/>
                </w:tcPr>
                <w:p w14:paraId="2024931B">
                  <w:pPr>
                    <w:pStyle w:val="40"/>
                  </w:pPr>
                  <w:r>
                    <w:rPr>
                      <w:rFonts w:hint="eastAsia"/>
                    </w:rPr>
                    <w:t>建筑面积100 m</w:t>
                  </w:r>
                  <w:r>
                    <w:rPr>
                      <w:rFonts w:hint="eastAsia"/>
                      <w:vertAlign w:val="superscript"/>
                    </w:rPr>
                    <w:t>2</w:t>
                  </w:r>
                  <w:r>
                    <w:rPr>
                      <w:rFonts w:hint="eastAsia"/>
                    </w:rPr>
                    <w:t>，用于污水设备存放</w:t>
                  </w:r>
                </w:p>
              </w:tc>
              <w:tc>
                <w:tcPr>
                  <w:tcW w:w="725" w:type="pct"/>
                </w:tcPr>
                <w:p w14:paraId="52E48EB9">
                  <w:pPr>
                    <w:pStyle w:val="40"/>
                  </w:pPr>
                  <w:r>
                    <w:rPr>
                      <w:rFonts w:hint="eastAsia"/>
                    </w:rPr>
                    <w:t>依托现有</w:t>
                  </w:r>
                </w:p>
              </w:tc>
            </w:tr>
            <w:tr w14:paraId="76CA4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4AE3949A">
                  <w:pPr>
                    <w:pStyle w:val="40"/>
                  </w:pPr>
                </w:p>
              </w:tc>
              <w:tc>
                <w:tcPr>
                  <w:tcW w:w="619" w:type="pct"/>
                  <w:vAlign w:val="center"/>
                </w:tcPr>
                <w:p w14:paraId="11F967E1">
                  <w:pPr>
                    <w:pStyle w:val="40"/>
                  </w:pPr>
                  <w:r>
                    <w:rPr>
                      <w:rFonts w:hint="eastAsia"/>
                    </w:rPr>
                    <w:t>门卫</w:t>
                  </w:r>
                </w:p>
              </w:tc>
              <w:tc>
                <w:tcPr>
                  <w:tcW w:w="3202" w:type="pct"/>
                </w:tcPr>
                <w:p w14:paraId="434EF50E">
                  <w:pPr>
                    <w:pStyle w:val="40"/>
                  </w:pPr>
                  <w:r>
                    <w:rPr>
                      <w:rFonts w:hint="eastAsia"/>
                    </w:rPr>
                    <w:t>建筑面积100 m</w:t>
                  </w:r>
                  <w:r>
                    <w:rPr>
                      <w:rFonts w:hint="eastAsia"/>
                      <w:vertAlign w:val="superscript"/>
                    </w:rPr>
                    <w:t>2</w:t>
                  </w:r>
                </w:p>
              </w:tc>
              <w:tc>
                <w:tcPr>
                  <w:tcW w:w="725" w:type="pct"/>
                </w:tcPr>
                <w:p w14:paraId="118E1A69">
                  <w:pPr>
                    <w:pStyle w:val="40"/>
                  </w:pPr>
                  <w:r>
                    <w:rPr>
                      <w:rFonts w:hint="eastAsia"/>
                    </w:rPr>
                    <w:t>依托现有</w:t>
                  </w:r>
                </w:p>
              </w:tc>
            </w:tr>
            <w:tr w14:paraId="195D3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restart"/>
                  <w:vAlign w:val="center"/>
                </w:tcPr>
                <w:p w14:paraId="0655B9C4">
                  <w:pPr>
                    <w:pStyle w:val="40"/>
                  </w:pPr>
                  <w:r>
                    <w:rPr>
                      <w:rFonts w:hint="eastAsia"/>
                    </w:rPr>
                    <w:t>储运工程</w:t>
                  </w:r>
                </w:p>
              </w:tc>
              <w:tc>
                <w:tcPr>
                  <w:tcW w:w="619" w:type="pct"/>
                  <w:vAlign w:val="center"/>
                </w:tcPr>
                <w:p w14:paraId="3E687CE2">
                  <w:pPr>
                    <w:pStyle w:val="40"/>
                  </w:pPr>
                  <w:r>
                    <w:rPr>
                      <w:rFonts w:hint="eastAsia"/>
                    </w:rPr>
                    <w:t>罐头原料库</w:t>
                  </w:r>
                </w:p>
              </w:tc>
              <w:tc>
                <w:tcPr>
                  <w:tcW w:w="3202" w:type="pct"/>
                  <w:vAlign w:val="center"/>
                </w:tcPr>
                <w:p w14:paraId="41EB0913">
                  <w:pPr>
                    <w:pStyle w:val="40"/>
                  </w:pPr>
                  <w:r>
                    <w:rPr>
                      <w:rFonts w:hint="eastAsia"/>
                    </w:rPr>
                    <w:t>建筑面积100m</w:t>
                  </w:r>
                  <w:r>
                    <w:rPr>
                      <w:rFonts w:hint="eastAsia"/>
                      <w:vertAlign w:val="superscript"/>
                    </w:rPr>
                    <w:t>2</w:t>
                  </w:r>
                  <w:r>
                    <w:rPr>
                      <w:rFonts w:hint="eastAsia"/>
                    </w:rPr>
                    <w:t>，用于罐头原料储存</w:t>
                  </w:r>
                </w:p>
              </w:tc>
              <w:tc>
                <w:tcPr>
                  <w:tcW w:w="725" w:type="pct"/>
                  <w:vAlign w:val="center"/>
                </w:tcPr>
                <w:p w14:paraId="25648417">
                  <w:pPr>
                    <w:pStyle w:val="40"/>
                  </w:pPr>
                  <w:r>
                    <w:rPr>
                      <w:rFonts w:hint="eastAsia"/>
                    </w:rPr>
                    <w:t>依托现有</w:t>
                  </w:r>
                </w:p>
              </w:tc>
            </w:tr>
            <w:tr w14:paraId="12C21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0F4D2D71">
                  <w:pPr>
                    <w:pStyle w:val="40"/>
                  </w:pPr>
                </w:p>
              </w:tc>
              <w:tc>
                <w:tcPr>
                  <w:tcW w:w="619" w:type="pct"/>
                  <w:vAlign w:val="center"/>
                </w:tcPr>
                <w:p w14:paraId="0BE6CE14">
                  <w:pPr>
                    <w:pStyle w:val="40"/>
                  </w:pPr>
                  <w:r>
                    <w:rPr>
                      <w:rFonts w:hint="eastAsia"/>
                    </w:rPr>
                    <w:t>成品库</w:t>
                  </w:r>
                </w:p>
              </w:tc>
              <w:tc>
                <w:tcPr>
                  <w:tcW w:w="3202" w:type="pct"/>
                  <w:vAlign w:val="center"/>
                </w:tcPr>
                <w:p w14:paraId="0C038495">
                  <w:pPr>
                    <w:pStyle w:val="40"/>
                  </w:pPr>
                  <w:r>
                    <w:rPr>
                      <w:rFonts w:hint="eastAsia"/>
                    </w:rPr>
                    <w:t>建筑面积100m</w:t>
                  </w:r>
                  <w:r>
                    <w:rPr>
                      <w:rFonts w:hint="eastAsia"/>
                      <w:vertAlign w:val="superscript"/>
                    </w:rPr>
                    <w:t>2</w:t>
                  </w:r>
                  <w:r>
                    <w:rPr>
                      <w:rFonts w:hint="eastAsia"/>
                    </w:rPr>
                    <w:t>，用于成品储存</w:t>
                  </w:r>
                </w:p>
              </w:tc>
              <w:tc>
                <w:tcPr>
                  <w:tcW w:w="725" w:type="pct"/>
                  <w:vAlign w:val="center"/>
                </w:tcPr>
                <w:p w14:paraId="439A277F">
                  <w:pPr>
                    <w:pStyle w:val="40"/>
                  </w:pPr>
                  <w:r>
                    <w:rPr>
                      <w:rFonts w:hint="eastAsia"/>
                    </w:rPr>
                    <w:t>依托现有</w:t>
                  </w:r>
                </w:p>
              </w:tc>
            </w:tr>
            <w:tr w14:paraId="5AB5C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7B208B3C">
                  <w:pPr>
                    <w:pStyle w:val="40"/>
                  </w:pPr>
                </w:p>
              </w:tc>
              <w:tc>
                <w:tcPr>
                  <w:tcW w:w="619" w:type="pct"/>
                  <w:vAlign w:val="center"/>
                </w:tcPr>
                <w:p w14:paraId="264786CE">
                  <w:pPr>
                    <w:pStyle w:val="40"/>
                  </w:pPr>
                  <w:r>
                    <w:rPr>
                      <w:rFonts w:hint="eastAsia"/>
                    </w:rPr>
                    <w:t>瓶库</w:t>
                  </w:r>
                </w:p>
              </w:tc>
              <w:tc>
                <w:tcPr>
                  <w:tcW w:w="3202" w:type="pct"/>
                  <w:vAlign w:val="center"/>
                </w:tcPr>
                <w:p w14:paraId="4D5B00F1">
                  <w:pPr>
                    <w:pStyle w:val="40"/>
                  </w:pPr>
                  <w:r>
                    <w:rPr>
                      <w:rFonts w:hint="eastAsia"/>
                    </w:rPr>
                    <w:t>建筑面积10m</w:t>
                  </w:r>
                  <w:r>
                    <w:rPr>
                      <w:rFonts w:hint="eastAsia"/>
                      <w:vertAlign w:val="superscript"/>
                    </w:rPr>
                    <w:t>2</w:t>
                  </w:r>
                  <w:r>
                    <w:rPr>
                      <w:rFonts w:hint="eastAsia"/>
                    </w:rPr>
                    <w:t>，存放瓶等。</w:t>
                  </w:r>
                </w:p>
              </w:tc>
              <w:tc>
                <w:tcPr>
                  <w:tcW w:w="725" w:type="pct"/>
                  <w:vAlign w:val="center"/>
                </w:tcPr>
                <w:p w14:paraId="344E175C">
                  <w:pPr>
                    <w:pStyle w:val="40"/>
                  </w:pPr>
                  <w:r>
                    <w:rPr>
                      <w:rFonts w:hint="eastAsia"/>
                    </w:rPr>
                    <w:t>依托现有</w:t>
                  </w:r>
                </w:p>
              </w:tc>
            </w:tr>
            <w:tr w14:paraId="446DB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7CFF8AF7">
                  <w:pPr>
                    <w:pStyle w:val="40"/>
                  </w:pPr>
                </w:p>
              </w:tc>
              <w:tc>
                <w:tcPr>
                  <w:tcW w:w="619" w:type="pct"/>
                  <w:vAlign w:val="center"/>
                </w:tcPr>
                <w:p w14:paraId="322F41E2">
                  <w:pPr>
                    <w:pStyle w:val="40"/>
                  </w:pPr>
                  <w:r>
                    <w:rPr>
                      <w:rFonts w:hint="eastAsia"/>
                    </w:rPr>
                    <w:t>生物质燃料库</w:t>
                  </w:r>
                </w:p>
              </w:tc>
              <w:tc>
                <w:tcPr>
                  <w:tcW w:w="3202" w:type="pct"/>
                  <w:vAlign w:val="center"/>
                </w:tcPr>
                <w:p w14:paraId="6BD3F125">
                  <w:pPr>
                    <w:pStyle w:val="40"/>
                  </w:pPr>
                  <w:r>
                    <w:rPr>
                      <w:rFonts w:hint="eastAsia"/>
                    </w:rPr>
                    <w:t>建筑面积10m</w:t>
                  </w:r>
                  <w:r>
                    <w:rPr>
                      <w:rFonts w:hint="eastAsia"/>
                      <w:vertAlign w:val="superscript"/>
                    </w:rPr>
                    <w:t>2</w:t>
                  </w:r>
                  <w:r>
                    <w:rPr>
                      <w:rFonts w:hint="eastAsia"/>
                    </w:rPr>
                    <w:t>，用于存放生物质成型燃料</w:t>
                  </w:r>
                </w:p>
              </w:tc>
              <w:tc>
                <w:tcPr>
                  <w:tcW w:w="725" w:type="pct"/>
                  <w:vAlign w:val="center"/>
                </w:tcPr>
                <w:p w14:paraId="3BA743F9">
                  <w:pPr>
                    <w:pStyle w:val="40"/>
                  </w:pPr>
                  <w:r>
                    <w:rPr>
                      <w:rFonts w:hint="eastAsia"/>
                    </w:rPr>
                    <w:t>依托现有</w:t>
                  </w:r>
                </w:p>
              </w:tc>
            </w:tr>
            <w:tr w14:paraId="4655E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restart"/>
                  <w:vAlign w:val="center"/>
                </w:tcPr>
                <w:p w14:paraId="73D746B5">
                  <w:pPr>
                    <w:pStyle w:val="40"/>
                  </w:pPr>
                  <w:r>
                    <w:t>公用工程</w:t>
                  </w:r>
                </w:p>
              </w:tc>
              <w:tc>
                <w:tcPr>
                  <w:tcW w:w="619" w:type="pct"/>
                  <w:vAlign w:val="center"/>
                </w:tcPr>
                <w:p w14:paraId="01A14431">
                  <w:pPr>
                    <w:pStyle w:val="40"/>
                  </w:pPr>
                  <w:r>
                    <w:t>供水工程</w:t>
                  </w:r>
                </w:p>
              </w:tc>
              <w:tc>
                <w:tcPr>
                  <w:tcW w:w="3202" w:type="pct"/>
                  <w:vAlign w:val="center"/>
                </w:tcPr>
                <w:p w14:paraId="74485500">
                  <w:pPr>
                    <w:pStyle w:val="40"/>
                  </w:pPr>
                  <w:r>
                    <w:rPr>
                      <w:rFonts w:hint="eastAsia"/>
                    </w:rPr>
                    <w:t>用水外购</w:t>
                  </w:r>
                </w:p>
              </w:tc>
              <w:tc>
                <w:tcPr>
                  <w:tcW w:w="725" w:type="pct"/>
                  <w:vAlign w:val="center"/>
                </w:tcPr>
                <w:p w14:paraId="4BDF91CC">
                  <w:pPr>
                    <w:pStyle w:val="40"/>
                  </w:pPr>
                  <w:r>
                    <w:rPr>
                      <w:rFonts w:hint="eastAsia"/>
                    </w:rPr>
                    <w:t>/</w:t>
                  </w:r>
                </w:p>
              </w:tc>
            </w:tr>
            <w:tr w14:paraId="759C3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 w:hRule="atLeast"/>
                <w:jc w:val="center"/>
              </w:trPr>
              <w:tc>
                <w:tcPr>
                  <w:tcW w:w="454" w:type="pct"/>
                  <w:vMerge w:val="continue"/>
                  <w:vAlign w:val="center"/>
                </w:tcPr>
                <w:p w14:paraId="76E6D6A7">
                  <w:pPr>
                    <w:pStyle w:val="40"/>
                  </w:pPr>
                </w:p>
              </w:tc>
              <w:tc>
                <w:tcPr>
                  <w:tcW w:w="619" w:type="pct"/>
                  <w:vAlign w:val="center"/>
                </w:tcPr>
                <w:p w14:paraId="1304282C">
                  <w:pPr>
                    <w:pStyle w:val="40"/>
                  </w:pPr>
                  <w:r>
                    <w:rPr>
                      <w:rFonts w:hint="eastAsia"/>
                    </w:rPr>
                    <w:t>排水工程</w:t>
                  </w:r>
                </w:p>
              </w:tc>
              <w:tc>
                <w:tcPr>
                  <w:tcW w:w="3202" w:type="pct"/>
                  <w:vAlign w:val="center"/>
                </w:tcPr>
                <w:p w14:paraId="7598EF49">
                  <w:pPr>
                    <w:pStyle w:val="40"/>
                  </w:pPr>
                  <w:r>
                    <w:rPr>
                      <w:rFonts w:hint="eastAsia"/>
                    </w:rPr>
                    <w:t>生产废水进入污水处理站，污水处理站采用“厌氧塔+气浮+地埋式一体化污水处理装置（AC厌氧+二级接触氧化+沉淀）+过滤”处理工艺，处理能力200t/d，处理达标后运至秦皇岛市抚宁区中冶水务有限公司；</w:t>
                  </w:r>
                </w:p>
                <w:p w14:paraId="025B6B10">
                  <w:pPr>
                    <w:pStyle w:val="40"/>
                  </w:pPr>
                  <w:r>
                    <w:t>锅炉排污水及软化处理废水</w:t>
                  </w:r>
                  <w:r>
                    <w:rPr>
                      <w:rFonts w:hint="eastAsia"/>
                    </w:rPr>
                    <w:t>厂区洒水抑尘</w:t>
                  </w:r>
                </w:p>
              </w:tc>
              <w:tc>
                <w:tcPr>
                  <w:tcW w:w="725" w:type="pct"/>
                  <w:vAlign w:val="center"/>
                </w:tcPr>
                <w:p w14:paraId="588D3EFD">
                  <w:pPr>
                    <w:pStyle w:val="108"/>
                  </w:pPr>
                  <w:r>
                    <w:rPr>
                      <w:rFonts w:hint="eastAsia"/>
                    </w:rPr>
                    <w:t>/</w:t>
                  </w:r>
                </w:p>
              </w:tc>
            </w:tr>
            <w:tr w14:paraId="2901B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5F6CCA36">
                  <w:pPr>
                    <w:pStyle w:val="40"/>
                  </w:pPr>
                </w:p>
              </w:tc>
              <w:tc>
                <w:tcPr>
                  <w:tcW w:w="619" w:type="pct"/>
                  <w:vAlign w:val="center"/>
                </w:tcPr>
                <w:p w14:paraId="2465FD7F">
                  <w:pPr>
                    <w:pStyle w:val="40"/>
                  </w:pPr>
                  <w:r>
                    <w:t>供电工程</w:t>
                  </w:r>
                </w:p>
              </w:tc>
              <w:tc>
                <w:tcPr>
                  <w:tcW w:w="3202" w:type="pct"/>
                  <w:vAlign w:val="center"/>
                </w:tcPr>
                <w:p w14:paraId="1B2EEE63">
                  <w:pPr>
                    <w:pStyle w:val="40"/>
                  </w:pPr>
                  <w:r>
                    <w:rPr>
                      <w:rFonts w:hint="eastAsia"/>
                    </w:rPr>
                    <w:t>由抚宁区</w:t>
                  </w:r>
                  <w:r>
                    <w:t>供电管网供</w:t>
                  </w:r>
                  <w:r>
                    <w:rPr>
                      <w:rFonts w:hint="eastAsia"/>
                    </w:rPr>
                    <w:t>电</w:t>
                  </w:r>
                </w:p>
              </w:tc>
              <w:tc>
                <w:tcPr>
                  <w:tcW w:w="725" w:type="pct"/>
                  <w:vAlign w:val="center"/>
                </w:tcPr>
                <w:p w14:paraId="7ED266F2">
                  <w:pPr>
                    <w:pStyle w:val="40"/>
                  </w:pPr>
                  <w:r>
                    <w:rPr>
                      <w:rFonts w:hint="eastAsia"/>
                    </w:rPr>
                    <w:t>/</w:t>
                  </w:r>
                </w:p>
              </w:tc>
            </w:tr>
            <w:tr w14:paraId="41AA8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40993809">
                  <w:pPr>
                    <w:pStyle w:val="40"/>
                  </w:pPr>
                </w:p>
              </w:tc>
              <w:tc>
                <w:tcPr>
                  <w:tcW w:w="619" w:type="pct"/>
                  <w:vAlign w:val="center"/>
                </w:tcPr>
                <w:p w14:paraId="70383B89">
                  <w:pPr>
                    <w:pStyle w:val="40"/>
                  </w:pPr>
                  <w:r>
                    <w:t>供暖工程</w:t>
                  </w:r>
                </w:p>
              </w:tc>
              <w:tc>
                <w:tcPr>
                  <w:tcW w:w="3202" w:type="pct"/>
                  <w:vAlign w:val="center"/>
                </w:tcPr>
                <w:p w14:paraId="21D66F92">
                  <w:pPr>
                    <w:pStyle w:val="40"/>
                  </w:pPr>
                  <w:r>
                    <w:rPr>
                      <w:rFonts w:hint="eastAsia"/>
                    </w:rPr>
                    <w:t>办公室取暖使用空调、车间冬季不生产无需供暖，生产供热由生物质锅炉提供</w:t>
                  </w:r>
                </w:p>
              </w:tc>
              <w:tc>
                <w:tcPr>
                  <w:tcW w:w="725" w:type="pct"/>
                  <w:vAlign w:val="center"/>
                </w:tcPr>
                <w:p w14:paraId="2D5DCBD7">
                  <w:pPr>
                    <w:pStyle w:val="40"/>
                  </w:pPr>
                  <w:r>
                    <w:rPr>
                      <w:rFonts w:hint="eastAsia"/>
                    </w:rPr>
                    <w:t>/</w:t>
                  </w:r>
                </w:p>
              </w:tc>
            </w:tr>
            <w:tr w14:paraId="24630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454" w:type="pct"/>
                  <w:vMerge w:val="restart"/>
                  <w:vAlign w:val="center"/>
                </w:tcPr>
                <w:p w14:paraId="66868E42">
                  <w:pPr>
                    <w:pStyle w:val="40"/>
                  </w:pPr>
                  <w:r>
                    <w:t>环保工程</w:t>
                  </w:r>
                </w:p>
              </w:tc>
              <w:tc>
                <w:tcPr>
                  <w:tcW w:w="619" w:type="pct"/>
                  <w:vMerge w:val="restart"/>
                  <w:vAlign w:val="center"/>
                </w:tcPr>
                <w:p w14:paraId="102F36DF">
                  <w:pPr>
                    <w:pStyle w:val="40"/>
                  </w:pPr>
                  <w:r>
                    <w:t>废气</w:t>
                  </w:r>
                </w:p>
              </w:tc>
              <w:tc>
                <w:tcPr>
                  <w:tcW w:w="3202" w:type="pct"/>
                  <w:vAlign w:val="center"/>
                </w:tcPr>
                <w:p w14:paraId="7FBC4A58">
                  <w:pPr>
                    <w:pStyle w:val="40"/>
                  </w:pPr>
                  <w:r>
                    <w:rPr>
                      <w:rFonts w:hint="eastAsia"/>
                    </w:rPr>
                    <w:t>锅炉烟气经1套旋风除尘+布袋除尘器+湿式玻璃钢脱硝（SNCR）处理后经1根35m高排气筒排放</w:t>
                  </w:r>
                </w:p>
              </w:tc>
              <w:tc>
                <w:tcPr>
                  <w:tcW w:w="725" w:type="pct"/>
                  <w:vAlign w:val="center"/>
                </w:tcPr>
                <w:p w14:paraId="73A06BD6">
                  <w:pPr>
                    <w:pStyle w:val="40"/>
                  </w:pPr>
                  <w:r>
                    <w:rPr>
                      <w:rFonts w:hint="eastAsia"/>
                    </w:rPr>
                    <w:t>/</w:t>
                  </w:r>
                </w:p>
              </w:tc>
            </w:tr>
            <w:tr w14:paraId="525AA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454" w:type="pct"/>
                  <w:vMerge w:val="continue"/>
                  <w:vAlign w:val="center"/>
                </w:tcPr>
                <w:p w14:paraId="277E51CA">
                  <w:pPr>
                    <w:pStyle w:val="40"/>
                  </w:pPr>
                </w:p>
              </w:tc>
              <w:tc>
                <w:tcPr>
                  <w:tcW w:w="619" w:type="pct"/>
                  <w:vMerge w:val="continue"/>
                  <w:vAlign w:val="center"/>
                </w:tcPr>
                <w:p w14:paraId="0B0E84D5">
                  <w:pPr>
                    <w:pStyle w:val="40"/>
                  </w:pPr>
                </w:p>
              </w:tc>
              <w:tc>
                <w:tcPr>
                  <w:tcW w:w="3202" w:type="pct"/>
                  <w:vAlign w:val="center"/>
                </w:tcPr>
                <w:p w14:paraId="6E04E8A0">
                  <w:pPr>
                    <w:pStyle w:val="40"/>
                  </w:pPr>
                  <w:r>
                    <w:rPr>
                      <w:rFonts w:hint="eastAsia"/>
                    </w:rPr>
                    <w:t>调节池、污泥池加盖密闭，一体化污水处理装置位于地下，气浮机、压滤机位于设备间内，调节池、污泥池、一体化污水处理装置、设备间产生的臭气经管道收集后通过1套活性炭除臭装置处理后经1根15m高排气筒排放</w:t>
                  </w:r>
                </w:p>
              </w:tc>
              <w:tc>
                <w:tcPr>
                  <w:tcW w:w="725" w:type="pct"/>
                  <w:vAlign w:val="center"/>
                </w:tcPr>
                <w:p w14:paraId="4B2725A7">
                  <w:pPr>
                    <w:pStyle w:val="40"/>
                  </w:pPr>
                  <w:r>
                    <w:rPr>
                      <w:rFonts w:hint="eastAsia"/>
                    </w:rPr>
                    <w:t>/</w:t>
                  </w:r>
                </w:p>
              </w:tc>
            </w:tr>
            <w:tr w14:paraId="30232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454" w:type="pct"/>
                  <w:vMerge w:val="continue"/>
                  <w:vAlign w:val="center"/>
                </w:tcPr>
                <w:p w14:paraId="4BA1A75A">
                  <w:pPr>
                    <w:pStyle w:val="40"/>
                  </w:pPr>
                </w:p>
              </w:tc>
              <w:tc>
                <w:tcPr>
                  <w:tcW w:w="619" w:type="pct"/>
                  <w:vMerge w:val="continue"/>
                  <w:vAlign w:val="center"/>
                </w:tcPr>
                <w:p w14:paraId="38140899">
                  <w:pPr>
                    <w:pStyle w:val="40"/>
                  </w:pPr>
                </w:p>
              </w:tc>
              <w:tc>
                <w:tcPr>
                  <w:tcW w:w="3202" w:type="pct"/>
                  <w:vAlign w:val="center"/>
                </w:tcPr>
                <w:p w14:paraId="646F4F38">
                  <w:pPr>
                    <w:pStyle w:val="40"/>
                  </w:pPr>
                  <w:r>
                    <w:rPr>
                      <w:rFonts w:hint="eastAsia"/>
                    </w:rPr>
                    <w:t>生物质燃料</w:t>
                  </w:r>
                  <w:r>
                    <w:rPr>
                      <w:rFonts w:hint="eastAsia"/>
                      <w:kern w:val="2"/>
                    </w:rPr>
                    <w:t>装卸、贮存、输送阶段采取密闭措施</w:t>
                  </w:r>
                </w:p>
              </w:tc>
              <w:tc>
                <w:tcPr>
                  <w:tcW w:w="725" w:type="pct"/>
                  <w:vAlign w:val="center"/>
                </w:tcPr>
                <w:p w14:paraId="49E43FD9">
                  <w:pPr>
                    <w:pStyle w:val="40"/>
                  </w:pPr>
                  <w:r>
                    <w:rPr>
                      <w:rFonts w:hint="eastAsia"/>
                    </w:rPr>
                    <w:t>/</w:t>
                  </w:r>
                </w:p>
              </w:tc>
            </w:tr>
            <w:tr w14:paraId="23BC8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454" w:type="pct"/>
                  <w:vMerge w:val="continue"/>
                  <w:vAlign w:val="center"/>
                </w:tcPr>
                <w:p w14:paraId="1C34FF15">
                  <w:pPr>
                    <w:pStyle w:val="40"/>
                  </w:pPr>
                </w:p>
              </w:tc>
              <w:tc>
                <w:tcPr>
                  <w:tcW w:w="619" w:type="pct"/>
                  <w:vMerge w:val="restart"/>
                  <w:vAlign w:val="center"/>
                </w:tcPr>
                <w:p w14:paraId="6791C6C9">
                  <w:pPr>
                    <w:pStyle w:val="40"/>
                  </w:pPr>
                  <w:r>
                    <w:t>废水</w:t>
                  </w:r>
                </w:p>
              </w:tc>
              <w:tc>
                <w:tcPr>
                  <w:tcW w:w="3202" w:type="pct"/>
                  <w:vAlign w:val="center"/>
                </w:tcPr>
                <w:p w14:paraId="6E1157F3">
                  <w:pPr>
                    <w:pStyle w:val="40"/>
                  </w:pPr>
                  <w:r>
                    <w:t>锅炉排污水及软化处理废水</w:t>
                  </w:r>
                  <w:r>
                    <w:rPr>
                      <w:rFonts w:hint="eastAsia"/>
                    </w:rPr>
                    <w:t>厂区洒水抑尘</w:t>
                  </w:r>
                </w:p>
              </w:tc>
              <w:tc>
                <w:tcPr>
                  <w:tcW w:w="725" w:type="pct"/>
                  <w:vAlign w:val="center"/>
                </w:tcPr>
                <w:p w14:paraId="7598C109">
                  <w:pPr>
                    <w:pStyle w:val="40"/>
                  </w:pPr>
                  <w:r>
                    <w:rPr>
                      <w:rFonts w:hint="eastAsia"/>
                    </w:rPr>
                    <w:t>/</w:t>
                  </w:r>
                </w:p>
              </w:tc>
            </w:tr>
            <w:tr w14:paraId="710D0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454" w:type="pct"/>
                  <w:vMerge w:val="continue"/>
                  <w:vAlign w:val="center"/>
                </w:tcPr>
                <w:p w14:paraId="3DF2EF64">
                  <w:pPr>
                    <w:pStyle w:val="40"/>
                  </w:pPr>
                </w:p>
              </w:tc>
              <w:tc>
                <w:tcPr>
                  <w:tcW w:w="619" w:type="pct"/>
                  <w:vMerge w:val="continue"/>
                  <w:vAlign w:val="center"/>
                </w:tcPr>
                <w:p w14:paraId="5606FC4B">
                  <w:pPr>
                    <w:pStyle w:val="40"/>
                  </w:pPr>
                </w:p>
              </w:tc>
              <w:tc>
                <w:tcPr>
                  <w:tcW w:w="3202" w:type="pct"/>
                  <w:vAlign w:val="center"/>
                </w:tcPr>
                <w:p w14:paraId="78BC74A1">
                  <w:pPr>
                    <w:pStyle w:val="40"/>
                  </w:pPr>
                  <w:r>
                    <w:rPr>
                      <w:rFonts w:hint="eastAsia"/>
                    </w:rPr>
                    <w:t>生产废水进入污水处理站，污水处理站采用“厌氧塔+气浮+地埋式一体化污水处理装置（AC厌氧+二级接触氧化+沉淀）+过滤”处理工艺，处理能力200t/d，处理达标后运至秦皇岛市抚宁区中冶水务有限公司</w:t>
                  </w:r>
                </w:p>
              </w:tc>
              <w:tc>
                <w:tcPr>
                  <w:tcW w:w="725" w:type="pct"/>
                  <w:vAlign w:val="center"/>
                </w:tcPr>
                <w:p w14:paraId="6E02A2F3">
                  <w:pPr>
                    <w:pStyle w:val="40"/>
                  </w:pPr>
                  <w:r>
                    <w:rPr>
                      <w:rFonts w:hint="eastAsia"/>
                    </w:rPr>
                    <w:t>/</w:t>
                  </w:r>
                </w:p>
              </w:tc>
            </w:tr>
            <w:tr w14:paraId="02F8C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jc w:val="center"/>
              </w:trPr>
              <w:tc>
                <w:tcPr>
                  <w:tcW w:w="454" w:type="pct"/>
                  <w:vMerge w:val="continue"/>
                  <w:vAlign w:val="center"/>
                </w:tcPr>
                <w:p w14:paraId="1CFBACCB">
                  <w:pPr>
                    <w:pStyle w:val="40"/>
                  </w:pPr>
                </w:p>
              </w:tc>
              <w:tc>
                <w:tcPr>
                  <w:tcW w:w="619" w:type="pct"/>
                  <w:vAlign w:val="center"/>
                </w:tcPr>
                <w:p w14:paraId="1532595A">
                  <w:pPr>
                    <w:pStyle w:val="40"/>
                  </w:pPr>
                  <w:r>
                    <w:t>噪声</w:t>
                  </w:r>
                </w:p>
              </w:tc>
              <w:tc>
                <w:tcPr>
                  <w:tcW w:w="3202" w:type="pct"/>
                  <w:vAlign w:val="center"/>
                </w:tcPr>
                <w:p w14:paraId="597D3B71">
                  <w:pPr>
                    <w:pStyle w:val="40"/>
                  </w:pPr>
                  <w:r>
                    <w:rPr>
                      <w:rFonts w:hint="eastAsia"/>
                    </w:rPr>
                    <w:t>选用低噪声设备，采取设备减振，建筑隔声等</w:t>
                  </w:r>
                </w:p>
                <w:p w14:paraId="0B3C352A">
                  <w:pPr>
                    <w:pStyle w:val="40"/>
                  </w:pPr>
                  <w:r>
                    <w:rPr>
                      <w:rFonts w:hint="eastAsia"/>
                    </w:rPr>
                    <w:t>措施</w:t>
                  </w:r>
                </w:p>
              </w:tc>
              <w:tc>
                <w:tcPr>
                  <w:tcW w:w="725" w:type="pct"/>
                  <w:vAlign w:val="center"/>
                </w:tcPr>
                <w:p w14:paraId="6F5F414A">
                  <w:pPr>
                    <w:pStyle w:val="40"/>
                  </w:pPr>
                  <w:r>
                    <w:rPr>
                      <w:rFonts w:hint="eastAsia"/>
                    </w:rPr>
                    <w:t>/</w:t>
                  </w:r>
                </w:p>
              </w:tc>
            </w:tr>
            <w:tr w14:paraId="5303D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454" w:type="pct"/>
                  <w:vMerge w:val="continue"/>
                  <w:vAlign w:val="center"/>
                </w:tcPr>
                <w:p w14:paraId="2D9D3157">
                  <w:pPr>
                    <w:pStyle w:val="40"/>
                  </w:pPr>
                </w:p>
              </w:tc>
              <w:tc>
                <w:tcPr>
                  <w:tcW w:w="619" w:type="pct"/>
                  <w:vMerge w:val="restart"/>
                  <w:vAlign w:val="center"/>
                </w:tcPr>
                <w:p w14:paraId="7CF65622">
                  <w:pPr>
                    <w:pStyle w:val="40"/>
                  </w:pPr>
                  <w:r>
                    <w:t>固体废物</w:t>
                  </w:r>
                </w:p>
              </w:tc>
              <w:tc>
                <w:tcPr>
                  <w:tcW w:w="3202" w:type="pct"/>
                  <w:vAlign w:val="center"/>
                </w:tcPr>
                <w:p w14:paraId="40E85046">
                  <w:pPr>
                    <w:pStyle w:val="40"/>
                  </w:pPr>
                  <w:r>
                    <w:rPr>
                      <w:rFonts w:hint="eastAsia"/>
                    </w:rPr>
                    <w:t>不合格水果、果皮、果核、软烂果块、不合格品外售农民综合利用</w:t>
                  </w:r>
                </w:p>
              </w:tc>
              <w:tc>
                <w:tcPr>
                  <w:tcW w:w="725" w:type="pct"/>
                  <w:vAlign w:val="center"/>
                </w:tcPr>
                <w:p w14:paraId="2BAEC030">
                  <w:pPr>
                    <w:pStyle w:val="40"/>
                  </w:pPr>
                </w:p>
              </w:tc>
            </w:tr>
            <w:tr w14:paraId="0DC3D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454" w:type="pct"/>
                  <w:vMerge w:val="continue"/>
                  <w:vAlign w:val="center"/>
                </w:tcPr>
                <w:p w14:paraId="24074BBF">
                  <w:pPr>
                    <w:pStyle w:val="40"/>
                  </w:pPr>
                </w:p>
              </w:tc>
              <w:tc>
                <w:tcPr>
                  <w:tcW w:w="619" w:type="pct"/>
                  <w:vMerge w:val="continue"/>
                  <w:vAlign w:val="center"/>
                </w:tcPr>
                <w:p w14:paraId="65FA14B9">
                  <w:pPr>
                    <w:pStyle w:val="40"/>
                  </w:pPr>
                </w:p>
              </w:tc>
              <w:tc>
                <w:tcPr>
                  <w:tcW w:w="3202" w:type="pct"/>
                  <w:vAlign w:val="center"/>
                </w:tcPr>
                <w:p w14:paraId="67B32C3A">
                  <w:pPr>
                    <w:pStyle w:val="40"/>
                  </w:pPr>
                  <w:r>
                    <w:t>布袋收尘灰、锅炉灰渣统一收集外售</w:t>
                  </w:r>
                  <w:r>
                    <w:rPr>
                      <w:rFonts w:hint="eastAsia"/>
                    </w:rPr>
                    <w:t>做建材</w:t>
                  </w:r>
                </w:p>
              </w:tc>
              <w:tc>
                <w:tcPr>
                  <w:tcW w:w="725" w:type="pct"/>
                  <w:vAlign w:val="center"/>
                </w:tcPr>
                <w:p w14:paraId="761694D4">
                  <w:pPr>
                    <w:pStyle w:val="40"/>
                  </w:pPr>
                </w:p>
              </w:tc>
            </w:tr>
            <w:tr w14:paraId="1E9EA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454" w:type="pct"/>
                  <w:vMerge w:val="continue"/>
                  <w:vAlign w:val="center"/>
                </w:tcPr>
                <w:p w14:paraId="7612A52C">
                  <w:pPr>
                    <w:pStyle w:val="40"/>
                  </w:pPr>
                </w:p>
              </w:tc>
              <w:tc>
                <w:tcPr>
                  <w:tcW w:w="619" w:type="pct"/>
                  <w:vMerge w:val="continue"/>
                  <w:vAlign w:val="center"/>
                </w:tcPr>
                <w:p w14:paraId="680E2147">
                  <w:pPr>
                    <w:pStyle w:val="40"/>
                  </w:pPr>
                </w:p>
              </w:tc>
              <w:tc>
                <w:tcPr>
                  <w:tcW w:w="3202" w:type="pct"/>
                  <w:vAlign w:val="center"/>
                </w:tcPr>
                <w:p w14:paraId="61E59F03">
                  <w:pPr>
                    <w:pStyle w:val="40"/>
                  </w:pPr>
                  <w:r>
                    <w:rPr>
                      <w:rFonts w:hint="eastAsia"/>
                    </w:rPr>
                    <w:t>废活性炭、废离子树脂由厂家回收</w:t>
                  </w:r>
                </w:p>
              </w:tc>
              <w:tc>
                <w:tcPr>
                  <w:tcW w:w="725" w:type="pct"/>
                  <w:vAlign w:val="center"/>
                </w:tcPr>
                <w:p w14:paraId="0F414D9A">
                  <w:pPr>
                    <w:pStyle w:val="40"/>
                  </w:pPr>
                </w:p>
              </w:tc>
            </w:tr>
            <w:tr w14:paraId="466D0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pct"/>
                  <w:vMerge w:val="continue"/>
                  <w:vAlign w:val="center"/>
                </w:tcPr>
                <w:p w14:paraId="6070A5F9">
                  <w:pPr>
                    <w:pStyle w:val="40"/>
                  </w:pPr>
                </w:p>
              </w:tc>
              <w:tc>
                <w:tcPr>
                  <w:tcW w:w="619" w:type="pct"/>
                  <w:vMerge w:val="continue"/>
                  <w:vAlign w:val="center"/>
                </w:tcPr>
                <w:p w14:paraId="1E23850F">
                  <w:pPr>
                    <w:pStyle w:val="40"/>
                  </w:pPr>
                </w:p>
              </w:tc>
              <w:tc>
                <w:tcPr>
                  <w:tcW w:w="3202" w:type="pct"/>
                  <w:vAlign w:val="center"/>
                </w:tcPr>
                <w:p w14:paraId="043529A9">
                  <w:pPr>
                    <w:pStyle w:val="40"/>
                  </w:pPr>
                  <w:r>
                    <w:rPr>
                      <w:rFonts w:hint="eastAsia"/>
                    </w:rPr>
                    <w:t>污水处理站污泥委托环保手续齐全，具备污泥处理主体资格和技术能力的单位进行处置</w:t>
                  </w:r>
                </w:p>
              </w:tc>
              <w:tc>
                <w:tcPr>
                  <w:tcW w:w="725" w:type="pct"/>
                  <w:vAlign w:val="center"/>
                </w:tcPr>
                <w:p w14:paraId="6FF11511">
                  <w:pPr>
                    <w:pStyle w:val="40"/>
                  </w:pPr>
                  <w:r>
                    <w:rPr>
                      <w:rFonts w:hint="eastAsia"/>
                    </w:rPr>
                    <w:t>/</w:t>
                  </w:r>
                </w:p>
              </w:tc>
            </w:tr>
          </w:tbl>
          <w:p w14:paraId="598389BA">
            <w:pPr>
              <w:numPr>
                <w:ilvl w:val="0"/>
                <w:numId w:val="4"/>
              </w:numPr>
              <w:adjustRightInd w:val="0"/>
              <w:snapToGrid w:val="0"/>
              <w:spacing w:line="400" w:lineRule="exact"/>
              <w:ind w:firstLine="422"/>
              <w:rPr>
                <w:b/>
                <w:szCs w:val="21"/>
              </w:rPr>
            </w:pPr>
            <w:r>
              <w:rPr>
                <w:rFonts w:hint="eastAsia"/>
                <w:b/>
                <w:szCs w:val="21"/>
              </w:rPr>
              <w:t>改扩建项目主要设备情况</w:t>
            </w:r>
          </w:p>
          <w:p w14:paraId="5C551567">
            <w:pPr>
              <w:spacing w:line="400" w:lineRule="exact"/>
              <w:ind w:firstLine="420"/>
            </w:pPr>
            <w:r>
              <w:rPr>
                <w:rFonts w:hint="eastAsia"/>
                <w:szCs w:val="21"/>
              </w:rPr>
              <w:t>改</w:t>
            </w:r>
            <w:r>
              <w:rPr>
                <w:rFonts w:hint="eastAsia"/>
              </w:rPr>
              <w:t>扩建项目主要设备见下表。</w:t>
            </w:r>
          </w:p>
          <w:p w14:paraId="3DCA9E14">
            <w:pPr>
              <w:pStyle w:val="73"/>
            </w:pPr>
            <w:r>
              <w:rPr>
                <w:rFonts w:hint="eastAsia"/>
                <w:bCs w:val="0"/>
              </w:rPr>
              <w:t xml:space="preserve">表2-7 </w:t>
            </w:r>
            <w:r>
              <w:rPr>
                <w:rFonts w:hint="eastAsia"/>
              </w:rPr>
              <w:t>改扩建项目主要</w:t>
            </w:r>
            <w:r>
              <w:t>设备情况</w:t>
            </w:r>
          </w:p>
          <w:tbl>
            <w:tblPr>
              <w:tblStyle w:val="25"/>
              <w:tblW w:w="488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0"/>
              <w:gridCol w:w="849"/>
              <w:gridCol w:w="1940"/>
              <w:gridCol w:w="1462"/>
              <w:gridCol w:w="1136"/>
              <w:gridCol w:w="1937"/>
            </w:tblGrid>
            <w:tr w14:paraId="44A51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342606A3">
                  <w:pPr>
                    <w:pStyle w:val="40"/>
                  </w:pPr>
                  <w:r>
                    <w:t>序号</w:t>
                  </w:r>
                </w:p>
              </w:tc>
              <w:tc>
                <w:tcPr>
                  <w:tcW w:w="533" w:type="pct"/>
                  <w:vAlign w:val="center"/>
                </w:tcPr>
                <w:p w14:paraId="2FB3785E">
                  <w:pPr>
                    <w:pStyle w:val="40"/>
                  </w:pPr>
                  <w:r>
                    <w:rPr>
                      <w:rFonts w:hint="eastAsia"/>
                    </w:rPr>
                    <w:t>工序</w:t>
                  </w:r>
                </w:p>
              </w:tc>
              <w:tc>
                <w:tcPr>
                  <w:tcW w:w="1218" w:type="pct"/>
                  <w:vAlign w:val="center"/>
                </w:tcPr>
                <w:p w14:paraId="55B73D2D">
                  <w:pPr>
                    <w:pStyle w:val="40"/>
                  </w:pPr>
                  <w:r>
                    <w:t>设备设施名称</w:t>
                  </w:r>
                </w:p>
              </w:tc>
              <w:tc>
                <w:tcPr>
                  <w:tcW w:w="918" w:type="pct"/>
                  <w:vAlign w:val="center"/>
                </w:tcPr>
                <w:p w14:paraId="57E7F02E">
                  <w:pPr>
                    <w:pStyle w:val="40"/>
                  </w:pPr>
                  <w:r>
                    <w:t>规格/型号</w:t>
                  </w:r>
                </w:p>
              </w:tc>
              <w:tc>
                <w:tcPr>
                  <w:tcW w:w="713" w:type="pct"/>
                  <w:vAlign w:val="center"/>
                </w:tcPr>
                <w:p w14:paraId="342F1E15">
                  <w:pPr>
                    <w:pStyle w:val="40"/>
                  </w:pPr>
                  <w:r>
                    <w:t>数量</w:t>
                  </w:r>
                </w:p>
              </w:tc>
              <w:tc>
                <w:tcPr>
                  <w:tcW w:w="1216" w:type="pct"/>
                  <w:vAlign w:val="center"/>
                </w:tcPr>
                <w:p w14:paraId="2DD56605">
                  <w:pPr>
                    <w:pStyle w:val="40"/>
                  </w:pPr>
                  <w:r>
                    <w:t>备注</w:t>
                  </w:r>
                </w:p>
              </w:tc>
            </w:tr>
            <w:tr w14:paraId="6A143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3ACD684C">
                  <w:pPr>
                    <w:pStyle w:val="40"/>
                  </w:pPr>
                  <w:bookmarkStart w:id="46" w:name="OLE_LINK5"/>
                  <w:bookmarkStart w:id="47" w:name="OLE_LINK8"/>
                  <w:r>
                    <w:t>1</w:t>
                  </w:r>
                </w:p>
              </w:tc>
              <w:tc>
                <w:tcPr>
                  <w:tcW w:w="533" w:type="pct"/>
                  <w:vMerge w:val="restart"/>
                  <w:vAlign w:val="center"/>
                </w:tcPr>
                <w:p w14:paraId="6349D103">
                  <w:pPr>
                    <w:pStyle w:val="40"/>
                  </w:pPr>
                  <w:r>
                    <w:rPr>
                      <w:rFonts w:hint="eastAsia"/>
                    </w:rPr>
                    <w:t>水果罐头生产线</w:t>
                  </w:r>
                </w:p>
              </w:tc>
              <w:tc>
                <w:tcPr>
                  <w:tcW w:w="1218" w:type="pct"/>
                  <w:vAlign w:val="center"/>
                </w:tcPr>
                <w:p w14:paraId="42806FB0">
                  <w:pPr>
                    <w:pStyle w:val="40"/>
                  </w:pPr>
                  <w:r>
                    <w:rPr>
                      <w:rFonts w:hint="eastAsia"/>
                    </w:rPr>
                    <w:t>全自动挖核机</w:t>
                  </w:r>
                </w:p>
              </w:tc>
              <w:tc>
                <w:tcPr>
                  <w:tcW w:w="918" w:type="pct"/>
                  <w:vAlign w:val="center"/>
                </w:tcPr>
                <w:p w14:paraId="660C7106">
                  <w:pPr>
                    <w:pStyle w:val="40"/>
                  </w:pPr>
                  <w:r>
                    <w:rPr>
                      <w:rFonts w:hint="eastAsia"/>
                    </w:rPr>
                    <w:t>/</w:t>
                  </w:r>
                </w:p>
              </w:tc>
              <w:tc>
                <w:tcPr>
                  <w:tcW w:w="713" w:type="pct"/>
                  <w:vAlign w:val="center"/>
                </w:tcPr>
                <w:p w14:paraId="7A257145">
                  <w:pPr>
                    <w:pStyle w:val="40"/>
                  </w:pPr>
                  <w:r>
                    <w:rPr>
                      <w:rFonts w:hint="eastAsia"/>
                    </w:rPr>
                    <w:t>1台</w:t>
                  </w:r>
                </w:p>
              </w:tc>
              <w:tc>
                <w:tcPr>
                  <w:tcW w:w="1216" w:type="pct"/>
                  <w:vAlign w:val="center"/>
                </w:tcPr>
                <w:p w14:paraId="044E98EA">
                  <w:pPr>
                    <w:pStyle w:val="40"/>
                  </w:pPr>
                  <w:r>
                    <w:rPr>
                      <w:rFonts w:hint="eastAsia"/>
                    </w:rPr>
                    <w:t>本次新增</w:t>
                  </w:r>
                </w:p>
              </w:tc>
            </w:tr>
            <w:bookmarkEnd w:id="46"/>
            <w:bookmarkEnd w:id="47"/>
            <w:tr w14:paraId="3CD1E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1B3D3478">
                  <w:pPr>
                    <w:pStyle w:val="40"/>
                  </w:pPr>
                  <w:r>
                    <w:rPr>
                      <w:rFonts w:hint="eastAsia"/>
                    </w:rPr>
                    <w:t>2</w:t>
                  </w:r>
                </w:p>
              </w:tc>
              <w:tc>
                <w:tcPr>
                  <w:tcW w:w="533" w:type="pct"/>
                  <w:vMerge w:val="continue"/>
                  <w:vAlign w:val="center"/>
                </w:tcPr>
                <w:p w14:paraId="305F634B">
                  <w:pPr>
                    <w:pStyle w:val="40"/>
                  </w:pPr>
                </w:p>
              </w:tc>
              <w:tc>
                <w:tcPr>
                  <w:tcW w:w="1218" w:type="pct"/>
                  <w:vAlign w:val="center"/>
                </w:tcPr>
                <w:p w14:paraId="21E01EC6">
                  <w:pPr>
                    <w:pStyle w:val="40"/>
                  </w:pPr>
                  <w:r>
                    <w:rPr>
                      <w:rFonts w:hint="eastAsia"/>
                    </w:rPr>
                    <w:t>切条机</w:t>
                  </w:r>
                </w:p>
              </w:tc>
              <w:tc>
                <w:tcPr>
                  <w:tcW w:w="918" w:type="pct"/>
                  <w:vAlign w:val="center"/>
                </w:tcPr>
                <w:p w14:paraId="73BC079A">
                  <w:pPr>
                    <w:pStyle w:val="40"/>
                  </w:pPr>
                  <w:r>
                    <w:rPr>
                      <w:rFonts w:hint="eastAsia"/>
                    </w:rPr>
                    <w:t>/</w:t>
                  </w:r>
                </w:p>
              </w:tc>
              <w:tc>
                <w:tcPr>
                  <w:tcW w:w="713" w:type="pct"/>
                  <w:vAlign w:val="center"/>
                </w:tcPr>
                <w:p w14:paraId="24934A31">
                  <w:pPr>
                    <w:pStyle w:val="40"/>
                  </w:pPr>
                  <w:r>
                    <w:rPr>
                      <w:rFonts w:hint="eastAsia"/>
                    </w:rPr>
                    <w:t>1台</w:t>
                  </w:r>
                </w:p>
              </w:tc>
              <w:tc>
                <w:tcPr>
                  <w:tcW w:w="1216" w:type="pct"/>
                  <w:vAlign w:val="center"/>
                </w:tcPr>
                <w:p w14:paraId="6AC49012">
                  <w:pPr>
                    <w:pStyle w:val="40"/>
                  </w:pPr>
                  <w:r>
                    <w:rPr>
                      <w:rFonts w:hint="eastAsia"/>
                    </w:rPr>
                    <w:t>本次新增</w:t>
                  </w:r>
                </w:p>
              </w:tc>
            </w:tr>
            <w:tr w14:paraId="0EC74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13F7A22D">
                  <w:pPr>
                    <w:pStyle w:val="40"/>
                  </w:pPr>
                  <w:r>
                    <w:rPr>
                      <w:rFonts w:hint="eastAsia"/>
                    </w:rPr>
                    <w:t>3</w:t>
                  </w:r>
                </w:p>
              </w:tc>
              <w:tc>
                <w:tcPr>
                  <w:tcW w:w="533" w:type="pct"/>
                  <w:vMerge w:val="continue"/>
                  <w:vAlign w:val="center"/>
                </w:tcPr>
                <w:p w14:paraId="2263B90D">
                  <w:pPr>
                    <w:pStyle w:val="40"/>
                  </w:pPr>
                </w:p>
              </w:tc>
              <w:tc>
                <w:tcPr>
                  <w:tcW w:w="1218" w:type="pct"/>
                  <w:vAlign w:val="center"/>
                </w:tcPr>
                <w:p w14:paraId="0C2289CA">
                  <w:pPr>
                    <w:pStyle w:val="40"/>
                  </w:pPr>
                  <w:r>
                    <w:rPr>
                      <w:rFonts w:hint="eastAsia"/>
                    </w:rPr>
                    <w:t>预煮线</w:t>
                  </w:r>
                </w:p>
              </w:tc>
              <w:tc>
                <w:tcPr>
                  <w:tcW w:w="918" w:type="pct"/>
                  <w:vAlign w:val="center"/>
                </w:tcPr>
                <w:p w14:paraId="7D7064F6">
                  <w:pPr>
                    <w:pStyle w:val="40"/>
                  </w:pPr>
                  <w:r>
                    <w:rPr>
                      <w:rFonts w:hint="eastAsia"/>
                    </w:rPr>
                    <w:t>/</w:t>
                  </w:r>
                </w:p>
              </w:tc>
              <w:tc>
                <w:tcPr>
                  <w:tcW w:w="713" w:type="pct"/>
                  <w:vAlign w:val="center"/>
                </w:tcPr>
                <w:p w14:paraId="2411C2FE">
                  <w:pPr>
                    <w:pStyle w:val="40"/>
                  </w:pPr>
                  <w:r>
                    <w:rPr>
                      <w:rFonts w:hint="eastAsia"/>
                    </w:rPr>
                    <w:t>12m</w:t>
                  </w:r>
                </w:p>
              </w:tc>
              <w:tc>
                <w:tcPr>
                  <w:tcW w:w="1216" w:type="pct"/>
                  <w:vAlign w:val="center"/>
                </w:tcPr>
                <w:p w14:paraId="5E0A685D">
                  <w:pPr>
                    <w:pStyle w:val="40"/>
                  </w:pPr>
                  <w:r>
                    <w:rPr>
                      <w:rFonts w:hint="eastAsia"/>
                    </w:rPr>
                    <w:t>预煮机改为预煮线</w:t>
                  </w:r>
                </w:p>
              </w:tc>
            </w:tr>
            <w:tr w14:paraId="42B62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23E784A6">
                  <w:pPr>
                    <w:pStyle w:val="40"/>
                  </w:pPr>
                  <w:r>
                    <w:rPr>
                      <w:rFonts w:hint="eastAsia"/>
                    </w:rPr>
                    <w:t>4</w:t>
                  </w:r>
                </w:p>
              </w:tc>
              <w:tc>
                <w:tcPr>
                  <w:tcW w:w="533" w:type="pct"/>
                  <w:vMerge w:val="continue"/>
                  <w:vAlign w:val="center"/>
                </w:tcPr>
                <w:p w14:paraId="6F771A80">
                  <w:pPr>
                    <w:pStyle w:val="40"/>
                  </w:pPr>
                </w:p>
              </w:tc>
              <w:tc>
                <w:tcPr>
                  <w:tcW w:w="1218" w:type="pct"/>
                  <w:vAlign w:val="center"/>
                </w:tcPr>
                <w:p w14:paraId="7C716F38">
                  <w:pPr>
                    <w:pStyle w:val="40"/>
                  </w:pPr>
                  <w:r>
                    <w:rPr>
                      <w:rFonts w:hint="eastAsia"/>
                    </w:rPr>
                    <w:t>分选线</w:t>
                  </w:r>
                </w:p>
              </w:tc>
              <w:tc>
                <w:tcPr>
                  <w:tcW w:w="918" w:type="pct"/>
                  <w:vAlign w:val="center"/>
                </w:tcPr>
                <w:p w14:paraId="177AB8FC">
                  <w:pPr>
                    <w:pStyle w:val="40"/>
                  </w:pPr>
                  <w:r>
                    <w:rPr>
                      <w:rFonts w:hint="eastAsia"/>
                    </w:rPr>
                    <w:t>/</w:t>
                  </w:r>
                </w:p>
              </w:tc>
              <w:tc>
                <w:tcPr>
                  <w:tcW w:w="713" w:type="pct"/>
                  <w:vAlign w:val="center"/>
                </w:tcPr>
                <w:p w14:paraId="77E3496D">
                  <w:pPr>
                    <w:pStyle w:val="40"/>
                  </w:pPr>
                  <w:r>
                    <w:rPr>
                      <w:rFonts w:hint="eastAsia"/>
                    </w:rPr>
                    <w:t>25m</w:t>
                  </w:r>
                </w:p>
              </w:tc>
              <w:tc>
                <w:tcPr>
                  <w:tcW w:w="1216" w:type="pct"/>
                  <w:vAlign w:val="center"/>
                </w:tcPr>
                <w:p w14:paraId="1DAAE106">
                  <w:pPr>
                    <w:pStyle w:val="40"/>
                  </w:pPr>
                  <w:r>
                    <w:rPr>
                      <w:rFonts w:hint="eastAsia"/>
                    </w:rPr>
                    <w:t>分选案改为分选线</w:t>
                  </w:r>
                </w:p>
              </w:tc>
            </w:tr>
            <w:tr w14:paraId="7F337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0D8AC525">
                  <w:pPr>
                    <w:pStyle w:val="40"/>
                  </w:pPr>
                  <w:r>
                    <w:rPr>
                      <w:rFonts w:hint="eastAsia"/>
                    </w:rPr>
                    <w:t>5</w:t>
                  </w:r>
                </w:p>
              </w:tc>
              <w:tc>
                <w:tcPr>
                  <w:tcW w:w="533" w:type="pct"/>
                  <w:vMerge w:val="continue"/>
                  <w:vAlign w:val="center"/>
                </w:tcPr>
                <w:p w14:paraId="104439D8">
                  <w:pPr>
                    <w:pStyle w:val="40"/>
                  </w:pPr>
                </w:p>
              </w:tc>
              <w:tc>
                <w:tcPr>
                  <w:tcW w:w="1218" w:type="pct"/>
                  <w:vAlign w:val="center"/>
                </w:tcPr>
                <w:p w14:paraId="425484AF">
                  <w:pPr>
                    <w:pStyle w:val="40"/>
                  </w:pPr>
                  <w:r>
                    <w:rPr>
                      <w:rFonts w:hint="eastAsia"/>
                    </w:rPr>
                    <w:t>装罐线</w:t>
                  </w:r>
                </w:p>
              </w:tc>
              <w:tc>
                <w:tcPr>
                  <w:tcW w:w="918" w:type="pct"/>
                  <w:vAlign w:val="center"/>
                </w:tcPr>
                <w:p w14:paraId="5B639856">
                  <w:pPr>
                    <w:pStyle w:val="40"/>
                  </w:pPr>
                  <w:r>
                    <w:rPr>
                      <w:rFonts w:hint="eastAsia"/>
                    </w:rPr>
                    <w:t>/</w:t>
                  </w:r>
                </w:p>
              </w:tc>
              <w:tc>
                <w:tcPr>
                  <w:tcW w:w="713" w:type="pct"/>
                  <w:vAlign w:val="center"/>
                </w:tcPr>
                <w:p w14:paraId="14114408">
                  <w:pPr>
                    <w:pStyle w:val="40"/>
                  </w:pPr>
                  <w:r>
                    <w:rPr>
                      <w:rFonts w:hint="eastAsia"/>
                    </w:rPr>
                    <w:t>12m</w:t>
                  </w:r>
                </w:p>
              </w:tc>
              <w:tc>
                <w:tcPr>
                  <w:tcW w:w="1216" w:type="pct"/>
                  <w:vAlign w:val="center"/>
                </w:tcPr>
                <w:p w14:paraId="4EFFAEF6">
                  <w:pPr>
                    <w:pStyle w:val="40"/>
                  </w:pPr>
                  <w:r>
                    <w:rPr>
                      <w:rFonts w:hint="eastAsia"/>
                    </w:rPr>
                    <w:t>装罐车改为装罐线，装罐线包括洗瓶机、封瓶机</w:t>
                  </w:r>
                </w:p>
              </w:tc>
            </w:tr>
            <w:tr w14:paraId="22451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289717C5">
                  <w:pPr>
                    <w:pStyle w:val="40"/>
                  </w:pPr>
                  <w:r>
                    <w:rPr>
                      <w:rFonts w:hint="eastAsia"/>
                    </w:rPr>
                    <w:t>6</w:t>
                  </w:r>
                </w:p>
              </w:tc>
              <w:tc>
                <w:tcPr>
                  <w:tcW w:w="533" w:type="pct"/>
                  <w:vMerge w:val="continue"/>
                  <w:vAlign w:val="center"/>
                </w:tcPr>
                <w:p w14:paraId="71221663">
                  <w:pPr>
                    <w:pStyle w:val="40"/>
                  </w:pPr>
                </w:p>
              </w:tc>
              <w:tc>
                <w:tcPr>
                  <w:tcW w:w="1218" w:type="pct"/>
                  <w:vAlign w:val="center"/>
                </w:tcPr>
                <w:p w14:paraId="03B6B7FA">
                  <w:pPr>
                    <w:pStyle w:val="40"/>
                  </w:pPr>
                  <w:r>
                    <w:rPr>
                      <w:rFonts w:hint="eastAsia"/>
                    </w:rPr>
                    <w:t>杀菌线</w:t>
                  </w:r>
                </w:p>
              </w:tc>
              <w:tc>
                <w:tcPr>
                  <w:tcW w:w="918" w:type="pct"/>
                  <w:vAlign w:val="center"/>
                </w:tcPr>
                <w:p w14:paraId="7991AA50">
                  <w:pPr>
                    <w:pStyle w:val="40"/>
                  </w:pPr>
                  <w:r>
                    <w:rPr>
                      <w:rFonts w:hint="eastAsia"/>
                    </w:rPr>
                    <w:t>/</w:t>
                  </w:r>
                </w:p>
              </w:tc>
              <w:tc>
                <w:tcPr>
                  <w:tcW w:w="713" w:type="pct"/>
                  <w:vAlign w:val="center"/>
                </w:tcPr>
                <w:p w14:paraId="2B4FDA72">
                  <w:pPr>
                    <w:pStyle w:val="40"/>
                  </w:pPr>
                  <w:r>
                    <w:rPr>
                      <w:rFonts w:hint="eastAsia"/>
                    </w:rPr>
                    <w:t>28m</w:t>
                  </w:r>
                </w:p>
              </w:tc>
              <w:tc>
                <w:tcPr>
                  <w:tcW w:w="1216" w:type="pct"/>
                  <w:vAlign w:val="center"/>
                </w:tcPr>
                <w:p w14:paraId="2B9231B6">
                  <w:pPr>
                    <w:pStyle w:val="40"/>
                  </w:pPr>
                  <w:r>
                    <w:rPr>
                      <w:rFonts w:hint="eastAsia"/>
                    </w:rPr>
                    <w:t>杀菌车改为杀菌线</w:t>
                  </w:r>
                </w:p>
              </w:tc>
            </w:tr>
            <w:tr w14:paraId="78DCB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0DDE479E">
                  <w:pPr>
                    <w:pStyle w:val="40"/>
                  </w:pPr>
                  <w:r>
                    <w:rPr>
                      <w:rFonts w:hint="eastAsia"/>
                    </w:rPr>
                    <w:t>7</w:t>
                  </w:r>
                </w:p>
              </w:tc>
              <w:tc>
                <w:tcPr>
                  <w:tcW w:w="533" w:type="pct"/>
                  <w:vAlign w:val="center"/>
                </w:tcPr>
                <w:p w14:paraId="1EC6A0BF">
                  <w:pPr>
                    <w:pStyle w:val="40"/>
                  </w:pPr>
                  <w:r>
                    <w:rPr>
                      <w:rFonts w:hint="eastAsia"/>
                    </w:rPr>
                    <w:t>锅炉</w:t>
                  </w:r>
                </w:p>
              </w:tc>
              <w:tc>
                <w:tcPr>
                  <w:tcW w:w="1218" w:type="pct"/>
                  <w:vAlign w:val="center"/>
                </w:tcPr>
                <w:p w14:paraId="212998AD">
                  <w:pPr>
                    <w:pStyle w:val="40"/>
                  </w:pPr>
                  <w:r>
                    <w:rPr>
                      <w:rFonts w:hint="eastAsia"/>
                    </w:rPr>
                    <w:t>4t/h生物质锅炉</w:t>
                  </w:r>
                </w:p>
              </w:tc>
              <w:tc>
                <w:tcPr>
                  <w:tcW w:w="918" w:type="pct"/>
                  <w:vAlign w:val="center"/>
                </w:tcPr>
                <w:p w14:paraId="58A8325F">
                  <w:pPr>
                    <w:pStyle w:val="40"/>
                  </w:pPr>
                  <w:r>
                    <w:rPr>
                      <w:rFonts w:hint="eastAsia"/>
                    </w:rPr>
                    <w:t>DZL4-1.25-S</w:t>
                  </w:r>
                </w:p>
              </w:tc>
              <w:tc>
                <w:tcPr>
                  <w:tcW w:w="713" w:type="pct"/>
                  <w:vAlign w:val="center"/>
                </w:tcPr>
                <w:p w14:paraId="24D9FA52">
                  <w:pPr>
                    <w:pStyle w:val="40"/>
                  </w:pPr>
                  <w:r>
                    <w:rPr>
                      <w:rFonts w:hint="eastAsia"/>
                    </w:rPr>
                    <w:t>1台</w:t>
                  </w:r>
                </w:p>
              </w:tc>
              <w:tc>
                <w:tcPr>
                  <w:tcW w:w="1216" w:type="pct"/>
                  <w:vAlign w:val="center"/>
                </w:tcPr>
                <w:p w14:paraId="7FC9FFDB">
                  <w:pPr>
                    <w:pStyle w:val="40"/>
                  </w:pPr>
                  <w:r>
                    <w:rPr>
                      <w:rFonts w:hint="eastAsia"/>
                    </w:rPr>
                    <w:t>本次新增</w:t>
                  </w:r>
                </w:p>
              </w:tc>
            </w:tr>
            <w:tr w14:paraId="658BD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6B52EC47">
                  <w:pPr>
                    <w:pStyle w:val="40"/>
                  </w:pPr>
                  <w:r>
                    <w:rPr>
                      <w:rFonts w:hint="eastAsia"/>
                    </w:rPr>
                    <w:t>8</w:t>
                  </w:r>
                </w:p>
              </w:tc>
              <w:tc>
                <w:tcPr>
                  <w:tcW w:w="533" w:type="pct"/>
                  <w:vMerge w:val="restart"/>
                  <w:vAlign w:val="center"/>
                </w:tcPr>
                <w:p w14:paraId="4B1DE71C">
                  <w:pPr>
                    <w:pStyle w:val="40"/>
                  </w:pPr>
                  <w:r>
                    <w:rPr>
                      <w:rFonts w:hint="eastAsia"/>
                    </w:rPr>
                    <w:t>环保设</w:t>
                  </w:r>
                </w:p>
                <w:p w14:paraId="32EACA62">
                  <w:pPr>
                    <w:pStyle w:val="40"/>
                  </w:pPr>
                  <w:r>
                    <w:rPr>
                      <w:rFonts w:hint="eastAsia"/>
                    </w:rPr>
                    <w:t>备</w:t>
                  </w:r>
                </w:p>
              </w:tc>
              <w:tc>
                <w:tcPr>
                  <w:tcW w:w="1218" w:type="pct"/>
                  <w:vAlign w:val="center"/>
                </w:tcPr>
                <w:p w14:paraId="18B461EC">
                  <w:pPr>
                    <w:pStyle w:val="40"/>
                  </w:pPr>
                  <w:r>
                    <w:rPr>
                      <w:rFonts w:hint="eastAsia"/>
                    </w:rPr>
                    <w:t>旋风+布袋除尘器</w:t>
                  </w:r>
                </w:p>
              </w:tc>
              <w:tc>
                <w:tcPr>
                  <w:tcW w:w="918" w:type="pct"/>
                  <w:vAlign w:val="center"/>
                </w:tcPr>
                <w:p w14:paraId="03847350">
                  <w:pPr>
                    <w:pStyle w:val="40"/>
                  </w:pPr>
                  <w:r>
                    <w:rPr>
                      <w:rFonts w:hint="eastAsia"/>
                    </w:rPr>
                    <w:t>/</w:t>
                  </w:r>
                </w:p>
              </w:tc>
              <w:tc>
                <w:tcPr>
                  <w:tcW w:w="713" w:type="pct"/>
                  <w:vAlign w:val="center"/>
                </w:tcPr>
                <w:p w14:paraId="395DA6EC">
                  <w:pPr>
                    <w:pStyle w:val="40"/>
                  </w:pPr>
                  <w:r>
                    <w:rPr>
                      <w:rFonts w:hint="eastAsia"/>
                    </w:rPr>
                    <w:t>1</w:t>
                  </w:r>
                  <w:r>
                    <w:t>套</w:t>
                  </w:r>
                </w:p>
              </w:tc>
              <w:tc>
                <w:tcPr>
                  <w:tcW w:w="1216" w:type="pct"/>
                  <w:vAlign w:val="center"/>
                </w:tcPr>
                <w:p w14:paraId="110D4B4C">
                  <w:pPr>
                    <w:pStyle w:val="40"/>
                  </w:pPr>
                  <w:r>
                    <w:rPr>
                      <w:rFonts w:hint="eastAsia"/>
                    </w:rPr>
                    <w:t>本次新增</w:t>
                  </w:r>
                </w:p>
              </w:tc>
            </w:tr>
            <w:tr w14:paraId="244C3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5B780378">
                  <w:pPr>
                    <w:pStyle w:val="40"/>
                  </w:pPr>
                  <w:r>
                    <w:rPr>
                      <w:rFonts w:hint="eastAsia"/>
                    </w:rPr>
                    <w:t>9</w:t>
                  </w:r>
                </w:p>
              </w:tc>
              <w:tc>
                <w:tcPr>
                  <w:tcW w:w="533" w:type="pct"/>
                  <w:vMerge w:val="continue"/>
                  <w:vAlign w:val="center"/>
                </w:tcPr>
                <w:p w14:paraId="1E3944E6">
                  <w:pPr>
                    <w:pStyle w:val="40"/>
                  </w:pPr>
                </w:p>
              </w:tc>
              <w:tc>
                <w:tcPr>
                  <w:tcW w:w="1218" w:type="pct"/>
                  <w:vAlign w:val="center"/>
                </w:tcPr>
                <w:p w14:paraId="3B16A98A">
                  <w:pPr>
                    <w:pStyle w:val="40"/>
                  </w:pPr>
                  <w:r>
                    <w:rPr>
                      <w:rFonts w:hint="eastAsia"/>
                    </w:rPr>
                    <w:t>湿式玻璃钢脱硝（SNCR）装置</w:t>
                  </w:r>
                </w:p>
              </w:tc>
              <w:tc>
                <w:tcPr>
                  <w:tcW w:w="918" w:type="pct"/>
                  <w:vAlign w:val="center"/>
                </w:tcPr>
                <w:p w14:paraId="173D651B">
                  <w:pPr>
                    <w:pStyle w:val="40"/>
                  </w:pPr>
                  <w:r>
                    <w:rPr>
                      <w:rFonts w:hint="eastAsia"/>
                    </w:rPr>
                    <w:t>/</w:t>
                  </w:r>
                </w:p>
              </w:tc>
              <w:tc>
                <w:tcPr>
                  <w:tcW w:w="713" w:type="pct"/>
                  <w:vAlign w:val="center"/>
                </w:tcPr>
                <w:p w14:paraId="44107560">
                  <w:pPr>
                    <w:pStyle w:val="40"/>
                  </w:pPr>
                  <w:r>
                    <w:rPr>
                      <w:rFonts w:hint="eastAsia"/>
                    </w:rPr>
                    <w:t>1套</w:t>
                  </w:r>
                </w:p>
              </w:tc>
              <w:tc>
                <w:tcPr>
                  <w:tcW w:w="1216" w:type="pct"/>
                  <w:vAlign w:val="center"/>
                </w:tcPr>
                <w:p w14:paraId="18C0EAD8">
                  <w:pPr>
                    <w:pStyle w:val="40"/>
                  </w:pPr>
                  <w:r>
                    <w:rPr>
                      <w:rFonts w:hint="eastAsia"/>
                    </w:rPr>
                    <w:t>本次新增</w:t>
                  </w:r>
                </w:p>
              </w:tc>
            </w:tr>
            <w:tr w14:paraId="5D95E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6BF472EF">
                  <w:pPr>
                    <w:pStyle w:val="40"/>
                  </w:pPr>
                  <w:r>
                    <w:rPr>
                      <w:rFonts w:hint="eastAsia"/>
                    </w:rPr>
                    <w:t>10</w:t>
                  </w:r>
                </w:p>
              </w:tc>
              <w:tc>
                <w:tcPr>
                  <w:tcW w:w="533" w:type="pct"/>
                  <w:vMerge w:val="continue"/>
                  <w:vAlign w:val="center"/>
                </w:tcPr>
                <w:p w14:paraId="65AF5090">
                  <w:pPr>
                    <w:pStyle w:val="40"/>
                  </w:pPr>
                </w:p>
              </w:tc>
              <w:tc>
                <w:tcPr>
                  <w:tcW w:w="1218" w:type="pct"/>
                  <w:vAlign w:val="center"/>
                </w:tcPr>
                <w:p w14:paraId="2C7CEBCE">
                  <w:pPr>
                    <w:pStyle w:val="40"/>
                  </w:pPr>
                  <w:r>
                    <w:rPr>
                      <w:rFonts w:hint="eastAsia"/>
                    </w:rPr>
                    <w:t>活性炭除臭装置</w:t>
                  </w:r>
                </w:p>
              </w:tc>
              <w:tc>
                <w:tcPr>
                  <w:tcW w:w="918" w:type="pct"/>
                  <w:vAlign w:val="center"/>
                </w:tcPr>
                <w:p w14:paraId="042492BC">
                  <w:pPr>
                    <w:pStyle w:val="40"/>
                  </w:pPr>
                  <w:r>
                    <w:rPr>
                      <w:rFonts w:hint="eastAsia"/>
                    </w:rPr>
                    <w:t>/</w:t>
                  </w:r>
                </w:p>
              </w:tc>
              <w:tc>
                <w:tcPr>
                  <w:tcW w:w="713" w:type="pct"/>
                  <w:vAlign w:val="center"/>
                </w:tcPr>
                <w:p w14:paraId="16E96152">
                  <w:pPr>
                    <w:pStyle w:val="40"/>
                  </w:pPr>
                  <w:r>
                    <w:rPr>
                      <w:rFonts w:hint="eastAsia"/>
                    </w:rPr>
                    <w:t>1</w:t>
                  </w:r>
                  <w:r>
                    <w:t>套</w:t>
                  </w:r>
                </w:p>
              </w:tc>
              <w:tc>
                <w:tcPr>
                  <w:tcW w:w="1216" w:type="pct"/>
                  <w:vAlign w:val="center"/>
                </w:tcPr>
                <w:p w14:paraId="6E15F959">
                  <w:pPr>
                    <w:pStyle w:val="40"/>
                  </w:pPr>
                  <w:r>
                    <w:rPr>
                      <w:rFonts w:hint="eastAsia"/>
                    </w:rPr>
                    <w:t>本次新增</w:t>
                  </w:r>
                </w:p>
              </w:tc>
            </w:tr>
            <w:tr w14:paraId="634BE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17B99687">
                  <w:pPr>
                    <w:pStyle w:val="40"/>
                  </w:pPr>
                  <w:r>
                    <w:rPr>
                      <w:rFonts w:hint="eastAsia"/>
                    </w:rPr>
                    <w:t>11</w:t>
                  </w:r>
                </w:p>
              </w:tc>
              <w:tc>
                <w:tcPr>
                  <w:tcW w:w="533" w:type="pct"/>
                  <w:vMerge w:val="continue"/>
                  <w:vAlign w:val="center"/>
                </w:tcPr>
                <w:p w14:paraId="3A4373E8">
                  <w:pPr>
                    <w:pStyle w:val="40"/>
                  </w:pPr>
                </w:p>
              </w:tc>
              <w:tc>
                <w:tcPr>
                  <w:tcW w:w="1218" w:type="pct"/>
                  <w:vAlign w:val="center"/>
                </w:tcPr>
                <w:p w14:paraId="622CE707">
                  <w:pPr>
                    <w:pStyle w:val="40"/>
                  </w:pPr>
                  <w:r>
                    <w:rPr>
                      <w:rFonts w:hint="eastAsia"/>
                    </w:rPr>
                    <w:t>污水处理站</w:t>
                  </w:r>
                </w:p>
              </w:tc>
              <w:tc>
                <w:tcPr>
                  <w:tcW w:w="918" w:type="pct"/>
                  <w:vAlign w:val="center"/>
                </w:tcPr>
                <w:p w14:paraId="025EA429">
                  <w:pPr>
                    <w:pStyle w:val="40"/>
                  </w:pPr>
                  <w:r>
                    <w:rPr>
                      <w:rFonts w:hint="eastAsia"/>
                    </w:rPr>
                    <w:t>/</w:t>
                  </w:r>
                </w:p>
              </w:tc>
              <w:tc>
                <w:tcPr>
                  <w:tcW w:w="713" w:type="pct"/>
                  <w:vAlign w:val="center"/>
                </w:tcPr>
                <w:p w14:paraId="386D1963">
                  <w:pPr>
                    <w:pStyle w:val="40"/>
                  </w:pPr>
                  <w:r>
                    <w:rPr>
                      <w:rFonts w:hint="eastAsia"/>
                    </w:rPr>
                    <w:t>1个</w:t>
                  </w:r>
                </w:p>
              </w:tc>
              <w:tc>
                <w:tcPr>
                  <w:tcW w:w="1216" w:type="pct"/>
                  <w:vAlign w:val="center"/>
                </w:tcPr>
                <w:p w14:paraId="5383D6CC">
                  <w:pPr>
                    <w:pStyle w:val="40"/>
                  </w:pPr>
                  <w:r>
                    <w:rPr>
                      <w:rFonts w:hint="eastAsia"/>
                    </w:rPr>
                    <w:t>利用现有</w:t>
                  </w:r>
                </w:p>
              </w:tc>
            </w:tr>
            <w:tr w14:paraId="78B17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2" w:type="pct"/>
                  <w:vAlign w:val="center"/>
                </w:tcPr>
                <w:p w14:paraId="6EE68362">
                  <w:pPr>
                    <w:pStyle w:val="40"/>
                  </w:pPr>
                  <w:r>
                    <w:rPr>
                      <w:rFonts w:hint="eastAsia"/>
                    </w:rPr>
                    <w:t>12</w:t>
                  </w:r>
                </w:p>
              </w:tc>
              <w:tc>
                <w:tcPr>
                  <w:tcW w:w="533" w:type="pct"/>
                  <w:vAlign w:val="center"/>
                </w:tcPr>
                <w:p w14:paraId="1C4A4E1F">
                  <w:pPr>
                    <w:pStyle w:val="40"/>
                  </w:pPr>
                  <w:r>
                    <w:rPr>
                      <w:rFonts w:hint="eastAsia"/>
                    </w:rPr>
                    <w:t>辅助设备</w:t>
                  </w:r>
                </w:p>
              </w:tc>
              <w:tc>
                <w:tcPr>
                  <w:tcW w:w="1218" w:type="pct"/>
                  <w:vAlign w:val="center"/>
                </w:tcPr>
                <w:p w14:paraId="517A8981">
                  <w:pPr>
                    <w:pStyle w:val="40"/>
                  </w:pPr>
                  <w:r>
                    <w:rPr>
                      <w:rFonts w:hint="eastAsia"/>
                    </w:rPr>
                    <w:t>软化水制备装置</w:t>
                  </w:r>
                </w:p>
              </w:tc>
              <w:tc>
                <w:tcPr>
                  <w:tcW w:w="918" w:type="pct"/>
                  <w:vAlign w:val="center"/>
                </w:tcPr>
                <w:p w14:paraId="4E381642">
                  <w:pPr>
                    <w:pStyle w:val="40"/>
                  </w:pPr>
                  <w:r>
                    <w:rPr>
                      <w:rFonts w:hint="eastAsia"/>
                    </w:rPr>
                    <w:t>/</w:t>
                  </w:r>
                </w:p>
              </w:tc>
              <w:tc>
                <w:tcPr>
                  <w:tcW w:w="713" w:type="pct"/>
                  <w:vAlign w:val="center"/>
                </w:tcPr>
                <w:p w14:paraId="0CB2D1F0">
                  <w:pPr>
                    <w:pStyle w:val="40"/>
                  </w:pPr>
                  <w:r>
                    <w:rPr>
                      <w:rFonts w:hint="eastAsia"/>
                    </w:rPr>
                    <w:t>1</w:t>
                  </w:r>
                  <w:r>
                    <w:t>套</w:t>
                  </w:r>
                </w:p>
              </w:tc>
              <w:tc>
                <w:tcPr>
                  <w:tcW w:w="1216" w:type="pct"/>
                  <w:vAlign w:val="center"/>
                </w:tcPr>
                <w:p w14:paraId="6DC72A2C">
                  <w:pPr>
                    <w:pStyle w:val="40"/>
                  </w:pPr>
                  <w:r>
                    <w:rPr>
                      <w:rFonts w:hint="eastAsia"/>
                    </w:rPr>
                    <w:t>利用现有</w:t>
                  </w:r>
                </w:p>
              </w:tc>
            </w:tr>
          </w:tbl>
          <w:p w14:paraId="57D0B3E3">
            <w:pPr>
              <w:adjustRightInd w:val="0"/>
              <w:snapToGrid w:val="0"/>
              <w:spacing w:line="400" w:lineRule="exact"/>
              <w:ind w:firstLine="0" w:firstLineChars="0"/>
              <w:jc w:val="center"/>
              <w:rPr>
                <w:b/>
                <w:bCs/>
                <w:szCs w:val="21"/>
              </w:rPr>
            </w:pPr>
            <w:r>
              <w:rPr>
                <w:b/>
                <w:bCs/>
                <w:szCs w:val="21"/>
              </w:rPr>
              <w:t>表2-</w:t>
            </w:r>
            <w:r>
              <w:rPr>
                <w:rFonts w:hint="eastAsia"/>
                <w:b/>
                <w:bCs/>
                <w:szCs w:val="21"/>
              </w:rPr>
              <w:t>8生物质锅炉技术参数</w:t>
            </w:r>
            <w:r>
              <w:rPr>
                <w:b/>
                <w:bCs/>
                <w:szCs w:val="21"/>
              </w:rPr>
              <w:t>表</w:t>
            </w:r>
          </w:p>
          <w:tbl>
            <w:tblPr>
              <w:tblStyle w:val="25"/>
              <w:tblW w:w="7744" w:type="dxa"/>
              <w:jc w:val="center"/>
              <w:tblBorders>
                <w:top w:val="single" w:color="auto" w:sz="6" w:space="0"/>
                <w:left w:val="single" w:color="auto" w:sz="6" w:space="0"/>
                <w:bottom w:val="single" w:color="auto" w:sz="6" w:space="0"/>
                <w:right w:val="single" w:color="auto" w:sz="6" w:space="0"/>
                <w:insideH w:val="single" w:color="auto" w:sz="4" w:space="0"/>
                <w:insideV w:val="single" w:color="auto" w:sz="6" w:space="0"/>
              </w:tblBorders>
              <w:tblLayout w:type="fixed"/>
              <w:tblCellMar>
                <w:top w:w="0" w:type="dxa"/>
                <w:left w:w="108" w:type="dxa"/>
                <w:bottom w:w="0" w:type="dxa"/>
                <w:right w:w="108" w:type="dxa"/>
              </w:tblCellMar>
            </w:tblPr>
            <w:tblGrid>
              <w:gridCol w:w="2404"/>
              <w:gridCol w:w="3331"/>
              <w:gridCol w:w="2009"/>
            </w:tblGrid>
            <w:tr w14:paraId="65131CA7">
              <w:tblPrEx>
                <w:tblBorders>
                  <w:top w:val="single" w:color="auto" w:sz="6" w:space="0"/>
                  <w:left w:val="single" w:color="auto" w:sz="6" w:space="0"/>
                  <w:bottom w:val="single" w:color="auto" w:sz="6" w:space="0"/>
                  <w:right w:val="single" w:color="auto" w:sz="6" w:space="0"/>
                  <w:insideH w:val="single" w:color="auto" w:sz="4" w:space="0"/>
                  <w:insideV w:val="single" w:color="auto" w:sz="6" w:space="0"/>
                </w:tblBorders>
                <w:tblCellMar>
                  <w:top w:w="0" w:type="dxa"/>
                  <w:left w:w="108" w:type="dxa"/>
                  <w:bottom w:w="0" w:type="dxa"/>
                  <w:right w:w="108" w:type="dxa"/>
                </w:tblCellMar>
              </w:tblPrEx>
              <w:trPr>
                <w:trHeight w:val="353" w:hRule="atLeast"/>
                <w:jc w:val="center"/>
              </w:trPr>
              <w:tc>
                <w:tcPr>
                  <w:tcW w:w="2404" w:type="dxa"/>
                  <w:vAlign w:val="center"/>
                </w:tcPr>
                <w:p w14:paraId="6BD99743">
                  <w:pPr>
                    <w:pStyle w:val="108"/>
                  </w:pPr>
                  <w:r>
                    <w:t>名称</w:t>
                  </w:r>
                </w:p>
              </w:tc>
              <w:tc>
                <w:tcPr>
                  <w:tcW w:w="3331" w:type="dxa"/>
                  <w:vAlign w:val="center"/>
                </w:tcPr>
                <w:p w14:paraId="52A7B84E">
                  <w:pPr>
                    <w:pStyle w:val="108"/>
                  </w:pPr>
                  <w:r>
                    <w:rPr>
                      <w:rFonts w:hint="eastAsia"/>
                    </w:rPr>
                    <w:t>单位</w:t>
                  </w:r>
                </w:p>
              </w:tc>
              <w:tc>
                <w:tcPr>
                  <w:tcW w:w="2009" w:type="dxa"/>
                  <w:vAlign w:val="center"/>
                </w:tcPr>
                <w:p w14:paraId="51E15E0A">
                  <w:pPr>
                    <w:pStyle w:val="108"/>
                  </w:pPr>
                  <w:r>
                    <w:rPr>
                      <w:kern w:val="0"/>
                    </w:rPr>
                    <w:t>DZ</w:t>
                  </w:r>
                  <w:r>
                    <w:rPr>
                      <w:rFonts w:hint="eastAsia"/>
                      <w:kern w:val="0"/>
                    </w:rPr>
                    <w:t>L4</w:t>
                  </w:r>
                  <w:r>
                    <w:rPr>
                      <w:kern w:val="0"/>
                    </w:rPr>
                    <w:t>-1.</w:t>
                  </w:r>
                  <w:r>
                    <w:rPr>
                      <w:rFonts w:hint="eastAsia"/>
                      <w:kern w:val="0"/>
                    </w:rPr>
                    <w:t>25</w:t>
                  </w:r>
                  <w:r>
                    <w:rPr>
                      <w:kern w:val="0"/>
                    </w:rPr>
                    <w:t>-</w:t>
                  </w:r>
                  <w:r>
                    <w:rPr>
                      <w:rFonts w:hint="eastAsia"/>
                      <w:kern w:val="0"/>
                    </w:rPr>
                    <w:t>T</w:t>
                  </w:r>
                </w:p>
              </w:tc>
            </w:tr>
            <w:tr w14:paraId="5988D5A0">
              <w:tblPrEx>
                <w:tblBorders>
                  <w:top w:val="single" w:color="auto" w:sz="6" w:space="0"/>
                  <w:left w:val="single" w:color="auto" w:sz="6" w:space="0"/>
                  <w:bottom w:val="single" w:color="auto" w:sz="6" w:space="0"/>
                  <w:right w:val="single" w:color="auto" w:sz="6" w:space="0"/>
                  <w:insideH w:val="single" w:color="auto" w:sz="4" w:space="0"/>
                  <w:insideV w:val="single" w:color="auto" w:sz="6" w:space="0"/>
                </w:tblBorders>
                <w:tblCellMar>
                  <w:top w:w="0" w:type="dxa"/>
                  <w:left w:w="108" w:type="dxa"/>
                  <w:bottom w:w="0" w:type="dxa"/>
                  <w:right w:w="108" w:type="dxa"/>
                </w:tblCellMar>
              </w:tblPrEx>
              <w:trPr>
                <w:trHeight w:val="354" w:hRule="atLeast"/>
                <w:jc w:val="center"/>
              </w:trPr>
              <w:tc>
                <w:tcPr>
                  <w:tcW w:w="2404" w:type="dxa"/>
                  <w:vAlign w:val="center"/>
                </w:tcPr>
                <w:p w14:paraId="03486E9D">
                  <w:pPr>
                    <w:pStyle w:val="108"/>
                    <w:rPr>
                      <w:kern w:val="0"/>
                    </w:rPr>
                  </w:pPr>
                  <w:r>
                    <w:rPr>
                      <w:rFonts w:hint="eastAsia"/>
                      <w:kern w:val="0"/>
                    </w:rPr>
                    <w:t>额定蒸发量</w:t>
                  </w:r>
                </w:p>
              </w:tc>
              <w:tc>
                <w:tcPr>
                  <w:tcW w:w="3331" w:type="dxa"/>
                  <w:vAlign w:val="center"/>
                </w:tcPr>
                <w:p w14:paraId="660B33FB">
                  <w:pPr>
                    <w:pStyle w:val="108"/>
                    <w:rPr>
                      <w:kern w:val="0"/>
                    </w:rPr>
                  </w:pPr>
                  <w:r>
                    <w:rPr>
                      <w:rFonts w:hint="eastAsia"/>
                      <w:kern w:val="0"/>
                    </w:rPr>
                    <w:t>t/h</w:t>
                  </w:r>
                </w:p>
              </w:tc>
              <w:tc>
                <w:tcPr>
                  <w:tcW w:w="2009" w:type="dxa"/>
                  <w:vAlign w:val="center"/>
                </w:tcPr>
                <w:p w14:paraId="7F0FAB18">
                  <w:pPr>
                    <w:pStyle w:val="108"/>
                  </w:pPr>
                  <w:r>
                    <w:rPr>
                      <w:rFonts w:hint="eastAsia"/>
                    </w:rPr>
                    <w:t>4</w:t>
                  </w:r>
                </w:p>
              </w:tc>
            </w:tr>
            <w:tr w14:paraId="1D13A1D6">
              <w:tblPrEx>
                <w:tblBorders>
                  <w:top w:val="single" w:color="auto" w:sz="6" w:space="0"/>
                  <w:left w:val="single" w:color="auto" w:sz="6" w:space="0"/>
                  <w:bottom w:val="single" w:color="auto" w:sz="6" w:space="0"/>
                  <w:right w:val="single" w:color="auto" w:sz="6" w:space="0"/>
                  <w:insideH w:val="single" w:color="auto" w:sz="4" w:space="0"/>
                  <w:insideV w:val="single" w:color="auto" w:sz="6" w:space="0"/>
                </w:tblBorders>
                <w:tblCellMar>
                  <w:top w:w="0" w:type="dxa"/>
                  <w:left w:w="108" w:type="dxa"/>
                  <w:bottom w:w="0" w:type="dxa"/>
                  <w:right w:w="108" w:type="dxa"/>
                </w:tblCellMar>
              </w:tblPrEx>
              <w:trPr>
                <w:trHeight w:val="383" w:hRule="atLeast"/>
                <w:jc w:val="center"/>
              </w:trPr>
              <w:tc>
                <w:tcPr>
                  <w:tcW w:w="2404" w:type="dxa"/>
                  <w:vAlign w:val="center"/>
                </w:tcPr>
                <w:p w14:paraId="2D5600A5">
                  <w:pPr>
                    <w:pStyle w:val="108"/>
                    <w:rPr>
                      <w:kern w:val="0"/>
                    </w:rPr>
                  </w:pPr>
                  <w:r>
                    <w:rPr>
                      <w:rFonts w:hint="eastAsia"/>
                      <w:kern w:val="0"/>
                    </w:rPr>
                    <w:t>额定工作压力</w:t>
                  </w:r>
                </w:p>
              </w:tc>
              <w:tc>
                <w:tcPr>
                  <w:tcW w:w="3331" w:type="dxa"/>
                  <w:vAlign w:val="center"/>
                </w:tcPr>
                <w:p w14:paraId="092B930C">
                  <w:pPr>
                    <w:pStyle w:val="108"/>
                    <w:rPr>
                      <w:kern w:val="0"/>
                    </w:rPr>
                  </w:pPr>
                  <w:r>
                    <w:rPr>
                      <w:rFonts w:hint="eastAsia"/>
                      <w:kern w:val="0"/>
                    </w:rPr>
                    <w:t>MPa</w:t>
                  </w:r>
                </w:p>
              </w:tc>
              <w:tc>
                <w:tcPr>
                  <w:tcW w:w="2009" w:type="dxa"/>
                  <w:vAlign w:val="center"/>
                </w:tcPr>
                <w:p w14:paraId="535A6710">
                  <w:pPr>
                    <w:pStyle w:val="108"/>
                  </w:pPr>
                  <w:r>
                    <w:rPr>
                      <w:rFonts w:hint="eastAsia"/>
                    </w:rPr>
                    <w:t>1.25</w:t>
                  </w:r>
                </w:p>
              </w:tc>
            </w:tr>
            <w:tr w14:paraId="1ABABEB6">
              <w:tblPrEx>
                <w:tblBorders>
                  <w:top w:val="single" w:color="auto" w:sz="6" w:space="0"/>
                  <w:left w:val="single" w:color="auto" w:sz="6" w:space="0"/>
                  <w:bottom w:val="single" w:color="auto" w:sz="6" w:space="0"/>
                  <w:right w:val="single" w:color="auto" w:sz="6" w:space="0"/>
                  <w:insideH w:val="single" w:color="auto" w:sz="4" w:space="0"/>
                  <w:insideV w:val="single" w:color="auto" w:sz="6" w:space="0"/>
                </w:tblBorders>
                <w:tblCellMar>
                  <w:top w:w="0" w:type="dxa"/>
                  <w:left w:w="108" w:type="dxa"/>
                  <w:bottom w:w="0" w:type="dxa"/>
                  <w:right w:w="108" w:type="dxa"/>
                </w:tblCellMar>
              </w:tblPrEx>
              <w:trPr>
                <w:trHeight w:val="383" w:hRule="atLeast"/>
                <w:jc w:val="center"/>
              </w:trPr>
              <w:tc>
                <w:tcPr>
                  <w:tcW w:w="2404" w:type="dxa"/>
                  <w:vAlign w:val="center"/>
                </w:tcPr>
                <w:p w14:paraId="56D5C5A7">
                  <w:pPr>
                    <w:pStyle w:val="108"/>
                    <w:rPr>
                      <w:kern w:val="0"/>
                    </w:rPr>
                  </w:pPr>
                  <w:r>
                    <w:rPr>
                      <w:rFonts w:hint="eastAsia"/>
                      <w:kern w:val="0"/>
                    </w:rPr>
                    <w:t>额定蒸汽温度</w:t>
                  </w:r>
                </w:p>
              </w:tc>
              <w:tc>
                <w:tcPr>
                  <w:tcW w:w="3331" w:type="dxa"/>
                  <w:vAlign w:val="center"/>
                </w:tcPr>
                <w:p w14:paraId="6E9B0DCA">
                  <w:pPr>
                    <w:pStyle w:val="108"/>
                    <w:rPr>
                      <w:kern w:val="0"/>
                    </w:rPr>
                  </w:pPr>
                  <w:r>
                    <w:rPr>
                      <w:rFonts w:hint="eastAsia"/>
                      <w:kern w:val="0"/>
                    </w:rPr>
                    <w:t>℃</w:t>
                  </w:r>
                </w:p>
              </w:tc>
              <w:tc>
                <w:tcPr>
                  <w:tcW w:w="2009" w:type="dxa"/>
                  <w:vAlign w:val="center"/>
                </w:tcPr>
                <w:p w14:paraId="21CD9AE6">
                  <w:pPr>
                    <w:pStyle w:val="108"/>
                    <w:rPr>
                      <w:highlight w:val="yellow"/>
                    </w:rPr>
                  </w:pPr>
                  <w:r>
                    <w:rPr>
                      <w:rFonts w:hint="eastAsia"/>
                    </w:rPr>
                    <w:t>饱和</w:t>
                  </w:r>
                </w:p>
              </w:tc>
            </w:tr>
            <w:tr w14:paraId="22E23C3A">
              <w:tblPrEx>
                <w:tblBorders>
                  <w:top w:val="single" w:color="auto" w:sz="6" w:space="0"/>
                  <w:left w:val="single" w:color="auto" w:sz="6" w:space="0"/>
                  <w:bottom w:val="single" w:color="auto" w:sz="6" w:space="0"/>
                  <w:right w:val="single" w:color="auto" w:sz="6" w:space="0"/>
                  <w:insideH w:val="single" w:color="auto" w:sz="4" w:space="0"/>
                  <w:insideV w:val="single" w:color="auto" w:sz="6" w:space="0"/>
                </w:tblBorders>
                <w:tblCellMar>
                  <w:top w:w="0" w:type="dxa"/>
                  <w:left w:w="108" w:type="dxa"/>
                  <w:bottom w:w="0" w:type="dxa"/>
                  <w:right w:w="108" w:type="dxa"/>
                </w:tblCellMar>
              </w:tblPrEx>
              <w:trPr>
                <w:trHeight w:val="383" w:hRule="atLeast"/>
                <w:jc w:val="center"/>
              </w:trPr>
              <w:tc>
                <w:tcPr>
                  <w:tcW w:w="2404" w:type="dxa"/>
                  <w:vAlign w:val="center"/>
                </w:tcPr>
                <w:p w14:paraId="7B5559BC">
                  <w:pPr>
                    <w:pStyle w:val="108"/>
                    <w:rPr>
                      <w:kern w:val="0"/>
                    </w:rPr>
                  </w:pPr>
                  <w:r>
                    <w:rPr>
                      <w:rFonts w:hint="eastAsia"/>
                      <w:kern w:val="0"/>
                    </w:rPr>
                    <w:t>给水温度</w:t>
                  </w:r>
                </w:p>
              </w:tc>
              <w:tc>
                <w:tcPr>
                  <w:tcW w:w="3331" w:type="dxa"/>
                  <w:vAlign w:val="center"/>
                </w:tcPr>
                <w:p w14:paraId="06D719ED">
                  <w:pPr>
                    <w:pStyle w:val="108"/>
                    <w:rPr>
                      <w:kern w:val="0"/>
                    </w:rPr>
                  </w:pPr>
                  <w:r>
                    <w:rPr>
                      <w:rFonts w:hint="eastAsia"/>
                      <w:kern w:val="0"/>
                    </w:rPr>
                    <w:t>℃</w:t>
                  </w:r>
                </w:p>
              </w:tc>
              <w:tc>
                <w:tcPr>
                  <w:tcW w:w="2009" w:type="dxa"/>
                  <w:vAlign w:val="center"/>
                </w:tcPr>
                <w:p w14:paraId="4AFA3703">
                  <w:pPr>
                    <w:pStyle w:val="108"/>
                  </w:pPr>
                  <w:r>
                    <w:rPr>
                      <w:rFonts w:hint="eastAsia"/>
                    </w:rPr>
                    <w:t>20</w:t>
                  </w:r>
                </w:p>
              </w:tc>
            </w:tr>
            <w:tr w14:paraId="5122628D">
              <w:tblPrEx>
                <w:tblBorders>
                  <w:top w:val="single" w:color="auto" w:sz="6" w:space="0"/>
                  <w:left w:val="single" w:color="auto" w:sz="6" w:space="0"/>
                  <w:bottom w:val="single" w:color="auto" w:sz="6" w:space="0"/>
                  <w:right w:val="single" w:color="auto" w:sz="6" w:space="0"/>
                  <w:insideH w:val="single" w:color="auto" w:sz="4" w:space="0"/>
                  <w:insideV w:val="single" w:color="auto" w:sz="6" w:space="0"/>
                </w:tblBorders>
                <w:tblCellMar>
                  <w:top w:w="0" w:type="dxa"/>
                  <w:left w:w="108" w:type="dxa"/>
                  <w:bottom w:w="0" w:type="dxa"/>
                  <w:right w:w="108" w:type="dxa"/>
                </w:tblCellMar>
              </w:tblPrEx>
              <w:trPr>
                <w:trHeight w:val="431" w:hRule="atLeast"/>
                <w:jc w:val="center"/>
              </w:trPr>
              <w:tc>
                <w:tcPr>
                  <w:tcW w:w="2404" w:type="dxa"/>
                  <w:vAlign w:val="center"/>
                </w:tcPr>
                <w:p w14:paraId="69B0408A">
                  <w:pPr>
                    <w:pStyle w:val="108"/>
                    <w:rPr>
                      <w:kern w:val="0"/>
                    </w:rPr>
                  </w:pPr>
                  <w:r>
                    <w:rPr>
                      <w:rFonts w:hint="eastAsia"/>
                      <w:kern w:val="0"/>
                    </w:rPr>
                    <w:t>受热面积</w:t>
                  </w:r>
                </w:p>
              </w:tc>
              <w:tc>
                <w:tcPr>
                  <w:tcW w:w="3331" w:type="dxa"/>
                  <w:vAlign w:val="center"/>
                </w:tcPr>
                <w:p w14:paraId="2F3EB657">
                  <w:pPr>
                    <w:pStyle w:val="108"/>
                    <w:rPr>
                      <w:kern w:val="0"/>
                    </w:rPr>
                  </w:pPr>
                  <w:r>
                    <w:rPr>
                      <w:rFonts w:hint="eastAsia"/>
                      <w:kern w:val="0"/>
                    </w:rPr>
                    <w:t>m</w:t>
                  </w:r>
                  <w:r>
                    <w:rPr>
                      <w:rFonts w:hint="eastAsia"/>
                      <w:kern w:val="0"/>
                      <w:vertAlign w:val="superscript"/>
                    </w:rPr>
                    <w:t>2</w:t>
                  </w:r>
                </w:p>
              </w:tc>
              <w:tc>
                <w:tcPr>
                  <w:tcW w:w="2009" w:type="dxa"/>
                  <w:vAlign w:val="center"/>
                </w:tcPr>
                <w:p w14:paraId="7D81CFEA">
                  <w:pPr>
                    <w:pStyle w:val="108"/>
                  </w:pPr>
                  <w:r>
                    <w:rPr>
                      <w:rFonts w:hint="eastAsia"/>
                    </w:rPr>
                    <w:t>121.50</w:t>
                  </w:r>
                </w:p>
              </w:tc>
            </w:tr>
          </w:tbl>
          <w:p w14:paraId="6CDEACC5">
            <w:pPr>
              <w:adjustRightInd w:val="0"/>
              <w:snapToGrid w:val="0"/>
              <w:spacing w:line="400" w:lineRule="exact"/>
              <w:ind w:firstLine="422"/>
              <w:rPr>
                <w:b/>
                <w:szCs w:val="21"/>
              </w:rPr>
            </w:pPr>
            <w:r>
              <w:rPr>
                <w:rFonts w:hint="eastAsia"/>
                <w:b/>
                <w:szCs w:val="21"/>
              </w:rPr>
              <w:t>（</w:t>
            </w:r>
            <w:r>
              <w:rPr>
                <w:b/>
                <w:szCs w:val="21"/>
              </w:rPr>
              <w:t>4</w:t>
            </w:r>
            <w:r>
              <w:rPr>
                <w:rFonts w:hint="eastAsia"/>
                <w:b/>
                <w:szCs w:val="21"/>
              </w:rPr>
              <w:t>）改扩建项目</w:t>
            </w:r>
            <w:r>
              <w:rPr>
                <w:b/>
                <w:szCs w:val="21"/>
              </w:rPr>
              <w:t>主要原辅材料</w:t>
            </w:r>
            <w:r>
              <w:rPr>
                <w:rFonts w:hint="eastAsia"/>
                <w:b/>
                <w:szCs w:val="21"/>
              </w:rPr>
              <w:t>及能源</w:t>
            </w:r>
            <w:r>
              <w:rPr>
                <w:b/>
                <w:szCs w:val="21"/>
              </w:rPr>
              <w:t>消耗</w:t>
            </w:r>
          </w:p>
          <w:p w14:paraId="0CB38B7C">
            <w:pPr>
              <w:adjustRightInd w:val="0"/>
              <w:snapToGrid w:val="0"/>
              <w:spacing w:beforeLines="50"/>
              <w:ind w:firstLine="420"/>
            </w:pPr>
            <w:r>
              <w:rPr>
                <w:rFonts w:hint="eastAsia"/>
                <w:szCs w:val="21"/>
              </w:rPr>
              <w:t>改</w:t>
            </w:r>
            <w:r>
              <w:rPr>
                <w:rFonts w:hint="eastAsia"/>
                <w:bCs/>
                <w:szCs w:val="21"/>
              </w:rPr>
              <w:t>扩建</w:t>
            </w:r>
            <w:r>
              <w:rPr>
                <w:bCs/>
                <w:szCs w:val="21"/>
              </w:rPr>
              <w:t>项目主要原辅材料</w:t>
            </w:r>
            <w:r>
              <w:rPr>
                <w:rFonts w:hint="eastAsia"/>
                <w:bCs/>
                <w:szCs w:val="21"/>
              </w:rPr>
              <w:t>、能源</w:t>
            </w:r>
            <w:r>
              <w:rPr>
                <w:bCs/>
                <w:szCs w:val="21"/>
              </w:rPr>
              <w:t>消耗情况见下表。</w:t>
            </w:r>
          </w:p>
          <w:p w14:paraId="20191AED">
            <w:pPr>
              <w:pStyle w:val="73"/>
            </w:pPr>
            <w:r>
              <w:rPr>
                <w:rFonts w:hint="eastAsia"/>
                <w:bCs w:val="0"/>
              </w:rPr>
              <w:t>表2-9 改</w:t>
            </w:r>
            <w:r>
              <w:rPr>
                <w:rFonts w:hint="eastAsia"/>
              </w:rPr>
              <w:t>扩建项目</w:t>
            </w:r>
            <w:r>
              <w:t>主要原辅材料</w:t>
            </w:r>
            <w:r>
              <w:rPr>
                <w:rFonts w:hint="eastAsia"/>
              </w:rPr>
              <w:t>、能源</w:t>
            </w:r>
            <w:r>
              <w:t>消耗一览表</w:t>
            </w:r>
          </w:p>
          <w:tbl>
            <w:tblPr>
              <w:tblStyle w:val="25"/>
              <w:tblW w:w="74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
              <w:gridCol w:w="1004"/>
              <w:gridCol w:w="1337"/>
              <w:gridCol w:w="1245"/>
              <w:gridCol w:w="1865"/>
              <w:gridCol w:w="1386"/>
            </w:tblGrid>
            <w:tr w14:paraId="59347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432" w:type="pct"/>
                  <w:vAlign w:val="center"/>
                </w:tcPr>
                <w:p w14:paraId="6EEA161A">
                  <w:pPr>
                    <w:pStyle w:val="40"/>
                  </w:pPr>
                  <w:r>
                    <w:t>序号</w:t>
                  </w:r>
                </w:p>
              </w:tc>
              <w:tc>
                <w:tcPr>
                  <w:tcW w:w="671" w:type="pct"/>
                  <w:vAlign w:val="center"/>
                </w:tcPr>
                <w:p w14:paraId="39402C81">
                  <w:pPr>
                    <w:pStyle w:val="40"/>
                  </w:pPr>
                  <w:r>
                    <w:rPr>
                      <w:rFonts w:hint="eastAsia"/>
                    </w:rPr>
                    <w:t>类别</w:t>
                  </w:r>
                </w:p>
              </w:tc>
              <w:tc>
                <w:tcPr>
                  <w:tcW w:w="893" w:type="pct"/>
                  <w:vAlign w:val="center"/>
                </w:tcPr>
                <w:p w14:paraId="5256645D">
                  <w:pPr>
                    <w:pStyle w:val="40"/>
                  </w:pPr>
                  <w:r>
                    <w:t>名称</w:t>
                  </w:r>
                </w:p>
              </w:tc>
              <w:tc>
                <w:tcPr>
                  <w:tcW w:w="832" w:type="pct"/>
                  <w:vAlign w:val="center"/>
                </w:tcPr>
                <w:p w14:paraId="0AF97CA2">
                  <w:pPr>
                    <w:pStyle w:val="40"/>
                  </w:pPr>
                  <w:r>
                    <w:rPr>
                      <w:rFonts w:hint="eastAsia"/>
                    </w:rPr>
                    <w:t>消耗</w:t>
                  </w:r>
                  <w:r>
                    <w:t>量</w:t>
                  </w:r>
                </w:p>
              </w:tc>
              <w:tc>
                <w:tcPr>
                  <w:tcW w:w="1246" w:type="pct"/>
                  <w:vAlign w:val="center"/>
                </w:tcPr>
                <w:p w14:paraId="2AB96835">
                  <w:pPr>
                    <w:pStyle w:val="40"/>
                  </w:pPr>
                  <w:r>
                    <w:rPr>
                      <w:rFonts w:hint="eastAsia"/>
                    </w:rPr>
                    <w:t>包装规格</w:t>
                  </w:r>
                </w:p>
              </w:tc>
              <w:tc>
                <w:tcPr>
                  <w:tcW w:w="926" w:type="pct"/>
                  <w:vAlign w:val="center"/>
                </w:tcPr>
                <w:p w14:paraId="553C9B01">
                  <w:pPr>
                    <w:pStyle w:val="40"/>
                  </w:pPr>
                  <w:r>
                    <w:t>备注</w:t>
                  </w:r>
                </w:p>
              </w:tc>
            </w:tr>
            <w:tr w14:paraId="30158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9" w:hRule="atLeast"/>
                <w:jc w:val="center"/>
              </w:trPr>
              <w:tc>
                <w:tcPr>
                  <w:tcW w:w="432" w:type="pct"/>
                  <w:vAlign w:val="center"/>
                </w:tcPr>
                <w:p w14:paraId="6C1646CF">
                  <w:pPr>
                    <w:pStyle w:val="40"/>
                  </w:pPr>
                  <w:r>
                    <w:t>1</w:t>
                  </w:r>
                </w:p>
              </w:tc>
              <w:tc>
                <w:tcPr>
                  <w:tcW w:w="671" w:type="pct"/>
                  <w:vMerge w:val="restart"/>
                  <w:vAlign w:val="center"/>
                </w:tcPr>
                <w:p w14:paraId="6B99C601">
                  <w:pPr>
                    <w:pStyle w:val="40"/>
                  </w:pPr>
                  <w:r>
                    <w:rPr>
                      <w:rFonts w:hint="eastAsia"/>
                    </w:rPr>
                    <w:t>原、辅材料</w:t>
                  </w:r>
                </w:p>
              </w:tc>
              <w:tc>
                <w:tcPr>
                  <w:tcW w:w="893" w:type="pct"/>
                  <w:vAlign w:val="center"/>
                </w:tcPr>
                <w:p w14:paraId="010851C2">
                  <w:pPr>
                    <w:pStyle w:val="40"/>
                  </w:pPr>
                  <w:r>
                    <w:rPr>
                      <w:rFonts w:hint="eastAsia"/>
                    </w:rPr>
                    <w:t>各类水果</w:t>
                  </w:r>
                </w:p>
              </w:tc>
              <w:tc>
                <w:tcPr>
                  <w:tcW w:w="832" w:type="pct"/>
                  <w:vAlign w:val="center"/>
                </w:tcPr>
                <w:p w14:paraId="2A3E32D8">
                  <w:pPr>
                    <w:pStyle w:val="40"/>
                  </w:pPr>
                  <w:r>
                    <w:rPr>
                      <w:rFonts w:hint="eastAsia"/>
                    </w:rPr>
                    <w:t>150</w:t>
                  </w:r>
                  <w:r>
                    <w:t>t</w:t>
                  </w:r>
                  <w:r>
                    <w:rPr>
                      <w:rFonts w:hint="eastAsia"/>
                    </w:rPr>
                    <w:t>/a</w:t>
                  </w:r>
                </w:p>
              </w:tc>
              <w:tc>
                <w:tcPr>
                  <w:tcW w:w="1246" w:type="pct"/>
                  <w:vAlign w:val="center"/>
                </w:tcPr>
                <w:p w14:paraId="686DBC6F">
                  <w:pPr>
                    <w:pStyle w:val="40"/>
                  </w:pPr>
                  <w:r>
                    <w:rPr>
                      <w:rFonts w:hint="eastAsia"/>
                    </w:rPr>
                    <w:t>散装，从果农处购买后存于库房，按需购入</w:t>
                  </w:r>
                </w:p>
              </w:tc>
              <w:tc>
                <w:tcPr>
                  <w:tcW w:w="926" w:type="pct"/>
                  <w:vAlign w:val="center"/>
                </w:tcPr>
                <w:p w14:paraId="16201232">
                  <w:pPr>
                    <w:pStyle w:val="40"/>
                  </w:pPr>
                  <w:r>
                    <w:rPr>
                      <w:rFonts w:hint="eastAsia"/>
                    </w:rPr>
                    <w:t>苹果、梨、桃、草莓、杏等</w:t>
                  </w:r>
                </w:p>
              </w:tc>
            </w:tr>
            <w:tr w14:paraId="4DCBC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1" w:hRule="atLeast"/>
                <w:jc w:val="center"/>
              </w:trPr>
              <w:tc>
                <w:tcPr>
                  <w:tcW w:w="432" w:type="pct"/>
                  <w:vAlign w:val="center"/>
                </w:tcPr>
                <w:p w14:paraId="55006EE9">
                  <w:pPr>
                    <w:pStyle w:val="40"/>
                  </w:pPr>
                  <w:r>
                    <w:rPr>
                      <w:rFonts w:hint="eastAsia"/>
                    </w:rPr>
                    <w:t>2</w:t>
                  </w:r>
                </w:p>
              </w:tc>
              <w:tc>
                <w:tcPr>
                  <w:tcW w:w="671" w:type="pct"/>
                  <w:vMerge w:val="continue"/>
                  <w:vAlign w:val="center"/>
                </w:tcPr>
                <w:p w14:paraId="0A831D69">
                  <w:pPr>
                    <w:pStyle w:val="40"/>
                  </w:pPr>
                </w:p>
              </w:tc>
              <w:tc>
                <w:tcPr>
                  <w:tcW w:w="893" w:type="pct"/>
                  <w:vAlign w:val="center"/>
                </w:tcPr>
                <w:p w14:paraId="72EEE752">
                  <w:pPr>
                    <w:pStyle w:val="40"/>
                  </w:pPr>
                  <w:r>
                    <w:rPr>
                      <w:rFonts w:hint="eastAsia"/>
                    </w:rPr>
                    <w:t>糖</w:t>
                  </w:r>
                </w:p>
              </w:tc>
              <w:tc>
                <w:tcPr>
                  <w:tcW w:w="832" w:type="pct"/>
                  <w:vAlign w:val="center"/>
                </w:tcPr>
                <w:p w14:paraId="4A62E352">
                  <w:pPr>
                    <w:pStyle w:val="40"/>
                  </w:pPr>
                  <w:r>
                    <w:rPr>
                      <w:rFonts w:hint="eastAsia"/>
                    </w:rPr>
                    <w:t>12</w:t>
                  </w:r>
                  <w:r>
                    <w:t>t</w:t>
                  </w:r>
                  <w:r>
                    <w:rPr>
                      <w:rFonts w:hint="eastAsia"/>
                    </w:rPr>
                    <w:t>/a</w:t>
                  </w:r>
                </w:p>
              </w:tc>
              <w:tc>
                <w:tcPr>
                  <w:tcW w:w="1246" w:type="pct"/>
                  <w:vAlign w:val="center"/>
                </w:tcPr>
                <w:p w14:paraId="66E039A5">
                  <w:pPr>
                    <w:pStyle w:val="40"/>
                  </w:pPr>
                  <w:r>
                    <w:t>外购</w:t>
                  </w:r>
                  <w:r>
                    <w:rPr>
                      <w:rFonts w:hint="eastAsia"/>
                    </w:rPr>
                    <w:t>，袋装，25kg/袋</w:t>
                  </w:r>
                </w:p>
              </w:tc>
              <w:tc>
                <w:tcPr>
                  <w:tcW w:w="926" w:type="pct"/>
                  <w:vAlign w:val="center"/>
                </w:tcPr>
                <w:p w14:paraId="09997C5C">
                  <w:pPr>
                    <w:pStyle w:val="40"/>
                  </w:pPr>
                  <w:r>
                    <w:rPr>
                      <w:rFonts w:hint="eastAsia"/>
                    </w:rPr>
                    <w:t>/</w:t>
                  </w:r>
                </w:p>
              </w:tc>
            </w:tr>
            <w:tr w14:paraId="6265D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1" w:hRule="atLeast"/>
                <w:jc w:val="center"/>
              </w:trPr>
              <w:tc>
                <w:tcPr>
                  <w:tcW w:w="432" w:type="pct"/>
                  <w:vAlign w:val="center"/>
                </w:tcPr>
                <w:p w14:paraId="536DEAEE">
                  <w:pPr>
                    <w:pStyle w:val="40"/>
                  </w:pPr>
                  <w:r>
                    <w:rPr>
                      <w:rFonts w:hint="eastAsia"/>
                    </w:rPr>
                    <w:t>3</w:t>
                  </w:r>
                </w:p>
              </w:tc>
              <w:tc>
                <w:tcPr>
                  <w:tcW w:w="671" w:type="pct"/>
                  <w:vMerge w:val="continue"/>
                  <w:vAlign w:val="center"/>
                </w:tcPr>
                <w:p w14:paraId="3CF37FCD">
                  <w:pPr>
                    <w:pStyle w:val="40"/>
                  </w:pPr>
                </w:p>
              </w:tc>
              <w:tc>
                <w:tcPr>
                  <w:tcW w:w="893" w:type="pct"/>
                  <w:vAlign w:val="center"/>
                </w:tcPr>
                <w:p w14:paraId="654C5916">
                  <w:pPr>
                    <w:pStyle w:val="40"/>
                  </w:pPr>
                  <w:r>
                    <w:rPr>
                      <w:rFonts w:hint="eastAsia"/>
                    </w:rPr>
                    <w:t>柠檬酸</w:t>
                  </w:r>
                </w:p>
              </w:tc>
              <w:tc>
                <w:tcPr>
                  <w:tcW w:w="832" w:type="pct"/>
                  <w:vAlign w:val="center"/>
                </w:tcPr>
                <w:p w14:paraId="69C5D69E">
                  <w:pPr>
                    <w:pStyle w:val="40"/>
                  </w:pPr>
                  <w:r>
                    <w:t>0.</w:t>
                  </w:r>
                  <w:r>
                    <w:rPr>
                      <w:rFonts w:hint="eastAsia"/>
                    </w:rPr>
                    <w:t>1</w:t>
                  </w:r>
                  <w:r>
                    <w:t>t</w:t>
                  </w:r>
                  <w:r>
                    <w:rPr>
                      <w:rFonts w:hint="eastAsia"/>
                    </w:rPr>
                    <w:t>/a</w:t>
                  </w:r>
                </w:p>
              </w:tc>
              <w:tc>
                <w:tcPr>
                  <w:tcW w:w="1246" w:type="pct"/>
                  <w:vAlign w:val="center"/>
                </w:tcPr>
                <w:p w14:paraId="7A97F89C">
                  <w:pPr>
                    <w:pStyle w:val="40"/>
                  </w:pPr>
                  <w:r>
                    <w:rPr>
                      <w:rFonts w:hint="eastAsia"/>
                    </w:rPr>
                    <w:t>外购，袋装，25kg/袋</w:t>
                  </w:r>
                </w:p>
              </w:tc>
              <w:tc>
                <w:tcPr>
                  <w:tcW w:w="926" w:type="pct"/>
                  <w:vAlign w:val="center"/>
                </w:tcPr>
                <w:p w14:paraId="09B5201B">
                  <w:pPr>
                    <w:pStyle w:val="40"/>
                  </w:pPr>
                  <w:r>
                    <w:rPr>
                      <w:rFonts w:hint="eastAsia"/>
                    </w:rPr>
                    <w:t>/</w:t>
                  </w:r>
                </w:p>
              </w:tc>
            </w:tr>
            <w:tr w14:paraId="44FF2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9" w:hRule="atLeast"/>
                <w:jc w:val="center"/>
              </w:trPr>
              <w:tc>
                <w:tcPr>
                  <w:tcW w:w="432" w:type="pct"/>
                  <w:vAlign w:val="center"/>
                </w:tcPr>
                <w:p w14:paraId="0AB361BC">
                  <w:pPr>
                    <w:pStyle w:val="40"/>
                  </w:pPr>
                  <w:r>
                    <w:rPr>
                      <w:rFonts w:hint="eastAsia"/>
                    </w:rPr>
                    <w:t>4</w:t>
                  </w:r>
                </w:p>
              </w:tc>
              <w:tc>
                <w:tcPr>
                  <w:tcW w:w="671" w:type="pct"/>
                  <w:vMerge w:val="continue"/>
                  <w:vAlign w:val="center"/>
                </w:tcPr>
                <w:p w14:paraId="692EC2B1">
                  <w:pPr>
                    <w:pStyle w:val="40"/>
                  </w:pPr>
                </w:p>
              </w:tc>
              <w:tc>
                <w:tcPr>
                  <w:tcW w:w="893" w:type="pct"/>
                  <w:vAlign w:val="center"/>
                </w:tcPr>
                <w:p w14:paraId="52CCBAF6">
                  <w:pPr>
                    <w:pStyle w:val="40"/>
                  </w:pPr>
                  <w:r>
                    <w:rPr>
                      <w:rFonts w:hint="eastAsia"/>
                    </w:rPr>
                    <w:t>食用色素</w:t>
                  </w:r>
                </w:p>
              </w:tc>
              <w:tc>
                <w:tcPr>
                  <w:tcW w:w="832" w:type="pct"/>
                  <w:vAlign w:val="center"/>
                </w:tcPr>
                <w:p w14:paraId="5E3FA8AA">
                  <w:pPr>
                    <w:pStyle w:val="40"/>
                  </w:pPr>
                  <w:r>
                    <w:rPr>
                      <w:rFonts w:hint="eastAsia"/>
                    </w:rPr>
                    <w:t>0.02</w:t>
                  </w:r>
                  <w:r>
                    <w:t>t</w:t>
                  </w:r>
                  <w:r>
                    <w:rPr>
                      <w:rFonts w:hint="eastAsia"/>
                    </w:rPr>
                    <w:t>/a</w:t>
                  </w:r>
                </w:p>
              </w:tc>
              <w:tc>
                <w:tcPr>
                  <w:tcW w:w="1246" w:type="pct"/>
                  <w:vAlign w:val="center"/>
                </w:tcPr>
                <w:p w14:paraId="3CECBF71">
                  <w:pPr>
                    <w:pStyle w:val="40"/>
                  </w:pPr>
                  <w:r>
                    <w:t>外购</w:t>
                  </w:r>
                  <w:r>
                    <w:rPr>
                      <w:rFonts w:hint="eastAsia"/>
                    </w:rPr>
                    <w:t>，袋装</w:t>
                  </w:r>
                </w:p>
              </w:tc>
              <w:tc>
                <w:tcPr>
                  <w:tcW w:w="926" w:type="pct"/>
                  <w:vAlign w:val="center"/>
                </w:tcPr>
                <w:p w14:paraId="0C97E899">
                  <w:pPr>
                    <w:pStyle w:val="40"/>
                  </w:pPr>
                  <w:r>
                    <w:rPr>
                      <w:rFonts w:hint="eastAsia"/>
                    </w:rPr>
                    <w:t>/</w:t>
                  </w:r>
                </w:p>
              </w:tc>
            </w:tr>
            <w:tr w14:paraId="6763B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9" w:hRule="atLeast"/>
                <w:jc w:val="center"/>
              </w:trPr>
              <w:tc>
                <w:tcPr>
                  <w:tcW w:w="432" w:type="pct"/>
                  <w:vAlign w:val="center"/>
                </w:tcPr>
                <w:p w14:paraId="305F81A8">
                  <w:pPr>
                    <w:pStyle w:val="40"/>
                  </w:pPr>
                  <w:r>
                    <w:rPr>
                      <w:rFonts w:hint="eastAsia"/>
                    </w:rPr>
                    <w:t>5</w:t>
                  </w:r>
                </w:p>
              </w:tc>
              <w:tc>
                <w:tcPr>
                  <w:tcW w:w="671" w:type="pct"/>
                  <w:vMerge w:val="continue"/>
                  <w:vAlign w:val="center"/>
                </w:tcPr>
                <w:p w14:paraId="14A96BB0">
                  <w:pPr>
                    <w:pStyle w:val="40"/>
                  </w:pPr>
                </w:p>
              </w:tc>
              <w:tc>
                <w:tcPr>
                  <w:tcW w:w="893" w:type="pct"/>
                  <w:vAlign w:val="center"/>
                </w:tcPr>
                <w:p w14:paraId="00BC01DE">
                  <w:pPr>
                    <w:pStyle w:val="40"/>
                  </w:pPr>
                  <w:r>
                    <w:rPr>
                      <w:rFonts w:hint="eastAsia"/>
                    </w:rPr>
                    <w:t>罐头瓶</w:t>
                  </w:r>
                </w:p>
              </w:tc>
              <w:tc>
                <w:tcPr>
                  <w:tcW w:w="832" w:type="pct"/>
                  <w:vAlign w:val="center"/>
                </w:tcPr>
                <w:p w14:paraId="61659A46">
                  <w:pPr>
                    <w:pStyle w:val="40"/>
                  </w:pPr>
                  <w:r>
                    <w:rPr>
                      <w:rFonts w:hint="eastAsia"/>
                    </w:rPr>
                    <w:t>10万瓶/a</w:t>
                  </w:r>
                </w:p>
              </w:tc>
              <w:tc>
                <w:tcPr>
                  <w:tcW w:w="1246" w:type="pct"/>
                  <w:vAlign w:val="center"/>
                </w:tcPr>
                <w:p w14:paraId="1F332242">
                  <w:pPr>
                    <w:pStyle w:val="40"/>
                  </w:pPr>
                  <w:r>
                    <w:rPr>
                      <w:rFonts w:hint="eastAsia"/>
                    </w:rPr>
                    <w:t>/</w:t>
                  </w:r>
                </w:p>
              </w:tc>
              <w:tc>
                <w:tcPr>
                  <w:tcW w:w="926" w:type="pct"/>
                  <w:vAlign w:val="center"/>
                </w:tcPr>
                <w:p w14:paraId="2876F92D">
                  <w:pPr>
                    <w:pStyle w:val="40"/>
                  </w:pPr>
                  <w:r>
                    <w:rPr>
                      <w:rFonts w:hint="eastAsia"/>
                    </w:rPr>
                    <w:t>/</w:t>
                  </w:r>
                </w:p>
              </w:tc>
            </w:tr>
            <w:tr w14:paraId="52B30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6" w:hRule="atLeast"/>
                <w:jc w:val="center"/>
              </w:trPr>
              <w:tc>
                <w:tcPr>
                  <w:tcW w:w="432" w:type="pct"/>
                  <w:vAlign w:val="center"/>
                </w:tcPr>
                <w:p w14:paraId="0B0378A9">
                  <w:pPr>
                    <w:pStyle w:val="40"/>
                  </w:pPr>
                  <w:r>
                    <w:rPr>
                      <w:rFonts w:hint="eastAsia"/>
                    </w:rPr>
                    <w:t>6</w:t>
                  </w:r>
                </w:p>
              </w:tc>
              <w:tc>
                <w:tcPr>
                  <w:tcW w:w="671" w:type="pct"/>
                  <w:vMerge w:val="continue"/>
                </w:tcPr>
                <w:p w14:paraId="06F509B2">
                  <w:pPr>
                    <w:pStyle w:val="40"/>
                  </w:pPr>
                </w:p>
              </w:tc>
              <w:tc>
                <w:tcPr>
                  <w:tcW w:w="893" w:type="pct"/>
                  <w:vAlign w:val="center"/>
                </w:tcPr>
                <w:p w14:paraId="5AAFF186">
                  <w:pPr>
                    <w:pStyle w:val="40"/>
                  </w:pPr>
                  <w:r>
                    <w:rPr>
                      <w:rFonts w:hint="eastAsia"/>
                    </w:rPr>
                    <w:t>包装纸箱</w:t>
                  </w:r>
                </w:p>
              </w:tc>
              <w:tc>
                <w:tcPr>
                  <w:tcW w:w="832" w:type="pct"/>
                  <w:vAlign w:val="center"/>
                </w:tcPr>
                <w:p w14:paraId="1E693AF8">
                  <w:pPr>
                    <w:pStyle w:val="40"/>
                  </w:pPr>
                  <w:r>
                    <w:rPr>
                      <w:rFonts w:hint="eastAsia"/>
                    </w:rPr>
                    <w:t>0.8万个/a</w:t>
                  </w:r>
                </w:p>
              </w:tc>
              <w:tc>
                <w:tcPr>
                  <w:tcW w:w="1246" w:type="pct"/>
                  <w:vAlign w:val="center"/>
                </w:tcPr>
                <w:p w14:paraId="1E64CF39">
                  <w:pPr>
                    <w:pStyle w:val="40"/>
                  </w:pPr>
                  <w:r>
                    <w:rPr>
                      <w:rFonts w:hint="eastAsia"/>
                    </w:rPr>
                    <w:t>/</w:t>
                  </w:r>
                </w:p>
              </w:tc>
              <w:tc>
                <w:tcPr>
                  <w:tcW w:w="926" w:type="pct"/>
                  <w:vAlign w:val="center"/>
                </w:tcPr>
                <w:p w14:paraId="2828CE50">
                  <w:pPr>
                    <w:pStyle w:val="40"/>
                  </w:pPr>
                  <w:r>
                    <w:rPr>
                      <w:rFonts w:hint="eastAsia"/>
                    </w:rPr>
                    <w:t>相关厂家定制</w:t>
                  </w:r>
                </w:p>
              </w:tc>
            </w:tr>
            <w:tr w14:paraId="5F3AB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6" w:hRule="atLeast"/>
                <w:jc w:val="center"/>
              </w:trPr>
              <w:tc>
                <w:tcPr>
                  <w:tcW w:w="432" w:type="pct"/>
                  <w:vAlign w:val="center"/>
                </w:tcPr>
                <w:p w14:paraId="233717D9">
                  <w:pPr>
                    <w:pStyle w:val="40"/>
                  </w:pPr>
                  <w:r>
                    <w:rPr>
                      <w:rFonts w:hint="eastAsia"/>
                    </w:rPr>
                    <w:t>7</w:t>
                  </w:r>
                </w:p>
              </w:tc>
              <w:tc>
                <w:tcPr>
                  <w:tcW w:w="671" w:type="pct"/>
                  <w:vMerge w:val="continue"/>
                </w:tcPr>
                <w:p w14:paraId="398BF1EE">
                  <w:pPr>
                    <w:pStyle w:val="40"/>
                  </w:pPr>
                </w:p>
              </w:tc>
              <w:tc>
                <w:tcPr>
                  <w:tcW w:w="893" w:type="pct"/>
                  <w:vAlign w:val="center"/>
                </w:tcPr>
                <w:p w14:paraId="64A72E0A">
                  <w:pPr>
                    <w:pStyle w:val="40"/>
                  </w:pPr>
                  <w:r>
                    <w:rPr>
                      <w:rFonts w:hint="eastAsia"/>
                    </w:rPr>
                    <w:t>标签</w:t>
                  </w:r>
                </w:p>
              </w:tc>
              <w:tc>
                <w:tcPr>
                  <w:tcW w:w="832" w:type="pct"/>
                  <w:vAlign w:val="center"/>
                </w:tcPr>
                <w:p w14:paraId="5A828F17">
                  <w:pPr>
                    <w:pStyle w:val="40"/>
                  </w:pPr>
                  <w:r>
                    <w:rPr>
                      <w:rFonts w:hint="eastAsia"/>
                    </w:rPr>
                    <w:t>若干</w:t>
                  </w:r>
                </w:p>
              </w:tc>
              <w:tc>
                <w:tcPr>
                  <w:tcW w:w="1246" w:type="pct"/>
                  <w:vAlign w:val="center"/>
                </w:tcPr>
                <w:p w14:paraId="55C3134B">
                  <w:pPr>
                    <w:pStyle w:val="40"/>
                  </w:pPr>
                  <w:r>
                    <w:rPr>
                      <w:rFonts w:hint="eastAsia"/>
                    </w:rPr>
                    <w:t>/</w:t>
                  </w:r>
                </w:p>
              </w:tc>
              <w:tc>
                <w:tcPr>
                  <w:tcW w:w="926" w:type="pct"/>
                  <w:vAlign w:val="center"/>
                </w:tcPr>
                <w:p w14:paraId="1C5A87AD">
                  <w:pPr>
                    <w:pStyle w:val="40"/>
                  </w:pPr>
                  <w:r>
                    <w:rPr>
                      <w:rFonts w:hint="eastAsia"/>
                    </w:rPr>
                    <w:t>相关厂家定制</w:t>
                  </w:r>
                </w:p>
              </w:tc>
            </w:tr>
            <w:tr w14:paraId="3DF2C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6" w:hRule="atLeast"/>
                <w:jc w:val="center"/>
              </w:trPr>
              <w:tc>
                <w:tcPr>
                  <w:tcW w:w="432" w:type="pct"/>
                  <w:vAlign w:val="center"/>
                </w:tcPr>
                <w:p w14:paraId="774F0F84">
                  <w:pPr>
                    <w:pStyle w:val="40"/>
                  </w:pPr>
                  <w:r>
                    <w:rPr>
                      <w:rFonts w:hint="eastAsia"/>
                    </w:rPr>
                    <w:t>8</w:t>
                  </w:r>
                </w:p>
              </w:tc>
              <w:tc>
                <w:tcPr>
                  <w:tcW w:w="671" w:type="pct"/>
                  <w:vMerge w:val="restart"/>
                  <w:vAlign w:val="center"/>
                </w:tcPr>
                <w:p w14:paraId="4DC56015">
                  <w:pPr>
                    <w:pStyle w:val="40"/>
                  </w:pPr>
                  <w:r>
                    <w:rPr>
                      <w:rFonts w:hint="eastAsia"/>
                    </w:rPr>
                    <w:t>废气治理</w:t>
                  </w:r>
                </w:p>
              </w:tc>
              <w:tc>
                <w:tcPr>
                  <w:tcW w:w="893" w:type="pct"/>
                  <w:vAlign w:val="center"/>
                </w:tcPr>
                <w:p w14:paraId="7793F102">
                  <w:pPr>
                    <w:pStyle w:val="40"/>
                  </w:pPr>
                  <w:r>
                    <w:rPr>
                      <w:rFonts w:hint="eastAsia"/>
                    </w:rPr>
                    <w:t>活性炭</w:t>
                  </w:r>
                </w:p>
              </w:tc>
              <w:tc>
                <w:tcPr>
                  <w:tcW w:w="832" w:type="pct"/>
                  <w:vAlign w:val="center"/>
                </w:tcPr>
                <w:p w14:paraId="74055A62">
                  <w:pPr>
                    <w:pStyle w:val="40"/>
                    <w:rPr>
                      <w:highlight w:val="yellow"/>
                    </w:rPr>
                  </w:pPr>
                  <w:r>
                    <w:rPr>
                      <w:rFonts w:hint="eastAsia"/>
                    </w:rPr>
                    <w:t>0.02</w:t>
                  </w:r>
                  <w:r>
                    <w:t>t</w:t>
                  </w:r>
                  <w:r>
                    <w:rPr>
                      <w:rFonts w:hint="eastAsia"/>
                    </w:rPr>
                    <w:t>/a</w:t>
                  </w:r>
                </w:p>
              </w:tc>
              <w:tc>
                <w:tcPr>
                  <w:tcW w:w="1246" w:type="pct"/>
                  <w:vAlign w:val="center"/>
                </w:tcPr>
                <w:p w14:paraId="1CBF5F74">
                  <w:pPr>
                    <w:pStyle w:val="40"/>
                  </w:pPr>
                  <w:r>
                    <w:rPr>
                      <w:rFonts w:hint="eastAsia"/>
                    </w:rPr>
                    <w:t>/</w:t>
                  </w:r>
                </w:p>
              </w:tc>
              <w:tc>
                <w:tcPr>
                  <w:tcW w:w="926" w:type="pct"/>
                  <w:vAlign w:val="center"/>
                </w:tcPr>
                <w:p w14:paraId="7352CF46">
                  <w:pPr>
                    <w:pStyle w:val="40"/>
                  </w:pPr>
                  <w:r>
                    <w:rPr>
                      <w:rFonts w:hint="eastAsia"/>
                    </w:rPr>
                    <w:t>除臭</w:t>
                  </w:r>
                </w:p>
              </w:tc>
            </w:tr>
            <w:tr w14:paraId="46727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6" w:hRule="atLeast"/>
                <w:jc w:val="center"/>
              </w:trPr>
              <w:tc>
                <w:tcPr>
                  <w:tcW w:w="432" w:type="pct"/>
                  <w:vAlign w:val="center"/>
                </w:tcPr>
                <w:p w14:paraId="25B30F35">
                  <w:pPr>
                    <w:pStyle w:val="40"/>
                  </w:pPr>
                  <w:r>
                    <w:rPr>
                      <w:rFonts w:hint="eastAsia"/>
                    </w:rPr>
                    <w:t>9</w:t>
                  </w:r>
                </w:p>
              </w:tc>
              <w:tc>
                <w:tcPr>
                  <w:tcW w:w="671" w:type="pct"/>
                  <w:vMerge w:val="continue"/>
                </w:tcPr>
                <w:p w14:paraId="33A5A765">
                  <w:pPr>
                    <w:pStyle w:val="40"/>
                  </w:pPr>
                </w:p>
              </w:tc>
              <w:tc>
                <w:tcPr>
                  <w:tcW w:w="893" w:type="pct"/>
                  <w:vAlign w:val="center"/>
                </w:tcPr>
                <w:p w14:paraId="730973A8">
                  <w:pPr>
                    <w:pStyle w:val="40"/>
                  </w:pPr>
                  <w:r>
                    <w:rPr>
                      <w:rFonts w:hint="eastAsia"/>
                    </w:rPr>
                    <w:t>尿素</w:t>
                  </w:r>
                </w:p>
              </w:tc>
              <w:tc>
                <w:tcPr>
                  <w:tcW w:w="832" w:type="pct"/>
                  <w:vAlign w:val="center"/>
                </w:tcPr>
                <w:p w14:paraId="66BE43D2">
                  <w:pPr>
                    <w:pStyle w:val="40"/>
                    <w:rPr>
                      <w:highlight w:val="yellow"/>
                    </w:rPr>
                  </w:pPr>
                  <w:r>
                    <w:rPr>
                      <w:rFonts w:hint="eastAsia"/>
                    </w:rPr>
                    <w:t>0.71</w:t>
                  </w:r>
                  <w:r>
                    <w:t>t</w:t>
                  </w:r>
                  <w:r>
                    <w:rPr>
                      <w:rFonts w:hint="eastAsia"/>
                    </w:rPr>
                    <w:t>/a</w:t>
                  </w:r>
                </w:p>
              </w:tc>
              <w:tc>
                <w:tcPr>
                  <w:tcW w:w="1246" w:type="pct"/>
                  <w:vAlign w:val="center"/>
                </w:tcPr>
                <w:p w14:paraId="06BF8BA6">
                  <w:pPr>
                    <w:pStyle w:val="40"/>
                  </w:pPr>
                  <w:r>
                    <w:rPr>
                      <w:rFonts w:hint="eastAsia"/>
                    </w:rPr>
                    <w:t>/</w:t>
                  </w:r>
                </w:p>
              </w:tc>
              <w:tc>
                <w:tcPr>
                  <w:tcW w:w="926" w:type="pct"/>
                  <w:vAlign w:val="center"/>
                </w:tcPr>
                <w:p w14:paraId="1D47706F">
                  <w:pPr>
                    <w:pStyle w:val="40"/>
                  </w:pPr>
                  <w:r>
                    <w:rPr>
                      <w:rFonts w:hint="eastAsia"/>
                    </w:rPr>
                    <w:t>脱硝还原剂</w:t>
                  </w:r>
                </w:p>
              </w:tc>
            </w:tr>
            <w:tr w14:paraId="7EAB2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6" w:hRule="atLeast"/>
                <w:jc w:val="center"/>
              </w:trPr>
              <w:tc>
                <w:tcPr>
                  <w:tcW w:w="432" w:type="pct"/>
                  <w:vAlign w:val="center"/>
                </w:tcPr>
                <w:p w14:paraId="64D50D95">
                  <w:pPr>
                    <w:pStyle w:val="40"/>
                  </w:pPr>
                  <w:r>
                    <w:rPr>
                      <w:rFonts w:hint="eastAsia"/>
                    </w:rPr>
                    <w:t>10</w:t>
                  </w:r>
                </w:p>
              </w:tc>
              <w:tc>
                <w:tcPr>
                  <w:tcW w:w="671" w:type="pct"/>
                  <w:vMerge w:val="restart"/>
                  <w:vAlign w:val="center"/>
                </w:tcPr>
                <w:p w14:paraId="60AA8213">
                  <w:pPr>
                    <w:pStyle w:val="40"/>
                  </w:pPr>
                  <w:r>
                    <w:rPr>
                      <w:rFonts w:hint="eastAsia"/>
                    </w:rPr>
                    <w:t>污水处理药剂</w:t>
                  </w:r>
                </w:p>
              </w:tc>
              <w:tc>
                <w:tcPr>
                  <w:tcW w:w="893" w:type="pct"/>
                  <w:vAlign w:val="center"/>
                </w:tcPr>
                <w:p w14:paraId="392A7170">
                  <w:pPr>
                    <w:pStyle w:val="40"/>
                  </w:pPr>
                  <w:r>
                    <w:rPr>
                      <w:rFonts w:hint="eastAsia"/>
                    </w:rPr>
                    <w:t>Ca（OH）</w:t>
                  </w:r>
                  <w:r>
                    <w:rPr>
                      <w:rFonts w:hint="eastAsia"/>
                      <w:vertAlign w:val="subscript"/>
                    </w:rPr>
                    <w:t>2</w:t>
                  </w:r>
                </w:p>
              </w:tc>
              <w:tc>
                <w:tcPr>
                  <w:tcW w:w="832" w:type="pct"/>
                  <w:vAlign w:val="center"/>
                </w:tcPr>
                <w:p w14:paraId="4FC9648F">
                  <w:pPr>
                    <w:pStyle w:val="40"/>
                  </w:pPr>
                  <w:r>
                    <w:rPr>
                      <w:rFonts w:hint="eastAsia"/>
                    </w:rPr>
                    <w:t>5.3</w:t>
                  </w:r>
                  <w:r>
                    <w:t>t</w:t>
                  </w:r>
                  <w:r>
                    <w:rPr>
                      <w:rFonts w:hint="eastAsia"/>
                    </w:rPr>
                    <w:t>/a</w:t>
                  </w:r>
                </w:p>
              </w:tc>
              <w:tc>
                <w:tcPr>
                  <w:tcW w:w="1246" w:type="pct"/>
                  <w:vAlign w:val="center"/>
                </w:tcPr>
                <w:p w14:paraId="324F1D50">
                  <w:pPr>
                    <w:pStyle w:val="40"/>
                  </w:pPr>
                  <w:r>
                    <w:rPr>
                      <w:rFonts w:hint="eastAsia"/>
                    </w:rPr>
                    <w:t>/</w:t>
                  </w:r>
                </w:p>
              </w:tc>
              <w:tc>
                <w:tcPr>
                  <w:tcW w:w="926" w:type="pct"/>
                  <w:vAlign w:val="center"/>
                </w:tcPr>
                <w:p w14:paraId="70A55B3A">
                  <w:pPr>
                    <w:pStyle w:val="40"/>
                  </w:pPr>
                </w:p>
              </w:tc>
            </w:tr>
            <w:tr w14:paraId="7C2E9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6" w:hRule="atLeast"/>
                <w:jc w:val="center"/>
              </w:trPr>
              <w:tc>
                <w:tcPr>
                  <w:tcW w:w="432" w:type="pct"/>
                  <w:vAlign w:val="center"/>
                </w:tcPr>
                <w:p w14:paraId="0623E86E">
                  <w:pPr>
                    <w:pStyle w:val="40"/>
                  </w:pPr>
                  <w:r>
                    <w:rPr>
                      <w:rFonts w:hint="eastAsia"/>
                    </w:rPr>
                    <w:t>11</w:t>
                  </w:r>
                </w:p>
              </w:tc>
              <w:tc>
                <w:tcPr>
                  <w:tcW w:w="671" w:type="pct"/>
                  <w:vMerge w:val="continue"/>
                </w:tcPr>
                <w:p w14:paraId="5EEEFF73">
                  <w:pPr>
                    <w:pStyle w:val="40"/>
                  </w:pPr>
                </w:p>
              </w:tc>
              <w:tc>
                <w:tcPr>
                  <w:tcW w:w="893" w:type="pct"/>
                  <w:vAlign w:val="center"/>
                </w:tcPr>
                <w:p w14:paraId="5B33827E">
                  <w:pPr>
                    <w:pStyle w:val="40"/>
                  </w:pPr>
                  <w:r>
                    <w:rPr>
                      <w:rFonts w:hint="eastAsia"/>
                    </w:rPr>
                    <w:t>PAC</w:t>
                  </w:r>
                </w:p>
              </w:tc>
              <w:tc>
                <w:tcPr>
                  <w:tcW w:w="832" w:type="pct"/>
                  <w:vAlign w:val="center"/>
                </w:tcPr>
                <w:p w14:paraId="595F2593">
                  <w:pPr>
                    <w:pStyle w:val="40"/>
                  </w:pPr>
                  <w:r>
                    <w:rPr>
                      <w:rFonts w:hint="eastAsia"/>
                    </w:rPr>
                    <w:t>1.102</w:t>
                  </w:r>
                  <w:r>
                    <w:t>t</w:t>
                  </w:r>
                  <w:r>
                    <w:rPr>
                      <w:rFonts w:hint="eastAsia"/>
                    </w:rPr>
                    <w:t>/a</w:t>
                  </w:r>
                </w:p>
              </w:tc>
              <w:tc>
                <w:tcPr>
                  <w:tcW w:w="1246" w:type="pct"/>
                  <w:vAlign w:val="center"/>
                </w:tcPr>
                <w:p w14:paraId="3D58012F">
                  <w:pPr>
                    <w:pStyle w:val="40"/>
                  </w:pPr>
                  <w:r>
                    <w:rPr>
                      <w:rFonts w:hint="eastAsia"/>
                    </w:rPr>
                    <w:t>/</w:t>
                  </w:r>
                </w:p>
              </w:tc>
              <w:tc>
                <w:tcPr>
                  <w:tcW w:w="926" w:type="pct"/>
                  <w:vAlign w:val="center"/>
                </w:tcPr>
                <w:p w14:paraId="7D0F4406">
                  <w:pPr>
                    <w:pStyle w:val="40"/>
                  </w:pPr>
                  <w:r>
                    <w:rPr>
                      <w:rFonts w:hint="eastAsia"/>
                    </w:rPr>
                    <w:t>絮凝剂</w:t>
                  </w:r>
                </w:p>
              </w:tc>
            </w:tr>
            <w:tr w14:paraId="1AE07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6" w:hRule="atLeast"/>
                <w:jc w:val="center"/>
              </w:trPr>
              <w:tc>
                <w:tcPr>
                  <w:tcW w:w="432" w:type="pct"/>
                  <w:vAlign w:val="center"/>
                </w:tcPr>
                <w:p w14:paraId="6824DEC5">
                  <w:pPr>
                    <w:pStyle w:val="40"/>
                  </w:pPr>
                  <w:r>
                    <w:rPr>
                      <w:rFonts w:hint="eastAsia"/>
                    </w:rPr>
                    <w:t>12</w:t>
                  </w:r>
                </w:p>
              </w:tc>
              <w:tc>
                <w:tcPr>
                  <w:tcW w:w="671" w:type="pct"/>
                  <w:vMerge w:val="continue"/>
                </w:tcPr>
                <w:p w14:paraId="513D64BB">
                  <w:pPr>
                    <w:pStyle w:val="40"/>
                  </w:pPr>
                </w:p>
              </w:tc>
              <w:tc>
                <w:tcPr>
                  <w:tcW w:w="893" w:type="pct"/>
                  <w:vAlign w:val="center"/>
                </w:tcPr>
                <w:p w14:paraId="7ABCF5F9">
                  <w:pPr>
                    <w:pStyle w:val="40"/>
                  </w:pPr>
                  <w:r>
                    <w:rPr>
                      <w:rFonts w:hint="eastAsia"/>
                    </w:rPr>
                    <w:t>PAM</w:t>
                  </w:r>
                </w:p>
              </w:tc>
              <w:tc>
                <w:tcPr>
                  <w:tcW w:w="832" w:type="pct"/>
                  <w:vAlign w:val="center"/>
                </w:tcPr>
                <w:p w14:paraId="1879B59C">
                  <w:pPr>
                    <w:pStyle w:val="40"/>
                  </w:pPr>
                  <w:r>
                    <w:rPr>
                      <w:rFonts w:hint="eastAsia"/>
                    </w:rPr>
                    <w:t>0.22</w:t>
                  </w:r>
                  <w:r>
                    <w:t>t</w:t>
                  </w:r>
                  <w:r>
                    <w:rPr>
                      <w:rFonts w:hint="eastAsia"/>
                    </w:rPr>
                    <w:t>/a</w:t>
                  </w:r>
                </w:p>
              </w:tc>
              <w:tc>
                <w:tcPr>
                  <w:tcW w:w="1246" w:type="pct"/>
                  <w:vAlign w:val="center"/>
                </w:tcPr>
                <w:p w14:paraId="13BDC465">
                  <w:pPr>
                    <w:pStyle w:val="40"/>
                  </w:pPr>
                  <w:r>
                    <w:rPr>
                      <w:rFonts w:hint="eastAsia"/>
                    </w:rPr>
                    <w:t>/</w:t>
                  </w:r>
                </w:p>
              </w:tc>
              <w:tc>
                <w:tcPr>
                  <w:tcW w:w="926" w:type="pct"/>
                  <w:vAlign w:val="center"/>
                </w:tcPr>
                <w:p w14:paraId="5F7BE38B">
                  <w:pPr>
                    <w:pStyle w:val="40"/>
                  </w:pPr>
                  <w:r>
                    <w:rPr>
                      <w:rFonts w:hint="eastAsia"/>
                    </w:rPr>
                    <w:t>助凝剂</w:t>
                  </w:r>
                </w:p>
              </w:tc>
            </w:tr>
            <w:tr w14:paraId="6C08C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6" w:hRule="atLeast"/>
                <w:jc w:val="center"/>
              </w:trPr>
              <w:tc>
                <w:tcPr>
                  <w:tcW w:w="432" w:type="pct"/>
                  <w:vAlign w:val="center"/>
                </w:tcPr>
                <w:p w14:paraId="59D22A63">
                  <w:pPr>
                    <w:pStyle w:val="40"/>
                  </w:pPr>
                  <w:r>
                    <w:rPr>
                      <w:rFonts w:hint="eastAsia"/>
                    </w:rPr>
                    <w:t>13</w:t>
                  </w:r>
                </w:p>
              </w:tc>
              <w:tc>
                <w:tcPr>
                  <w:tcW w:w="671" w:type="pct"/>
                  <w:vMerge w:val="restart"/>
                  <w:vAlign w:val="center"/>
                </w:tcPr>
                <w:p w14:paraId="165582D1">
                  <w:pPr>
                    <w:pStyle w:val="40"/>
                  </w:pPr>
                  <w:r>
                    <w:rPr>
                      <w:rFonts w:hint="eastAsia"/>
                    </w:rPr>
                    <w:t>能源</w:t>
                  </w:r>
                </w:p>
              </w:tc>
              <w:tc>
                <w:tcPr>
                  <w:tcW w:w="893" w:type="pct"/>
                  <w:vAlign w:val="center"/>
                </w:tcPr>
                <w:p w14:paraId="2A6E4FAC">
                  <w:pPr>
                    <w:pStyle w:val="40"/>
                  </w:pPr>
                  <w:r>
                    <w:rPr>
                      <w:rFonts w:hint="eastAsia"/>
                    </w:rPr>
                    <w:t>新鲜水</w:t>
                  </w:r>
                </w:p>
              </w:tc>
              <w:tc>
                <w:tcPr>
                  <w:tcW w:w="832" w:type="pct"/>
                  <w:vAlign w:val="center"/>
                </w:tcPr>
                <w:p w14:paraId="37E608AB">
                  <w:pPr>
                    <w:pStyle w:val="40"/>
                  </w:pPr>
                  <w:r>
                    <w:rPr>
                      <w:rFonts w:hint="eastAsia"/>
                    </w:rPr>
                    <w:t>10063.44</w:t>
                  </w:r>
                  <w:r>
                    <w:t>t/a</w:t>
                  </w:r>
                </w:p>
              </w:tc>
              <w:tc>
                <w:tcPr>
                  <w:tcW w:w="1246" w:type="pct"/>
                  <w:vAlign w:val="center"/>
                </w:tcPr>
                <w:p w14:paraId="5C2052A0">
                  <w:pPr>
                    <w:pStyle w:val="40"/>
                  </w:pPr>
                  <w:r>
                    <w:rPr>
                      <w:rFonts w:hint="eastAsia"/>
                    </w:rPr>
                    <w:t>/</w:t>
                  </w:r>
                </w:p>
              </w:tc>
              <w:tc>
                <w:tcPr>
                  <w:tcW w:w="926" w:type="pct"/>
                  <w:vAlign w:val="center"/>
                </w:tcPr>
                <w:p w14:paraId="2ED2608E">
                  <w:pPr>
                    <w:pStyle w:val="40"/>
                  </w:pPr>
                  <w:r>
                    <w:rPr>
                      <w:rFonts w:hint="eastAsia"/>
                    </w:rPr>
                    <w:t>用水外购</w:t>
                  </w:r>
                </w:p>
              </w:tc>
            </w:tr>
            <w:tr w14:paraId="6A560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6" w:hRule="atLeast"/>
                <w:jc w:val="center"/>
              </w:trPr>
              <w:tc>
                <w:tcPr>
                  <w:tcW w:w="432" w:type="pct"/>
                  <w:vAlign w:val="center"/>
                </w:tcPr>
                <w:p w14:paraId="03D74D3D">
                  <w:pPr>
                    <w:pStyle w:val="40"/>
                  </w:pPr>
                  <w:r>
                    <w:rPr>
                      <w:rFonts w:hint="eastAsia"/>
                    </w:rPr>
                    <w:t>14</w:t>
                  </w:r>
                </w:p>
              </w:tc>
              <w:tc>
                <w:tcPr>
                  <w:tcW w:w="671" w:type="pct"/>
                  <w:vMerge w:val="continue"/>
                </w:tcPr>
                <w:p w14:paraId="6CE4AC1C">
                  <w:pPr>
                    <w:pStyle w:val="40"/>
                  </w:pPr>
                </w:p>
              </w:tc>
              <w:tc>
                <w:tcPr>
                  <w:tcW w:w="893" w:type="pct"/>
                  <w:vAlign w:val="center"/>
                </w:tcPr>
                <w:p w14:paraId="1B9856B9">
                  <w:pPr>
                    <w:pStyle w:val="40"/>
                  </w:pPr>
                  <w:r>
                    <w:rPr>
                      <w:rFonts w:hint="eastAsia"/>
                    </w:rPr>
                    <w:t>电</w:t>
                  </w:r>
                </w:p>
              </w:tc>
              <w:tc>
                <w:tcPr>
                  <w:tcW w:w="832" w:type="pct"/>
                  <w:vAlign w:val="center"/>
                </w:tcPr>
                <w:p w14:paraId="7A6840D6">
                  <w:pPr>
                    <w:pStyle w:val="40"/>
                  </w:pPr>
                  <w:r>
                    <w:rPr>
                      <w:rFonts w:hint="eastAsia"/>
                    </w:rPr>
                    <w:t>2万kWh/a</w:t>
                  </w:r>
                </w:p>
              </w:tc>
              <w:tc>
                <w:tcPr>
                  <w:tcW w:w="1246" w:type="pct"/>
                  <w:vAlign w:val="center"/>
                </w:tcPr>
                <w:p w14:paraId="6A1EA5FF">
                  <w:pPr>
                    <w:pStyle w:val="40"/>
                  </w:pPr>
                  <w:r>
                    <w:rPr>
                      <w:rFonts w:hint="eastAsia"/>
                    </w:rPr>
                    <w:t>/</w:t>
                  </w:r>
                </w:p>
              </w:tc>
              <w:tc>
                <w:tcPr>
                  <w:tcW w:w="926" w:type="pct"/>
                  <w:vAlign w:val="center"/>
                </w:tcPr>
                <w:p w14:paraId="46A37461">
                  <w:pPr>
                    <w:pStyle w:val="40"/>
                  </w:pPr>
                  <w:r>
                    <w:rPr>
                      <w:rFonts w:hint="eastAsia"/>
                    </w:rPr>
                    <w:t>/</w:t>
                  </w:r>
                </w:p>
              </w:tc>
            </w:tr>
            <w:tr w14:paraId="25E1E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6" w:hRule="atLeast"/>
                <w:jc w:val="center"/>
              </w:trPr>
              <w:tc>
                <w:tcPr>
                  <w:tcW w:w="432" w:type="pct"/>
                  <w:vAlign w:val="center"/>
                </w:tcPr>
                <w:p w14:paraId="29C9EFEE">
                  <w:pPr>
                    <w:pStyle w:val="40"/>
                  </w:pPr>
                  <w:r>
                    <w:rPr>
                      <w:rFonts w:hint="eastAsia"/>
                    </w:rPr>
                    <w:t>15</w:t>
                  </w:r>
                </w:p>
              </w:tc>
              <w:tc>
                <w:tcPr>
                  <w:tcW w:w="671" w:type="pct"/>
                  <w:vMerge w:val="continue"/>
                </w:tcPr>
                <w:p w14:paraId="1DFC9738">
                  <w:pPr>
                    <w:pStyle w:val="40"/>
                  </w:pPr>
                </w:p>
              </w:tc>
              <w:tc>
                <w:tcPr>
                  <w:tcW w:w="893" w:type="pct"/>
                  <w:vAlign w:val="center"/>
                </w:tcPr>
                <w:p w14:paraId="01EB1744">
                  <w:pPr>
                    <w:pStyle w:val="40"/>
                  </w:pPr>
                  <w:r>
                    <w:rPr>
                      <w:rFonts w:hint="eastAsia"/>
                    </w:rPr>
                    <w:t>生物质成型燃料</w:t>
                  </w:r>
                </w:p>
              </w:tc>
              <w:tc>
                <w:tcPr>
                  <w:tcW w:w="832" w:type="pct"/>
                  <w:vAlign w:val="center"/>
                </w:tcPr>
                <w:p w14:paraId="123C6B6D">
                  <w:pPr>
                    <w:pStyle w:val="40"/>
                  </w:pPr>
                  <w:r>
                    <w:rPr>
                      <w:rFonts w:hint="eastAsia"/>
                    </w:rPr>
                    <w:t>800t/a</w:t>
                  </w:r>
                </w:p>
              </w:tc>
              <w:tc>
                <w:tcPr>
                  <w:tcW w:w="1246" w:type="pct"/>
                  <w:vAlign w:val="center"/>
                </w:tcPr>
                <w:p w14:paraId="4D605B9E">
                  <w:pPr>
                    <w:pStyle w:val="40"/>
                  </w:pPr>
                  <w:r>
                    <w:rPr>
                      <w:rFonts w:hint="eastAsia"/>
                    </w:rPr>
                    <w:t>/</w:t>
                  </w:r>
                </w:p>
              </w:tc>
              <w:tc>
                <w:tcPr>
                  <w:tcW w:w="926" w:type="pct"/>
                  <w:vAlign w:val="center"/>
                </w:tcPr>
                <w:p w14:paraId="5C527446">
                  <w:pPr>
                    <w:pStyle w:val="40"/>
                  </w:pPr>
                  <w:r>
                    <w:rPr>
                      <w:rFonts w:hint="eastAsia"/>
                    </w:rPr>
                    <w:t>/</w:t>
                  </w:r>
                </w:p>
              </w:tc>
            </w:tr>
          </w:tbl>
          <w:p w14:paraId="12DA515B">
            <w:pPr>
              <w:adjustRightInd w:val="0"/>
              <w:snapToGrid w:val="0"/>
              <w:spacing w:line="400" w:lineRule="exact"/>
              <w:ind w:firstLine="422"/>
              <w:rPr>
                <w:b/>
                <w:szCs w:val="21"/>
              </w:rPr>
            </w:pPr>
            <w:r>
              <w:rPr>
                <w:rFonts w:hint="eastAsia"/>
                <w:b/>
                <w:szCs w:val="21"/>
              </w:rPr>
              <w:t>（</w:t>
            </w:r>
            <w:r>
              <w:rPr>
                <w:b/>
                <w:szCs w:val="21"/>
              </w:rPr>
              <w:t>5</w:t>
            </w:r>
            <w:r>
              <w:rPr>
                <w:rFonts w:hint="eastAsia"/>
                <w:b/>
                <w:szCs w:val="21"/>
              </w:rPr>
              <w:t>）给排水</w:t>
            </w:r>
          </w:p>
          <w:p w14:paraId="555665F1">
            <w:pPr>
              <w:adjustRightInd w:val="0"/>
              <w:snapToGrid w:val="0"/>
              <w:spacing w:line="400" w:lineRule="exact"/>
              <w:ind w:firstLine="420"/>
              <w:rPr>
                <w:bCs/>
                <w:szCs w:val="21"/>
              </w:rPr>
            </w:pPr>
            <w:r>
              <w:rPr>
                <w:rFonts w:hint="eastAsia"/>
                <w:bCs/>
                <w:szCs w:val="21"/>
              </w:rPr>
              <w:t>①给水</w:t>
            </w:r>
          </w:p>
          <w:p w14:paraId="5DBA712C">
            <w:pPr>
              <w:adjustRightInd w:val="0"/>
              <w:snapToGrid w:val="0"/>
              <w:spacing w:line="400" w:lineRule="exact"/>
              <w:ind w:firstLine="420"/>
              <w:rPr>
                <w:bCs/>
                <w:szCs w:val="21"/>
              </w:rPr>
            </w:pPr>
            <w:r>
              <w:rPr>
                <w:rFonts w:hint="eastAsia" w:hAnsi="宋体"/>
                <w:bCs/>
                <w:kern w:val="0"/>
                <w:szCs w:val="21"/>
              </w:rPr>
              <w:t>本项目用水外购</w:t>
            </w:r>
            <w:r>
              <w:rPr>
                <w:rFonts w:hint="eastAsia"/>
                <w:bCs/>
                <w:szCs w:val="21"/>
              </w:rPr>
              <w:t>。本项目不新增员工，用水主要为生产用水。</w:t>
            </w:r>
          </w:p>
          <w:p w14:paraId="1B63C39B">
            <w:pPr>
              <w:adjustRightInd w:val="0"/>
              <w:snapToGrid w:val="0"/>
              <w:spacing w:line="400" w:lineRule="exact"/>
              <w:ind w:firstLine="420"/>
              <w:rPr>
                <w:bCs/>
                <w:szCs w:val="21"/>
              </w:rPr>
            </w:pPr>
            <w:r>
              <w:rPr>
                <w:rFonts w:hint="eastAsia"/>
                <w:bCs/>
                <w:szCs w:val="21"/>
              </w:rPr>
              <w:t>生产用水包括罐头生产线用水、</w:t>
            </w:r>
            <w:r>
              <w:rPr>
                <w:bCs/>
                <w:szCs w:val="21"/>
              </w:rPr>
              <w:t>锅炉用水</w:t>
            </w:r>
            <w:r>
              <w:rPr>
                <w:rFonts w:hint="eastAsia"/>
                <w:bCs/>
                <w:szCs w:val="21"/>
              </w:rPr>
              <w:t>。</w:t>
            </w:r>
          </w:p>
          <w:p w14:paraId="6A02E766">
            <w:pPr>
              <w:adjustRightInd w:val="0"/>
              <w:snapToGrid w:val="0"/>
              <w:spacing w:line="400" w:lineRule="exact"/>
              <w:ind w:firstLine="420"/>
              <w:rPr>
                <w:bCs/>
                <w:szCs w:val="21"/>
              </w:rPr>
            </w:pPr>
            <w:r>
              <w:rPr>
                <w:rFonts w:hint="eastAsia"/>
                <w:bCs/>
                <w:szCs w:val="21"/>
              </w:rPr>
              <w:t>罐头生产线用水：主要为</w:t>
            </w:r>
            <w:r>
              <w:rPr>
                <w:rFonts w:hint="eastAsia"/>
              </w:rPr>
              <w:t>罐头瓶清洗用水、水果清洗、蒸煮用水、罐头制作用水等。参照《排放源统计调查产排污核算方法和系数手册》中的《1453水果、蔬菜罐头制造行业系数手册》水果罐头生产过程的工业废水产生量为18.120t/t 产品（生产工艺与项目一致），本项目新增年产各类水果罐头148.5吨，则生产废水产生量约为2690.82t/a，12.813t/d，排污系数按0.9计算</w:t>
            </w:r>
            <w:r>
              <w:rPr>
                <w:rFonts w:hint="eastAsia"/>
                <w:bCs/>
                <w:szCs w:val="21"/>
              </w:rPr>
              <w:t>，则清洗用水总量约为2989.8t/a，14.237t/d。</w:t>
            </w:r>
          </w:p>
          <w:p w14:paraId="63FF1CEC">
            <w:pPr>
              <w:adjustRightInd w:val="0"/>
              <w:snapToGrid w:val="0"/>
              <w:spacing w:line="400" w:lineRule="exact"/>
              <w:ind w:firstLine="420"/>
              <w:rPr>
                <w:bCs/>
                <w:szCs w:val="21"/>
              </w:rPr>
            </w:pPr>
            <w:r>
              <w:rPr>
                <w:bCs/>
                <w:szCs w:val="21"/>
              </w:rPr>
              <w:t>锅炉用水</w:t>
            </w:r>
            <w:r>
              <w:rPr>
                <w:rFonts w:hint="eastAsia"/>
                <w:bCs/>
                <w:szCs w:val="21"/>
              </w:rPr>
              <w:t>：</w:t>
            </w:r>
            <w:r>
              <w:rPr>
                <w:bCs/>
                <w:szCs w:val="21"/>
              </w:rPr>
              <w:t>项目以1台</w:t>
            </w:r>
            <w:r>
              <w:rPr>
                <w:rFonts w:hint="eastAsia"/>
                <w:bCs/>
                <w:szCs w:val="21"/>
              </w:rPr>
              <w:t>4</w:t>
            </w:r>
            <w:r>
              <w:rPr>
                <w:bCs/>
                <w:szCs w:val="21"/>
              </w:rPr>
              <w:t>t/h</w:t>
            </w:r>
            <w:r>
              <w:rPr>
                <w:rFonts w:hint="eastAsia"/>
                <w:bCs/>
                <w:szCs w:val="21"/>
              </w:rPr>
              <w:t>生物质蒸汽</w:t>
            </w:r>
            <w:r>
              <w:rPr>
                <w:bCs/>
                <w:szCs w:val="21"/>
              </w:rPr>
              <w:t>锅炉为生产提供蒸汽，锅炉运行时间按每天</w:t>
            </w:r>
            <w:r>
              <w:rPr>
                <w:rFonts w:hint="eastAsia"/>
                <w:bCs/>
                <w:szCs w:val="21"/>
              </w:rPr>
              <w:t>8</w:t>
            </w:r>
            <w:r>
              <w:rPr>
                <w:bCs/>
                <w:szCs w:val="21"/>
              </w:rPr>
              <w:t>h计算</w:t>
            </w:r>
            <w:r>
              <w:rPr>
                <w:rFonts w:hint="eastAsia"/>
                <w:bCs/>
                <w:szCs w:val="21"/>
              </w:rPr>
              <w:t>，锅炉</w:t>
            </w:r>
            <w:r>
              <w:rPr>
                <w:bCs/>
                <w:szCs w:val="21"/>
              </w:rPr>
              <w:t>软水制水</w:t>
            </w:r>
            <w:r>
              <w:rPr>
                <w:rFonts w:hint="eastAsia"/>
                <w:bCs/>
                <w:szCs w:val="21"/>
              </w:rPr>
              <w:t>效率为95%，本项目锅炉用水主要为定期锅炉补充水，补充水量为33.684</w:t>
            </w:r>
            <w:r>
              <w:rPr>
                <w:bCs/>
                <w:szCs w:val="21"/>
              </w:rPr>
              <w:t>t/d</w:t>
            </w:r>
            <w:r>
              <w:rPr>
                <w:rFonts w:hint="eastAsia"/>
                <w:bCs/>
                <w:szCs w:val="21"/>
              </w:rPr>
              <w:t>，7073.64</w:t>
            </w:r>
            <w:r>
              <w:rPr>
                <w:bCs/>
                <w:szCs w:val="21"/>
              </w:rPr>
              <w:t>t/a</w:t>
            </w:r>
            <w:r>
              <w:rPr>
                <w:rFonts w:hint="eastAsia"/>
                <w:bCs/>
                <w:szCs w:val="21"/>
              </w:rPr>
              <w:t>。</w:t>
            </w:r>
          </w:p>
          <w:p w14:paraId="6CFD2E23">
            <w:pPr>
              <w:adjustRightInd w:val="0"/>
              <w:snapToGrid w:val="0"/>
              <w:spacing w:line="400" w:lineRule="exact"/>
              <w:ind w:firstLine="420"/>
              <w:rPr>
                <w:bCs/>
                <w:szCs w:val="21"/>
              </w:rPr>
            </w:pPr>
            <w:r>
              <w:rPr>
                <w:rFonts w:hint="eastAsia"/>
                <w:bCs/>
                <w:szCs w:val="21"/>
              </w:rPr>
              <w:t>综上所述，本项目用水总量为10063.44 t/a，47.921t/d。</w:t>
            </w:r>
          </w:p>
          <w:p w14:paraId="4A5BA19F">
            <w:pPr>
              <w:adjustRightInd w:val="0"/>
              <w:snapToGrid w:val="0"/>
              <w:spacing w:line="400" w:lineRule="exact"/>
              <w:ind w:firstLine="420"/>
              <w:rPr>
                <w:bCs/>
                <w:szCs w:val="21"/>
              </w:rPr>
            </w:pPr>
            <w:r>
              <w:rPr>
                <w:rFonts w:hint="eastAsia"/>
                <w:bCs/>
                <w:szCs w:val="21"/>
              </w:rPr>
              <w:t>②排水</w:t>
            </w:r>
          </w:p>
          <w:p w14:paraId="65DD2197">
            <w:pPr>
              <w:adjustRightInd w:val="0"/>
              <w:snapToGrid w:val="0"/>
              <w:spacing w:line="400" w:lineRule="exact"/>
              <w:ind w:firstLine="420"/>
              <w:rPr>
                <w:bCs/>
                <w:szCs w:val="21"/>
              </w:rPr>
            </w:pPr>
            <w:r>
              <w:rPr>
                <w:rFonts w:hint="eastAsia"/>
                <w:bCs/>
                <w:szCs w:val="21"/>
              </w:rPr>
              <w:t>罐头生产线</w:t>
            </w:r>
            <w:r>
              <w:rPr>
                <w:rFonts w:hint="eastAsia"/>
              </w:rPr>
              <w:t>废水产生量约为2690.82t/a，12.813t/d</w:t>
            </w:r>
            <w:r>
              <w:rPr>
                <w:rFonts w:hint="eastAsia"/>
                <w:bCs/>
                <w:szCs w:val="21"/>
              </w:rPr>
              <w:t>，</w:t>
            </w:r>
            <w:r>
              <w:rPr>
                <w:rFonts w:hint="eastAsia"/>
              </w:rPr>
              <w:t>生产废水</w:t>
            </w:r>
            <w:r>
              <w:rPr>
                <w:rFonts w:hint="eastAsia"/>
                <w:bCs/>
                <w:szCs w:val="21"/>
              </w:rPr>
              <w:t>排入</w:t>
            </w:r>
            <w:bookmarkStart w:id="48" w:name="OLE_LINK29"/>
            <w:bookmarkStart w:id="49" w:name="OLE_LINK30"/>
            <w:r>
              <w:rPr>
                <w:rFonts w:hint="eastAsia"/>
                <w:bCs/>
                <w:szCs w:val="21"/>
              </w:rPr>
              <w:t>污水处理站</w:t>
            </w:r>
            <w:bookmarkEnd w:id="48"/>
            <w:bookmarkEnd w:id="49"/>
            <w:r>
              <w:rPr>
                <w:rFonts w:hint="eastAsia"/>
                <w:bCs/>
                <w:szCs w:val="21"/>
              </w:rPr>
              <w:t>处理，污水处理站</w:t>
            </w:r>
            <w:r>
              <w:rPr>
                <w:rFonts w:hint="eastAsia"/>
              </w:rPr>
              <w:t>采用“厌氧塔+气浮+地埋式一体化污水处理装置（AC厌氧+二级接触氧化+沉淀）+过滤”处理工艺，处理达标后</w:t>
            </w:r>
            <w:bookmarkStart w:id="50" w:name="OLE_LINK2"/>
            <w:bookmarkStart w:id="51" w:name="OLE_LINK1"/>
            <w:r>
              <w:rPr>
                <w:rFonts w:hint="eastAsia"/>
              </w:rPr>
              <w:t>运至秦皇岛市抚宁区中冶水务有限公司</w:t>
            </w:r>
            <w:bookmarkEnd w:id="50"/>
            <w:bookmarkEnd w:id="51"/>
            <w:r>
              <w:rPr>
                <w:rFonts w:hint="eastAsia"/>
              </w:rPr>
              <w:t>。</w:t>
            </w:r>
          </w:p>
          <w:p w14:paraId="073CAF0A">
            <w:pPr>
              <w:adjustRightInd w:val="0"/>
              <w:snapToGrid w:val="0"/>
              <w:spacing w:line="400" w:lineRule="exact"/>
              <w:ind w:firstLine="420"/>
              <w:rPr>
                <w:bCs/>
                <w:szCs w:val="21"/>
              </w:rPr>
            </w:pPr>
            <w:r>
              <w:rPr>
                <w:bCs/>
                <w:szCs w:val="21"/>
              </w:rPr>
              <w:t>锅炉排污水及软化处理废水</w:t>
            </w:r>
            <w:r>
              <w:rPr>
                <w:rFonts w:hint="eastAsia"/>
              </w:rPr>
              <w:t>参照《排放源统计调查产排污核算方法和系数手册》中的《4430工业锅炉（热力生产）行业系数手册》生物质蒸汽锅炉（锅外水处理）的工业废水量0.356吨/吨-原料，项目年用生物质燃料800吨，则锅炉排污水及软化处理废水产生量约为284.8t/a，1.356t/d。</w:t>
            </w:r>
          </w:p>
          <w:p w14:paraId="622026A2">
            <w:pPr>
              <w:adjustRightInd w:val="0"/>
              <w:snapToGrid w:val="0"/>
              <w:spacing w:line="400" w:lineRule="exact"/>
              <w:ind w:firstLine="420"/>
              <w:rPr>
                <w:bCs/>
                <w:szCs w:val="21"/>
              </w:rPr>
            </w:pPr>
            <w:r>
              <w:rPr>
                <w:rFonts w:hint="eastAsia"/>
                <w:bCs/>
                <w:szCs w:val="21"/>
              </w:rPr>
              <w:t>给排水情况</w:t>
            </w:r>
            <w:r>
              <w:rPr>
                <w:bCs/>
                <w:szCs w:val="21"/>
              </w:rPr>
              <w:t>具体</w:t>
            </w:r>
            <w:r>
              <w:rPr>
                <w:rFonts w:hint="eastAsia"/>
                <w:bCs/>
                <w:szCs w:val="21"/>
              </w:rPr>
              <w:t>见</w:t>
            </w:r>
            <w:r>
              <w:rPr>
                <w:rFonts w:hint="eastAsia"/>
              </w:rPr>
              <w:t>下表</w:t>
            </w:r>
            <w:r>
              <w:rPr>
                <w:bCs/>
                <w:szCs w:val="21"/>
              </w:rPr>
              <w:t>。</w:t>
            </w:r>
          </w:p>
          <w:p w14:paraId="535C43BD">
            <w:pPr>
              <w:pStyle w:val="73"/>
            </w:pPr>
            <w:r>
              <w:rPr>
                <w:rFonts w:hint="eastAsia"/>
                <w:bCs w:val="0"/>
              </w:rPr>
              <w:t xml:space="preserve">表2-10 </w:t>
            </w:r>
            <w:r>
              <w:rPr>
                <w:rFonts w:hint="eastAsia"/>
              </w:rPr>
              <w:t>项目给排水情况一览表  m</w:t>
            </w:r>
            <w:r>
              <w:rPr>
                <w:rFonts w:hint="eastAsia"/>
                <w:vertAlign w:val="superscript"/>
              </w:rPr>
              <w:t>3</w:t>
            </w:r>
            <w:r>
              <w:rPr>
                <w:rFonts w:hint="eastAsia"/>
              </w:rPr>
              <w:t>/a</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53"/>
              <w:gridCol w:w="1296"/>
              <w:gridCol w:w="1081"/>
              <w:gridCol w:w="862"/>
              <w:gridCol w:w="993"/>
              <w:gridCol w:w="850"/>
              <w:gridCol w:w="1701"/>
            </w:tblGrid>
            <w:tr w14:paraId="41CE31D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753" w:type="dxa"/>
                  <w:vMerge w:val="restart"/>
                  <w:vAlign w:val="center"/>
                </w:tcPr>
                <w:p w14:paraId="596355CB">
                  <w:pPr>
                    <w:pStyle w:val="40"/>
                  </w:pPr>
                  <w:bookmarkStart w:id="52" w:name="OLE_LINK33"/>
                  <w:bookmarkStart w:id="53" w:name="OLE_LINK34"/>
                  <w:r>
                    <w:t>序</w:t>
                  </w:r>
                  <w:r>
                    <w:rPr>
                      <w:rFonts w:hint="eastAsia"/>
                    </w:rPr>
                    <w:t>号</w:t>
                  </w:r>
                </w:p>
              </w:tc>
              <w:tc>
                <w:tcPr>
                  <w:tcW w:w="1296" w:type="dxa"/>
                  <w:vMerge w:val="restart"/>
                  <w:vAlign w:val="center"/>
                </w:tcPr>
                <w:p w14:paraId="01CA7DA5">
                  <w:pPr>
                    <w:pStyle w:val="40"/>
                  </w:pPr>
                  <w:r>
                    <w:rPr>
                      <w:rFonts w:hint="eastAsia"/>
                    </w:rPr>
                    <w:t>项目</w:t>
                  </w:r>
                </w:p>
              </w:tc>
              <w:tc>
                <w:tcPr>
                  <w:tcW w:w="1943" w:type="dxa"/>
                  <w:gridSpan w:val="2"/>
                  <w:vAlign w:val="center"/>
                </w:tcPr>
                <w:p w14:paraId="0AC6F3E0">
                  <w:pPr>
                    <w:pStyle w:val="40"/>
                  </w:pPr>
                  <w:r>
                    <w:rPr>
                      <w:rFonts w:hint="eastAsia"/>
                    </w:rPr>
                    <w:t>用水总量</w:t>
                  </w:r>
                </w:p>
              </w:tc>
              <w:tc>
                <w:tcPr>
                  <w:tcW w:w="993" w:type="dxa"/>
                  <w:vMerge w:val="restart"/>
                  <w:vAlign w:val="center"/>
                </w:tcPr>
                <w:p w14:paraId="1C3A8FF9">
                  <w:pPr>
                    <w:pStyle w:val="40"/>
                  </w:pPr>
                  <w:r>
                    <w:rPr>
                      <w:rFonts w:hint="eastAsia"/>
                    </w:rPr>
                    <w:t>损耗量</w:t>
                  </w:r>
                </w:p>
              </w:tc>
              <w:tc>
                <w:tcPr>
                  <w:tcW w:w="850" w:type="dxa"/>
                  <w:vMerge w:val="restart"/>
                  <w:vAlign w:val="center"/>
                </w:tcPr>
                <w:p w14:paraId="5A5B3EBA">
                  <w:pPr>
                    <w:pStyle w:val="40"/>
                  </w:pPr>
                  <w:r>
                    <w:rPr>
                      <w:rFonts w:hint="eastAsia"/>
                    </w:rPr>
                    <w:t>废水产生量</w:t>
                  </w:r>
                </w:p>
              </w:tc>
              <w:tc>
                <w:tcPr>
                  <w:tcW w:w="1701" w:type="dxa"/>
                  <w:vMerge w:val="restart"/>
                  <w:vAlign w:val="center"/>
                </w:tcPr>
                <w:p w14:paraId="3F59AF93">
                  <w:pPr>
                    <w:pStyle w:val="40"/>
                  </w:pPr>
                  <w:r>
                    <w:rPr>
                      <w:rFonts w:hint="eastAsia"/>
                    </w:rPr>
                    <w:t>废水排放量及去向</w:t>
                  </w:r>
                </w:p>
              </w:tc>
            </w:tr>
            <w:tr w14:paraId="718F838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753" w:type="dxa"/>
                  <w:vMerge w:val="continue"/>
                  <w:vAlign w:val="center"/>
                </w:tcPr>
                <w:p w14:paraId="3F82AF43">
                  <w:pPr>
                    <w:pStyle w:val="40"/>
                  </w:pPr>
                </w:p>
              </w:tc>
              <w:tc>
                <w:tcPr>
                  <w:tcW w:w="1296" w:type="dxa"/>
                  <w:vMerge w:val="continue"/>
                </w:tcPr>
                <w:p w14:paraId="5325E5B8">
                  <w:pPr>
                    <w:pStyle w:val="40"/>
                  </w:pPr>
                </w:p>
              </w:tc>
              <w:tc>
                <w:tcPr>
                  <w:tcW w:w="1081" w:type="dxa"/>
                  <w:vAlign w:val="center"/>
                </w:tcPr>
                <w:p w14:paraId="1D22A79C">
                  <w:pPr>
                    <w:pStyle w:val="40"/>
                  </w:pPr>
                  <w:r>
                    <w:t>新鲜水</w:t>
                  </w:r>
                  <w:r>
                    <w:rPr>
                      <w:rFonts w:hint="eastAsia"/>
                    </w:rPr>
                    <w:t>用量</w:t>
                  </w:r>
                </w:p>
              </w:tc>
              <w:tc>
                <w:tcPr>
                  <w:tcW w:w="862" w:type="dxa"/>
                  <w:vAlign w:val="center"/>
                </w:tcPr>
                <w:p w14:paraId="366E6BA9">
                  <w:pPr>
                    <w:pStyle w:val="40"/>
                  </w:pPr>
                  <w:r>
                    <w:rPr>
                      <w:rFonts w:hint="eastAsia"/>
                    </w:rPr>
                    <w:t>循环水量</w:t>
                  </w:r>
                </w:p>
              </w:tc>
              <w:tc>
                <w:tcPr>
                  <w:tcW w:w="993" w:type="dxa"/>
                  <w:vMerge w:val="continue"/>
                  <w:vAlign w:val="center"/>
                </w:tcPr>
                <w:p w14:paraId="4F4058F5">
                  <w:pPr>
                    <w:pStyle w:val="40"/>
                  </w:pPr>
                </w:p>
              </w:tc>
              <w:tc>
                <w:tcPr>
                  <w:tcW w:w="850" w:type="dxa"/>
                  <w:vMerge w:val="continue"/>
                </w:tcPr>
                <w:p w14:paraId="4C89A35E">
                  <w:pPr>
                    <w:pStyle w:val="40"/>
                  </w:pPr>
                </w:p>
              </w:tc>
              <w:tc>
                <w:tcPr>
                  <w:tcW w:w="1701" w:type="dxa"/>
                  <w:vMerge w:val="continue"/>
                </w:tcPr>
                <w:p w14:paraId="309FDF93">
                  <w:pPr>
                    <w:pStyle w:val="40"/>
                  </w:pPr>
                </w:p>
              </w:tc>
            </w:tr>
            <w:tr w14:paraId="1C05C61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46" w:hRule="atLeast"/>
                <w:jc w:val="center"/>
              </w:trPr>
              <w:tc>
                <w:tcPr>
                  <w:tcW w:w="753" w:type="dxa"/>
                  <w:vAlign w:val="center"/>
                </w:tcPr>
                <w:p w14:paraId="4D9EE69C">
                  <w:pPr>
                    <w:pStyle w:val="40"/>
                  </w:pPr>
                  <w:r>
                    <w:rPr>
                      <w:rFonts w:hint="eastAsia"/>
                    </w:rPr>
                    <w:t>1</w:t>
                  </w:r>
                </w:p>
              </w:tc>
              <w:tc>
                <w:tcPr>
                  <w:tcW w:w="1296" w:type="dxa"/>
                  <w:vAlign w:val="center"/>
                </w:tcPr>
                <w:p w14:paraId="17C64CBA">
                  <w:pPr>
                    <w:pStyle w:val="40"/>
                  </w:pPr>
                  <w:r>
                    <w:rPr>
                      <w:rFonts w:hint="eastAsia"/>
                    </w:rPr>
                    <w:t>罐头生产线</w:t>
                  </w:r>
                </w:p>
              </w:tc>
              <w:tc>
                <w:tcPr>
                  <w:tcW w:w="1081" w:type="dxa"/>
                  <w:vAlign w:val="center"/>
                </w:tcPr>
                <w:p w14:paraId="517D824A">
                  <w:pPr>
                    <w:pStyle w:val="40"/>
                  </w:pPr>
                  <w:r>
                    <w:rPr>
                      <w:rFonts w:hint="eastAsia"/>
                    </w:rPr>
                    <w:t>2989.8</w:t>
                  </w:r>
                </w:p>
              </w:tc>
              <w:tc>
                <w:tcPr>
                  <w:tcW w:w="862" w:type="dxa"/>
                  <w:vAlign w:val="center"/>
                </w:tcPr>
                <w:p w14:paraId="387F5F6D">
                  <w:pPr>
                    <w:pStyle w:val="40"/>
                  </w:pPr>
                  <w:r>
                    <w:rPr>
                      <w:rFonts w:hint="eastAsia"/>
                    </w:rPr>
                    <w:t>/</w:t>
                  </w:r>
                </w:p>
              </w:tc>
              <w:tc>
                <w:tcPr>
                  <w:tcW w:w="993" w:type="dxa"/>
                  <w:vAlign w:val="center"/>
                </w:tcPr>
                <w:p w14:paraId="4AA55C21">
                  <w:pPr>
                    <w:pStyle w:val="40"/>
                  </w:pPr>
                  <w:r>
                    <w:rPr>
                      <w:rFonts w:hint="eastAsia"/>
                    </w:rPr>
                    <w:t>298.98</w:t>
                  </w:r>
                </w:p>
              </w:tc>
              <w:tc>
                <w:tcPr>
                  <w:tcW w:w="850" w:type="dxa"/>
                  <w:vAlign w:val="center"/>
                </w:tcPr>
                <w:p w14:paraId="6DF4B16F">
                  <w:pPr>
                    <w:pStyle w:val="40"/>
                  </w:pPr>
                  <w:r>
                    <w:t>2690.82</w:t>
                  </w:r>
                </w:p>
              </w:tc>
              <w:tc>
                <w:tcPr>
                  <w:tcW w:w="1701" w:type="dxa"/>
                  <w:vAlign w:val="center"/>
                </w:tcPr>
                <w:p w14:paraId="6A3331E7">
                  <w:pPr>
                    <w:pStyle w:val="40"/>
                  </w:pPr>
                  <w:r>
                    <w:rPr>
                      <w:rFonts w:hint="eastAsia"/>
                    </w:rPr>
                    <w:t>进入污水处理站，处理达标后外运至秦皇岛市抚宁区中冶水务有限公司</w:t>
                  </w:r>
                </w:p>
              </w:tc>
            </w:tr>
            <w:tr w14:paraId="3EA5148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46" w:hRule="atLeast"/>
                <w:jc w:val="center"/>
              </w:trPr>
              <w:tc>
                <w:tcPr>
                  <w:tcW w:w="753" w:type="dxa"/>
                  <w:vAlign w:val="center"/>
                </w:tcPr>
                <w:p w14:paraId="518FAF36">
                  <w:pPr>
                    <w:pStyle w:val="40"/>
                  </w:pPr>
                  <w:r>
                    <w:rPr>
                      <w:rFonts w:hint="eastAsia"/>
                    </w:rPr>
                    <w:t>2</w:t>
                  </w:r>
                </w:p>
              </w:tc>
              <w:tc>
                <w:tcPr>
                  <w:tcW w:w="1296" w:type="dxa"/>
                  <w:vAlign w:val="center"/>
                </w:tcPr>
                <w:p w14:paraId="6117EB5F">
                  <w:pPr>
                    <w:pStyle w:val="40"/>
                  </w:pPr>
                  <w:r>
                    <w:rPr>
                      <w:rFonts w:hint="eastAsia"/>
                    </w:rPr>
                    <w:t>锅炉</w:t>
                  </w:r>
                </w:p>
              </w:tc>
              <w:tc>
                <w:tcPr>
                  <w:tcW w:w="1081" w:type="dxa"/>
                  <w:vAlign w:val="center"/>
                </w:tcPr>
                <w:p w14:paraId="648C0DC5">
                  <w:pPr>
                    <w:pStyle w:val="40"/>
                  </w:pPr>
                  <w:r>
                    <w:rPr>
                      <w:rFonts w:hint="eastAsia"/>
                    </w:rPr>
                    <w:t>353.64</w:t>
                  </w:r>
                </w:p>
              </w:tc>
              <w:tc>
                <w:tcPr>
                  <w:tcW w:w="862" w:type="dxa"/>
                  <w:vAlign w:val="center"/>
                </w:tcPr>
                <w:p w14:paraId="3E4AE73E">
                  <w:pPr>
                    <w:pStyle w:val="40"/>
                  </w:pPr>
                  <w:r>
                    <w:rPr>
                      <w:rFonts w:hint="eastAsia"/>
                    </w:rPr>
                    <w:t>6720</w:t>
                  </w:r>
                </w:p>
              </w:tc>
              <w:tc>
                <w:tcPr>
                  <w:tcW w:w="993" w:type="dxa"/>
                  <w:vAlign w:val="center"/>
                </w:tcPr>
                <w:p w14:paraId="738BF580">
                  <w:pPr>
                    <w:pStyle w:val="40"/>
                  </w:pPr>
                  <w:r>
                    <w:rPr>
                      <w:rFonts w:hint="eastAsia"/>
                    </w:rPr>
                    <w:t>68.88</w:t>
                  </w:r>
                </w:p>
              </w:tc>
              <w:tc>
                <w:tcPr>
                  <w:tcW w:w="850" w:type="dxa"/>
                  <w:vAlign w:val="center"/>
                </w:tcPr>
                <w:p w14:paraId="7F488CBE">
                  <w:pPr>
                    <w:pStyle w:val="40"/>
                  </w:pPr>
                  <w:r>
                    <w:rPr>
                      <w:rFonts w:hint="eastAsia"/>
                    </w:rPr>
                    <w:t>284.8</w:t>
                  </w:r>
                </w:p>
              </w:tc>
              <w:tc>
                <w:tcPr>
                  <w:tcW w:w="1701" w:type="dxa"/>
                  <w:vAlign w:val="center"/>
                </w:tcPr>
                <w:p w14:paraId="3DB99018">
                  <w:pPr>
                    <w:pStyle w:val="40"/>
                  </w:pPr>
                  <w:r>
                    <w:rPr>
                      <w:rFonts w:hint="eastAsia"/>
                    </w:rPr>
                    <w:t>洒水抑尘</w:t>
                  </w:r>
                </w:p>
              </w:tc>
            </w:tr>
            <w:tr w14:paraId="73C21FA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46" w:hRule="atLeast"/>
                <w:jc w:val="center"/>
              </w:trPr>
              <w:tc>
                <w:tcPr>
                  <w:tcW w:w="2049" w:type="dxa"/>
                  <w:gridSpan w:val="2"/>
                  <w:vAlign w:val="center"/>
                </w:tcPr>
                <w:p w14:paraId="607058CB">
                  <w:pPr>
                    <w:pStyle w:val="40"/>
                    <w:rPr>
                      <w:highlight w:val="yellow"/>
                    </w:rPr>
                  </w:pPr>
                  <w:r>
                    <w:rPr>
                      <w:rFonts w:hint="eastAsia"/>
                    </w:rPr>
                    <w:t>小计</w:t>
                  </w:r>
                </w:p>
              </w:tc>
              <w:tc>
                <w:tcPr>
                  <w:tcW w:w="1943" w:type="dxa"/>
                  <w:gridSpan w:val="2"/>
                  <w:vAlign w:val="center"/>
                </w:tcPr>
                <w:p w14:paraId="69521FED">
                  <w:pPr>
                    <w:pStyle w:val="40"/>
                    <w:rPr>
                      <w:highlight w:val="yellow"/>
                    </w:rPr>
                  </w:pPr>
                  <w:r>
                    <w:t>10063.44</w:t>
                  </w:r>
                </w:p>
              </w:tc>
              <w:tc>
                <w:tcPr>
                  <w:tcW w:w="993" w:type="dxa"/>
                  <w:vAlign w:val="center"/>
                </w:tcPr>
                <w:p w14:paraId="10613EA5">
                  <w:pPr>
                    <w:pStyle w:val="40"/>
                    <w:rPr>
                      <w:highlight w:val="yellow"/>
                    </w:rPr>
                  </w:pPr>
                  <w:r>
                    <w:rPr>
                      <w:rFonts w:hint="eastAsia"/>
                    </w:rPr>
                    <w:t>367.86</w:t>
                  </w:r>
                </w:p>
              </w:tc>
              <w:tc>
                <w:tcPr>
                  <w:tcW w:w="850" w:type="dxa"/>
                  <w:vAlign w:val="center"/>
                </w:tcPr>
                <w:p w14:paraId="04C9B86C">
                  <w:pPr>
                    <w:pStyle w:val="40"/>
                    <w:rPr>
                      <w:highlight w:val="yellow"/>
                    </w:rPr>
                  </w:pPr>
                  <w:r>
                    <w:rPr>
                      <w:rFonts w:hint="eastAsia"/>
                    </w:rPr>
                    <w:t>2975.62</w:t>
                  </w:r>
                </w:p>
              </w:tc>
              <w:tc>
                <w:tcPr>
                  <w:tcW w:w="1701" w:type="dxa"/>
                  <w:vAlign w:val="center"/>
                </w:tcPr>
                <w:p w14:paraId="0411B933">
                  <w:pPr>
                    <w:pStyle w:val="40"/>
                    <w:rPr>
                      <w:highlight w:val="yellow"/>
                    </w:rPr>
                  </w:pPr>
                  <w:r>
                    <w:rPr>
                      <w:rFonts w:hint="eastAsia"/>
                    </w:rPr>
                    <w:t>/</w:t>
                  </w:r>
                </w:p>
              </w:tc>
            </w:tr>
            <w:bookmarkEnd w:id="52"/>
            <w:bookmarkEnd w:id="53"/>
          </w:tbl>
          <w:p w14:paraId="07E61C99">
            <w:pPr>
              <w:pStyle w:val="108"/>
              <w:spacing w:line="360" w:lineRule="auto"/>
              <w:ind w:firstLine="480" w:firstLineChars="200"/>
              <w:jc w:val="left"/>
              <w:rPr>
                <w:sz w:val="24"/>
              </w:rPr>
            </w:pPr>
          </w:p>
          <w:p w14:paraId="110DD8E2">
            <w:pPr>
              <w:pStyle w:val="108"/>
              <w:spacing w:line="360" w:lineRule="auto"/>
              <w:ind w:firstLine="422" w:firstLineChars="200"/>
              <w:jc w:val="left"/>
              <w:rPr>
                <w:sz w:val="24"/>
              </w:rPr>
            </w:pPr>
            <w:r>
              <w:rPr>
                <w:b/>
                <w:kern w:val="0"/>
              </w:rPr>
              <mc:AlternateContent>
                <mc:Choice Requires="wps">
                  <w:drawing>
                    <wp:anchor distT="0" distB="0" distL="114300" distR="114300" simplePos="0" relativeHeight="251745280" behindDoc="0" locked="0" layoutInCell="1" allowOverlap="1">
                      <wp:simplePos x="0" y="0"/>
                      <wp:positionH relativeFrom="column">
                        <wp:posOffset>1441450</wp:posOffset>
                      </wp:positionH>
                      <wp:positionV relativeFrom="paragraph">
                        <wp:posOffset>93980</wp:posOffset>
                      </wp:positionV>
                      <wp:extent cx="623570" cy="256540"/>
                      <wp:effectExtent l="0" t="0" r="0" b="0"/>
                      <wp:wrapNone/>
                      <wp:docPr id="88" name="文本框 1101"/>
                      <wp:cNvGraphicFramePr/>
                      <a:graphic xmlns:a="http://schemas.openxmlformats.org/drawingml/2006/main">
                        <a:graphicData uri="http://schemas.microsoft.com/office/word/2010/wordprocessingShape">
                          <wps:wsp>
                            <wps:cNvSpPr txBox="1"/>
                            <wps:spPr>
                              <a:xfrm>
                                <a:off x="0" y="0"/>
                                <a:ext cx="623570" cy="256540"/>
                              </a:xfrm>
                              <a:prstGeom prst="rect">
                                <a:avLst/>
                              </a:prstGeom>
                              <a:noFill/>
                              <a:ln w="12700">
                                <a:noFill/>
                              </a:ln>
                            </wps:spPr>
                            <wps:txbx>
                              <w:txbxContent>
                                <w:p w14:paraId="01D4B422">
                                  <w:pPr>
                                    <w:pStyle w:val="108"/>
                                    <w:jc w:val="both"/>
                                  </w:pPr>
                                  <w:r>
                                    <w:rPr>
                                      <w:rFonts w:hint="eastAsia"/>
                                    </w:rPr>
                                    <w:t>1.424</w:t>
                                  </w:r>
                                </w:p>
                              </w:txbxContent>
                            </wps:txbx>
                            <wps:bodyPr upright="1"/>
                          </wps:wsp>
                        </a:graphicData>
                      </a:graphic>
                    </wp:anchor>
                  </w:drawing>
                </mc:Choice>
                <mc:Fallback>
                  <w:pict>
                    <v:shape id="文本框 1101" o:spid="_x0000_s1026" o:spt="202" type="#_x0000_t202" style="position:absolute;left:0pt;margin-left:113.5pt;margin-top:7.4pt;height:20.2pt;width:49.1pt;z-index:251745280;mso-width-relative:page;mso-height-relative:page;" filled="f" stroked="f" coordsize="21600,21600" o:gfxdata="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8ErfzXAAAACQEAAA8AAAAAAAAAAQAgAAAAIgAAAGRycy9kb3ducmV2LnhtbFBLAQIUABQA&#10;AAAIAIdO4kC+49E5uAEAAFsDAAAOAAAAAAAAAAEAIAAAACYBAABkcnMvZTJvRG9jLnhtbFBLBQYA&#10;AAAABgAGAFkBAABQBQAAAAA=&#10;">
                      <v:fill on="f" focussize="0,0"/>
                      <v:stroke on="f" weight="1pt"/>
                      <v:imagedata o:title=""/>
                      <o:lock v:ext="edit" aspectratio="f"/>
                      <v:textbox>
                        <w:txbxContent>
                          <w:p w14:paraId="01D4B422">
                            <w:pPr>
                              <w:pStyle w:val="108"/>
                              <w:jc w:val="both"/>
                            </w:pPr>
                            <w:r>
                              <w:rPr>
                                <w:rFonts w:hint="eastAsia"/>
                              </w:rPr>
                              <w:t>1.424</w:t>
                            </w:r>
                          </w:p>
                        </w:txbxContent>
                      </v:textbox>
                    </v:shape>
                  </w:pict>
                </mc:Fallback>
              </mc:AlternateContent>
            </w:r>
          </w:p>
          <w:p w14:paraId="3EB05484">
            <w:pPr>
              <w:pStyle w:val="108"/>
              <w:spacing w:line="360" w:lineRule="auto"/>
              <w:ind w:firstLine="422" w:firstLineChars="200"/>
              <w:jc w:val="left"/>
              <w:rPr>
                <w:sz w:val="24"/>
              </w:rPr>
            </w:pPr>
            <w:r>
              <w:rPr>
                <w:b/>
                <w:kern w:val="0"/>
              </w:rPr>
              <mc:AlternateContent>
                <mc:Choice Requires="wps">
                  <w:drawing>
                    <wp:anchor distT="0" distB="0" distL="114300" distR="114300" simplePos="0" relativeHeight="251746304" behindDoc="0" locked="0" layoutInCell="1" allowOverlap="1">
                      <wp:simplePos x="0" y="0"/>
                      <wp:positionH relativeFrom="column">
                        <wp:posOffset>361950</wp:posOffset>
                      </wp:positionH>
                      <wp:positionV relativeFrom="paragraph">
                        <wp:posOffset>233680</wp:posOffset>
                      </wp:positionV>
                      <wp:extent cx="564515" cy="256540"/>
                      <wp:effectExtent l="0" t="0" r="0" b="0"/>
                      <wp:wrapNone/>
                      <wp:docPr id="89" name="文本框 1102"/>
                      <wp:cNvGraphicFramePr/>
                      <a:graphic xmlns:a="http://schemas.openxmlformats.org/drawingml/2006/main">
                        <a:graphicData uri="http://schemas.microsoft.com/office/word/2010/wordprocessingShape">
                          <wps:wsp>
                            <wps:cNvSpPr txBox="1"/>
                            <wps:spPr>
                              <a:xfrm>
                                <a:off x="0" y="0"/>
                                <a:ext cx="564515" cy="256540"/>
                              </a:xfrm>
                              <a:prstGeom prst="rect">
                                <a:avLst/>
                              </a:prstGeom>
                              <a:noFill/>
                              <a:ln w="12700">
                                <a:noFill/>
                              </a:ln>
                            </wps:spPr>
                            <wps:txbx>
                              <w:txbxContent>
                                <w:p w14:paraId="20D00F1C">
                                  <w:pPr>
                                    <w:pStyle w:val="108"/>
                                    <w:jc w:val="both"/>
                                  </w:pPr>
                                  <w:r>
                                    <w:rPr>
                                      <w:rFonts w:hint="eastAsia"/>
                                    </w:rPr>
                                    <w:t>14.237</w:t>
                                  </w:r>
                                </w:p>
                              </w:txbxContent>
                            </wps:txbx>
                            <wps:bodyPr upright="1"/>
                          </wps:wsp>
                        </a:graphicData>
                      </a:graphic>
                    </wp:anchor>
                  </w:drawing>
                </mc:Choice>
                <mc:Fallback>
                  <w:pict>
                    <v:shape id="文本框 1102" o:spid="_x0000_s1026" o:spt="202" type="#_x0000_t202" style="position:absolute;left:0pt;margin-left:28.5pt;margin-top:18.4pt;height:20.2pt;width:44.45pt;z-index:251746304;mso-width-relative:page;mso-height-relative:page;" filled="f" stroked="f" coordsize="21600,21600" o:gfxdata="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UcGfx1wAAAAgBAAAPAAAAAAAAAAEAIAAAACIAAABkcnMvZG93bnJldi54bWxQSwECFAAU&#10;AAAACACHTuJA641pvbkBAABbAwAADgAAAAAAAAABACAAAAAmAQAAZHJzL2Uyb0RvYy54bWxQSwUG&#10;AAAAAAYABgBZAQAAUQUAAAAA&#10;">
                      <v:fill on="f" focussize="0,0"/>
                      <v:stroke on="f" weight="1pt"/>
                      <v:imagedata o:title=""/>
                      <o:lock v:ext="edit" aspectratio="f"/>
                      <v:textbox>
                        <w:txbxContent>
                          <w:p w14:paraId="20D00F1C">
                            <w:pPr>
                              <w:pStyle w:val="108"/>
                              <w:jc w:val="both"/>
                            </w:pPr>
                            <w:r>
                              <w:rPr>
                                <w:rFonts w:hint="eastAsia"/>
                              </w:rPr>
                              <w:t>14.237</w:t>
                            </w:r>
                          </w:p>
                        </w:txbxContent>
                      </v:textbox>
                    </v:shape>
                  </w:pict>
                </mc:Fallback>
              </mc:AlternateContent>
            </w:r>
            <w:r>
              <w:rPr>
                <w:b/>
                <w:kern w:val="0"/>
              </w:rPr>
              <mc:AlternateContent>
                <mc:Choice Requires="wps">
                  <w:drawing>
                    <wp:anchor distT="0" distB="0" distL="114300" distR="114300" simplePos="0" relativeHeight="251756544" behindDoc="0" locked="0" layoutInCell="1" allowOverlap="1">
                      <wp:simplePos x="0" y="0"/>
                      <wp:positionH relativeFrom="column">
                        <wp:posOffset>1637665</wp:posOffset>
                      </wp:positionH>
                      <wp:positionV relativeFrom="paragraph">
                        <wp:posOffset>135255</wp:posOffset>
                      </wp:positionV>
                      <wp:extent cx="623570" cy="256540"/>
                      <wp:effectExtent l="0" t="0" r="0" b="0"/>
                      <wp:wrapNone/>
                      <wp:docPr id="99" name="文本框 1120"/>
                      <wp:cNvGraphicFramePr/>
                      <a:graphic xmlns:a="http://schemas.openxmlformats.org/drawingml/2006/main">
                        <a:graphicData uri="http://schemas.microsoft.com/office/word/2010/wordprocessingShape">
                          <wps:wsp>
                            <wps:cNvSpPr txBox="1"/>
                            <wps:spPr>
                              <a:xfrm>
                                <a:off x="0" y="0"/>
                                <a:ext cx="623570" cy="256540"/>
                              </a:xfrm>
                              <a:prstGeom prst="rect">
                                <a:avLst/>
                              </a:prstGeom>
                              <a:noFill/>
                              <a:ln w="12700">
                                <a:noFill/>
                              </a:ln>
                            </wps:spPr>
                            <wps:txbx>
                              <w:txbxContent>
                                <w:p w14:paraId="2ED39494">
                                  <w:pPr>
                                    <w:pStyle w:val="108"/>
                                    <w:jc w:val="both"/>
                                  </w:pPr>
                                  <w:r>
                                    <w:rPr>
                                      <w:rFonts w:hint="eastAsia"/>
                                    </w:rPr>
                                    <w:t>12.813</w:t>
                                  </w:r>
                                </w:p>
                              </w:txbxContent>
                            </wps:txbx>
                            <wps:bodyPr upright="1"/>
                          </wps:wsp>
                        </a:graphicData>
                      </a:graphic>
                    </wp:anchor>
                  </w:drawing>
                </mc:Choice>
                <mc:Fallback>
                  <w:pict>
                    <v:shape id="文本框 1120" o:spid="_x0000_s1026" o:spt="202" type="#_x0000_t202" style="position:absolute;left:0pt;margin-left:128.95pt;margin-top:10.65pt;height:20.2pt;width:49.1pt;z-index:251756544;mso-width-relative:page;mso-height-relative:page;" filled="f" stroked="f" coordsize="21600,21600" o:gfxdata="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KceYH2AAAAAkBAAAPAAAAAAAAAAEAIAAAACIAAABkcnMvZG93bnJldi54bWxQSwECFAAU&#10;AAAACACHTuJAbT+kJ7gBAABbAwAADgAAAAAAAAABACAAAAAnAQAAZHJzL2Uyb0RvYy54bWxQSwUG&#10;AAAAAAYABgBZAQAAUQUAAAAA&#10;">
                      <v:fill on="f" focussize="0,0"/>
                      <v:stroke on="f" weight="1pt"/>
                      <v:imagedata o:title=""/>
                      <o:lock v:ext="edit" aspectratio="f"/>
                      <v:textbox>
                        <w:txbxContent>
                          <w:p w14:paraId="2ED39494">
                            <w:pPr>
                              <w:pStyle w:val="108"/>
                              <w:jc w:val="both"/>
                            </w:pPr>
                            <w:r>
                              <w:rPr>
                                <w:rFonts w:hint="eastAsia"/>
                              </w:rPr>
                              <w:t>12.813</w:t>
                            </w:r>
                          </w:p>
                        </w:txbxContent>
                      </v:textbox>
                    </v:shape>
                  </w:pict>
                </mc:Fallback>
              </mc:AlternateContent>
            </w:r>
            <w:r>
              <w:rPr>
                <w:b/>
                <w:bCs/>
                <w:sz w:val="28"/>
              </w:rPr>
              <mc:AlternateContent>
                <mc:Choice Requires="wps">
                  <w:drawing>
                    <wp:anchor distT="0" distB="0" distL="114300" distR="114300" simplePos="0" relativeHeight="251744256" behindDoc="0" locked="0" layoutInCell="1" allowOverlap="1">
                      <wp:simplePos x="0" y="0"/>
                      <wp:positionH relativeFrom="column">
                        <wp:posOffset>1302385</wp:posOffset>
                      </wp:positionH>
                      <wp:positionV relativeFrom="paragraph">
                        <wp:posOffset>92710</wp:posOffset>
                      </wp:positionV>
                      <wp:extent cx="293370" cy="223520"/>
                      <wp:effectExtent l="3810" t="0" r="7620" b="5080"/>
                      <wp:wrapNone/>
                      <wp:docPr id="87" name="自选图形 1100"/>
                      <wp:cNvGraphicFramePr/>
                      <a:graphic xmlns:a="http://schemas.openxmlformats.org/drawingml/2006/main">
                        <a:graphicData uri="http://schemas.microsoft.com/office/word/2010/wordprocessingShape">
                          <wps:wsp>
                            <wps:cNvCnPr/>
                            <wps:spPr>
                              <a:xfrm flipV="1">
                                <a:off x="0" y="0"/>
                                <a:ext cx="293370" cy="223520"/>
                              </a:xfrm>
                              <a:prstGeom prst="straightConnector1">
                                <a:avLst/>
                              </a:prstGeom>
                              <a:ln w="12700" cap="flat" cmpd="sng">
                                <a:solidFill>
                                  <a:srgbClr val="000000"/>
                                </a:solidFill>
                                <a:prstDash val="dash"/>
                                <a:headEnd type="none" w="med" len="med"/>
                                <a:tailEnd type="triangle" w="med" len="med"/>
                              </a:ln>
                            </wps:spPr>
                            <wps:bodyPr/>
                          </wps:wsp>
                        </a:graphicData>
                      </a:graphic>
                    </wp:anchor>
                  </w:drawing>
                </mc:Choice>
                <mc:Fallback>
                  <w:pict>
                    <v:shape id="自选图形 1100" o:spid="_x0000_s1026" o:spt="32" type="#_x0000_t32" style="position:absolute;left:0pt;flip:y;margin-left:102.55pt;margin-top:7.3pt;height:17.6pt;width:23.1pt;z-index:251744256;mso-width-relative:page;mso-height-relative:page;" filled="f" stroked="t" coordsize="21600,21600" o:gfxdata="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t9WeL2wAAAAkBAAAPAAAAAAAAAAEAIAAA&#10;ACIAAABkcnMvZG93bnJldi54bWxQSwECFAAUAAAACACHTuJAiJcrnQkCAAD5AwAADgAAAAAAAAAB&#10;ACAAAAAqAQAAZHJzL2Uyb0RvYy54bWxQSwUGAAAAAAYABgBZAQAApQUAAAAA&#10;">
                      <v:fill on="f" focussize="0,0"/>
                      <v:stroke weight="1pt" color="#000000" joinstyle="round" dashstyle="dash" endarrow="block"/>
                      <v:imagedata o:title=""/>
                      <o:lock v:ext="edit" aspectratio="f"/>
                    </v:shape>
                  </w:pict>
                </mc:Fallback>
              </mc:AlternateContent>
            </w:r>
            <w:r>
              <w:rPr>
                <w:szCs w:val="24"/>
              </w:rPr>
              <mc:AlternateContent>
                <mc:Choice Requires="wps">
                  <w:drawing>
                    <wp:anchor distT="0" distB="0" distL="114300" distR="114300" simplePos="0" relativeHeight="251753472" behindDoc="0" locked="0" layoutInCell="1" allowOverlap="1">
                      <wp:simplePos x="0" y="0"/>
                      <wp:positionH relativeFrom="column">
                        <wp:posOffset>3066415</wp:posOffset>
                      </wp:positionH>
                      <wp:positionV relativeFrom="paragraph">
                        <wp:posOffset>218440</wp:posOffset>
                      </wp:positionV>
                      <wp:extent cx="1815465" cy="489585"/>
                      <wp:effectExtent l="4445" t="4445" r="8890" b="20320"/>
                      <wp:wrapNone/>
                      <wp:docPr id="96" name="矩形 1109"/>
                      <wp:cNvGraphicFramePr/>
                      <a:graphic xmlns:a="http://schemas.openxmlformats.org/drawingml/2006/main">
                        <a:graphicData uri="http://schemas.microsoft.com/office/word/2010/wordprocessingShape">
                          <wps:wsp>
                            <wps:cNvSpPr/>
                            <wps:spPr>
                              <a:xfrm>
                                <a:off x="0" y="0"/>
                                <a:ext cx="1815465" cy="489585"/>
                              </a:xfrm>
                              <a:prstGeom prst="rect">
                                <a:avLst/>
                              </a:prstGeom>
                              <a:noFill/>
                              <a:ln w="9525" cap="flat" cmpd="sng">
                                <a:solidFill>
                                  <a:srgbClr val="000000"/>
                                </a:solidFill>
                                <a:prstDash val="solid"/>
                                <a:miter/>
                                <a:headEnd type="none" w="med" len="med"/>
                                <a:tailEnd type="none" w="med" len="med"/>
                              </a:ln>
                            </wps:spPr>
                            <wps:txbx>
                              <w:txbxContent>
                                <w:p w14:paraId="47DED01D">
                                  <w:pPr>
                                    <w:spacing w:line="240" w:lineRule="auto"/>
                                    <w:ind w:firstLine="0" w:firstLineChars="0"/>
                                    <w:rPr>
                                      <w:szCs w:val="21"/>
                                    </w:rPr>
                                  </w:pPr>
                                  <w:r>
                                    <w:rPr>
                                      <w:rFonts w:hint="eastAsia"/>
                                      <w:szCs w:val="21"/>
                                    </w:rPr>
                                    <w:t>秦皇岛市抚宁区中冶水务有限公司</w:t>
                                  </w:r>
                                </w:p>
                              </w:txbxContent>
                            </wps:txbx>
                            <wps:bodyPr upright="1"/>
                          </wps:wsp>
                        </a:graphicData>
                      </a:graphic>
                    </wp:anchor>
                  </w:drawing>
                </mc:Choice>
                <mc:Fallback>
                  <w:pict>
                    <v:rect id="矩形 1109" o:spid="_x0000_s1026" o:spt="1" style="position:absolute;left:0pt;margin-left:241.45pt;margin-top:17.2pt;height:38.55pt;width:142.95pt;z-index:251753472;mso-width-relative:page;mso-height-relative:page;" filled="f" stroked="t" coordsize="21600,21600" o:gfxdata="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5OtiXYAAAACgEAAA8AAAAAAAAAAQAgAAAAIgAAAGRycy9kb3du&#10;cmV2LnhtbFBLAQIUABQAAAAIAIdO4kCbGYSR/wEAAAQEAAAOAAAAAAAAAAEAIAAAACcBAABkcnMv&#10;ZTJvRG9jLnhtbFBLBQYAAAAABgAGAFkBAACYBQAAAAA=&#10;">
                      <v:fill on="f" focussize="0,0"/>
                      <v:stroke color="#000000" joinstyle="miter"/>
                      <v:imagedata o:title=""/>
                      <o:lock v:ext="edit" aspectratio="f"/>
                      <v:textbox>
                        <w:txbxContent>
                          <w:p w14:paraId="47DED01D">
                            <w:pPr>
                              <w:spacing w:line="240" w:lineRule="auto"/>
                              <w:ind w:firstLine="0" w:firstLineChars="0"/>
                              <w:rPr>
                                <w:szCs w:val="21"/>
                              </w:rPr>
                            </w:pPr>
                            <w:r>
                              <w:rPr>
                                <w:rFonts w:hint="eastAsia"/>
                                <w:szCs w:val="21"/>
                              </w:rPr>
                              <w:t>秦皇岛市抚宁区中冶水务有限公司</w:t>
                            </w:r>
                          </w:p>
                        </w:txbxContent>
                      </v:textbox>
                    </v:rect>
                  </w:pict>
                </mc:Fallback>
              </mc:AlternateContent>
            </w:r>
            <w:r>
              <w:rPr>
                <w:b/>
                <w:kern w:val="0"/>
              </w:rPr>
              <mc:AlternateContent>
                <mc:Choice Requires="wps">
                  <w:drawing>
                    <wp:anchor distT="0" distB="0" distL="114300" distR="114300" simplePos="0" relativeHeight="251754496" behindDoc="0" locked="0" layoutInCell="1" allowOverlap="1">
                      <wp:simplePos x="0" y="0"/>
                      <wp:positionH relativeFrom="column">
                        <wp:posOffset>2578100</wp:posOffset>
                      </wp:positionH>
                      <wp:positionV relativeFrom="paragraph">
                        <wp:posOffset>127635</wp:posOffset>
                      </wp:positionV>
                      <wp:extent cx="623570" cy="256540"/>
                      <wp:effectExtent l="0" t="0" r="0" b="0"/>
                      <wp:wrapNone/>
                      <wp:docPr id="97" name="文本框 1110"/>
                      <wp:cNvGraphicFramePr/>
                      <a:graphic xmlns:a="http://schemas.openxmlformats.org/drawingml/2006/main">
                        <a:graphicData uri="http://schemas.microsoft.com/office/word/2010/wordprocessingShape">
                          <wps:wsp>
                            <wps:cNvSpPr txBox="1"/>
                            <wps:spPr>
                              <a:xfrm>
                                <a:off x="0" y="0"/>
                                <a:ext cx="623570" cy="256540"/>
                              </a:xfrm>
                              <a:prstGeom prst="rect">
                                <a:avLst/>
                              </a:prstGeom>
                              <a:noFill/>
                              <a:ln w="12700">
                                <a:noFill/>
                              </a:ln>
                            </wps:spPr>
                            <wps:txbx>
                              <w:txbxContent>
                                <w:p w14:paraId="4842DFBF">
                                  <w:pPr>
                                    <w:pStyle w:val="108"/>
                                    <w:jc w:val="both"/>
                                  </w:pPr>
                                  <w:r>
                                    <w:rPr>
                                      <w:rFonts w:hint="eastAsia"/>
                                    </w:rPr>
                                    <w:t>12.813</w:t>
                                  </w:r>
                                </w:p>
                              </w:txbxContent>
                            </wps:txbx>
                            <wps:bodyPr upright="1"/>
                          </wps:wsp>
                        </a:graphicData>
                      </a:graphic>
                    </wp:anchor>
                  </w:drawing>
                </mc:Choice>
                <mc:Fallback>
                  <w:pict>
                    <v:shape id="文本框 1110" o:spid="_x0000_s1026" o:spt="202" type="#_x0000_t202" style="position:absolute;left:0pt;margin-left:203pt;margin-top:10.05pt;height:20.2pt;width:49.1pt;z-index:251754496;mso-width-relative:page;mso-height-relative:page;" filled="f" stroked="f" coordsize="21600,21600" o:gfxdata="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C8n2ntgAAAAJAQAADwAAAAAAAAABACAAAAAiAAAAZHJzL2Rvd25yZXYueG1sUEsBAhQAFAAA&#10;AAgAh07iQGIzH9K2AQAAWwMAAA4AAAAAAAAAAQAgAAAAJwEAAGRycy9lMm9Eb2MueG1sUEsFBgAA&#10;AAAGAAYAWQEAAE8FAAAAAA==&#10;">
                      <v:fill on="f" focussize="0,0"/>
                      <v:stroke on="f" weight="1pt"/>
                      <v:imagedata o:title=""/>
                      <o:lock v:ext="edit" aspectratio="f"/>
                      <v:textbox>
                        <w:txbxContent>
                          <w:p w14:paraId="4842DFBF">
                            <w:pPr>
                              <w:pStyle w:val="108"/>
                              <w:jc w:val="both"/>
                            </w:pPr>
                            <w:r>
                              <w:rPr>
                                <w:rFonts w:hint="eastAsia"/>
                              </w:rPr>
                              <w:t>12.813</w:t>
                            </w:r>
                          </w:p>
                        </w:txbxContent>
                      </v:textbox>
                    </v:shape>
                  </w:pict>
                </mc:Fallback>
              </mc:AlternateContent>
            </w:r>
          </w:p>
          <w:p w14:paraId="0E921C59">
            <w:pPr>
              <w:pStyle w:val="108"/>
              <w:spacing w:line="360" w:lineRule="auto"/>
              <w:ind w:firstLine="422" w:firstLineChars="200"/>
              <w:jc w:val="left"/>
              <w:rPr>
                <w:sz w:val="24"/>
              </w:rPr>
            </w:pPr>
            <w:r>
              <w:rPr>
                <w:b/>
                <w:bCs/>
                <w:szCs w:val="24"/>
              </w:rPr>
              <mc:AlternateContent>
                <mc:Choice Requires="wps">
                  <w:drawing>
                    <wp:anchor distT="0" distB="0" distL="114300" distR="114300" simplePos="0" relativeHeight="251738112" behindDoc="0" locked="0" layoutInCell="1" allowOverlap="1">
                      <wp:simplePos x="0" y="0"/>
                      <wp:positionH relativeFrom="column">
                        <wp:posOffset>125095</wp:posOffset>
                      </wp:positionH>
                      <wp:positionV relativeFrom="paragraph">
                        <wp:posOffset>641985</wp:posOffset>
                      </wp:positionV>
                      <wp:extent cx="846455" cy="3175"/>
                      <wp:effectExtent l="6350" t="0" r="9525" b="15240"/>
                      <wp:wrapNone/>
                      <wp:docPr id="81" name="自选图形 1094"/>
                      <wp:cNvGraphicFramePr/>
                      <a:graphic xmlns:a="http://schemas.openxmlformats.org/drawingml/2006/main">
                        <a:graphicData uri="http://schemas.microsoft.com/office/word/2010/wordprocessingShape">
                          <wps:wsp>
                            <wps:cNvCnPr/>
                            <wps:spPr>
                              <a:xfrm rot="5400000">
                                <a:off x="0" y="0"/>
                                <a:ext cx="846455" cy="3175"/>
                              </a:xfrm>
                              <a:prstGeom prst="bentConnector3">
                                <a:avLst>
                                  <a:gd name="adj1" fmla="val 49963"/>
                                </a:avLst>
                              </a:prstGeom>
                              <a:ln w="12700" cap="flat" cmpd="sng">
                                <a:solidFill>
                                  <a:srgbClr val="000000"/>
                                </a:solidFill>
                                <a:prstDash val="solid"/>
                                <a:miter/>
                                <a:headEnd type="none" w="med" len="med"/>
                                <a:tailEnd type="none" w="med" len="med"/>
                              </a:ln>
                            </wps:spPr>
                            <wps:bodyPr/>
                          </wps:wsp>
                        </a:graphicData>
                      </a:graphic>
                    </wp:anchor>
                  </w:drawing>
                </mc:Choice>
                <mc:Fallback>
                  <w:pict>
                    <v:shape id="自选图形 1094" o:spid="_x0000_s1026" o:spt="34" type="#_x0000_t34" style="position:absolute;left:0pt;margin-left:9.85pt;margin-top:50.55pt;height:0.25pt;width:66.65pt;rotation:5898240f;z-index:251738112;mso-width-relative:page;mso-height-relative:page;" filled="f" stroked="t" coordsize="21600,21600" o:gfxdata="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T5hCkNYAAAAK&#10;AQAADwAAAAAAAAABACAAAAAiAAAAZHJzL2Rvd25yZXYueG1sUEsBAhQAFAAAAAgAh07iQPUcAZMe&#10;AgAAKwQAAA4AAAAAAAAAAQAgAAAAJQEAAGRycy9lMm9Eb2MueG1sUEsFBgAAAAAGAAYAWQEAALUF&#10;AAAAAA==&#10;" adj="10792">
                      <v:fill on="f" focussize="0,0"/>
                      <v:stroke weight="1pt" color="#000000" joinstyle="miter"/>
                      <v:imagedata o:title=""/>
                      <o:lock v:ext="edit" aspectratio="f"/>
                    </v:shape>
                  </w:pict>
                </mc:Fallback>
              </mc:AlternateContent>
            </w:r>
            <w:r>
              <w:rPr>
                <w:b/>
                <w:bCs/>
                <w:szCs w:val="24"/>
              </w:rPr>
              <mc:AlternateContent>
                <mc:Choice Requires="wps">
                  <w:drawing>
                    <wp:anchor distT="0" distB="0" distL="114300" distR="114300" simplePos="0" relativeHeight="251739136" behindDoc="0" locked="0" layoutInCell="1" allowOverlap="1">
                      <wp:simplePos x="0" y="0"/>
                      <wp:positionH relativeFrom="column">
                        <wp:posOffset>861060</wp:posOffset>
                      </wp:positionH>
                      <wp:positionV relativeFrom="paragraph">
                        <wp:posOffset>60325</wp:posOffset>
                      </wp:positionV>
                      <wp:extent cx="911225" cy="323215"/>
                      <wp:effectExtent l="6350" t="6350" r="15875" b="13335"/>
                      <wp:wrapNone/>
                      <wp:docPr id="82" name="矩形 132"/>
                      <wp:cNvGraphicFramePr/>
                      <a:graphic xmlns:a="http://schemas.openxmlformats.org/drawingml/2006/main">
                        <a:graphicData uri="http://schemas.microsoft.com/office/word/2010/wordprocessingShape">
                          <wps:wsp>
                            <wps:cNvSpPr>
                              <a:spLocks noChangeArrowheads="1"/>
                            </wps:cNvSpPr>
                            <wps:spPr bwMode="auto">
                              <a:xfrm>
                                <a:off x="0" y="0"/>
                                <a:ext cx="885825" cy="276225"/>
                              </a:xfrm>
                              <a:prstGeom prst="rect">
                                <a:avLst/>
                              </a:prstGeom>
                              <a:solidFill>
                                <a:srgbClr val="FFFFFF"/>
                              </a:solidFill>
                              <a:ln w="12700" algn="ctr">
                                <a:solidFill>
                                  <a:srgbClr val="000000"/>
                                </a:solidFill>
                                <a:miter lim="800000"/>
                              </a:ln>
                              <a:effectLst/>
                            </wps:spPr>
                            <wps:txbx>
                              <w:txbxContent>
                                <w:p w14:paraId="051B963A">
                                  <w:pPr>
                                    <w:pStyle w:val="108"/>
                                  </w:pPr>
                                  <w:r>
                                    <w:rPr>
                                      <w:rFonts w:hint="eastAsia"/>
                                    </w:rPr>
                                    <w:t>生产线用水</w:t>
                                  </w:r>
                                </w:p>
                                <w:p w14:paraId="36860C82">
                                  <w:pPr>
                                    <w:ind w:firstLine="420"/>
                                  </w:pPr>
                                </w:p>
                              </w:txbxContent>
                            </wps:txbx>
                            <wps:bodyPr rot="0" vert="horz" wrap="square" lIns="91440" tIns="45720" rIns="91440" bIns="45720" anchor="t" anchorCtr="0" upright="1">
                              <a:noAutofit/>
                            </wps:bodyPr>
                          </wps:wsp>
                        </a:graphicData>
                      </a:graphic>
                    </wp:anchor>
                  </w:drawing>
                </mc:Choice>
                <mc:Fallback>
                  <w:pict>
                    <v:rect id="矩形 132" o:spid="_x0000_s1026" o:spt="1" style="position:absolute;left:0pt;margin-left:67.8pt;margin-top:4.75pt;height:25.45pt;width:71.75pt;z-index:251739136;mso-width-relative:page;mso-height-relative:page;" fillcolor="#FFFFFF" filled="t" stroked="t" coordsize="21600,21600" o:gfxdata="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NRCXR/aAAAACAEAAA8AAAAAAAAAAQAg&#10;AAAAIgAAAGRycy9kb3ducmV2LnhtbFBLAQIUABQAAAAIAIdO4kDMgFH2RQIAAJYEAAAOAAAAAAAA&#10;AAEAIAAAACkBAABkcnMvZTJvRG9jLnhtbFBLBQYAAAAABgAGAFkBAADgBQAAAAA=&#10;">
                      <v:fill on="t" focussize="0,0"/>
                      <v:stroke weight="1pt" color="#000000" miterlimit="8" joinstyle="miter"/>
                      <v:imagedata o:title=""/>
                      <o:lock v:ext="edit" aspectratio="f"/>
                      <v:textbox>
                        <w:txbxContent>
                          <w:p w14:paraId="051B963A">
                            <w:pPr>
                              <w:pStyle w:val="108"/>
                            </w:pPr>
                            <w:r>
                              <w:rPr>
                                <w:rFonts w:hint="eastAsia"/>
                              </w:rPr>
                              <w:t>生产线用水</w:t>
                            </w:r>
                          </w:p>
                          <w:p w14:paraId="36860C82">
                            <w:pPr>
                              <w:ind w:firstLine="420"/>
                            </w:pPr>
                          </w:p>
                        </w:txbxContent>
                      </v:textbox>
                    </v:rect>
                  </w:pict>
                </mc:Fallback>
              </mc:AlternateContent>
            </w:r>
            <w:r>
              <w:rPr>
                <w:szCs w:val="24"/>
              </w:rPr>
              <mc:AlternateContent>
                <mc:Choice Requires="wps">
                  <w:drawing>
                    <wp:anchor distT="0" distB="0" distL="114300" distR="114300" simplePos="0" relativeHeight="251741184" behindDoc="0" locked="0" layoutInCell="1" allowOverlap="1">
                      <wp:simplePos x="0" y="0"/>
                      <wp:positionH relativeFrom="column">
                        <wp:posOffset>1781810</wp:posOffset>
                      </wp:positionH>
                      <wp:positionV relativeFrom="paragraph">
                        <wp:posOffset>189230</wp:posOffset>
                      </wp:positionV>
                      <wp:extent cx="254000" cy="1905"/>
                      <wp:effectExtent l="0" t="38100" r="12700" b="36195"/>
                      <wp:wrapNone/>
                      <wp:docPr id="84" name="自选图形 1097"/>
                      <wp:cNvGraphicFramePr/>
                      <a:graphic xmlns:a="http://schemas.openxmlformats.org/drawingml/2006/main">
                        <a:graphicData uri="http://schemas.microsoft.com/office/word/2010/wordprocessingShape">
                          <wps:wsp>
                            <wps:cNvCnPr/>
                            <wps:spPr>
                              <a:xfrm flipV="1">
                                <a:off x="0" y="0"/>
                                <a:ext cx="254000" cy="1905"/>
                              </a:xfrm>
                              <a:prstGeom prst="bentConnector3">
                                <a:avLst>
                                  <a:gd name="adj1" fmla="val 50000"/>
                                </a:avLst>
                              </a:prstGeom>
                              <a:ln w="12700" cap="flat" cmpd="sng">
                                <a:solidFill>
                                  <a:srgbClr val="000000"/>
                                </a:solidFill>
                                <a:prstDash val="solid"/>
                                <a:miter/>
                                <a:headEnd type="none" w="med" len="med"/>
                                <a:tailEnd type="triangle" w="med" len="med"/>
                              </a:ln>
                            </wps:spPr>
                            <wps:bodyPr/>
                          </wps:wsp>
                        </a:graphicData>
                      </a:graphic>
                    </wp:anchor>
                  </w:drawing>
                </mc:Choice>
                <mc:Fallback>
                  <w:pict>
                    <v:shape id="自选图形 1097" o:spid="_x0000_s1026" o:spt="34" type="#_x0000_t34" style="position:absolute;left:0pt;flip:y;margin-left:140.3pt;margin-top:14.9pt;height:0.15pt;width:20pt;z-index:251741184;mso-width-relative:page;mso-height-relative:page;" filled="f" stroked="t" coordsize="21600,21600" o:gfxdata="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DKAIzz&#10;1wAAAAkBAAAPAAAAAAAAAAEAIAAAACIAAABkcnMvZG93bnJldi54bWxQSwECFAAUAAAACACHTuJA&#10;93X/HiICAAArBAAADgAAAAAAAAABACAAAAAmAQAAZHJzL2Uyb0RvYy54bWxQSwUGAAAAAAYABgBZ&#10;AQAAugUAAAAA&#10;" adj="10800">
                      <v:fill on="f" focussize="0,0"/>
                      <v:stroke weight="1pt" color="#000000" joinstyle="miter" endarrow="block"/>
                      <v:imagedata o:title=""/>
                      <o:lock v:ext="edit" aspectratio="f"/>
                    </v:shape>
                  </w:pict>
                </mc:Fallback>
              </mc:AlternateContent>
            </w:r>
            <w:r>
              <w:rPr>
                <w:szCs w:val="24"/>
              </w:rPr>
              <mc:AlternateContent>
                <mc:Choice Requires="wps">
                  <w:drawing>
                    <wp:anchor distT="0" distB="0" distL="114300" distR="114300" simplePos="0" relativeHeight="251752448" behindDoc="0" locked="0" layoutInCell="1" allowOverlap="1">
                      <wp:simplePos x="0" y="0"/>
                      <wp:positionH relativeFrom="column">
                        <wp:posOffset>2703830</wp:posOffset>
                      </wp:positionH>
                      <wp:positionV relativeFrom="paragraph">
                        <wp:posOffset>190500</wp:posOffset>
                      </wp:positionV>
                      <wp:extent cx="380365" cy="635"/>
                      <wp:effectExtent l="0" t="37465" r="635" b="38100"/>
                      <wp:wrapNone/>
                      <wp:docPr id="95" name="自选图形 1108"/>
                      <wp:cNvGraphicFramePr/>
                      <a:graphic xmlns:a="http://schemas.openxmlformats.org/drawingml/2006/main">
                        <a:graphicData uri="http://schemas.microsoft.com/office/word/2010/wordprocessingShape">
                          <wps:wsp>
                            <wps:cNvCnPr/>
                            <wps:spPr>
                              <a:xfrm>
                                <a:off x="0" y="0"/>
                                <a:ext cx="380365" cy="635"/>
                              </a:xfrm>
                              <a:prstGeom prst="straightConnector1">
                                <a:avLst/>
                              </a:prstGeom>
                              <a:ln w="12700" cap="flat" cmpd="sng">
                                <a:solidFill>
                                  <a:srgbClr val="000000"/>
                                </a:solidFill>
                                <a:prstDash val="solid"/>
                                <a:headEnd type="none" w="med" len="med"/>
                                <a:tailEnd type="triangle" w="med" len="med"/>
                              </a:ln>
                            </wps:spPr>
                            <wps:bodyPr/>
                          </wps:wsp>
                        </a:graphicData>
                      </a:graphic>
                    </wp:anchor>
                  </w:drawing>
                </mc:Choice>
                <mc:Fallback>
                  <w:pict>
                    <v:shape id="自选图形 1108" o:spid="_x0000_s1026" o:spt="32" type="#_x0000_t32" style="position:absolute;left:0pt;margin-left:212.9pt;margin-top:15pt;height:0.05pt;width:29.95pt;z-index:251752448;mso-width-relative:page;mso-height-relative:page;" filled="f" stroked="t" coordsize="21600,21600" o:gfxdata="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CucKk7XAAAACQEAAA8AAAAAAAAAAQAgAAAAIgAAAGRycy9kb3du&#10;cmV2LnhtbFBLAQIUABQAAAAIAIdO4kATNkuCAAIAAO0DAAAOAAAAAAAAAAEAIAAAACYBAABkcnMv&#10;ZTJvRG9jLnhtbFBLBQYAAAAABgAGAFkBAACYBQAAAAA=&#10;">
                      <v:fill on="f" focussize="0,0"/>
                      <v:stroke weight="1pt" color="#000000" joinstyle="round" endarrow="block"/>
                      <v:imagedata o:title=""/>
                      <o:lock v:ext="edit" aspectratio="f"/>
                    </v:shape>
                  </w:pict>
                </mc:Fallback>
              </mc:AlternateContent>
            </w:r>
            <w:r>
              <w:rPr>
                <w:szCs w:val="24"/>
              </w:rPr>
              <mc:AlternateContent>
                <mc:Choice Requires="wps">
                  <w:drawing>
                    <wp:anchor distT="0" distB="0" distL="114300" distR="114300" simplePos="0" relativeHeight="251743232" behindDoc="0" locked="0" layoutInCell="1" allowOverlap="1">
                      <wp:simplePos x="0" y="0"/>
                      <wp:positionH relativeFrom="column">
                        <wp:posOffset>2040890</wp:posOffset>
                      </wp:positionH>
                      <wp:positionV relativeFrom="paragraph">
                        <wp:posOffset>45720</wp:posOffset>
                      </wp:positionV>
                      <wp:extent cx="657225" cy="314325"/>
                      <wp:effectExtent l="4445" t="4445" r="5080" b="5080"/>
                      <wp:wrapNone/>
                      <wp:docPr id="86" name="矩形 1099"/>
                      <wp:cNvGraphicFramePr/>
                      <a:graphic xmlns:a="http://schemas.openxmlformats.org/drawingml/2006/main">
                        <a:graphicData uri="http://schemas.microsoft.com/office/word/2010/wordprocessingShape">
                          <wps:wsp>
                            <wps:cNvSpPr/>
                            <wps:spPr>
                              <a:xfrm>
                                <a:off x="0" y="0"/>
                                <a:ext cx="657225" cy="314325"/>
                              </a:xfrm>
                              <a:prstGeom prst="rect">
                                <a:avLst/>
                              </a:prstGeom>
                              <a:noFill/>
                              <a:ln w="9525" cap="flat" cmpd="sng">
                                <a:solidFill>
                                  <a:srgbClr val="000000"/>
                                </a:solidFill>
                                <a:prstDash val="solid"/>
                                <a:miter/>
                                <a:headEnd type="none" w="med" len="med"/>
                                <a:tailEnd type="none" w="med" len="med"/>
                              </a:ln>
                            </wps:spPr>
                            <wps:txbx>
                              <w:txbxContent>
                                <w:p w14:paraId="5DDFA99B">
                                  <w:pPr>
                                    <w:spacing w:line="240" w:lineRule="auto"/>
                                    <w:ind w:firstLine="0" w:firstLineChars="0"/>
                                    <w:rPr>
                                      <w:szCs w:val="21"/>
                                    </w:rPr>
                                  </w:pPr>
                                  <w:r>
                                    <w:rPr>
                                      <w:rFonts w:hint="eastAsia"/>
                                      <w:szCs w:val="21"/>
                                    </w:rPr>
                                    <w:t>污水站</w:t>
                                  </w:r>
                                </w:p>
                              </w:txbxContent>
                            </wps:txbx>
                            <wps:bodyPr upright="1"/>
                          </wps:wsp>
                        </a:graphicData>
                      </a:graphic>
                    </wp:anchor>
                  </w:drawing>
                </mc:Choice>
                <mc:Fallback>
                  <w:pict>
                    <v:rect id="矩形 1099" o:spid="_x0000_s1026" o:spt="1" style="position:absolute;left:0pt;margin-left:160.7pt;margin-top:3.6pt;height:24.75pt;width:51.75pt;z-index:251743232;mso-width-relative:page;mso-height-relative:page;" filled="f" stroked="t" coordsize="21600,21600" o:gfxdata="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y8eV0NcAAAAIAQAADwAAAAAAAAABACAAAAAiAAAAZHJzL2Rvd25y&#10;ZXYueG1sUEsBAhQAFAAAAAgAh07iQLOiDX7/AQAAAwQAAA4AAAAAAAAAAQAgAAAAJgEAAGRycy9l&#10;Mm9Eb2MueG1sUEsFBgAAAAAGAAYAWQEAAJcFAAAAAA==&#10;">
                      <v:fill on="f" focussize="0,0"/>
                      <v:stroke color="#000000" joinstyle="miter"/>
                      <v:imagedata o:title=""/>
                      <o:lock v:ext="edit" aspectratio="f"/>
                      <v:textbox>
                        <w:txbxContent>
                          <w:p w14:paraId="5DDFA99B">
                            <w:pPr>
                              <w:spacing w:line="240" w:lineRule="auto"/>
                              <w:ind w:firstLine="0" w:firstLineChars="0"/>
                              <w:rPr>
                                <w:szCs w:val="21"/>
                              </w:rPr>
                            </w:pPr>
                            <w:r>
                              <w:rPr>
                                <w:rFonts w:hint="eastAsia"/>
                                <w:szCs w:val="21"/>
                              </w:rPr>
                              <w:t>污水站</w:t>
                            </w:r>
                          </w:p>
                        </w:txbxContent>
                      </v:textbox>
                    </v:rect>
                  </w:pict>
                </mc:Fallback>
              </mc:AlternateContent>
            </w:r>
            <w:r>
              <w:rPr>
                <w:szCs w:val="24"/>
              </w:rPr>
              <mc:AlternateContent>
                <mc:Choice Requires="wps">
                  <w:drawing>
                    <wp:anchor distT="0" distB="0" distL="114300" distR="114300" simplePos="0" relativeHeight="251742208" behindDoc="0" locked="0" layoutInCell="1" allowOverlap="1">
                      <wp:simplePos x="0" y="0"/>
                      <wp:positionH relativeFrom="column">
                        <wp:posOffset>548005</wp:posOffset>
                      </wp:positionH>
                      <wp:positionV relativeFrom="paragraph">
                        <wp:posOffset>227330</wp:posOffset>
                      </wp:positionV>
                      <wp:extent cx="335280" cy="0"/>
                      <wp:effectExtent l="0" t="38100" r="7620" b="38100"/>
                      <wp:wrapNone/>
                      <wp:docPr id="85"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280"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43.15pt;margin-top:17.9pt;height:0pt;width:26.4pt;z-index:251742208;mso-width-relative:page;mso-height-relative:page;" filled="f" stroked="t" coordsize="21600,21600" o:gfxdata="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7W118tkAAAAIAQAADwAAAAAA&#10;AAABACAAAAAiAAAAZHJzL2Rvd25yZXYueG1sUEsBAhQAFAAAAAgAh07iQBEvV4gSAgAA/gMAAA4A&#10;AAAAAAAAAQAgAAAAKAEAAGRycy9lMm9Eb2MueG1sUEsFBgAAAAAGAAYAWQEAAKwFAAAAAA==&#10;">
                      <v:fill on="f" focussize="0,0"/>
                      <v:stroke weight="1pt" color="#000000" joinstyle="round" endarrow="block"/>
                      <v:imagedata o:title=""/>
                      <o:lock v:ext="edit" aspectratio="f"/>
                    </v:shape>
                  </w:pict>
                </mc:Fallback>
              </mc:AlternateContent>
            </w:r>
          </w:p>
          <w:p w14:paraId="0B841AC0">
            <w:pPr>
              <w:pStyle w:val="108"/>
              <w:spacing w:line="360" w:lineRule="auto"/>
              <w:ind w:firstLine="422" w:firstLineChars="200"/>
              <w:jc w:val="left"/>
              <w:rPr>
                <w:sz w:val="24"/>
              </w:rPr>
            </w:pPr>
            <w:r>
              <w:rPr>
                <w:rFonts w:ascii="宋体" w:hAnsi="宋体"/>
                <w:b/>
                <w:kern w:val="0"/>
              </w:rPr>
              <mc:AlternateContent>
                <mc:Choice Requires="wps">
                  <w:drawing>
                    <wp:anchor distT="0" distB="0" distL="114300" distR="114300" simplePos="0" relativeHeight="251722752" behindDoc="0" locked="0" layoutInCell="1" allowOverlap="1">
                      <wp:simplePos x="0" y="0"/>
                      <wp:positionH relativeFrom="column">
                        <wp:posOffset>61595</wp:posOffset>
                      </wp:positionH>
                      <wp:positionV relativeFrom="paragraph">
                        <wp:posOffset>78740</wp:posOffset>
                      </wp:positionV>
                      <wp:extent cx="567055" cy="256540"/>
                      <wp:effectExtent l="0" t="0" r="0" b="0"/>
                      <wp:wrapNone/>
                      <wp:docPr id="63" name="文本框 1079"/>
                      <wp:cNvGraphicFramePr/>
                      <a:graphic xmlns:a="http://schemas.openxmlformats.org/drawingml/2006/main">
                        <a:graphicData uri="http://schemas.microsoft.com/office/word/2010/wordprocessingShape">
                          <wps:wsp>
                            <wps:cNvSpPr txBox="1"/>
                            <wps:spPr>
                              <a:xfrm>
                                <a:off x="0" y="0"/>
                                <a:ext cx="567055" cy="256540"/>
                              </a:xfrm>
                              <a:prstGeom prst="rect">
                                <a:avLst/>
                              </a:prstGeom>
                              <a:noFill/>
                              <a:ln w="12700">
                                <a:noFill/>
                              </a:ln>
                            </wps:spPr>
                            <wps:txbx>
                              <w:txbxContent>
                                <w:p w14:paraId="62F4E879">
                                  <w:pPr>
                                    <w:pStyle w:val="108"/>
                                    <w:jc w:val="both"/>
                                  </w:pPr>
                                  <w:r>
                                    <w:rPr>
                                      <w:rFonts w:hint="eastAsia"/>
                                    </w:rPr>
                                    <w:t>47.921</w:t>
                                  </w:r>
                                </w:p>
                              </w:txbxContent>
                            </wps:txbx>
                            <wps:bodyPr upright="1"/>
                          </wps:wsp>
                        </a:graphicData>
                      </a:graphic>
                    </wp:anchor>
                  </w:drawing>
                </mc:Choice>
                <mc:Fallback>
                  <w:pict>
                    <v:shape id="文本框 1079" o:spid="_x0000_s1026" o:spt="202" type="#_x0000_t202" style="position:absolute;left:0pt;margin-left:4.85pt;margin-top:6.2pt;height:20.2pt;width:44.65pt;z-index:251722752;mso-width-relative:page;mso-height-relative:page;" filled="f" stroked="f" coordsize="21600,21600" o:gfxdata="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Ga9ZxPVAAAABgEAAA8AAAAAAAAAAQAgAAAAIgAAAGRycy9kb3ducmV2LnhtbFBLAQIUABQA&#10;AAAIAIdO4kBVzAfPugEAAFsDAAAOAAAAAAAAAAEAIAAAACQBAABkcnMvZTJvRG9jLnhtbFBLBQYA&#10;AAAABgAGAFkBAABQBQAAAAA=&#10;">
                      <v:fill on="f" focussize="0,0"/>
                      <v:stroke on="f" weight="1pt"/>
                      <v:imagedata o:title=""/>
                      <o:lock v:ext="edit" aspectratio="f"/>
                      <v:textbox>
                        <w:txbxContent>
                          <w:p w14:paraId="62F4E879">
                            <w:pPr>
                              <w:pStyle w:val="108"/>
                              <w:jc w:val="both"/>
                            </w:pPr>
                            <w:r>
                              <w:rPr>
                                <w:rFonts w:hint="eastAsia"/>
                              </w:rPr>
                              <w:t>47.921</w:t>
                            </w:r>
                          </w:p>
                        </w:txbxContent>
                      </v:textbox>
                    </v:shape>
                  </w:pict>
                </mc:Fallback>
              </mc:AlternateContent>
            </w:r>
          </w:p>
          <w:p w14:paraId="0F3B396F">
            <w:pPr>
              <w:pStyle w:val="108"/>
              <w:spacing w:line="360" w:lineRule="auto"/>
              <w:ind w:firstLine="420" w:firstLineChars="200"/>
              <w:jc w:val="left"/>
              <w:rPr>
                <w:sz w:val="24"/>
              </w:rPr>
            </w:pPr>
            <w:r>
              <w:rPr>
                <w:rFonts w:ascii="宋体" w:hAnsi="宋体"/>
                <w:kern w:val="0"/>
              </w:rPr>
              <mc:AlternateContent>
                <mc:Choice Requires="wps">
                  <w:drawing>
                    <wp:anchor distT="0" distB="0" distL="114300" distR="114300" simplePos="0" relativeHeight="251724800" behindDoc="0" locked="0" layoutInCell="1" allowOverlap="1">
                      <wp:simplePos x="0" y="0"/>
                      <wp:positionH relativeFrom="column">
                        <wp:posOffset>61595</wp:posOffset>
                      </wp:positionH>
                      <wp:positionV relativeFrom="paragraph">
                        <wp:posOffset>90805</wp:posOffset>
                      </wp:positionV>
                      <wp:extent cx="604520" cy="353060"/>
                      <wp:effectExtent l="0" t="0" r="0" b="0"/>
                      <wp:wrapNone/>
                      <wp:docPr id="65" name="文本框 1081"/>
                      <wp:cNvGraphicFramePr/>
                      <a:graphic xmlns:a="http://schemas.openxmlformats.org/drawingml/2006/main">
                        <a:graphicData uri="http://schemas.microsoft.com/office/word/2010/wordprocessingShape">
                          <wps:wsp>
                            <wps:cNvSpPr txBox="1"/>
                            <wps:spPr>
                              <a:xfrm>
                                <a:off x="0" y="0"/>
                                <a:ext cx="604520" cy="353060"/>
                              </a:xfrm>
                              <a:prstGeom prst="rect">
                                <a:avLst/>
                              </a:prstGeom>
                              <a:noFill/>
                              <a:ln w="12700">
                                <a:noFill/>
                              </a:ln>
                            </wps:spPr>
                            <wps:txbx>
                              <w:txbxContent>
                                <w:p w14:paraId="58A9A1EB">
                                  <w:pPr>
                                    <w:pStyle w:val="108"/>
                                    <w:jc w:val="both"/>
                                  </w:pPr>
                                  <w:r>
                                    <w:rPr>
                                      <w:rFonts w:hint="eastAsia"/>
                                    </w:rPr>
                                    <w:t>新鲜水</w:t>
                                  </w:r>
                                </w:p>
                                <w:p w14:paraId="771DEFCC">
                                  <w:pPr>
                                    <w:pStyle w:val="108"/>
                                  </w:pPr>
                                </w:p>
                                <w:p w14:paraId="34418D1A">
                                  <w:pPr>
                                    <w:pStyle w:val="108"/>
                                  </w:pPr>
                                </w:p>
                                <w:p w14:paraId="2C767A38">
                                  <w:pPr>
                                    <w:pStyle w:val="108"/>
                                  </w:pPr>
                                </w:p>
                                <w:p w14:paraId="09110A9B">
                                  <w:pPr>
                                    <w:pStyle w:val="108"/>
                                  </w:pPr>
                                </w:p>
                              </w:txbxContent>
                            </wps:txbx>
                            <wps:bodyPr upright="1"/>
                          </wps:wsp>
                        </a:graphicData>
                      </a:graphic>
                    </wp:anchor>
                  </w:drawing>
                </mc:Choice>
                <mc:Fallback>
                  <w:pict>
                    <v:shape id="文本框 1081" o:spid="_x0000_s1026" o:spt="202" type="#_x0000_t202" style="position:absolute;left:0pt;margin-left:4.85pt;margin-top:7.15pt;height:27.8pt;width:47.6pt;z-index:251724800;mso-width-relative:page;mso-height-relative:page;" filled="f" stroked="f" coordsize="21600,21600" o:gfxdata="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1nVHtUAAAAHAQAADwAAAAAAAAABACAAAAAiAAAAZHJzL2Rvd25yZXYueG1sUEsBAhQAFAAA&#10;AAgAh07iQFipnMa5AQAAWwMAAA4AAAAAAAAAAQAgAAAAJAEAAGRycy9lMm9Eb2MueG1sUEsFBgAA&#10;AAAGAAYAWQEAAE8FAAAAAA==&#10;">
                      <v:fill on="f" focussize="0,0"/>
                      <v:stroke on="f" weight="1pt"/>
                      <v:imagedata o:title=""/>
                      <o:lock v:ext="edit" aspectratio="f"/>
                      <v:textbox>
                        <w:txbxContent>
                          <w:p w14:paraId="58A9A1EB">
                            <w:pPr>
                              <w:pStyle w:val="108"/>
                              <w:jc w:val="both"/>
                            </w:pPr>
                            <w:r>
                              <w:rPr>
                                <w:rFonts w:hint="eastAsia"/>
                              </w:rPr>
                              <w:t>新鲜水</w:t>
                            </w:r>
                          </w:p>
                          <w:p w14:paraId="771DEFCC">
                            <w:pPr>
                              <w:pStyle w:val="108"/>
                            </w:pPr>
                          </w:p>
                          <w:p w14:paraId="34418D1A">
                            <w:pPr>
                              <w:pStyle w:val="108"/>
                            </w:pPr>
                          </w:p>
                          <w:p w14:paraId="2C767A38">
                            <w:pPr>
                              <w:pStyle w:val="108"/>
                            </w:pPr>
                          </w:p>
                          <w:p w14:paraId="09110A9B">
                            <w:pPr>
                              <w:pStyle w:val="108"/>
                            </w:pPr>
                          </w:p>
                        </w:txbxContent>
                      </v:textbox>
                    </v:shape>
                  </w:pict>
                </mc:Fallback>
              </mc:AlternateContent>
            </w:r>
            <w:r>
              <w:rPr>
                <w:rFonts w:ascii="宋体" w:hAnsi="宋体"/>
              </w:rPr>
              <mc:AlternateContent>
                <mc:Choice Requires="wps">
                  <w:drawing>
                    <wp:anchor distT="0" distB="0" distL="114300" distR="114300" simplePos="0" relativeHeight="251740160" behindDoc="0" locked="0" layoutInCell="1" allowOverlap="1">
                      <wp:simplePos x="0" y="0"/>
                      <wp:positionH relativeFrom="column">
                        <wp:posOffset>220980</wp:posOffset>
                      </wp:positionH>
                      <wp:positionV relativeFrom="paragraph">
                        <wp:posOffset>72390</wp:posOffset>
                      </wp:positionV>
                      <wp:extent cx="335280" cy="0"/>
                      <wp:effectExtent l="0" t="38100" r="7620" b="38100"/>
                      <wp:wrapNone/>
                      <wp:docPr id="83"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280"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17.4pt;margin-top:5.7pt;height:0pt;width:26.4pt;z-index:251740160;mso-width-relative:page;mso-height-relative:page;" filled="f" stroked="t" coordsize="21600,21600" o:gfxdata="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kC0OZdYAAAAHAQAADwAAAAAAAAAB&#10;ACAAAAAiAAAAZHJzL2Rvd25yZXYueG1sUEsBAhQAFAAAAAgAh07iQKb6hCASAgAA/gMAAA4AAAAA&#10;AAAAAQAgAAAAJQEAAGRycy9lMm9Eb2MueG1sUEsFBgAAAAAGAAYAWQEAAKkFAAAAAA==&#10;">
                      <v:fill on="f" focussize="0,0"/>
                      <v:stroke weight="1pt" color="#000000" joinstyle="round" endarrow="block"/>
                      <v:imagedata o:title=""/>
                      <o:lock v:ext="edit" aspectratio="f"/>
                    </v:shape>
                  </w:pict>
                </mc:Fallback>
              </mc:AlternateContent>
            </w:r>
            <w:r>
              <mc:AlternateContent>
                <mc:Choice Requires="wps">
                  <w:drawing>
                    <wp:anchor distT="0" distB="0" distL="114300" distR="114300" simplePos="0" relativeHeight="251749376" behindDoc="0" locked="0" layoutInCell="1" allowOverlap="1">
                      <wp:simplePos x="0" y="0"/>
                      <wp:positionH relativeFrom="column">
                        <wp:posOffset>2926080</wp:posOffset>
                      </wp:positionH>
                      <wp:positionV relativeFrom="paragraph">
                        <wp:posOffset>72390</wp:posOffset>
                      </wp:positionV>
                      <wp:extent cx="612775" cy="305435"/>
                      <wp:effectExtent l="0" t="0" r="0" b="0"/>
                      <wp:wrapNone/>
                      <wp:docPr id="92" name="文本框 1105"/>
                      <wp:cNvGraphicFramePr/>
                      <a:graphic xmlns:a="http://schemas.openxmlformats.org/drawingml/2006/main">
                        <a:graphicData uri="http://schemas.microsoft.com/office/word/2010/wordprocessingShape">
                          <wps:wsp>
                            <wps:cNvSpPr txBox="1"/>
                            <wps:spPr>
                              <a:xfrm>
                                <a:off x="0" y="0"/>
                                <a:ext cx="612775" cy="305435"/>
                              </a:xfrm>
                              <a:prstGeom prst="rect">
                                <a:avLst/>
                              </a:prstGeom>
                              <a:noFill/>
                              <a:ln w="12700">
                                <a:noFill/>
                              </a:ln>
                            </wps:spPr>
                            <wps:txbx>
                              <w:txbxContent>
                                <w:p w14:paraId="0DD8D549">
                                  <w:pPr>
                                    <w:pStyle w:val="108"/>
                                    <w:jc w:val="both"/>
                                  </w:pPr>
                                  <w:r>
                                    <w:rPr>
                                      <w:rFonts w:hint="eastAsia"/>
                                    </w:rPr>
                                    <w:t>0.328</w:t>
                                  </w:r>
                                </w:p>
                              </w:txbxContent>
                            </wps:txbx>
                            <wps:bodyPr upright="1"/>
                          </wps:wsp>
                        </a:graphicData>
                      </a:graphic>
                    </wp:anchor>
                  </w:drawing>
                </mc:Choice>
                <mc:Fallback>
                  <w:pict>
                    <v:shape id="文本框 1105" o:spid="_x0000_s1026" o:spt="202" type="#_x0000_t202" style="position:absolute;left:0pt;margin-left:230.4pt;margin-top:5.7pt;height:24.05pt;width:48.25pt;z-index:251749376;mso-width-relative:page;mso-height-relative:page;" filled="f" stroked="f" coordsize="21600,21600" o:gfxdata="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pf01C9gAAAAJAQAADwAAAAAAAAABACAAAAAiAAAAZHJzL2Rvd25yZXYueG1sUEsBAhQA&#10;FAAAAAgAh07iQPKnJ++5AQAAWwMAAA4AAAAAAAAAAQAgAAAAJwEAAGRycy9lMm9Eb2MueG1sUEsF&#10;BgAAAAAGAAYAWQEAAFIFAAAAAA==&#10;">
                      <v:fill on="f" focussize="0,0"/>
                      <v:stroke on="f" weight="1pt"/>
                      <v:imagedata o:title=""/>
                      <o:lock v:ext="edit" aspectratio="f"/>
                      <v:textbox>
                        <w:txbxContent>
                          <w:p w14:paraId="0DD8D549">
                            <w:pPr>
                              <w:pStyle w:val="108"/>
                              <w:jc w:val="both"/>
                            </w:pPr>
                            <w:r>
                              <w:rPr>
                                <w:rFonts w:hint="eastAsia"/>
                              </w:rPr>
                              <w:t>0.328</w:t>
                            </w:r>
                          </w:p>
                        </w:txbxContent>
                      </v:textbox>
                    </v:shape>
                  </w:pict>
                </mc:Fallback>
              </mc:AlternateContent>
            </w:r>
            <w:r>
              <mc:AlternateContent>
                <mc:Choice Requires="wps">
                  <w:drawing>
                    <wp:anchor distT="0" distB="0" distL="114300" distR="114300" simplePos="0" relativeHeight="251737088" behindDoc="0" locked="0" layoutInCell="1" allowOverlap="1">
                      <wp:simplePos x="0" y="0"/>
                      <wp:positionH relativeFrom="column">
                        <wp:posOffset>1781810</wp:posOffset>
                      </wp:positionH>
                      <wp:positionV relativeFrom="paragraph">
                        <wp:posOffset>205740</wp:posOffset>
                      </wp:positionV>
                      <wp:extent cx="623570" cy="305435"/>
                      <wp:effectExtent l="0" t="0" r="0" b="0"/>
                      <wp:wrapNone/>
                      <wp:docPr id="80" name="文本框 1093"/>
                      <wp:cNvGraphicFramePr/>
                      <a:graphic xmlns:a="http://schemas.openxmlformats.org/drawingml/2006/main">
                        <a:graphicData uri="http://schemas.microsoft.com/office/word/2010/wordprocessingShape">
                          <wps:wsp>
                            <wps:cNvSpPr txBox="1"/>
                            <wps:spPr>
                              <a:xfrm>
                                <a:off x="0" y="0"/>
                                <a:ext cx="623570" cy="305435"/>
                              </a:xfrm>
                              <a:prstGeom prst="rect">
                                <a:avLst/>
                              </a:prstGeom>
                              <a:noFill/>
                              <a:ln w="12700">
                                <a:noFill/>
                              </a:ln>
                            </wps:spPr>
                            <wps:txbx>
                              <w:txbxContent>
                                <w:p w14:paraId="4273BF8A">
                                  <w:pPr>
                                    <w:pStyle w:val="108"/>
                                    <w:jc w:val="both"/>
                                  </w:pPr>
                                  <w:r>
                                    <w:rPr>
                                      <w:rFonts w:hint="eastAsia"/>
                                    </w:rPr>
                                    <w:t>33.315</w:t>
                                  </w:r>
                                </w:p>
                              </w:txbxContent>
                            </wps:txbx>
                            <wps:bodyPr upright="1"/>
                          </wps:wsp>
                        </a:graphicData>
                      </a:graphic>
                    </wp:anchor>
                  </w:drawing>
                </mc:Choice>
                <mc:Fallback>
                  <w:pict>
                    <v:shape id="文本框 1093" o:spid="_x0000_s1026" o:spt="202" type="#_x0000_t202" style="position:absolute;left:0pt;margin-left:140.3pt;margin-top:16.2pt;height:24.05pt;width:49.1pt;z-index:251737088;mso-width-relative:page;mso-height-relative:page;" filled="f" stroked="f" coordsize="21600,21600" o:gfxdata="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F6iab/XAAAACQEAAA8AAAAAAAAAAQAgAAAAIgAAAGRycy9kb3ducmV2LnhtbFBLAQIUABQA&#10;AAAIAIdO4kCp6QhNuAEAAFsDAAAOAAAAAAAAAAEAIAAAACYBAABkcnMvZTJvRG9jLnhtbFBLBQYA&#10;AAAABgAGAFkBAABQBQAAAAA=&#10;">
                      <v:fill on="f" focussize="0,0"/>
                      <v:stroke on="f" weight="1pt"/>
                      <v:imagedata o:title=""/>
                      <o:lock v:ext="edit" aspectratio="f"/>
                      <v:textbox>
                        <w:txbxContent>
                          <w:p w14:paraId="4273BF8A">
                            <w:pPr>
                              <w:pStyle w:val="108"/>
                              <w:jc w:val="both"/>
                            </w:pPr>
                            <w:r>
                              <w:rPr>
                                <w:rFonts w:hint="eastAsia"/>
                              </w:rPr>
                              <w:t>33.315</w:t>
                            </w:r>
                          </w:p>
                        </w:txbxContent>
                      </v:textbox>
                    </v:shape>
                  </w:pict>
                </mc:Fallback>
              </mc:AlternateContent>
            </w:r>
            <w:r>
              <w:rPr>
                <w:b/>
                <w:bCs/>
                <w:sz w:val="28"/>
              </w:rPr>
              <mc:AlternateContent>
                <mc:Choice Requires="wps">
                  <w:drawing>
                    <wp:anchor distT="0" distB="0" distL="114300" distR="114300" simplePos="0" relativeHeight="251748352" behindDoc="0" locked="0" layoutInCell="1" allowOverlap="1">
                      <wp:simplePos x="0" y="0"/>
                      <wp:positionH relativeFrom="column">
                        <wp:posOffset>2632710</wp:posOffset>
                      </wp:positionH>
                      <wp:positionV relativeFrom="paragraph">
                        <wp:posOffset>177165</wp:posOffset>
                      </wp:positionV>
                      <wp:extent cx="293370" cy="223520"/>
                      <wp:effectExtent l="3810" t="0" r="7620" b="5080"/>
                      <wp:wrapNone/>
                      <wp:docPr id="91" name="自选图形 1104"/>
                      <wp:cNvGraphicFramePr/>
                      <a:graphic xmlns:a="http://schemas.openxmlformats.org/drawingml/2006/main">
                        <a:graphicData uri="http://schemas.microsoft.com/office/word/2010/wordprocessingShape">
                          <wps:wsp>
                            <wps:cNvCnPr/>
                            <wps:spPr>
                              <a:xfrm flipV="1">
                                <a:off x="0" y="0"/>
                                <a:ext cx="293370" cy="223520"/>
                              </a:xfrm>
                              <a:prstGeom prst="straightConnector1">
                                <a:avLst/>
                              </a:prstGeom>
                              <a:ln w="12700" cap="flat" cmpd="sng">
                                <a:solidFill>
                                  <a:srgbClr val="000000"/>
                                </a:solidFill>
                                <a:prstDash val="dash"/>
                                <a:headEnd type="none" w="med" len="med"/>
                                <a:tailEnd type="triangle" w="med" len="med"/>
                              </a:ln>
                            </wps:spPr>
                            <wps:bodyPr/>
                          </wps:wsp>
                        </a:graphicData>
                      </a:graphic>
                    </wp:anchor>
                  </w:drawing>
                </mc:Choice>
                <mc:Fallback>
                  <w:pict>
                    <v:shape id="自选图形 1104" o:spid="_x0000_s1026" o:spt="32" type="#_x0000_t32" style="position:absolute;left:0pt;flip:y;margin-left:207.3pt;margin-top:13.95pt;height:17.6pt;width:23.1pt;z-index:251748352;mso-width-relative:page;mso-height-relative:page;" filled="f" stroked="t" coordsize="21600,21600" o:gfxdata="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FVkZSfbAAAACQEAAA8AAAAAAAAAAQAg&#10;AAAAIgAAAGRycy9kb3ducmV2LnhtbFBLAQIUABQAAAAIAIdO4kDxNuvYCwIAAPkDAAAOAAAAAAAA&#10;AAEAIAAAACoBAABkcnMvZTJvRG9jLnhtbFBLBQYAAAAABgAGAFkBAACnBQAAAAA=&#10;">
                      <v:fill on="f" focussize="0,0"/>
                      <v:stroke weight="1pt" color="#000000" joinstyle="round" dashstyle="dash" endarrow="block"/>
                      <v:imagedata o:title=""/>
                      <o:lock v:ext="edit" aspectratio="f"/>
                    </v:shape>
                  </w:pict>
                </mc:Fallback>
              </mc:AlternateContent>
            </w:r>
            <w:r>
              <w:rPr>
                <w:b/>
                <w:kern w:val="0"/>
              </w:rPr>
              <mc:AlternateContent>
                <mc:Choice Requires="wps">
                  <w:drawing>
                    <wp:anchor distT="0" distB="0" distL="114300" distR="114300" simplePos="0" relativeHeight="251735040" behindDoc="0" locked="0" layoutInCell="1" allowOverlap="1">
                      <wp:simplePos x="0" y="0"/>
                      <wp:positionH relativeFrom="column">
                        <wp:posOffset>475615</wp:posOffset>
                      </wp:positionH>
                      <wp:positionV relativeFrom="paragraph">
                        <wp:posOffset>187325</wp:posOffset>
                      </wp:positionV>
                      <wp:extent cx="576580" cy="256540"/>
                      <wp:effectExtent l="0" t="0" r="0" b="0"/>
                      <wp:wrapNone/>
                      <wp:docPr id="78" name="文本框 1091"/>
                      <wp:cNvGraphicFramePr/>
                      <a:graphic xmlns:a="http://schemas.openxmlformats.org/drawingml/2006/main">
                        <a:graphicData uri="http://schemas.microsoft.com/office/word/2010/wordprocessingShape">
                          <wps:wsp>
                            <wps:cNvSpPr txBox="1"/>
                            <wps:spPr>
                              <a:xfrm>
                                <a:off x="0" y="0"/>
                                <a:ext cx="576580" cy="256540"/>
                              </a:xfrm>
                              <a:prstGeom prst="rect">
                                <a:avLst/>
                              </a:prstGeom>
                              <a:noFill/>
                              <a:ln w="12700">
                                <a:noFill/>
                              </a:ln>
                            </wps:spPr>
                            <wps:txbx>
                              <w:txbxContent>
                                <w:p w14:paraId="7D466AC9">
                                  <w:pPr>
                                    <w:pStyle w:val="108"/>
                                    <w:jc w:val="both"/>
                                  </w:pPr>
                                  <w:r>
                                    <w:rPr>
                                      <w:rFonts w:hint="eastAsia"/>
                                    </w:rPr>
                                    <w:t>33.684</w:t>
                                  </w:r>
                                </w:p>
                              </w:txbxContent>
                            </wps:txbx>
                            <wps:bodyPr upright="1"/>
                          </wps:wsp>
                        </a:graphicData>
                      </a:graphic>
                    </wp:anchor>
                  </w:drawing>
                </mc:Choice>
                <mc:Fallback>
                  <w:pict>
                    <v:shape id="文本框 1091" o:spid="_x0000_s1026" o:spt="202" type="#_x0000_t202" style="position:absolute;left:0pt;margin-left:37.45pt;margin-top:14.75pt;height:20.2pt;width:45.4pt;z-index:251735040;mso-width-relative:page;mso-height-relative:page;" filled="f" stroked="f" coordsize="21600,21600" o:gfxdata="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Kuqur3XAAAACAEAAA8AAAAAAAAAAQAgAAAAIgAAAGRycy9kb3ducmV2LnhtbFBLAQIUABQA&#10;AAAIAIdO4kAoZ6oiuAEAAFsDAAAOAAAAAAAAAAEAIAAAACYBAABkcnMvZTJvRG9jLnhtbFBLBQYA&#10;AAAABgAGAFkBAABQBQAAAAA=&#10;">
                      <v:fill on="f" focussize="0,0"/>
                      <v:stroke on="f" weight="1pt"/>
                      <v:imagedata o:title=""/>
                      <o:lock v:ext="edit" aspectratio="f"/>
                      <v:textbox>
                        <w:txbxContent>
                          <w:p w14:paraId="7D466AC9">
                            <w:pPr>
                              <w:pStyle w:val="108"/>
                              <w:jc w:val="both"/>
                            </w:pPr>
                            <w:r>
                              <w:rPr>
                                <w:rFonts w:hint="eastAsia"/>
                              </w:rPr>
                              <w:t>33.684</w:t>
                            </w:r>
                          </w:p>
                        </w:txbxContent>
                      </v:textbox>
                    </v:shape>
                  </w:pict>
                </mc:Fallback>
              </mc:AlternateContent>
            </w:r>
          </w:p>
          <w:p w14:paraId="216C8409">
            <w:pPr>
              <w:pStyle w:val="111"/>
              <w:ind w:firstLine="482"/>
              <w:rPr>
                <w:rFonts w:ascii="Times New Roman" w:hAnsi="Times New Roman"/>
              </w:rPr>
            </w:pPr>
            <w:r>
              <w:rPr>
                <w:rFonts w:ascii="Times New Roman" w:hAnsi="Times New Roman"/>
              </w:rPr>
              <mc:AlternateContent>
                <mc:Choice Requires="wps">
                  <w:drawing>
                    <wp:anchor distT="0" distB="0" distL="114300" distR="114300" simplePos="0" relativeHeight="251729920" behindDoc="0" locked="0" layoutInCell="1" allowOverlap="1">
                      <wp:simplePos x="0" y="0"/>
                      <wp:positionH relativeFrom="column">
                        <wp:posOffset>3030220</wp:posOffset>
                      </wp:positionH>
                      <wp:positionV relativeFrom="paragraph">
                        <wp:posOffset>8890</wp:posOffset>
                      </wp:positionV>
                      <wp:extent cx="489585" cy="292100"/>
                      <wp:effectExtent l="0" t="0" r="0" b="0"/>
                      <wp:wrapNone/>
                      <wp:docPr id="73" name="文本框 1086"/>
                      <wp:cNvGraphicFramePr/>
                      <a:graphic xmlns:a="http://schemas.openxmlformats.org/drawingml/2006/main">
                        <a:graphicData uri="http://schemas.microsoft.com/office/word/2010/wordprocessingShape">
                          <wps:wsp>
                            <wps:cNvSpPr txBox="1"/>
                            <wps:spPr>
                              <a:xfrm>
                                <a:off x="0" y="0"/>
                                <a:ext cx="489585" cy="292100"/>
                              </a:xfrm>
                              <a:prstGeom prst="rect">
                                <a:avLst/>
                              </a:prstGeom>
                              <a:noFill/>
                              <a:ln>
                                <a:noFill/>
                              </a:ln>
                            </wps:spPr>
                            <wps:txbx>
                              <w:txbxContent>
                                <w:p w14:paraId="16F628C3">
                                  <w:pPr>
                                    <w:spacing w:line="240" w:lineRule="auto"/>
                                    <w:ind w:firstLine="0" w:firstLineChars="0"/>
                                  </w:pPr>
                                  <w:r>
                                    <w:rPr>
                                      <w:rFonts w:hint="eastAsia"/>
                                      <w:szCs w:val="21"/>
                                    </w:rPr>
                                    <w:t>32</w:t>
                                  </w:r>
                                </w:p>
                              </w:txbxContent>
                            </wps:txbx>
                            <wps:bodyPr upright="1"/>
                          </wps:wsp>
                        </a:graphicData>
                      </a:graphic>
                    </wp:anchor>
                  </w:drawing>
                </mc:Choice>
                <mc:Fallback>
                  <w:pict>
                    <v:shape id="文本框 1086" o:spid="_x0000_s1026" o:spt="202" type="#_x0000_t202" style="position:absolute;left:0pt;margin-left:238.6pt;margin-top:0.7pt;height:23pt;width:38.55pt;z-index:251729920;mso-width-relative:page;mso-height-relative:page;" filled="f" stroked="f" coordsize="21600,21600" o:gfxdata="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Ag93nvU&#10;AAAACAEAAA8AAAAAAAAAAQAgAAAAIgAAAGRycy9kb3ducmV2LnhtbFBLAQIUABQAAAAIAIdO4kA0&#10;QadMsgEAAFEDAAAOAAAAAAAAAAEAIAAAACMBAABkcnMvZTJvRG9jLnhtbFBLBQYAAAAABgAGAFkB&#10;AABHBQAAAAA=&#10;">
                      <v:fill on="f" focussize="0,0"/>
                      <v:stroke on="f"/>
                      <v:imagedata o:title=""/>
                      <o:lock v:ext="edit" aspectratio="f"/>
                      <v:textbox>
                        <w:txbxContent>
                          <w:p w14:paraId="16F628C3">
                            <w:pPr>
                              <w:spacing w:line="240" w:lineRule="auto"/>
                              <w:ind w:firstLine="0" w:firstLineChars="0"/>
                            </w:pPr>
                            <w:r>
                              <w:rPr>
                                <w:rFonts w:hint="eastAsia"/>
                                <w:szCs w:val="21"/>
                              </w:rPr>
                              <w:t>32</w:t>
                            </w:r>
                          </w:p>
                        </w:txbxContent>
                      </v:textbox>
                    </v:shape>
                  </w:pict>
                </mc:Fallback>
              </mc:AlternateContent>
            </w:r>
            <w:r>
              <w:rPr>
                <w:rFonts w:ascii="Times New Roman" w:hAnsi="Times New Roman"/>
                <w:b/>
                <w:bCs/>
                <w:sz w:val="28"/>
              </w:rPr>
              <mc:AlternateContent>
                <mc:Choice Requires="wps">
                  <w:drawing>
                    <wp:anchor distT="0" distB="0" distL="114300" distR="114300" simplePos="0" relativeHeight="251727872" behindDoc="0" locked="0" layoutInCell="1" allowOverlap="1">
                      <wp:simplePos x="0" y="0"/>
                      <wp:positionH relativeFrom="column">
                        <wp:posOffset>2216785</wp:posOffset>
                      </wp:positionH>
                      <wp:positionV relativeFrom="paragraph">
                        <wp:posOffset>146050</wp:posOffset>
                      </wp:positionV>
                      <wp:extent cx="791210" cy="276225"/>
                      <wp:effectExtent l="6350" t="6350" r="21590" b="22225"/>
                      <wp:wrapNone/>
                      <wp:docPr id="68" name="矩形 132"/>
                      <wp:cNvGraphicFramePr/>
                      <a:graphic xmlns:a="http://schemas.openxmlformats.org/drawingml/2006/main">
                        <a:graphicData uri="http://schemas.microsoft.com/office/word/2010/wordprocessingShape">
                          <wps:wsp>
                            <wps:cNvSpPr>
                              <a:spLocks noChangeArrowheads="1"/>
                            </wps:cNvSpPr>
                            <wps:spPr bwMode="auto">
                              <a:xfrm>
                                <a:off x="0" y="0"/>
                                <a:ext cx="885825" cy="276225"/>
                              </a:xfrm>
                              <a:prstGeom prst="rect">
                                <a:avLst/>
                              </a:prstGeom>
                              <a:solidFill>
                                <a:srgbClr val="FFFFFF"/>
                              </a:solidFill>
                              <a:ln w="12700" algn="ctr">
                                <a:solidFill>
                                  <a:srgbClr val="000000"/>
                                </a:solidFill>
                                <a:miter lim="800000"/>
                              </a:ln>
                              <a:effectLst/>
                            </wps:spPr>
                            <wps:txbx>
                              <w:txbxContent>
                                <w:p w14:paraId="1BF0A2AD">
                                  <w:pPr>
                                    <w:pStyle w:val="108"/>
                                  </w:pPr>
                                  <w:r>
                                    <w:rPr>
                                      <w:rFonts w:hint="eastAsia"/>
                                    </w:rPr>
                                    <w:t>锅炉用水</w:t>
                                  </w:r>
                                </w:p>
                              </w:txbxContent>
                            </wps:txbx>
                            <wps:bodyPr rot="0" vert="horz" wrap="square" lIns="91440" tIns="45720" rIns="91440" bIns="45720" anchor="t" anchorCtr="0" upright="1">
                              <a:noAutofit/>
                            </wps:bodyPr>
                          </wps:wsp>
                        </a:graphicData>
                      </a:graphic>
                    </wp:anchor>
                  </w:drawing>
                </mc:Choice>
                <mc:Fallback>
                  <w:pict>
                    <v:rect id="矩形 132" o:spid="_x0000_s1026" o:spt="1" style="position:absolute;left:0pt;margin-left:174.55pt;margin-top:11.5pt;height:21.75pt;width:62.3pt;z-index:251727872;mso-width-relative:page;mso-height-relative:page;" fillcolor="#FFFFFF" filled="t" stroked="t" coordsize="21600,21600" o:gfxdata="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VCIpntwAAAAJAQAADwAAAAAAAAAB&#10;ACAAAAAiAAAAZHJzL2Rvd25yZXYueG1sUEsBAhQAFAAAAAgAh07iQOGpXN5FAgAAlgQAAA4AAAAA&#10;AAAAAQAgAAAAKwEAAGRycy9lMm9Eb2MueG1sUEsFBgAAAAAGAAYAWQEAAOIFAAAAAA==&#10;">
                      <v:fill on="t" focussize="0,0"/>
                      <v:stroke weight="1pt" color="#000000" miterlimit="8" joinstyle="miter"/>
                      <v:imagedata o:title=""/>
                      <o:lock v:ext="edit" aspectratio="f"/>
                      <v:textbox>
                        <w:txbxContent>
                          <w:p w14:paraId="1BF0A2AD">
                            <w:pPr>
                              <w:pStyle w:val="108"/>
                            </w:pPr>
                            <w:r>
                              <w:rPr>
                                <w:rFonts w:hint="eastAsia"/>
                              </w:rPr>
                              <w:t>锅炉用水</w:t>
                            </w:r>
                          </w:p>
                        </w:txbxContent>
                      </v:textbox>
                    </v:rect>
                  </w:pict>
                </mc:Fallback>
              </mc:AlternateContent>
            </w:r>
            <w:r>
              <w:rPr>
                <w:rFonts w:ascii="Times New Roman" w:hAnsi="Times New Roman"/>
                <w:b/>
                <w:bCs/>
                <w:sz w:val="28"/>
              </w:rPr>
              <mc:AlternateContent>
                <mc:Choice Requires="wps">
                  <w:drawing>
                    <wp:anchor distT="0" distB="0" distL="114300" distR="114300" simplePos="0" relativeHeight="251732992" behindDoc="0" locked="0" layoutInCell="1" allowOverlap="1">
                      <wp:simplePos x="0" y="0"/>
                      <wp:positionH relativeFrom="column">
                        <wp:posOffset>868680</wp:posOffset>
                      </wp:positionH>
                      <wp:positionV relativeFrom="paragraph">
                        <wp:posOffset>132080</wp:posOffset>
                      </wp:positionV>
                      <wp:extent cx="1000760" cy="276225"/>
                      <wp:effectExtent l="6350" t="6350" r="21590" b="22225"/>
                      <wp:wrapNone/>
                      <wp:docPr id="76" name="矩形 132"/>
                      <wp:cNvGraphicFramePr/>
                      <a:graphic xmlns:a="http://schemas.openxmlformats.org/drawingml/2006/main">
                        <a:graphicData uri="http://schemas.microsoft.com/office/word/2010/wordprocessingShape">
                          <wps:wsp>
                            <wps:cNvSpPr>
                              <a:spLocks noChangeArrowheads="1"/>
                            </wps:cNvSpPr>
                            <wps:spPr bwMode="auto">
                              <a:xfrm>
                                <a:off x="0" y="0"/>
                                <a:ext cx="885825" cy="276225"/>
                              </a:xfrm>
                              <a:prstGeom prst="rect">
                                <a:avLst/>
                              </a:prstGeom>
                              <a:solidFill>
                                <a:srgbClr val="FFFFFF"/>
                              </a:solidFill>
                              <a:ln w="12700" algn="ctr">
                                <a:solidFill>
                                  <a:srgbClr val="000000"/>
                                </a:solidFill>
                                <a:miter lim="800000"/>
                              </a:ln>
                              <a:effectLst/>
                            </wps:spPr>
                            <wps:txbx>
                              <w:txbxContent>
                                <w:p w14:paraId="1A9168A5">
                                  <w:pPr>
                                    <w:ind w:firstLine="0" w:firstLineChars="0"/>
                                  </w:pPr>
                                  <w:r>
                                    <w:rPr>
                                      <w:rFonts w:hint="eastAsia"/>
                                    </w:rPr>
                                    <w:t>锅炉软水系统</w:t>
                                  </w:r>
                                </w:p>
                              </w:txbxContent>
                            </wps:txbx>
                            <wps:bodyPr rot="0" vert="horz" wrap="square" lIns="91440" tIns="45720" rIns="91440" bIns="45720" anchor="t" anchorCtr="0" upright="1">
                              <a:noAutofit/>
                            </wps:bodyPr>
                          </wps:wsp>
                        </a:graphicData>
                      </a:graphic>
                    </wp:anchor>
                  </w:drawing>
                </mc:Choice>
                <mc:Fallback>
                  <w:pict>
                    <v:rect id="矩形 132" o:spid="_x0000_s1026" o:spt="1" style="position:absolute;left:0pt;margin-left:68.4pt;margin-top:10.4pt;height:21.75pt;width:78.8pt;z-index:251732992;mso-width-relative:page;mso-height-relative:page;" fillcolor="#FFFFFF" filled="t" stroked="t" coordsize="21600,21600" o:gfxdata="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Ce+5n02wAAAAkBAAAPAAAAAAAAAAEA&#10;IAAAACIAAABkcnMvZG93bnJldi54bWxQSwECFAAUAAAACACHTuJA7kryI0UCAACWBAAADgAAAAAA&#10;AAABACAAAAAqAQAAZHJzL2Uyb0RvYy54bWxQSwUGAAAAAAYABgBZAQAA4QUAAAAA&#10;">
                      <v:fill on="t" focussize="0,0"/>
                      <v:stroke weight="1pt" color="#000000" miterlimit="8" joinstyle="miter"/>
                      <v:imagedata o:title=""/>
                      <o:lock v:ext="edit" aspectratio="f"/>
                      <v:textbox>
                        <w:txbxContent>
                          <w:p w14:paraId="1A9168A5">
                            <w:pPr>
                              <w:ind w:firstLine="0" w:firstLineChars="0"/>
                            </w:pPr>
                            <w:r>
                              <w:rPr>
                                <w:rFonts w:hint="eastAsia"/>
                              </w:rPr>
                              <w:t>锅炉软水系统</w:t>
                            </w:r>
                          </w:p>
                        </w:txbxContent>
                      </v:textbox>
                    </v:rect>
                  </w:pict>
                </mc:Fallback>
              </mc:AlternateContent>
            </w:r>
          </w:p>
          <w:p w14:paraId="32096D76">
            <w:pPr>
              <w:pStyle w:val="111"/>
              <w:ind w:firstLine="482"/>
              <w:rPr>
                <w:rFonts w:ascii="Times New Roman" w:hAnsi="Times New Roman"/>
              </w:rPr>
            </w:pPr>
            <w:r>
              <w:rPr>
                <w:rFonts w:ascii="Times New Roman" w:hAnsi="Times New Roman"/>
              </w:rPr>
              <mc:AlternateContent>
                <mc:Choice Requires="wps">
                  <w:drawing>
                    <wp:anchor distT="0" distB="0" distL="114300" distR="114300" simplePos="0" relativeHeight="251757568" behindDoc="0" locked="0" layoutInCell="1" allowOverlap="1">
                      <wp:simplePos x="0" y="0"/>
                      <wp:positionH relativeFrom="column">
                        <wp:posOffset>3047365</wp:posOffset>
                      </wp:positionH>
                      <wp:positionV relativeFrom="paragraph">
                        <wp:posOffset>148590</wp:posOffset>
                      </wp:positionV>
                      <wp:extent cx="489585" cy="292100"/>
                      <wp:effectExtent l="0" t="0" r="0" b="0"/>
                      <wp:wrapNone/>
                      <wp:docPr id="100" name="文本框 1121"/>
                      <wp:cNvGraphicFramePr/>
                      <a:graphic xmlns:a="http://schemas.openxmlformats.org/drawingml/2006/main">
                        <a:graphicData uri="http://schemas.microsoft.com/office/word/2010/wordprocessingShape">
                          <wps:wsp>
                            <wps:cNvSpPr txBox="1"/>
                            <wps:spPr>
                              <a:xfrm>
                                <a:off x="0" y="0"/>
                                <a:ext cx="489585" cy="292100"/>
                              </a:xfrm>
                              <a:prstGeom prst="rect">
                                <a:avLst/>
                              </a:prstGeom>
                              <a:noFill/>
                              <a:ln>
                                <a:noFill/>
                              </a:ln>
                            </wps:spPr>
                            <wps:txbx>
                              <w:txbxContent>
                                <w:p w14:paraId="4B8B13B2">
                                  <w:pPr>
                                    <w:spacing w:line="240" w:lineRule="auto"/>
                                    <w:ind w:firstLine="0" w:firstLineChars="0"/>
                                  </w:pPr>
                                  <w:r>
                                    <w:rPr>
                                      <w:rFonts w:hint="eastAsia"/>
                                      <w:szCs w:val="21"/>
                                    </w:rPr>
                                    <w:t>32</w:t>
                                  </w:r>
                                </w:p>
                              </w:txbxContent>
                            </wps:txbx>
                            <wps:bodyPr upright="1"/>
                          </wps:wsp>
                        </a:graphicData>
                      </a:graphic>
                    </wp:anchor>
                  </w:drawing>
                </mc:Choice>
                <mc:Fallback>
                  <w:pict>
                    <v:shape id="文本框 1121" o:spid="_x0000_s1026" o:spt="202" type="#_x0000_t202" style="position:absolute;left:0pt;margin-left:239.95pt;margin-top:11.7pt;height:23pt;width:38.55pt;z-index:251757568;mso-width-relative:page;mso-height-relative:page;" filled="f" stroked="f" coordsize="21600,21600" o:gfxdata="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4a7U3dcA&#10;AAAJAQAADwAAAAAAAAABACAAAAAiAAAAZHJzL2Rvd25yZXYueG1sUEsBAhQAFAAAAAgAh07iQF74&#10;H5muAQAAUgMAAA4AAAAAAAAAAQAgAAAAJgEAAGRycy9lMm9Eb2MueG1sUEsFBgAAAAAGAAYAWQEA&#10;AEYFAAAAAA==&#10;">
                      <v:fill on="f" focussize="0,0"/>
                      <v:stroke on="f"/>
                      <v:imagedata o:title=""/>
                      <o:lock v:ext="edit" aspectratio="f"/>
                      <v:textbox>
                        <w:txbxContent>
                          <w:p w14:paraId="4B8B13B2">
                            <w:pPr>
                              <w:spacing w:line="240" w:lineRule="auto"/>
                              <w:ind w:firstLine="0" w:firstLineChars="0"/>
                            </w:pPr>
                            <w:r>
                              <w:rPr>
                                <w:rFonts w:hint="eastAsia"/>
                                <w:szCs w:val="21"/>
                              </w:rPr>
                              <w:t>32</w:t>
                            </w:r>
                          </w:p>
                        </w:txbxContent>
                      </v:textbox>
                    </v:shape>
                  </w:pict>
                </mc:Fallback>
              </mc:AlternateContent>
            </w:r>
            <w:r>
              <w:rPr>
                <w:rFonts w:ascii="Times New Roman" w:hAnsi="Times New Roman"/>
              </w:rPr>
              <mc:AlternateContent>
                <mc:Choice Requires="wps">
                  <w:drawing>
                    <wp:anchor distT="0" distB="0" distL="114300" distR="114300" simplePos="0" relativeHeight="251730944" behindDoc="0" locked="0" layoutInCell="1" allowOverlap="1">
                      <wp:simplePos x="0" y="0"/>
                      <wp:positionH relativeFrom="column">
                        <wp:posOffset>3012440</wp:posOffset>
                      </wp:positionH>
                      <wp:positionV relativeFrom="paragraph">
                        <wp:posOffset>100330</wp:posOffset>
                      </wp:positionV>
                      <wp:extent cx="394335" cy="3810"/>
                      <wp:effectExtent l="0" t="34925" r="5715" b="37465"/>
                      <wp:wrapNone/>
                      <wp:docPr id="74" name="自选图形 1087"/>
                      <wp:cNvGraphicFramePr/>
                      <a:graphic xmlns:a="http://schemas.openxmlformats.org/drawingml/2006/main">
                        <a:graphicData uri="http://schemas.microsoft.com/office/word/2010/wordprocessingShape">
                          <wps:wsp>
                            <wps:cNvCnPr/>
                            <wps:spPr>
                              <a:xfrm>
                                <a:off x="0" y="0"/>
                                <a:ext cx="394335" cy="3810"/>
                              </a:xfrm>
                              <a:prstGeom prst="straightConnector1">
                                <a:avLst/>
                              </a:prstGeom>
                              <a:ln w="12700" cap="flat" cmpd="sng">
                                <a:solidFill>
                                  <a:srgbClr val="000000"/>
                                </a:solidFill>
                                <a:prstDash val="solid"/>
                                <a:headEnd type="none" w="med" len="med"/>
                                <a:tailEnd type="triangle" w="med" len="med"/>
                              </a:ln>
                            </wps:spPr>
                            <wps:bodyPr/>
                          </wps:wsp>
                        </a:graphicData>
                      </a:graphic>
                    </wp:anchor>
                  </w:drawing>
                </mc:Choice>
                <mc:Fallback>
                  <w:pict>
                    <v:shape id="自选图形 1087" o:spid="_x0000_s1026" o:spt="32" type="#_x0000_t32" style="position:absolute;left:0pt;margin-left:237.2pt;margin-top:7.9pt;height:0.3pt;width:31.05pt;z-index:251730944;mso-width-relative:page;mso-height-relative:page;" filled="f" stroked="t" coordsize="21600,21600" o:gfxdata="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FoDznzWAAAACQEAAA8AAAAAAAAAAQAgAAAAIgAAAGRycy9k&#10;b3ducmV2LnhtbFBLAQIUABQAAAAIAIdO4kBj7O0BBAIAAO4DAAAOAAAAAAAAAAEAIAAAACUBAABk&#10;cnMvZTJvRG9jLnhtbFBLBQYAAAAABgAGAFkBAACbBQAAAAA=&#10;">
                      <v:fill on="f" focussize="0,0"/>
                      <v:stroke weight="1pt" color="#000000" joinstyle="round" endarrow="block"/>
                      <v:imagedata o:title=""/>
                      <o:lock v:ext="edit" aspectratio="f"/>
                    </v:shape>
                  </w:pict>
                </mc:Fallback>
              </mc:AlternateContent>
            </w:r>
            <w:r>
              <w:rPr>
                <w:rFonts w:ascii="Times New Roman" w:hAnsi="Times New Roman"/>
              </w:rPr>
              <mc:AlternateContent>
                <mc:Choice Requires="wps">
                  <w:drawing>
                    <wp:anchor distT="0" distB="0" distL="114300" distR="114300" simplePos="0" relativeHeight="251747328" behindDoc="0" locked="0" layoutInCell="1" allowOverlap="1">
                      <wp:simplePos x="0" y="0"/>
                      <wp:positionH relativeFrom="column">
                        <wp:posOffset>3415030</wp:posOffset>
                      </wp:positionH>
                      <wp:positionV relativeFrom="paragraph">
                        <wp:posOffset>635</wp:posOffset>
                      </wp:positionV>
                      <wp:extent cx="480695" cy="274955"/>
                      <wp:effectExtent l="4445" t="4445" r="10160" b="6350"/>
                      <wp:wrapNone/>
                      <wp:docPr id="90" name="矩形 1103"/>
                      <wp:cNvGraphicFramePr/>
                      <a:graphic xmlns:a="http://schemas.openxmlformats.org/drawingml/2006/main">
                        <a:graphicData uri="http://schemas.microsoft.com/office/word/2010/wordprocessingShape">
                          <wps:wsp>
                            <wps:cNvSpPr/>
                            <wps:spPr>
                              <a:xfrm>
                                <a:off x="0" y="0"/>
                                <a:ext cx="480695" cy="274955"/>
                              </a:xfrm>
                              <a:prstGeom prst="rect">
                                <a:avLst/>
                              </a:prstGeom>
                              <a:noFill/>
                              <a:ln w="9525" cap="flat" cmpd="sng">
                                <a:solidFill>
                                  <a:srgbClr val="000000"/>
                                </a:solidFill>
                                <a:prstDash val="solid"/>
                                <a:miter/>
                                <a:headEnd type="none" w="med" len="med"/>
                                <a:tailEnd type="none" w="med" len="med"/>
                              </a:ln>
                            </wps:spPr>
                            <wps:txbx>
                              <w:txbxContent>
                                <w:p w14:paraId="4608EDC2">
                                  <w:pPr>
                                    <w:spacing w:line="240" w:lineRule="auto"/>
                                    <w:ind w:firstLine="0" w:firstLineChars="0"/>
                                    <w:rPr>
                                      <w:szCs w:val="21"/>
                                    </w:rPr>
                                  </w:pPr>
                                  <w:r>
                                    <w:rPr>
                                      <w:rFonts w:hint="eastAsia"/>
                                      <w:szCs w:val="21"/>
                                    </w:rPr>
                                    <w:t>生产</w:t>
                                  </w:r>
                                </w:p>
                              </w:txbxContent>
                            </wps:txbx>
                            <wps:bodyPr upright="1"/>
                          </wps:wsp>
                        </a:graphicData>
                      </a:graphic>
                    </wp:anchor>
                  </w:drawing>
                </mc:Choice>
                <mc:Fallback>
                  <w:pict>
                    <v:rect id="矩形 1103" o:spid="_x0000_s1026" o:spt="1" style="position:absolute;left:0pt;margin-left:268.9pt;margin-top:0.05pt;height:21.65pt;width:37.85pt;z-index:251747328;mso-width-relative:page;mso-height-relative:page;" filled="f" stroked="t" coordsize="21600,21600" o:gfxdata="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C0axsfVAAAABwEAAA8AAAAAAAAAAQAgAAAAIgAAAGRycy9kb3ducmV2&#10;LnhtbFBLAQIUABQAAAAIAIdO4kBMDLe6/wEAAAMEAAAOAAAAAAAAAAEAIAAAACQBAABkcnMvZTJv&#10;RG9jLnhtbFBLBQYAAAAABgAGAFkBAACVBQAAAAA=&#10;">
                      <v:fill on="f" focussize="0,0"/>
                      <v:stroke color="#000000" joinstyle="miter"/>
                      <v:imagedata o:title=""/>
                      <o:lock v:ext="edit" aspectratio="f"/>
                      <v:textbox>
                        <w:txbxContent>
                          <w:p w14:paraId="4608EDC2">
                            <w:pPr>
                              <w:spacing w:line="240" w:lineRule="auto"/>
                              <w:ind w:firstLine="0" w:firstLineChars="0"/>
                              <w:rPr>
                                <w:szCs w:val="21"/>
                              </w:rPr>
                            </w:pPr>
                            <w:r>
                              <w:rPr>
                                <w:rFonts w:hint="eastAsia"/>
                                <w:szCs w:val="21"/>
                              </w:rPr>
                              <w:t>生产</w:t>
                            </w:r>
                          </w:p>
                        </w:txbxContent>
                      </v:textbox>
                    </v:rect>
                  </w:pict>
                </mc:Fallback>
              </mc:AlternateContent>
            </w:r>
            <w:r>
              <w:rPr>
                <w:rFonts w:ascii="Times New Roman" w:hAnsi="Times New Roman"/>
                <w:b/>
                <w:bCs/>
                <w:sz w:val="28"/>
              </w:rPr>
              <mc:AlternateContent>
                <mc:Choice Requires="wps">
                  <w:drawing>
                    <wp:anchor distT="0" distB="0" distL="114300" distR="114300" simplePos="0" relativeHeight="251725824" behindDoc="0" locked="0" layoutInCell="1" allowOverlap="1">
                      <wp:simplePos x="0" y="0"/>
                      <wp:positionH relativeFrom="column">
                        <wp:posOffset>1884045</wp:posOffset>
                      </wp:positionH>
                      <wp:positionV relativeFrom="paragraph">
                        <wp:posOffset>138430</wp:posOffset>
                      </wp:positionV>
                      <wp:extent cx="335915" cy="0"/>
                      <wp:effectExtent l="0" t="38100" r="6985" b="38100"/>
                      <wp:wrapNone/>
                      <wp:docPr id="66"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723"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148.35pt;margin-top:10.9pt;height:0pt;width:26.45pt;z-index:251725824;mso-width-relative:page;mso-height-relative:page;" filled="f" stroked="t" coordsize="21600,21600" o:gfxdata="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Du9KIj2gAAAAkBAAAPAAAA&#10;AAAAAAEAIAAAACIAAABkcnMvZG93bnJldi54bWxQSwECFAAUAAAACACHTuJA3QEcexMCAAD+AwAA&#10;DgAAAAAAAAABACAAAAApAQAAZHJzL2Uyb0RvYy54bWxQSwUGAAAAAAYABgBZAQAArgUAAAAA&#10;">
                      <v:fill on="f" focussize="0,0"/>
                      <v:stroke weight="1pt" color="#000000" joinstyle="round" endarrow="block"/>
                      <v:imagedata o:title=""/>
                      <o:lock v:ext="edit" aspectratio="f"/>
                    </v:shape>
                  </w:pict>
                </mc:Fallback>
              </mc:AlternateContent>
            </w:r>
            <w:r>
              <w:rPr>
                <w:rFonts w:ascii="Times New Roman" w:hAnsi="Times New Roman"/>
                <w:b/>
                <w:bCs/>
                <w:sz w:val="28"/>
              </w:rPr>
              <mc:AlternateContent>
                <mc:Choice Requires="wps">
                  <w:drawing>
                    <wp:anchor distT="0" distB="0" distL="114300" distR="114300" simplePos="0" relativeHeight="251734016" behindDoc="0" locked="0" layoutInCell="1" allowOverlap="1">
                      <wp:simplePos x="0" y="0"/>
                      <wp:positionH relativeFrom="column">
                        <wp:posOffset>546735</wp:posOffset>
                      </wp:positionH>
                      <wp:positionV relativeFrom="paragraph">
                        <wp:posOffset>124460</wp:posOffset>
                      </wp:positionV>
                      <wp:extent cx="335280" cy="0"/>
                      <wp:effectExtent l="0" t="38100" r="7620" b="38100"/>
                      <wp:wrapNone/>
                      <wp:docPr id="77"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280"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43.05pt;margin-top:9.8pt;height:0pt;width:26.4pt;z-index:251734016;mso-width-relative:page;mso-height-relative:page;" filled="f" stroked="t" coordsize="21600,21600" o:gfxdata="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oXGgN2AAAAAgBAAAPAAAAAAAA&#10;AAEAIAAAACIAAABkcnMvZG93bnJldi54bWxQSwECFAAUAAAACACHTuJASo+72BICAAD+AwAADgAA&#10;AAAAAAABACAAAAAnAQAAZHJzL2Uyb0RvYy54bWxQSwUGAAAAAAYABgBZAQAAqwUAAAAA&#10;">
                      <v:fill on="f" focussize="0,0"/>
                      <v:stroke weight="1pt" color="#000000" joinstyle="round" endarrow="block"/>
                      <v:imagedata o:title=""/>
                      <o:lock v:ext="edit" aspectratio="f"/>
                    </v:shape>
                  </w:pict>
                </mc:Fallback>
              </mc:AlternateContent>
            </w:r>
          </w:p>
          <w:p w14:paraId="143AF636">
            <w:pPr>
              <w:pStyle w:val="111"/>
              <w:ind w:firstLine="482"/>
              <w:rPr>
                <w:rFonts w:ascii="Times New Roman" w:hAnsi="Times New Roman"/>
              </w:rPr>
            </w:pPr>
            <w:r>
              <w:rPr>
                <w:rFonts w:ascii="Times New Roman" w:hAnsi="Times New Roman"/>
              </w:rPr>
              <mc:AlternateContent>
                <mc:Choice Requires="wps">
                  <w:drawing>
                    <wp:anchor distT="0" distB="0" distL="114300" distR="114300" simplePos="0" relativeHeight="251751424" behindDoc="0" locked="0" layoutInCell="1" allowOverlap="1">
                      <wp:simplePos x="0" y="0"/>
                      <wp:positionH relativeFrom="column">
                        <wp:posOffset>2511425</wp:posOffset>
                      </wp:positionH>
                      <wp:positionV relativeFrom="paragraph">
                        <wp:posOffset>125095</wp:posOffset>
                      </wp:positionV>
                      <wp:extent cx="623570" cy="305435"/>
                      <wp:effectExtent l="0" t="0" r="0" b="0"/>
                      <wp:wrapNone/>
                      <wp:docPr id="94" name="文本框 1107"/>
                      <wp:cNvGraphicFramePr/>
                      <a:graphic xmlns:a="http://schemas.openxmlformats.org/drawingml/2006/main">
                        <a:graphicData uri="http://schemas.microsoft.com/office/word/2010/wordprocessingShape">
                          <wps:wsp>
                            <wps:cNvSpPr txBox="1"/>
                            <wps:spPr>
                              <a:xfrm>
                                <a:off x="0" y="0"/>
                                <a:ext cx="623570" cy="305435"/>
                              </a:xfrm>
                              <a:prstGeom prst="rect">
                                <a:avLst/>
                              </a:prstGeom>
                              <a:noFill/>
                              <a:ln w="12700">
                                <a:noFill/>
                              </a:ln>
                            </wps:spPr>
                            <wps:txbx>
                              <w:txbxContent>
                                <w:p w14:paraId="78158363">
                                  <w:pPr>
                                    <w:pStyle w:val="108"/>
                                    <w:jc w:val="both"/>
                                  </w:pPr>
                                  <w:r>
                                    <w:rPr>
                                      <w:rFonts w:hint="eastAsia"/>
                                    </w:rPr>
                                    <w:t>0.987</w:t>
                                  </w:r>
                                </w:p>
                              </w:txbxContent>
                            </wps:txbx>
                            <wps:bodyPr upright="1"/>
                          </wps:wsp>
                        </a:graphicData>
                      </a:graphic>
                    </wp:anchor>
                  </w:drawing>
                </mc:Choice>
                <mc:Fallback>
                  <w:pict>
                    <v:shape id="文本框 1107" o:spid="_x0000_s1026" o:spt="202" type="#_x0000_t202" style="position:absolute;left:0pt;margin-left:197.75pt;margin-top:9.85pt;height:24.05pt;width:49.1pt;z-index:251751424;mso-width-relative:page;mso-height-relative:page;" filled="f" stroked="f" coordsize="21600,21600" o:gfxdata="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CBSiJdgAAAAJAQAADwAAAAAAAAABACAAAAAiAAAAZHJzL2Rvd25yZXYueG1sUEsBAhQA&#10;FAAAAAgAh07iQKUoeRS5AQAAWwMAAA4AAAAAAAAAAQAgAAAAJwEAAGRycy9lMm9Eb2MueG1sUEsF&#10;BgAAAAAGAAYAWQEAAFIFAAAAAA==&#10;">
                      <v:fill on="f" focussize="0,0"/>
                      <v:stroke on="f" weight="1pt"/>
                      <v:imagedata o:title=""/>
                      <o:lock v:ext="edit" aspectratio="f"/>
                      <v:textbox>
                        <w:txbxContent>
                          <w:p w14:paraId="78158363">
                            <w:pPr>
                              <w:pStyle w:val="108"/>
                              <w:jc w:val="both"/>
                            </w:pPr>
                            <w:r>
                              <w:rPr>
                                <w:rFonts w:hint="eastAsia"/>
                              </w:rPr>
                              <w:t>0.987</w:t>
                            </w:r>
                          </w:p>
                        </w:txbxContent>
                      </v:textbox>
                    </v:shape>
                  </w:pict>
                </mc:Fallback>
              </mc:AlternateContent>
            </w:r>
            <w:r>
              <w:rPr>
                <w:rFonts w:ascii="Times New Roman" w:hAnsi="Times New Roman"/>
              </w:rPr>
              <mc:AlternateContent>
                <mc:Choice Requires="wps">
                  <w:drawing>
                    <wp:anchor distT="0" distB="0" distL="114300" distR="114300" simplePos="0" relativeHeight="251755520" behindDoc="0" locked="0" layoutInCell="1" allowOverlap="1">
                      <wp:simplePos x="0" y="0"/>
                      <wp:positionH relativeFrom="column">
                        <wp:posOffset>3014980</wp:posOffset>
                      </wp:positionH>
                      <wp:positionV relativeFrom="paragraph">
                        <wp:posOffset>43180</wp:posOffset>
                      </wp:positionV>
                      <wp:extent cx="412115" cy="1905"/>
                      <wp:effectExtent l="0" t="37465" r="6985" b="36830"/>
                      <wp:wrapNone/>
                      <wp:docPr id="98" name="自选图形 1111"/>
                      <wp:cNvGraphicFramePr/>
                      <a:graphic xmlns:a="http://schemas.openxmlformats.org/drawingml/2006/main">
                        <a:graphicData uri="http://schemas.microsoft.com/office/word/2010/wordprocessingShape">
                          <wps:wsp>
                            <wps:cNvCnPr/>
                            <wps:spPr>
                              <a:xfrm flipH="1" flipV="1">
                                <a:off x="0" y="0"/>
                                <a:ext cx="412115" cy="1905"/>
                              </a:xfrm>
                              <a:prstGeom prst="straightConnector1">
                                <a:avLst/>
                              </a:prstGeom>
                              <a:ln w="12700" cap="flat" cmpd="sng">
                                <a:solidFill>
                                  <a:srgbClr val="000000"/>
                                </a:solidFill>
                                <a:prstDash val="solid"/>
                                <a:headEnd type="none" w="med" len="med"/>
                                <a:tailEnd type="triangle" w="med" len="med"/>
                              </a:ln>
                            </wps:spPr>
                            <wps:bodyPr/>
                          </wps:wsp>
                        </a:graphicData>
                      </a:graphic>
                    </wp:anchor>
                  </w:drawing>
                </mc:Choice>
                <mc:Fallback>
                  <w:pict>
                    <v:shape id="自选图形 1111" o:spid="_x0000_s1026" o:spt="32" type="#_x0000_t32" style="position:absolute;left:0pt;flip:x y;margin-left:237.4pt;margin-top:3.4pt;height:0.15pt;width:32.45pt;z-index:251755520;mso-width-relative:page;mso-height-relative:page;" filled="f" stroked="t" coordsize="21600,21600" o:gfxdata="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XaFfd1gAAAAcBAAAPAAAAAAAAAAEAIAAAACIA&#10;AABkcnMvZG93bnJldi54bWxQSwECFAAUAAAACACHTuJAzVHWdgsCAAACBAAADgAAAAAAAAABACAA&#10;AAAlAQAAZHJzL2Uyb0RvYy54bWxQSwUGAAAAAAYABgBZAQAAogUAAAAA&#10;">
                      <v:fill on="f" focussize="0,0"/>
                      <v:stroke weight="1pt" color="#000000" joinstyle="round" endarrow="block"/>
                      <v:imagedata o:title=""/>
                      <o:lock v:ext="edit" aspectratio="f"/>
                    </v:shape>
                  </w:pict>
                </mc:Fallback>
              </mc:AlternateContent>
            </w:r>
            <w:r>
              <w:rPr>
                <w:rFonts w:ascii="Times New Roman" w:hAnsi="Times New Roman"/>
              </w:rPr>
              <mc:AlternateContent>
                <mc:Choice Requires="wps">
                  <w:drawing>
                    <wp:anchor distT="0" distB="0" distL="114300" distR="114300" simplePos="0" relativeHeight="251750400" behindDoc="0" locked="0" layoutInCell="1" allowOverlap="1">
                      <wp:simplePos x="0" y="0"/>
                      <wp:positionH relativeFrom="column">
                        <wp:posOffset>2571115</wp:posOffset>
                      </wp:positionH>
                      <wp:positionV relativeFrom="paragraph">
                        <wp:posOffset>124460</wp:posOffset>
                      </wp:positionV>
                      <wp:extent cx="1270" cy="287020"/>
                      <wp:effectExtent l="37465" t="0" r="37465" b="17780"/>
                      <wp:wrapNone/>
                      <wp:docPr id="93" name="自选图形 1106"/>
                      <wp:cNvGraphicFramePr/>
                      <a:graphic xmlns:a="http://schemas.openxmlformats.org/drawingml/2006/main">
                        <a:graphicData uri="http://schemas.microsoft.com/office/word/2010/wordprocessingShape">
                          <wps:wsp>
                            <wps:cNvCnPr/>
                            <wps:spPr>
                              <a:xfrm>
                                <a:off x="0" y="0"/>
                                <a:ext cx="1270" cy="287020"/>
                              </a:xfrm>
                              <a:prstGeom prst="straightConnector1">
                                <a:avLst/>
                              </a:prstGeom>
                              <a:ln w="12700" cap="flat" cmpd="sng">
                                <a:solidFill>
                                  <a:srgbClr val="000000"/>
                                </a:solidFill>
                                <a:prstDash val="solid"/>
                                <a:headEnd type="none" w="med" len="med"/>
                                <a:tailEnd type="triangle" w="med" len="med"/>
                              </a:ln>
                            </wps:spPr>
                            <wps:bodyPr/>
                          </wps:wsp>
                        </a:graphicData>
                      </a:graphic>
                    </wp:anchor>
                  </w:drawing>
                </mc:Choice>
                <mc:Fallback>
                  <w:pict>
                    <v:shape id="自选图形 1106" o:spid="_x0000_s1026" o:spt="32" type="#_x0000_t32" style="position:absolute;left:0pt;margin-left:202.45pt;margin-top:9.8pt;height:22.6pt;width:0.1pt;z-index:251750400;mso-width-relative:page;mso-height-relative:page;" filled="f" stroked="t" coordsize="21600,21600" o:gfxdata="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Yvli1gAAAAkBAAAPAAAAAAAAAAEAIAAAACIAAABkcnMvZG93bnJl&#10;di54bWxQSwECFAAUAAAACACHTuJA7VvY4/8BAADuAwAADgAAAAAAAAABACAAAAAlAQAAZHJzL2Uy&#10;b0RvYy54bWxQSwUGAAAAAAYABgBZAQAAlgUAAAAA&#10;">
                      <v:fill on="f" focussize="0,0"/>
                      <v:stroke weight="1pt" color="#000000" joinstyle="round" endarrow="block"/>
                      <v:imagedata o:title=""/>
                      <o:lock v:ext="edit" aspectratio="f"/>
                    </v:shape>
                  </w:pict>
                </mc:Fallback>
              </mc:AlternateContent>
            </w:r>
            <w:r>
              <w:rPr>
                <w:rFonts w:ascii="Times New Roman" w:hAnsi="Times New Roman"/>
                <w:sz w:val="24"/>
              </w:rPr>
              <mc:AlternateContent>
                <mc:Choice Requires="wps">
                  <w:drawing>
                    <wp:anchor distT="0" distB="0" distL="114300" distR="114300" simplePos="0" relativeHeight="251731968" behindDoc="0" locked="0" layoutInCell="1" allowOverlap="1">
                      <wp:simplePos x="0" y="0"/>
                      <wp:positionH relativeFrom="column">
                        <wp:posOffset>1372235</wp:posOffset>
                      </wp:positionH>
                      <wp:positionV relativeFrom="paragraph">
                        <wp:posOffset>106045</wp:posOffset>
                      </wp:positionV>
                      <wp:extent cx="76200" cy="436880"/>
                      <wp:effectExtent l="6350" t="0" r="0" b="1270"/>
                      <wp:wrapNone/>
                      <wp:docPr id="75" name="任意多边形 1088"/>
                      <wp:cNvGraphicFramePr/>
                      <a:graphic xmlns:a="http://schemas.openxmlformats.org/drawingml/2006/main">
                        <a:graphicData uri="http://schemas.microsoft.com/office/word/2010/wordprocessingShape">
                          <wps:wsp>
                            <wps:cNvSpPr/>
                            <wps:spPr>
                              <a:xfrm>
                                <a:off x="0" y="0"/>
                                <a:ext cx="76200" cy="436880"/>
                              </a:xfrm>
                              <a:custGeom>
                                <a:avLst/>
                                <a:gdLst/>
                                <a:ahLst/>
                                <a:cxnLst/>
                                <a:pathLst>
                                  <a:path w="1" h="360">
                                    <a:moveTo>
                                      <a:pt x="0" y="0"/>
                                    </a:moveTo>
                                    <a:lnTo>
                                      <a:pt x="0" y="360"/>
                                    </a:lnTo>
                                  </a:path>
                                </a:pathLst>
                              </a:custGeom>
                              <a:noFill/>
                              <a:ln w="12700" cap="flat" cmpd="sng">
                                <a:solidFill>
                                  <a:srgbClr val="000000"/>
                                </a:solidFill>
                                <a:prstDash val="solid"/>
                                <a:headEnd type="none" w="med" len="med"/>
                                <a:tailEnd type="none" w="med" len="med"/>
                              </a:ln>
                            </wps:spPr>
                            <wps:bodyPr upright="1"/>
                          </wps:wsp>
                        </a:graphicData>
                      </a:graphic>
                    </wp:anchor>
                  </w:drawing>
                </mc:Choice>
                <mc:Fallback>
                  <w:pict>
                    <v:shape id="任意多边形 1088" o:spid="_x0000_s1026" o:spt="100" style="position:absolute;left:0pt;margin-left:108.05pt;margin-top:8.35pt;height:34.4pt;width:6pt;z-index:251731968;mso-width-relative:page;mso-height-relative:page;" filled="f" stroked="t" coordsize="1,360" o:gfxdata="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zwm51tUAAAAJAQAADwAAAAAAAAABACAAAAAiAAAAZHJzL2Rvd25yZXYueG1sUEsB&#10;AhQAFAAAAAgAh07iQJiGdPcxAgAAjgQAAA4AAAAAAAAAAQAgAAAAJAEAAGRycy9lMm9Eb2MueG1s&#10;UEsFBgAAAAAGAAYAWQEAAMcFAAAAAA==&#10;" path="m0,0l0,360e">
                      <v:fill on="f" focussize="0,0"/>
                      <v:stroke weight="1pt" color="#000000" joinstyle="round"/>
                      <v:imagedata o:title=""/>
                      <o:lock v:ext="edit" aspectratio="f"/>
                    </v:shape>
                  </w:pict>
                </mc:Fallback>
              </mc:AlternateContent>
            </w:r>
          </w:p>
          <w:p w14:paraId="556E7869">
            <w:pPr>
              <w:pStyle w:val="111"/>
              <w:ind w:firstLine="482"/>
              <w:rPr>
                <w:rFonts w:ascii="Times New Roman" w:hAnsi="Times New Roman"/>
              </w:rPr>
            </w:pPr>
            <w:r>
              <w:rPr>
                <w:rFonts w:ascii="Times New Roman" w:hAnsi="Times New Roman"/>
              </w:rPr>
              <mc:AlternateContent>
                <mc:Choice Requires="wps">
                  <w:drawing>
                    <wp:anchor distT="0" distB="0" distL="114300" distR="114300" simplePos="0" relativeHeight="251736064" behindDoc="0" locked="0" layoutInCell="1" allowOverlap="1">
                      <wp:simplePos x="0" y="0"/>
                      <wp:positionH relativeFrom="column">
                        <wp:posOffset>1348105</wp:posOffset>
                      </wp:positionH>
                      <wp:positionV relativeFrom="paragraph">
                        <wp:posOffset>60960</wp:posOffset>
                      </wp:positionV>
                      <wp:extent cx="806450" cy="305435"/>
                      <wp:effectExtent l="0" t="0" r="0" b="0"/>
                      <wp:wrapNone/>
                      <wp:docPr id="79" name="文本框 1092"/>
                      <wp:cNvGraphicFramePr/>
                      <a:graphic xmlns:a="http://schemas.openxmlformats.org/drawingml/2006/main">
                        <a:graphicData uri="http://schemas.microsoft.com/office/word/2010/wordprocessingShape">
                          <wps:wsp>
                            <wps:cNvSpPr txBox="1"/>
                            <wps:spPr>
                              <a:xfrm>
                                <a:off x="0" y="0"/>
                                <a:ext cx="806450" cy="305435"/>
                              </a:xfrm>
                              <a:prstGeom prst="rect">
                                <a:avLst/>
                              </a:prstGeom>
                              <a:noFill/>
                              <a:ln w="12700">
                                <a:noFill/>
                              </a:ln>
                            </wps:spPr>
                            <wps:txbx>
                              <w:txbxContent>
                                <w:p w14:paraId="366C59E9">
                                  <w:pPr>
                                    <w:pStyle w:val="108"/>
                                    <w:jc w:val="both"/>
                                  </w:pPr>
                                  <w:r>
                                    <w:rPr>
                                      <w:rFonts w:hint="eastAsia"/>
                                    </w:rPr>
                                    <w:t>0.369</w:t>
                                  </w:r>
                                </w:p>
                              </w:txbxContent>
                            </wps:txbx>
                            <wps:bodyPr upright="1"/>
                          </wps:wsp>
                        </a:graphicData>
                      </a:graphic>
                    </wp:anchor>
                  </w:drawing>
                </mc:Choice>
                <mc:Fallback>
                  <w:pict>
                    <v:shape id="文本框 1092" o:spid="_x0000_s1026" o:spt="202" type="#_x0000_t202" style="position:absolute;left:0pt;margin-left:106.15pt;margin-top:4.8pt;height:24.05pt;width:63.5pt;z-index:251736064;mso-width-relative:page;mso-height-relative:page;" filled="f" stroked="f" coordsize="21600,21600" o:gfxdata="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uxXNz1wAAAAgBAAAPAAAAAAAAAAEAIAAAACIAAABkcnMvZG93bnJldi54bWxQSwECFAAU&#10;AAAACACHTuJALKRWJrkBAABbAwAADgAAAAAAAAABACAAAAAmAQAAZHJzL2Uyb0RvYy54bWxQSwUG&#10;AAAAAAYABgBZAQAAUQUAAAAA&#10;">
                      <v:fill on="f" focussize="0,0"/>
                      <v:stroke on="f" weight="1pt"/>
                      <v:imagedata o:title=""/>
                      <o:lock v:ext="edit" aspectratio="f"/>
                      <v:textbox>
                        <w:txbxContent>
                          <w:p w14:paraId="366C59E9">
                            <w:pPr>
                              <w:pStyle w:val="108"/>
                              <w:jc w:val="both"/>
                            </w:pPr>
                            <w:r>
                              <w:rPr>
                                <w:rFonts w:hint="eastAsia"/>
                              </w:rPr>
                              <w:t>0.369</w:t>
                            </w:r>
                          </w:p>
                        </w:txbxContent>
                      </v:textbox>
                    </v:shape>
                  </w:pict>
                </mc:Fallback>
              </mc:AlternateContent>
            </w:r>
            <w:r>
              <w:rPr>
                <w:rFonts w:ascii="Times New Roman" w:hAnsi="Times New Roman"/>
                <w:kern w:val="0"/>
              </w:rPr>
              <mc:AlternateContent>
                <mc:Choice Requires="wps">
                  <w:drawing>
                    <wp:anchor distT="0" distB="0" distL="114300" distR="114300" simplePos="0" relativeHeight="251728896" behindDoc="0" locked="0" layoutInCell="1" allowOverlap="1">
                      <wp:simplePos x="0" y="0"/>
                      <wp:positionH relativeFrom="column">
                        <wp:posOffset>567055</wp:posOffset>
                      </wp:positionH>
                      <wp:positionV relativeFrom="paragraph">
                        <wp:posOffset>69850</wp:posOffset>
                      </wp:positionV>
                      <wp:extent cx="874395" cy="248285"/>
                      <wp:effectExtent l="0" t="0" r="0" b="0"/>
                      <wp:wrapNone/>
                      <wp:docPr id="69" name="文本框 1085"/>
                      <wp:cNvGraphicFramePr/>
                      <a:graphic xmlns:a="http://schemas.openxmlformats.org/drawingml/2006/main">
                        <a:graphicData uri="http://schemas.microsoft.com/office/word/2010/wordprocessingShape">
                          <wps:wsp>
                            <wps:cNvSpPr txBox="1"/>
                            <wps:spPr>
                              <a:xfrm>
                                <a:off x="0" y="0"/>
                                <a:ext cx="874395" cy="248285"/>
                              </a:xfrm>
                              <a:prstGeom prst="rect">
                                <a:avLst/>
                              </a:prstGeom>
                              <a:noFill/>
                              <a:ln w="12700">
                                <a:noFill/>
                              </a:ln>
                            </wps:spPr>
                            <wps:txbx>
                              <w:txbxContent>
                                <w:p w14:paraId="1694F500">
                                  <w:pPr>
                                    <w:pStyle w:val="108"/>
                                  </w:pPr>
                                  <w:r>
                                    <w:rPr>
                                      <w:rFonts w:hint="eastAsia"/>
                                    </w:rPr>
                                    <w:t>软化排污水</w:t>
                                  </w:r>
                                </w:p>
                              </w:txbxContent>
                            </wps:txbx>
                            <wps:bodyPr upright="1"/>
                          </wps:wsp>
                        </a:graphicData>
                      </a:graphic>
                    </wp:anchor>
                  </w:drawing>
                </mc:Choice>
                <mc:Fallback>
                  <w:pict>
                    <v:shape id="文本框 1085" o:spid="_x0000_s1026" o:spt="202" type="#_x0000_t202" style="position:absolute;left:0pt;margin-left:44.65pt;margin-top:5.5pt;height:19.55pt;width:68.85pt;z-index:251728896;mso-width-relative:page;mso-height-relative:page;" filled="f" stroked="f" coordsize="21600,21600" o:gfxdata="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HHep9UAAAAIAQAADwAAAAAAAAABACAAAAAiAAAAZHJzL2Rvd25yZXYueG1sUEsBAhQAFAAA&#10;AAgAh07iQKhynB65AQAAWwMAAA4AAAAAAAAAAQAgAAAAJAEAAGRycy9lMm9Eb2MueG1sUEsFBgAA&#10;AAAGAAYAWQEAAE8FAAAAAA==&#10;">
                      <v:fill on="f" focussize="0,0"/>
                      <v:stroke on="f" weight="1pt"/>
                      <v:imagedata o:title=""/>
                      <o:lock v:ext="edit" aspectratio="f"/>
                      <v:textbox>
                        <w:txbxContent>
                          <w:p w14:paraId="1694F500">
                            <w:pPr>
                              <w:pStyle w:val="108"/>
                            </w:pPr>
                            <w:r>
                              <w:rPr>
                                <w:rFonts w:hint="eastAsia"/>
                              </w:rPr>
                              <w:t>软化排污水</w:t>
                            </w:r>
                          </w:p>
                        </w:txbxContent>
                      </v:textbox>
                    </v:shape>
                  </w:pict>
                </mc:Fallback>
              </mc:AlternateContent>
            </w:r>
          </w:p>
          <w:p w14:paraId="45707BEE">
            <w:pPr>
              <w:pStyle w:val="110"/>
              <w:spacing w:after="0"/>
              <w:ind w:left="0" w:leftChars="0" w:firstLine="400"/>
              <w:rPr>
                <w:kern w:val="0"/>
                <w:sz w:val="24"/>
              </w:rPr>
            </w:pPr>
            <w:r>
              <w:rPr>
                <w:sz w:val="24"/>
              </w:rPr>
              <mc:AlternateContent>
                <mc:Choice Requires="wps">
                  <w:drawing>
                    <wp:anchor distT="0" distB="0" distL="114300" distR="114300" simplePos="0" relativeHeight="251723776" behindDoc="0" locked="0" layoutInCell="1" allowOverlap="1">
                      <wp:simplePos x="0" y="0"/>
                      <wp:positionH relativeFrom="column">
                        <wp:posOffset>1715135</wp:posOffset>
                      </wp:positionH>
                      <wp:positionV relativeFrom="paragraph">
                        <wp:posOffset>94615</wp:posOffset>
                      </wp:positionV>
                      <wp:extent cx="935355" cy="283845"/>
                      <wp:effectExtent l="4445" t="4445" r="12700" b="16510"/>
                      <wp:wrapNone/>
                      <wp:docPr id="64" name="矩形 1080"/>
                      <wp:cNvGraphicFramePr/>
                      <a:graphic xmlns:a="http://schemas.openxmlformats.org/drawingml/2006/main">
                        <a:graphicData uri="http://schemas.microsoft.com/office/word/2010/wordprocessingShape">
                          <wps:wsp>
                            <wps:cNvSpPr/>
                            <wps:spPr>
                              <a:xfrm>
                                <a:off x="0" y="0"/>
                                <a:ext cx="935355" cy="283845"/>
                              </a:xfrm>
                              <a:prstGeom prst="rect">
                                <a:avLst/>
                              </a:prstGeom>
                              <a:noFill/>
                              <a:ln w="9525" cap="flat" cmpd="sng">
                                <a:solidFill>
                                  <a:srgbClr val="000000"/>
                                </a:solidFill>
                                <a:prstDash val="solid"/>
                                <a:miter/>
                                <a:headEnd type="none" w="med" len="med"/>
                                <a:tailEnd type="none" w="med" len="med"/>
                              </a:ln>
                            </wps:spPr>
                            <wps:txbx>
                              <w:txbxContent>
                                <w:p w14:paraId="222D0B52">
                                  <w:pPr>
                                    <w:spacing w:line="240" w:lineRule="auto"/>
                                    <w:ind w:firstLine="210" w:firstLineChars="100"/>
                                    <w:rPr>
                                      <w:szCs w:val="21"/>
                                    </w:rPr>
                                  </w:pPr>
                                  <w:r>
                                    <w:rPr>
                                      <w:rFonts w:hint="eastAsia"/>
                                      <w:szCs w:val="21"/>
                                    </w:rPr>
                                    <w:t>洒水抑尘</w:t>
                                  </w:r>
                                </w:p>
                                <w:p w14:paraId="493797A6">
                                  <w:pPr>
                                    <w:ind w:firstLine="420"/>
                                  </w:pPr>
                                </w:p>
                              </w:txbxContent>
                            </wps:txbx>
                            <wps:bodyPr upright="1"/>
                          </wps:wsp>
                        </a:graphicData>
                      </a:graphic>
                    </wp:anchor>
                  </w:drawing>
                </mc:Choice>
                <mc:Fallback>
                  <w:pict>
                    <v:rect id="矩形 1080" o:spid="_x0000_s1026" o:spt="1" style="position:absolute;left:0pt;margin-left:135.05pt;margin-top:7.45pt;height:22.35pt;width:73.65pt;z-index:251723776;mso-width-relative:page;mso-height-relative:page;" filled="f" stroked="t" coordsize="21600,21600" o:gfxdata="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N4yRH2AAAAAkBAAAPAAAAAAAAAAEAIAAAACIAAABkcnMvZG93bnJl&#10;di54bWxQSwECFAAUAAAACACHTuJAw6UPf/0BAAADBAAADgAAAAAAAAABACAAAAAnAQAAZHJzL2Uy&#10;b0RvYy54bWxQSwUGAAAAAAYABgBZAQAAlgUAAAAA&#10;">
                      <v:fill on="f" focussize="0,0"/>
                      <v:stroke color="#000000" joinstyle="miter"/>
                      <v:imagedata o:title=""/>
                      <o:lock v:ext="edit" aspectratio="f"/>
                      <v:textbox>
                        <w:txbxContent>
                          <w:p w14:paraId="222D0B52">
                            <w:pPr>
                              <w:spacing w:line="240" w:lineRule="auto"/>
                              <w:ind w:firstLine="210" w:firstLineChars="100"/>
                              <w:rPr>
                                <w:szCs w:val="21"/>
                              </w:rPr>
                            </w:pPr>
                            <w:r>
                              <w:rPr>
                                <w:rFonts w:hint="eastAsia"/>
                                <w:szCs w:val="21"/>
                              </w:rPr>
                              <w:t>洒水抑尘</w:t>
                            </w:r>
                          </w:p>
                          <w:p w14:paraId="493797A6">
                            <w:pPr>
                              <w:ind w:firstLine="420"/>
                            </w:pPr>
                          </w:p>
                        </w:txbxContent>
                      </v:textbox>
                    </v:rect>
                  </w:pict>
                </mc:Fallback>
              </mc:AlternateContent>
            </w:r>
          </w:p>
          <w:p w14:paraId="6391C23E">
            <w:pPr>
              <w:pStyle w:val="110"/>
              <w:spacing w:after="0"/>
              <w:ind w:left="0" w:leftChars="0" w:firstLine="400"/>
              <w:rPr>
                <w:kern w:val="0"/>
                <w:sz w:val="24"/>
              </w:rPr>
            </w:pPr>
            <w:r>
              <w:rPr>
                <w:b/>
                <w:bCs/>
                <w:sz w:val="28"/>
              </w:rPr>
              <mc:AlternateContent>
                <mc:Choice Requires="wps">
                  <w:drawing>
                    <wp:anchor distT="0" distB="0" distL="114300" distR="114300" simplePos="0" relativeHeight="251726848" behindDoc="0" locked="0" layoutInCell="1" allowOverlap="1">
                      <wp:simplePos x="0" y="0"/>
                      <wp:positionH relativeFrom="column">
                        <wp:posOffset>1380490</wp:posOffset>
                      </wp:positionH>
                      <wp:positionV relativeFrom="paragraph">
                        <wp:posOffset>60960</wp:posOffset>
                      </wp:positionV>
                      <wp:extent cx="335915" cy="0"/>
                      <wp:effectExtent l="0" t="38100" r="6985" b="38100"/>
                      <wp:wrapNone/>
                      <wp:docPr id="67"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723"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108.7pt;margin-top:4.8pt;height:0pt;width:26.45pt;z-index:251726848;mso-width-relative:page;mso-height-relative:page;" filled="f" stroked="t" coordsize="21600,21600" o:gfxdata="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E7Cpp/ZAAAABwEAAA8AAAAA&#10;AAAAAQAgAAAAIgAAAGRycy9kb3ducmV2LnhtbFBLAQIUABQAAAAIAIdO4kB02awTEwIAAP4DAAAO&#10;AAAAAAAAAAEAIAAAACgBAABkcnMvZTJvRG9jLnhtbFBLBQYAAAAABgAGAFkBAACtBQAAAAA=&#10;">
                      <v:fill on="f" focussize="0,0"/>
                      <v:stroke weight="1pt" color="#000000" joinstyle="round" endarrow="block"/>
                      <v:imagedata o:title=""/>
                      <o:lock v:ext="edit" aspectratio="f"/>
                    </v:shape>
                  </w:pict>
                </mc:Fallback>
              </mc:AlternateContent>
            </w:r>
          </w:p>
          <w:p w14:paraId="061EE363">
            <w:pPr>
              <w:pStyle w:val="109"/>
              <w:ind w:firstLine="402"/>
            </w:pPr>
          </w:p>
          <w:p w14:paraId="71CC2D3D">
            <w:pPr>
              <w:pStyle w:val="73"/>
            </w:pPr>
            <w:r>
              <w:rPr>
                <w:bCs w:val="0"/>
              </w:rPr>
              <w:t>图2-1 项目水平衡图</w:t>
            </w:r>
            <w:r>
              <w:t>（单位：t/d）</w:t>
            </w:r>
          </w:p>
          <w:p w14:paraId="4A625F38">
            <w:pPr>
              <w:adjustRightInd w:val="0"/>
              <w:snapToGrid w:val="0"/>
              <w:spacing w:line="400" w:lineRule="exact"/>
              <w:ind w:firstLine="422"/>
              <w:rPr>
                <w:bCs/>
                <w:szCs w:val="21"/>
              </w:rPr>
            </w:pPr>
            <w:r>
              <w:rPr>
                <w:rFonts w:hint="eastAsia"/>
                <w:b/>
                <w:szCs w:val="21"/>
              </w:rPr>
              <w:t>（</w:t>
            </w:r>
            <w:r>
              <w:rPr>
                <w:b/>
                <w:szCs w:val="21"/>
              </w:rPr>
              <w:t>6</w:t>
            </w:r>
            <w:r>
              <w:rPr>
                <w:rFonts w:hint="eastAsia"/>
                <w:b/>
                <w:szCs w:val="21"/>
              </w:rPr>
              <w:t>）</w:t>
            </w:r>
            <w:r>
              <w:rPr>
                <w:b/>
                <w:szCs w:val="21"/>
              </w:rPr>
              <w:t>供电</w:t>
            </w:r>
            <w:r>
              <w:rPr>
                <w:rFonts w:hint="eastAsia"/>
                <w:b/>
                <w:szCs w:val="21"/>
              </w:rPr>
              <w:t>：</w:t>
            </w:r>
            <w:r>
              <w:rPr>
                <w:bCs/>
                <w:szCs w:val="21"/>
              </w:rPr>
              <w:t>本项目用电由市政电网供应，用电量为</w:t>
            </w:r>
            <w:r>
              <w:rPr>
                <w:rFonts w:hint="eastAsia"/>
                <w:bCs/>
                <w:szCs w:val="21"/>
              </w:rPr>
              <w:t>2</w:t>
            </w:r>
            <w:r>
              <w:rPr>
                <w:bCs/>
                <w:szCs w:val="21"/>
              </w:rPr>
              <w:t>万kwh/a。</w:t>
            </w:r>
          </w:p>
          <w:p w14:paraId="76191A77">
            <w:pPr>
              <w:spacing w:line="400" w:lineRule="exact"/>
              <w:ind w:firstLine="422"/>
              <w:rPr>
                <w:bCs/>
                <w:szCs w:val="21"/>
              </w:rPr>
            </w:pPr>
            <w:r>
              <w:rPr>
                <w:rFonts w:hint="eastAsia"/>
                <w:b/>
                <w:szCs w:val="21"/>
              </w:rPr>
              <w:t>（</w:t>
            </w:r>
            <w:r>
              <w:rPr>
                <w:b/>
                <w:szCs w:val="21"/>
              </w:rPr>
              <w:t>7</w:t>
            </w:r>
            <w:r>
              <w:rPr>
                <w:rFonts w:hint="eastAsia"/>
                <w:b/>
                <w:szCs w:val="21"/>
              </w:rPr>
              <w:t>）</w:t>
            </w:r>
            <w:r>
              <w:rPr>
                <w:b/>
                <w:szCs w:val="21"/>
              </w:rPr>
              <w:t>供暖</w:t>
            </w:r>
            <w:r>
              <w:rPr>
                <w:rFonts w:hint="eastAsia"/>
                <w:b/>
                <w:szCs w:val="21"/>
              </w:rPr>
              <w:t>：</w:t>
            </w:r>
            <w:r>
              <w:t>生产车间不供暖，冬季办公区空调供暖</w:t>
            </w:r>
            <w:r>
              <w:rPr>
                <w:rFonts w:hint="eastAsia"/>
                <w:bCs/>
                <w:szCs w:val="21"/>
              </w:rPr>
              <w:t>。</w:t>
            </w:r>
          </w:p>
          <w:p w14:paraId="1F73F79F">
            <w:pPr>
              <w:adjustRightInd w:val="0"/>
              <w:snapToGrid w:val="0"/>
              <w:spacing w:line="400" w:lineRule="exact"/>
              <w:ind w:firstLine="422"/>
              <w:rPr>
                <w:b/>
                <w:szCs w:val="21"/>
              </w:rPr>
            </w:pPr>
            <w:r>
              <w:rPr>
                <w:b/>
                <w:szCs w:val="21"/>
              </w:rPr>
              <w:t>4</w:t>
            </w:r>
            <w:r>
              <w:rPr>
                <w:rFonts w:hint="eastAsia"/>
                <w:b/>
                <w:szCs w:val="21"/>
              </w:rPr>
              <w:t>、扩建项目完成后全厂</w:t>
            </w:r>
            <w:r>
              <w:rPr>
                <w:rFonts w:hint="eastAsia" w:hAnsi="宋体"/>
                <w:b/>
                <w:bCs/>
                <w:szCs w:val="21"/>
              </w:rPr>
              <w:t>生产线</w:t>
            </w:r>
            <w:r>
              <w:rPr>
                <w:rFonts w:hint="eastAsia"/>
                <w:b/>
                <w:szCs w:val="21"/>
              </w:rPr>
              <w:t>概况</w:t>
            </w:r>
          </w:p>
          <w:p w14:paraId="2970B6E2">
            <w:pPr>
              <w:adjustRightInd w:val="0"/>
              <w:snapToGrid w:val="0"/>
              <w:spacing w:line="400" w:lineRule="exact"/>
              <w:ind w:firstLine="420"/>
              <w:rPr>
                <w:bCs/>
                <w:szCs w:val="21"/>
              </w:rPr>
            </w:pPr>
            <w:r>
              <w:rPr>
                <w:rFonts w:hint="eastAsia"/>
                <w:bCs/>
                <w:szCs w:val="21"/>
              </w:rPr>
              <w:t>（</w:t>
            </w:r>
            <w:r>
              <w:rPr>
                <w:bCs/>
                <w:szCs w:val="21"/>
              </w:rPr>
              <w:t>1</w:t>
            </w:r>
            <w:r>
              <w:rPr>
                <w:rFonts w:hint="eastAsia"/>
                <w:bCs/>
                <w:szCs w:val="21"/>
              </w:rPr>
              <w:t>）全厂基本情况</w:t>
            </w:r>
          </w:p>
          <w:p w14:paraId="3FF1DFB1">
            <w:pPr>
              <w:adjustRightInd w:val="0"/>
              <w:snapToGrid w:val="0"/>
              <w:spacing w:line="400" w:lineRule="exact"/>
              <w:ind w:firstLine="420"/>
              <w:rPr>
                <w:bCs/>
                <w:szCs w:val="21"/>
              </w:rPr>
            </w:pPr>
            <w:r>
              <w:rPr>
                <w:rFonts w:hint="eastAsia"/>
                <w:snapToGrid w:val="0"/>
                <w:szCs w:val="21"/>
              </w:rPr>
              <w:t>扩建项目建成后</w:t>
            </w:r>
            <w:r>
              <w:rPr>
                <w:rFonts w:hint="eastAsia"/>
                <w:szCs w:val="21"/>
              </w:rPr>
              <w:t>，全厂水果</w:t>
            </w:r>
            <w:r>
              <w:rPr>
                <w:rFonts w:hint="eastAsia" w:hAnsi="宋体"/>
                <w:bCs/>
                <w:szCs w:val="21"/>
              </w:rPr>
              <w:t>罐头生产线1条，1台4t/h生物质锅炉为生产过程提供蒸汽，</w:t>
            </w:r>
            <w:r>
              <w:rPr>
                <w:rFonts w:hint="eastAsia"/>
                <w:szCs w:val="21"/>
              </w:rPr>
              <w:t>年生产各类水果罐头40万瓶。</w:t>
            </w:r>
          </w:p>
          <w:p w14:paraId="7DE10D63">
            <w:pPr>
              <w:spacing w:line="400" w:lineRule="exact"/>
              <w:ind w:firstLine="420"/>
              <w:rPr>
                <w:rFonts w:hAnsi="宋体"/>
                <w:bCs/>
                <w:szCs w:val="21"/>
              </w:rPr>
            </w:pPr>
            <w:r>
              <w:rPr>
                <w:rFonts w:hint="eastAsia" w:hAnsi="宋体"/>
                <w:bCs/>
                <w:szCs w:val="21"/>
              </w:rPr>
              <w:t>公司员工35人，一班制，</w:t>
            </w:r>
            <w:r>
              <w:rPr>
                <w:rFonts w:hAnsi="宋体"/>
                <w:bCs/>
                <w:szCs w:val="21"/>
              </w:rPr>
              <w:t>每</w:t>
            </w:r>
            <w:r>
              <w:rPr>
                <w:rFonts w:hint="eastAsia" w:hAnsi="宋体"/>
                <w:bCs/>
                <w:szCs w:val="21"/>
              </w:rPr>
              <w:t>班</w:t>
            </w:r>
            <w:r>
              <w:rPr>
                <w:rFonts w:hAnsi="宋体"/>
                <w:bCs/>
                <w:szCs w:val="21"/>
              </w:rPr>
              <w:t>生产8小时，</w:t>
            </w:r>
            <w:r>
              <w:rPr>
                <w:rFonts w:hint="eastAsia" w:hAnsi="宋体"/>
                <w:bCs/>
                <w:szCs w:val="21"/>
              </w:rPr>
              <w:t>每年5~11月生产，年生产210天。</w:t>
            </w:r>
          </w:p>
          <w:p w14:paraId="174AEC9F">
            <w:pPr>
              <w:adjustRightInd w:val="0"/>
              <w:snapToGrid w:val="0"/>
              <w:spacing w:line="400" w:lineRule="exact"/>
              <w:ind w:firstLine="420"/>
              <w:rPr>
                <w:bCs/>
                <w:szCs w:val="21"/>
              </w:rPr>
            </w:pPr>
            <w:r>
              <w:rPr>
                <w:rFonts w:hint="eastAsia"/>
                <w:bCs/>
                <w:szCs w:val="21"/>
              </w:rPr>
              <w:t>（</w:t>
            </w:r>
            <w:r>
              <w:rPr>
                <w:bCs/>
                <w:szCs w:val="21"/>
              </w:rPr>
              <w:t>2</w:t>
            </w:r>
            <w:r>
              <w:rPr>
                <w:rFonts w:hint="eastAsia"/>
                <w:bCs/>
                <w:szCs w:val="21"/>
              </w:rPr>
              <w:t>）全厂项目组成</w:t>
            </w:r>
          </w:p>
          <w:p w14:paraId="18F82373">
            <w:pPr>
              <w:adjustRightInd w:val="0"/>
              <w:snapToGrid w:val="0"/>
              <w:spacing w:line="400" w:lineRule="exact"/>
              <w:ind w:firstLine="420"/>
              <w:rPr>
                <w:bCs/>
                <w:szCs w:val="21"/>
              </w:rPr>
            </w:pPr>
            <w:r>
              <w:rPr>
                <w:rFonts w:hint="eastAsia"/>
                <w:bCs/>
                <w:szCs w:val="21"/>
              </w:rPr>
              <w:t>具体情况如下：</w:t>
            </w:r>
          </w:p>
          <w:p w14:paraId="5553D70C">
            <w:pPr>
              <w:pStyle w:val="73"/>
            </w:pPr>
            <w:r>
              <w:rPr>
                <w:rFonts w:hint="eastAsia"/>
                <w:bCs w:val="0"/>
              </w:rPr>
              <w:t xml:space="preserve">表2-11 </w:t>
            </w:r>
            <w:r>
              <w:rPr>
                <w:rFonts w:hint="eastAsia"/>
              </w:rPr>
              <w:t>全厂项目组成一览表</w:t>
            </w:r>
          </w:p>
          <w:tbl>
            <w:tblPr>
              <w:tblStyle w:val="25"/>
              <w:tblW w:w="468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2"/>
              <w:gridCol w:w="1015"/>
              <w:gridCol w:w="5884"/>
            </w:tblGrid>
            <w:tr w14:paraId="232AA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1150" w:type="pct"/>
                  <w:gridSpan w:val="2"/>
                  <w:vAlign w:val="center"/>
                </w:tcPr>
                <w:p w14:paraId="239822BB">
                  <w:pPr>
                    <w:pStyle w:val="40"/>
                  </w:pPr>
                  <w:r>
                    <w:t>工程组成</w:t>
                  </w:r>
                </w:p>
              </w:tc>
              <w:tc>
                <w:tcPr>
                  <w:tcW w:w="3850" w:type="pct"/>
                  <w:vAlign w:val="center"/>
                </w:tcPr>
                <w:p w14:paraId="6851740A">
                  <w:pPr>
                    <w:pStyle w:val="40"/>
                  </w:pPr>
                  <w:r>
                    <w:t>工程内容</w:t>
                  </w:r>
                </w:p>
              </w:tc>
            </w:tr>
            <w:tr w14:paraId="66FFA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486" w:type="pct"/>
                  <w:vMerge w:val="restart"/>
                  <w:vAlign w:val="center"/>
                </w:tcPr>
                <w:p w14:paraId="08B6B73A">
                  <w:pPr>
                    <w:pStyle w:val="40"/>
                  </w:pPr>
                  <w:r>
                    <w:t>主体工程</w:t>
                  </w:r>
                </w:p>
              </w:tc>
              <w:tc>
                <w:tcPr>
                  <w:tcW w:w="664" w:type="pct"/>
                  <w:vAlign w:val="center"/>
                </w:tcPr>
                <w:p w14:paraId="7C70E11C">
                  <w:pPr>
                    <w:pStyle w:val="40"/>
                  </w:pPr>
                  <w:r>
                    <w:rPr>
                      <w:rFonts w:hint="eastAsia"/>
                    </w:rPr>
                    <w:t>生产主厂房</w:t>
                  </w:r>
                </w:p>
              </w:tc>
              <w:tc>
                <w:tcPr>
                  <w:tcW w:w="3850" w:type="pct"/>
                  <w:vAlign w:val="center"/>
                </w:tcPr>
                <w:p w14:paraId="5EC0E857">
                  <w:pPr>
                    <w:pStyle w:val="40"/>
                  </w:pPr>
                  <w:r>
                    <w:t>建筑面积</w:t>
                  </w:r>
                  <w:r>
                    <w:rPr>
                      <w:rFonts w:hint="eastAsia" w:hAnsi="宋体"/>
                      <w:bCs/>
                    </w:rPr>
                    <w:t>480</w:t>
                  </w:r>
                  <w:r>
                    <w:rPr>
                      <w:rFonts w:hAnsi="宋体"/>
                      <w:bCs/>
                    </w:rPr>
                    <w:t>m</w:t>
                  </w:r>
                  <w:r>
                    <w:rPr>
                      <w:rFonts w:hAnsi="宋体"/>
                      <w:bCs/>
                      <w:vertAlign w:val="superscript"/>
                    </w:rPr>
                    <w:t>2</w:t>
                  </w:r>
                  <w:r>
                    <w:rPr>
                      <w:rFonts w:hint="eastAsia" w:hAnsi="宋体"/>
                      <w:bCs/>
                    </w:rPr>
                    <w:t>，</w:t>
                  </w:r>
                  <w:r>
                    <w:rPr>
                      <w:rFonts w:hint="eastAsia"/>
                    </w:rPr>
                    <w:t>1条水果罐头生产线，年生产各类水果罐头40万瓶</w:t>
                  </w:r>
                </w:p>
              </w:tc>
            </w:tr>
            <w:tr w14:paraId="1BD6D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486" w:type="pct"/>
                  <w:vMerge w:val="continue"/>
                  <w:vAlign w:val="center"/>
                </w:tcPr>
                <w:p w14:paraId="3D58D2A4">
                  <w:pPr>
                    <w:pStyle w:val="40"/>
                  </w:pPr>
                </w:p>
              </w:tc>
              <w:tc>
                <w:tcPr>
                  <w:tcW w:w="664" w:type="pct"/>
                  <w:vAlign w:val="center"/>
                </w:tcPr>
                <w:p w14:paraId="3820283D">
                  <w:pPr>
                    <w:pStyle w:val="40"/>
                    <w:rPr>
                      <w:highlight w:val="yellow"/>
                    </w:rPr>
                  </w:pPr>
                  <w:r>
                    <w:rPr>
                      <w:rFonts w:hint="eastAsia"/>
                    </w:rPr>
                    <w:t>蜜饯车间</w:t>
                  </w:r>
                </w:p>
              </w:tc>
              <w:tc>
                <w:tcPr>
                  <w:tcW w:w="3850" w:type="pct"/>
                  <w:vAlign w:val="center"/>
                </w:tcPr>
                <w:p w14:paraId="4AAAD2DD">
                  <w:pPr>
                    <w:pStyle w:val="40"/>
                    <w:rPr>
                      <w:highlight w:val="yellow"/>
                    </w:rPr>
                  </w:pPr>
                  <w:r>
                    <w:t>建筑面积</w:t>
                  </w:r>
                  <w:r>
                    <w:rPr>
                      <w:rFonts w:hint="eastAsia"/>
                    </w:rPr>
                    <w:t>300</w:t>
                  </w:r>
                  <w:r>
                    <w:t>m</w:t>
                  </w:r>
                  <w:r>
                    <w:rPr>
                      <w:vertAlign w:val="superscript"/>
                    </w:rPr>
                    <w:t>2</w:t>
                  </w:r>
                  <w:r>
                    <w:rPr>
                      <w:rFonts w:hint="eastAsia"/>
                    </w:rPr>
                    <w:t>，原为1条蜜饯生产线，现已取消，做为库房</w:t>
                  </w:r>
                </w:p>
              </w:tc>
            </w:tr>
            <w:tr w14:paraId="13673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486" w:type="pct"/>
                  <w:vMerge w:val="restart"/>
                  <w:vAlign w:val="center"/>
                </w:tcPr>
                <w:p w14:paraId="46E6D069">
                  <w:pPr>
                    <w:pStyle w:val="40"/>
                  </w:pPr>
                  <w:r>
                    <w:rPr>
                      <w:rFonts w:hint="eastAsia"/>
                    </w:rPr>
                    <w:t>辅助工程</w:t>
                  </w:r>
                </w:p>
              </w:tc>
              <w:tc>
                <w:tcPr>
                  <w:tcW w:w="664" w:type="pct"/>
                  <w:vAlign w:val="center"/>
                </w:tcPr>
                <w:p w14:paraId="00CB1D7C">
                  <w:pPr>
                    <w:pStyle w:val="40"/>
                  </w:pPr>
                  <w:r>
                    <w:rPr>
                      <w:rFonts w:hint="eastAsia"/>
                    </w:rPr>
                    <w:t>锅炉房</w:t>
                  </w:r>
                </w:p>
              </w:tc>
              <w:tc>
                <w:tcPr>
                  <w:tcW w:w="3850" w:type="pct"/>
                  <w:vAlign w:val="center"/>
                </w:tcPr>
                <w:p w14:paraId="5D96699A">
                  <w:pPr>
                    <w:pStyle w:val="40"/>
                    <w:rPr>
                      <w:highlight w:val="yellow"/>
                    </w:rPr>
                  </w:pPr>
                  <w:r>
                    <w:rPr>
                      <w:rFonts w:hint="eastAsia"/>
                    </w:rPr>
                    <w:t>建筑面积为50m</w:t>
                  </w:r>
                  <w:r>
                    <w:rPr>
                      <w:rFonts w:hint="eastAsia"/>
                      <w:vertAlign w:val="superscript"/>
                    </w:rPr>
                    <w:t>2</w:t>
                  </w:r>
                  <w:r>
                    <w:rPr>
                      <w:rFonts w:hint="eastAsia"/>
                    </w:rPr>
                    <w:t>，设置1台生物质锅炉为生产提供蒸汽，锅炉吨位为4</w:t>
                  </w:r>
                  <w:r>
                    <w:t>t/h</w:t>
                  </w:r>
                  <w:r>
                    <w:rPr>
                      <w:rFonts w:hint="eastAsia"/>
                    </w:rPr>
                    <w:t>，型号为DZL4-1.25-T，燃料为生物质成型颗粒，介质为热水；设置一套软化水制备装置</w:t>
                  </w:r>
                </w:p>
              </w:tc>
            </w:tr>
            <w:tr w14:paraId="639BE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486" w:type="pct"/>
                  <w:vMerge w:val="continue"/>
                  <w:vAlign w:val="center"/>
                </w:tcPr>
                <w:p w14:paraId="4B7FBA7D">
                  <w:pPr>
                    <w:pStyle w:val="40"/>
                  </w:pPr>
                </w:p>
              </w:tc>
              <w:tc>
                <w:tcPr>
                  <w:tcW w:w="664" w:type="pct"/>
                </w:tcPr>
                <w:p w14:paraId="38A0601F">
                  <w:pPr>
                    <w:pStyle w:val="40"/>
                  </w:pPr>
                  <w:r>
                    <w:rPr>
                      <w:rFonts w:hint="eastAsia"/>
                    </w:rPr>
                    <w:t>办公管理用房</w:t>
                  </w:r>
                </w:p>
              </w:tc>
              <w:tc>
                <w:tcPr>
                  <w:tcW w:w="3850" w:type="pct"/>
                  <w:vAlign w:val="center"/>
                </w:tcPr>
                <w:p w14:paraId="799B9697">
                  <w:pPr>
                    <w:pStyle w:val="40"/>
                  </w:pPr>
                  <w:r>
                    <w:rPr>
                      <w:rFonts w:hint="eastAsia"/>
                    </w:rPr>
                    <w:t>建筑面积200 m</w:t>
                  </w:r>
                  <w:r>
                    <w:rPr>
                      <w:rFonts w:hint="eastAsia"/>
                      <w:vertAlign w:val="superscript"/>
                    </w:rPr>
                    <w:t>2</w:t>
                  </w:r>
                  <w:r>
                    <w:rPr>
                      <w:rFonts w:hint="eastAsia"/>
                    </w:rPr>
                    <w:t>，用于办公</w:t>
                  </w:r>
                </w:p>
              </w:tc>
            </w:tr>
            <w:tr w14:paraId="0FB39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486" w:type="pct"/>
                  <w:vMerge w:val="continue"/>
                  <w:vAlign w:val="center"/>
                </w:tcPr>
                <w:p w14:paraId="4A932A45">
                  <w:pPr>
                    <w:pStyle w:val="40"/>
                  </w:pPr>
                </w:p>
              </w:tc>
              <w:tc>
                <w:tcPr>
                  <w:tcW w:w="664" w:type="pct"/>
                  <w:vAlign w:val="center"/>
                </w:tcPr>
                <w:p w14:paraId="7B02EB18">
                  <w:pPr>
                    <w:pStyle w:val="40"/>
                  </w:pPr>
                  <w:r>
                    <w:rPr>
                      <w:rFonts w:hint="eastAsia"/>
                    </w:rPr>
                    <w:t>包材间</w:t>
                  </w:r>
                </w:p>
              </w:tc>
              <w:tc>
                <w:tcPr>
                  <w:tcW w:w="3850" w:type="pct"/>
                  <w:vAlign w:val="center"/>
                </w:tcPr>
                <w:p w14:paraId="524C90E9">
                  <w:pPr>
                    <w:pStyle w:val="40"/>
                  </w:pPr>
                  <w:r>
                    <w:rPr>
                      <w:rFonts w:hint="eastAsia"/>
                    </w:rPr>
                    <w:t>建筑面积100m</w:t>
                  </w:r>
                  <w:r>
                    <w:rPr>
                      <w:rFonts w:hint="eastAsia"/>
                      <w:vertAlign w:val="superscript"/>
                    </w:rPr>
                    <w:t>2</w:t>
                  </w:r>
                </w:p>
              </w:tc>
            </w:tr>
            <w:tr w14:paraId="6B11D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486" w:type="pct"/>
                  <w:vMerge w:val="continue"/>
                  <w:vAlign w:val="center"/>
                </w:tcPr>
                <w:p w14:paraId="734BF5B4">
                  <w:pPr>
                    <w:pStyle w:val="40"/>
                  </w:pPr>
                </w:p>
              </w:tc>
              <w:tc>
                <w:tcPr>
                  <w:tcW w:w="664" w:type="pct"/>
                  <w:vAlign w:val="center"/>
                </w:tcPr>
                <w:p w14:paraId="1DCB32DA">
                  <w:pPr>
                    <w:pStyle w:val="40"/>
                  </w:pPr>
                  <w:r>
                    <w:rPr>
                      <w:rFonts w:hint="eastAsia"/>
                    </w:rPr>
                    <w:t>化验室</w:t>
                  </w:r>
                </w:p>
              </w:tc>
              <w:tc>
                <w:tcPr>
                  <w:tcW w:w="3850" w:type="pct"/>
                  <w:vAlign w:val="center"/>
                </w:tcPr>
                <w:p w14:paraId="78B1BF15">
                  <w:pPr>
                    <w:pStyle w:val="40"/>
                  </w:pPr>
                  <w:r>
                    <w:rPr>
                      <w:rFonts w:hint="eastAsia"/>
                    </w:rPr>
                    <w:t>建筑面积100 m</w:t>
                  </w:r>
                  <w:r>
                    <w:rPr>
                      <w:rFonts w:hint="eastAsia"/>
                      <w:vertAlign w:val="superscript"/>
                    </w:rPr>
                    <w:t>2</w:t>
                  </w:r>
                  <w:r>
                    <w:rPr>
                      <w:rFonts w:hint="eastAsia"/>
                    </w:rPr>
                    <w:t>，用于检验产品</w:t>
                  </w:r>
                </w:p>
              </w:tc>
            </w:tr>
            <w:tr w14:paraId="7CB95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486" w:type="pct"/>
                  <w:vMerge w:val="continue"/>
                  <w:vAlign w:val="center"/>
                </w:tcPr>
                <w:p w14:paraId="601E5188">
                  <w:pPr>
                    <w:pStyle w:val="40"/>
                  </w:pPr>
                </w:p>
              </w:tc>
              <w:tc>
                <w:tcPr>
                  <w:tcW w:w="664" w:type="pct"/>
                  <w:vAlign w:val="center"/>
                </w:tcPr>
                <w:p w14:paraId="4A249D07">
                  <w:pPr>
                    <w:pStyle w:val="40"/>
                  </w:pPr>
                  <w:r>
                    <w:rPr>
                      <w:rFonts w:hint="eastAsia"/>
                    </w:rPr>
                    <w:t>设备室</w:t>
                  </w:r>
                </w:p>
              </w:tc>
              <w:tc>
                <w:tcPr>
                  <w:tcW w:w="3850" w:type="pct"/>
                </w:tcPr>
                <w:p w14:paraId="42BFB5FC">
                  <w:pPr>
                    <w:pStyle w:val="40"/>
                  </w:pPr>
                  <w:r>
                    <w:rPr>
                      <w:rFonts w:hint="eastAsia"/>
                    </w:rPr>
                    <w:t>建筑面积100m</w:t>
                  </w:r>
                  <w:r>
                    <w:rPr>
                      <w:rFonts w:hint="eastAsia"/>
                      <w:vertAlign w:val="superscript"/>
                    </w:rPr>
                    <w:t>2</w:t>
                  </w:r>
                  <w:r>
                    <w:rPr>
                      <w:rFonts w:hint="eastAsia"/>
                    </w:rPr>
                    <w:t>，用于污水处理设备存放</w:t>
                  </w:r>
                </w:p>
              </w:tc>
            </w:tr>
            <w:tr w14:paraId="71EEB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486" w:type="pct"/>
                  <w:vMerge w:val="continue"/>
                  <w:vAlign w:val="center"/>
                </w:tcPr>
                <w:p w14:paraId="48B5FB12">
                  <w:pPr>
                    <w:pStyle w:val="40"/>
                  </w:pPr>
                </w:p>
              </w:tc>
              <w:tc>
                <w:tcPr>
                  <w:tcW w:w="664" w:type="pct"/>
                  <w:vAlign w:val="center"/>
                </w:tcPr>
                <w:p w14:paraId="4E75EC87">
                  <w:pPr>
                    <w:pStyle w:val="40"/>
                  </w:pPr>
                  <w:r>
                    <w:rPr>
                      <w:rFonts w:hint="eastAsia"/>
                    </w:rPr>
                    <w:t>门卫</w:t>
                  </w:r>
                </w:p>
              </w:tc>
              <w:tc>
                <w:tcPr>
                  <w:tcW w:w="3850" w:type="pct"/>
                </w:tcPr>
                <w:p w14:paraId="0D5893E6">
                  <w:pPr>
                    <w:pStyle w:val="40"/>
                  </w:pPr>
                  <w:r>
                    <w:rPr>
                      <w:rFonts w:hint="eastAsia"/>
                    </w:rPr>
                    <w:t>建筑面积20m</w:t>
                  </w:r>
                  <w:r>
                    <w:rPr>
                      <w:rFonts w:hint="eastAsia"/>
                      <w:vertAlign w:val="superscript"/>
                    </w:rPr>
                    <w:t>2</w:t>
                  </w:r>
                </w:p>
              </w:tc>
            </w:tr>
            <w:tr w14:paraId="71B74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486" w:type="pct"/>
                  <w:vMerge w:val="restart"/>
                  <w:vAlign w:val="center"/>
                </w:tcPr>
                <w:p w14:paraId="06CE58DC">
                  <w:pPr>
                    <w:pStyle w:val="40"/>
                  </w:pPr>
                  <w:r>
                    <w:rPr>
                      <w:rFonts w:hint="eastAsia"/>
                    </w:rPr>
                    <w:t>储运工程</w:t>
                  </w:r>
                </w:p>
              </w:tc>
              <w:tc>
                <w:tcPr>
                  <w:tcW w:w="664" w:type="pct"/>
                  <w:vAlign w:val="center"/>
                </w:tcPr>
                <w:p w14:paraId="7FEAAC24">
                  <w:pPr>
                    <w:pStyle w:val="40"/>
                  </w:pPr>
                  <w:r>
                    <w:rPr>
                      <w:rFonts w:hint="eastAsia"/>
                    </w:rPr>
                    <w:t>罐头原料库</w:t>
                  </w:r>
                </w:p>
              </w:tc>
              <w:tc>
                <w:tcPr>
                  <w:tcW w:w="3850" w:type="pct"/>
                  <w:vAlign w:val="center"/>
                </w:tcPr>
                <w:p w14:paraId="7AB0C0AD">
                  <w:pPr>
                    <w:pStyle w:val="40"/>
                  </w:pPr>
                  <w:r>
                    <w:rPr>
                      <w:rFonts w:hint="eastAsia"/>
                    </w:rPr>
                    <w:t>建筑面积430m</w:t>
                  </w:r>
                  <w:r>
                    <w:rPr>
                      <w:rFonts w:hint="eastAsia"/>
                      <w:vertAlign w:val="superscript"/>
                    </w:rPr>
                    <w:t>2</w:t>
                  </w:r>
                  <w:r>
                    <w:rPr>
                      <w:rFonts w:hint="eastAsia"/>
                    </w:rPr>
                    <w:t>，用于罐头原料储存</w:t>
                  </w:r>
                </w:p>
              </w:tc>
            </w:tr>
            <w:tr w14:paraId="0802B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486" w:type="pct"/>
                  <w:vMerge w:val="continue"/>
                  <w:vAlign w:val="center"/>
                </w:tcPr>
                <w:p w14:paraId="0ED8A9A4">
                  <w:pPr>
                    <w:pStyle w:val="40"/>
                  </w:pPr>
                </w:p>
              </w:tc>
              <w:tc>
                <w:tcPr>
                  <w:tcW w:w="664" w:type="pct"/>
                  <w:vAlign w:val="center"/>
                </w:tcPr>
                <w:p w14:paraId="4E8AB480">
                  <w:pPr>
                    <w:pStyle w:val="40"/>
                  </w:pPr>
                  <w:r>
                    <w:rPr>
                      <w:rFonts w:hint="eastAsia"/>
                    </w:rPr>
                    <w:t>成品库</w:t>
                  </w:r>
                </w:p>
              </w:tc>
              <w:tc>
                <w:tcPr>
                  <w:tcW w:w="3850" w:type="pct"/>
                  <w:vAlign w:val="center"/>
                </w:tcPr>
                <w:p w14:paraId="49059517">
                  <w:pPr>
                    <w:pStyle w:val="40"/>
                  </w:pPr>
                  <w:r>
                    <w:rPr>
                      <w:rFonts w:hint="eastAsia"/>
                    </w:rPr>
                    <w:t>建筑面积100m</w:t>
                  </w:r>
                  <w:r>
                    <w:rPr>
                      <w:rFonts w:hint="eastAsia"/>
                      <w:vertAlign w:val="superscript"/>
                    </w:rPr>
                    <w:t>2</w:t>
                  </w:r>
                  <w:r>
                    <w:rPr>
                      <w:rFonts w:hint="eastAsia"/>
                    </w:rPr>
                    <w:t>，用于成品储存</w:t>
                  </w:r>
                </w:p>
              </w:tc>
            </w:tr>
            <w:tr w14:paraId="3A546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jc w:val="center"/>
              </w:trPr>
              <w:tc>
                <w:tcPr>
                  <w:tcW w:w="486" w:type="pct"/>
                  <w:vMerge w:val="continue"/>
                  <w:vAlign w:val="center"/>
                </w:tcPr>
                <w:p w14:paraId="7C0A4ACD">
                  <w:pPr>
                    <w:pStyle w:val="40"/>
                  </w:pPr>
                </w:p>
              </w:tc>
              <w:tc>
                <w:tcPr>
                  <w:tcW w:w="664" w:type="pct"/>
                  <w:vAlign w:val="center"/>
                </w:tcPr>
                <w:p w14:paraId="64BFCD1B">
                  <w:pPr>
                    <w:pStyle w:val="40"/>
                  </w:pPr>
                  <w:r>
                    <w:rPr>
                      <w:rFonts w:hint="eastAsia"/>
                    </w:rPr>
                    <w:t>瓶库</w:t>
                  </w:r>
                </w:p>
              </w:tc>
              <w:tc>
                <w:tcPr>
                  <w:tcW w:w="3850" w:type="pct"/>
                  <w:vAlign w:val="center"/>
                </w:tcPr>
                <w:p w14:paraId="1AD61130">
                  <w:pPr>
                    <w:pStyle w:val="40"/>
                  </w:pPr>
                  <w:r>
                    <w:rPr>
                      <w:rFonts w:hint="eastAsia"/>
                    </w:rPr>
                    <w:t>建筑面积100m</w:t>
                  </w:r>
                  <w:r>
                    <w:rPr>
                      <w:rFonts w:hint="eastAsia"/>
                      <w:vertAlign w:val="superscript"/>
                    </w:rPr>
                    <w:t>2</w:t>
                  </w:r>
                  <w:r>
                    <w:rPr>
                      <w:rFonts w:hint="eastAsia"/>
                    </w:rPr>
                    <w:t>，用于存放瓶。</w:t>
                  </w:r>
                </w:p>
              </w:tc>
            </w:tr>
            <w:tr w14:paraId="35408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486" w:type="pct"/>
                  <w:vMerge w:val="restart"/>
                  <w:vAlign w:val="center"/>
                </w:tcPr>
                <w:p w14:paraId="1179E965">
                  <w:pPr>
                    <w:pStyle w:val="40"/>
                  </w:pPr>
                  <w:r>
                    <w:t>公用工程</w:t>
                  </w:r>
                </w:p>
              </w:tc>
              <w:tc>
                <w:tcPr>
                  <w:tcW w:w="664" w:type="pct"/>
                  <w:vAlign w:val="center"/>
                </w:tcPr>
                <w:p w14:paraId="2C7687FD">
                  <w:pPr>
                    <w:pStyle w:val="40"/>
                  </w:pPr>
                  <w:r>
                    <w:t>供水工程</w:t>
                  </w:r>
                </w:p>
              </w:tc>
              <w:tc>
                <w:tcPr>
                  <w:tcW w:w="3850" w:type="pct"/>
                  <w:vAlign w:val="center"/>
                </w:tcPr>
                <w:p w14:paraId="20456759">
                  <w:pPr>
                    <w:pStyle w:val="40"/>
                  </w:pPr>
                  <w:r>
                    <w:rPr>
                      <w:rFonts w:hint="eastAsia"/>
                    </w:rPr>
                    <w:t>用水外购</w:t>
                  </w:r>
                </w:p>
              </w:tc>
            </w:tr>
            <w:tr w14:paraId="083CF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1" w:hRule="atLeast"/>
                <w:jc w:val="center"/>
              </w:trPr>
              <w:tc>
                <w:tcPr>
                  <w:tcW w:w="486" w:type="pct"/>
                  <w:vMerge w:val="continue"/>
                  <w:vAlign w:val="center"/>
                </w:tcPr>
                <w:p w14:paraId="468AC141">
                  <w:pPr>
                    <w:pStyle w:val="40"/>
                  </w:pPr>
                </w:p>
              </w:tc>
              <w:tc>
                <w:tcPr>
                  <w:tcW w:w="664" w:type="pct"/>
                  <w:vAlign w:val="center"/>
                </w:tcPr>
                <w:p w14:paraId="3450FCDC">
                  <w:pPr>
                    <w:pStyle w:val="40"/>
                  </w:pPr>
                  <w:r>
                    <w:rPr>
                      <w:rFonts w:hint="eastAsia"/>
                    </w:rPr>
                    <w:t>排水工程</w:t>
                  </w:r>
                </w:p>
              </w:tc>
              <w:tc>
                <w:tcPr>
                  <w:tcW w:w="3850" w:type="pct"/>
                  <w:vAlign w:val="center"/>
                </w:tcPr>
                <w:p w14:paraId="7524ADFA">
                  <w:pPr>
                    <w:pStyle w:val="108"/>
                    <w:rPr>
                      <w:rFonts w:hAnsi="宋体"/>
                      <w:bCs/>
                      <w:szCs w:val="21"/>
                    </w:rPr>
                  </w:pPr>
                  <w:r>
                    <w:rPr>
                      <w:rFonts w:hint="eastAsia"/>
                    </w:rPr>
                    <w:t>生活污水进入防渗旱厕，定期清掏作农肥，不外排；生产废水进入厂区</w:t>
                  </w:r>
                  <w:r>
                    <w:rPr>
                      <w:rFonts w:hint="eastAsia" w:hAnsi="宋体"/>
                      <w:bCs/>
                      <w:szCs w:val="21"/>
                    </w:rPr>
                    <w:t>污水处理站，污水处理站</w:t>
                  </w:r>
                  <w:r>
                    <w:rPr>
                      <w:rFonts w:hint="eastAsia"/>
                    </w:rPr>
                    <w:t>采用“厌氧塔+气浮+地埋式一体化污水处理装置（AC厌氧+二级接触氧化+沉淀）+过滤”处理工艺，处理能力200t/d，</w:t>
                  </w:r>
                  <w:r>
                    <w:rPr>
                      <w:rFonts w:hint="eastAsia" w:hAnsi="宋体"/>
                      <w:bCs/>
                      <w:szCs w:val="21"/>
                    </w:rPr>
                    <w:t>处理达标后运至秦皇岛市抚宁区中冶水务有限公司；</w:t>
                  </w:r>
                </w:p>
                <w:p w14:paraId="2597EE56">
                  <w:pPr>
                    <w:pStyle w:val="108"/>
                    <w:rPr>
                      <w:rFonts w:hAnsi="宋体"/>
                      <w:bCs/>
                      <w:szCs w:val="21"/>
                    </w:rPr>
                  </w:pPr>
                  <w:r>
                    <w:rPr>
                      <w:bCs/>
                      <w:szCs w:val="21"/>
                    </w:rPr>
                    <w:t>锅炉排污水及软化处理废水</w:t>
                  </w:r>
                  <w:r>
                    <w:rPr>
                      <w:rFonts w:hint="eastAsia"/>
                    </w:rPr>
                    <w:t>厂区洒水抑尘</w:t>
                  </w:r>
                </w:p>
              </w:tc>
            </w:tr>
            <w:tr w14:paraId="0063D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486" w:type="pct"/>
                  <w:vMerge w:val="continue"/>
                  <w:vAlign w:val="center"/>
                </w:tcPr>
                <w:p w14:paraId="17C44204">
                  <w:pPr>
                    <w:pStyle w:val="40"/>
                  </w:pPr>
                </w:p>
              </w:tc>
              <w:tc>
                <w:tcPr>
                  <w:tcW w:w="664" w:type="pct"/>
                  <w:vAlign w:val="center"/>
                </w:tcPr>
                <w:p w14:paraId="2D82970B">
                  <w:pPr>
                    <w:pStyle w:val="40"/>
                  </w:pPr>
                  <w:r>
                    <w:t>供电工程</w:t>
                  </w:r>
                </w:p>
              </w:tc>
              <w:tc>
                <w:tcPr>
                  <w:tcW w:w="3850" w:type="pct"/>
                  <w:vAlign w:val="center"/>
                </w:tcPr>
                <w:p w14:paraId="2978DB28">
                  <w:pPr>
                    <w:pStyle w:val="40"/>
                  </w:pPr>
                  <w:r>
                    <w:rPr>
                      <w:rFonts w:hint="eastAsia"/>
                    </w:rPr>
                    <w:t>由抚宁区</w:t>
                  </w:r>
                  <w:r>
                    <w:t>供电管网供</w:t>
                  </w:r>
                  <w:r>
                    <w:rPr>
                      <w:rFonts w:hint="eastAsia"/>
                    </w:rPr>
                    <w:t>电</w:t>
                  </w:r>
                </w:p>
              </w:tc>
            </w:tr>
            <w:tr w14:paraId="15EA8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486" w:type="pct"/>
                  <w:vMerge w:val="continue"/>
                  <w:vAlign w:val="center"/>
                </w:tcPr>
                <w:p w14:paraId="7BA54A86">
                  <w:pPr>
                    <w:pStyle w:val="40"/>
                  </w:pPr>
                </w:p>
              </w:tc>
              <w:tc>
                <w:tcPr>
                  <w:tcW w:w="664" w:type="pct"/>
                  <w:vAlign w:val="center"/>
                </w:tcPr>
                <w:p w14:paraId="138AF271">
                  <w:pPr>
                    <w:pStyle w:val="40"/>
                  </w:pPr>
                  <w:r>
                    <w:t>供暖工程</w:t>
                  </w:r>
                </w:p>
              </w:tc>
              <w:tc>
                <w:tcPr>
                  <w:tcW w:w="3850" w:type="pct"/>
                  <w:vAlign w:val="center"/>
                </w:tcPr>
                <w:p w14:paraId="19F66250">
                  <w:pPr>
                    <w:pStyle w:val="40"/>
                  </w:pPr>
                  <w:r>
                    <w:rPr>
                      <w:rFonts w:hint="eastAsia"/>
                    </w:rPr>
                    <w:t>办公室取暖使用空调、车间冬季不生产无需供暖，生产供热由生物质锅炉提供</w:t>
                  </w:r>
                </w:p>
              </w:tc>
            </w:tr>
            <w:tr w14:paraId="211DA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486" w:type="pct"/>
                  <w:vMerge w:val="restart"/>
                  <w:vAlign w:val="center"/>
                </w:tcPr>
                <w:p w14:paraId="749BA1C1">
                  <w:pPr>
                    <w:pStyle w:val="40"/>
                  </w:pPr>
                  <w:r>
                    <w:t>环保工程</w:t>
                  </w:r>
                </w:p>
              </w:tc>
              <w:tc>
                <w:tcPr>
                  <w:tcW w:w="664" w:type="pct"/>
                  <w:vMerge w:val="restart"/>
                  <w:vAlign w:val="center"/>
                </w:tcPr>
                <w:p w14:paraId="6F45E94D">
                  <w:pPr>
                    <w:pStyle w:val="40"/>
                  </w:pPr>
                  <w:r>
                    <w:t>废气</w:t>
                  </w:r>
                </w:p>
              </w:tc>
              <w:tc>
                <w:tcPr>
                  <w:tcW w:w="3850" w:type="pct"/>
                  <w:vAlign w:val="center"/>
                </w:tcPr>
                <w:p w14:paraId="456204F3">
                  <w:pPr>
                    <w:pStyle w:val="40"/>
                  </w:pPr>
                  <w:r>
                    <w:rPr>
                      <w:rFonts w:hint="eastAsia"/>
                    </w:rPr>
                    <w:t>污水处理站厌氧塔臭气通过活性炭除臭装置处理后经1根20m高排气筒排放</w:t>
                  </w:r>
                </w:p>
              </w:tc>
            </w:tr>
            <w:tr w14:paraId="1D135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486" w:type="pct"/>
                  <w:vMerge w:val="continue"/>
                  <w:vAlign w:val="center"/>
                </w:tcPr>
                <w:p w14:paraId="67BF0816">
                  <w:pPr>
                    <w:pStyle w:val="40"/>
                  </w:pPr>
                </w:p>
              </w:tc>
              <w:tc>
                <w:tcPr>
                  <w:tcW w:w="664" w:type="pct"/>
                  <w:vMerge w:val="continue"/>
                  <w:vAlign w:val="center"/>
                </w:tcPr>
                <w:p w14:paraId="2E943EC4">
                  <w:pPr>
                    <w:pStyle w:val="40"/>
                  </w:pPr>
                </w:p>
              </w:tc>
              <w:tc>
                <w:tcPr>
                  <w:tcW w:w="3850" w:type="pct"/>
                  <w:vAlign w:val="center"/>
                </w:tcPr>
                <w:p w14:paraId="1D6F853E">
                  <w:pPr>
                    <w:pStyle w:val="40"/>
                  </w:pPr>
                  <w:r>
                    <w:rPr>
                      <w:rFonts w:hint="eastAsia"/>
                    </w:rPr>
                    <w:t>调节池、污泥池加盖密闭，一体化污水处理装置位于地下，气浮机、压滤机位于设备间内，调节池、污泥池、一体化污水处理装置、设备间产生的臭气经管道收集后通过1套活性炭除臭装置处理后经1根15m高排气筒排放</w:t>
                  </w:r>
                </w:p>
              </w:tc>
            </w:tr>
            <w:tr w14:paraId="72E69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486" w:type="pct"/>
                  <w:vMerge w:val="continue"/>
                  <w:vAlign w:val="center"/>
                </w:tcPr>
                <w:p w14:paraId="22F38C38">
                  <w:pPr>
                    <w:pStyle w:val="40"/>
                  </w:pPr>
                </w:p>
              </w:tc>
              <w:tc>
                <w:tcPr>
                  <w:tcW w:w="664" w:type="pct"/>
                  <w:vMerge w:val="continue"/>
                  <w:vAlign w:val="center"/>
                </w:tcPr>
                <w:p w14:paraId="0E2BA5C7">
                  <w:pPr>
                    <w:pStyle w:val="40"/>
                  </w:pPr>
                </w:p>
              </w:tc>
              <w:tc>
                <w:tcPr>
                  <w:tcW w:w="3850" w:type="pct"/>
                  <w:vAlign w:val="center"/>
                </w:tcPr>
                <w:p w14:paraId="433F59B2">
                  <w:pPr>
                    <w:pStyle w:val="40"/>
                  </w:pPr>
                  <w:r>
                    <w:rPr>
                      <w:rFonts w:hint="eastAsia"/>
                    </w:rPr>
                    <w:t>生物质锅炉烟气经1套旋风除尘+布袋除尘器+湿式玻璃钢脱硝（SNCR）处理后经1根35m高排气筒排放</w:t>
                  </w:r>
                </w:p>
              </w:tc>
            </w:tr>
            <w:tr w14:paraId="0EB97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486" w:type="pct"/>
                  <w:vMerge w:val="continue"/>
                  <w:vAlign w:val="center"/>
                </w:tcPr>
                <w:p w14:paraId="782F4EAA">
                  <w:pPr>
                    <w:pStyle w:val="40"/>
                  </w:pPr>
                </w:p>
              </w:tc>
              <w:tc>
                <w:tcPr>
                  <w:tcW w:w="664" w:type="pct"/>
                  <w:vMerge w:val="continue"/>
                  <w:vAlign w:val="center"/>
                </w:tcPr>
                <w:p w14:paraId="64944902">
                  <w:pPr>
                    <w:pStyle w:val="40"/>
                  </w:pPr>
                </w:p>
              </w:tc>
              <w:tc>
                <w:tcPr>
                  <w:tcW w:w="3850" w:type="pct"/>
                  <w:vAlign w:val="center"/>
                </w:tcPr>
                <w:p w14:paraId="2853826D">
                  <w:pPr>
                    <w:pStyle w:val="40"/>
                  </w:pPr>
                  <w:r>
                    <w:rPr>
                      <w:rFonts w:hint="eastAsia"/>
                    </w:rPr>
                    <w:t>生物质燃料在装卸、贮存、输送过程中会产生颗粒物，产生量较少，无组织排放，在装卸、贮存、输送阶段采取密闭措施</w:t>
                  </w:r>
                </w:p>
              </w:tc>
            </w:tr>
            <w:tr w14:paraId="6A485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486" w:type="pct"/>
                  <w:vMerge w:val="continue"/>
                  <w:vAlign w:val="center"/>
                </w:tcPr>
                <w:p w14:paraId="62B79312">
                  <w:pPr>
                    <w:pStyle w:val="40"/>
                  </w:pPr>
                </w:p>
              </w:tc>
              <w:tc>
                <w:tcPr>
                  <w:tcW w:w="664" w:type="pct"/>
                  <w:vMerge w:val="restart"/>
                  <w:vAlign w:val="center"/>
                </w:tcPr>
                <w:p w14:paraId="0D45CE1D">
                  <w:pPr>
                    <w:pStyle w:val="40"/>
                  </w:pPr>
                  <w:r>
                    <w:t>废水</w:t>
                  </w:r>
                </w:p>
              </w:tc>
              <w:tc>
                <w:tcPr>
                  <w:tcW w:w="3850" w:type="pct"/>
                  <w:vAlign w:val="center"/>
                </w:tcPr>
                <w:p w14:paraId="249AAD21">
                  <w:pPr>
                    <w:pStyle w:val="40"/>
                  </w:pPr>
                  <w:r>
                    <w:rPr>
                      <w:rFonts w:hint="eastAsia"/>
                    </w:rPr>
                    <w:t>生活污水进入防渗旱厕，定期清掏作农肥，不外排</w:t>
                  </w:r>
                </w:p>
              </w:tc>
            </w:tr>
            <w:tr w14:paraId="0738E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486" w:type="pct"/>
                  <w:vMerge w:val="continue"/>
                  <w:vAlign w:val="center"/>
                </w:tcPr>
                <w:p w14:paraId="632DC448">
                  <w:pPr>
                    <w:pStyle w:val="40"/>
                  </w:pPr>
                </w:p>
              </w:tc>
              <w:tc>
                <w:tcPr>
                  <w:tcW w:w="664" w:type="pct"/>
                  <w:vMerge w:val="continue"/>
                  <w:vAlign w:val="center"/>
                </w:tcPr>
                <w:p w14:paraId="26052B54">
                  <w:pPr>
                    <w:pStyle w:val="40"/>
                  </w:pPr>
                </w:p>
              </w:tc>
              <w:tc>
                <w:tcPr>
                  <w:tcW w:w="3850" w:type="pct"/>
                  <w:vAlign w:val="center"/>
                </w:tcPr>
                <w:p w14:paraId="4FC870E8">
                  <w:pPr>
                    <w:pStyle w:val="40"/>
                  </w:pPr>
                  <w:r>
                    <w:rPr>
                      <w:rFonts w:hint="eastAsia"/>
                    </w:rPr>
                    <w:t>生产废水进入污水处理站，污水处理站采用“厌氧塔+气浮+地埋式一体化污水处理装置（AC厌氧+二级接触氧化+沉淀）+过滤”处理工艺，处理能力200t/d，处理达标后运至秦皇岛市抚宁区中冶水务有限公司</w:t>
                  </w:r>
                </w:p>
              </w:tc>
            </w:tr>
            <w:tr w14:paraId="3AC32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486" w:type="pct"/>
                  <w:vMerge w:val="continue"/>
                  <w:vAlign w:val="center"/>
                </w:tcPr>
                <w:p w14:paraId="72DD3ED2">
                  <w:pPr>
                    <w:pStyle w:val="40"/>
                  </w:pPr>
                </w:p>
              </w:tc>
              <w:tc>
                <w:tcPr>
                  <w:tcW w:w="664" w:type="pct"/>
                  <w:vMerge w:val="continue"/>
                  <w:vAlign w:val="center"/>
                </w:tcPr>
                <w:p w14:paraId="19B128F3">
                  <w:pPr>
                    <w:pStyle w:val="40"/>
                  </w:pPr>
                </w:p>
              </w:tc>
              <w:tc>
                <w:tcPr>
                  <w:tcW w:w="3850" w:type="pct"/>
                  <w:vAlign w:val="center"/>
                </w:tcPr>
                <w:p w14:paraId="3B5C6AEF">
                  <w:pPr>
                    <w:pStyle w:val="40"/>
                  </w:pPr>
                  <w:r>
                    <w:t>锅炉排污水及软化处理废水</w:t>
                  </w:r>
                  <w:r>
                    <w:rPr>
                      <w:rFonts w:hint="eastAsia"/>
                    </w:rPr>
                    <w:t>厂区洒水抑尘</w:t>
                  </w:r>
                </w:p>
              </w:tc>
            </w:tr>
            <w:tr w14:paraId="56258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jc w:val="center"/>
              </w:trPr>
              <w:tc>
                <w:tcPr>
                  <w:tcW w:w="486" w:type="pct"/>
                  <w:vMerge w:val="continue"/>
                  <w:vAlign w:val="center"/>
                </w:tcPr>
                <w:p w14:paraId="0A67BC5F">
                  <w:pPr>
                    <w:pStyle w:val="40"/>
                  </w:pPr>
                </w:p>
              </w:tc>
              <w:tc>
                <w:tcPr>
                  <w:tcW w:w="664" w:type="pct"/>
                  <w:vAlign w:val="center"/>
                </w:tcPr>
                <w:p w14:paraId="134ACD1E">
                  <w:pPr>
                    <w:pStyle w:val="40"/>
                  </w:pPr>
                  <w:r>
                    <w:t>噪声</w:t>
                  </w:r>
                </w:p>
              </w:tc>
              <w:tc>
                <w:tcPr>
                  <w:tcW w:w="3850" w:type="pct"/>
                  <w:vAlign w:val="center"/>
                </w:tcPr>
                <w:p w14:paraId="5CBCBABF">
                  <w:pPr>
                    <w:pStyle w:val="40"/>
                  </w:pPr>
                  <w:r>
                    <w:rPr>
                      <w:rFonts w:hint="eastAsia"/>
                    </w:rPr>
                    <w:t>选用低噪声设备，采取设备减振，建筑隔声等</w:t>
                  </w:r>
                </w:p>
                <w:p w14:paraId="13EF06A8">
                  <w:pPr>
                    <w:pStyle w:val="40"/>
                  </w:pPr>
                  <w:r>
                    <w:rPr>
                      <w:rFonts w:hint="eastAsia"/>
                    </w:rPr>
                    <w:t>措施</w:t>
                  </w:r>
                </w:p>
              </w:tc>
            </w:tr>
            <w:tr w14:paraId="220FC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486" w:type="pct"/>
                  <w:vMerge w:val="continue"/>
                  <w:vAlign w:val="center"/>
                </w:tcPr>
                <w:p w14:paraId="4CEA930E">
                  <w:pPr>
                    <w:pStyle w:val="40"/>
                  </w:pPr>
                </w:p>
              </w:tc>
              <w:tc>
                <w:tcPr>
                  <w:tcW w:w="664" w:type="pct"/>
                  <w:vMerge w:val="restart"/>
                  <w:vAlign w:val="center"/>
                </w:tcPr>
                <w:p w14:paraId="3844E218">
                  <w:pPr>
                    <w:pStyle w:val="40"/>
                  </w:pPr>
                  <w:r>
                    <w:t>固体废物</w:t>
                  </w:r>
                </w:p>
              </w:tc>
              <w:tc>
                <w:tcPr>
                  <w:tcW w:w="3850" w:type="pct"/>
                  <w:vAlign w:val="center"/>
                </w:tcPr>
                <w:p w14:paraId="35E96996">
                  <w:pPr>
                    <w:pStyle w:val="40"/>
                  </w:pPr>
                  <w:r>
                    <w:rPr>
                      <w:rFonts w:hint="eastAsia"/>
                    </w:rPr>
                    <w:t>生活垃圾收集后交由环卫部门统一清运</w:t>
                  </w:r>
                </w:p>
              </w:tc>
            </w:tr>
            <w:tr w14:paraId="25B4F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486" w:type="pct"/>
                  <w:vMerge w:val="continue"/>
                  <w:vAlign w:val="center"/>
                </w:tcPr>
                <w:p w14:paraId="6A2D231D">
                  <w:pPr>
                    <w:pStyle w:val="40"/>
                  </w:pPr>
                </w:p>
              </w:tc>
              <w:tc>
                <w:tcPr>
                  <w:tcW w:w="664" w:type="pct"/>
                  <w:vMerge w:val="continue"/>
                  <w:vAlign w:val="center"/>
                </w:tcPr>
                <w:p w14:paraId="30680416">
                  <w:pPr>
                    <w:pStyle w:val="40"/>
                  </w:pPr>
                </w:p>
              </w:tc>
              <w:tc>
                <w:tcPr>
                  <w:tcW w:w="3850" w:type="pct"/>
                  <w:vAlign w:val="center"/>
                </w:tcPr>
                <w:p w14:paraId="0FF82BFC">
                  <w:pPr>
                    <w:pStyle w:val="40"/>
                  </w:pPr>
                  <w:r>
                    <w:rPr>
                      <w:rFonts w:hint="eastAsia"/>
                    </w:rPr>
                    <w:t>不合格水果、果皮、果核、软烂果块、不合格品外售农民综合利用</w:t>
                  </w:r>
                </w:p>
              </w:tc>
            </w:tr>
            <w:tr w14:paraId="285B5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486" w:type="pct"/>
                  <w:vMerge w:val="continue"/>
                  <w:vAlign w:val="center"/>
                </w:tcPr>
                <w:p w14:paraId="526A04A1">
                  <w:pPr>
                    <w:pStyle w:val="40"/>
                  </w:pPr>
                </w:p>
              </w:tc>
              <w:tc>
                <w:tcPr>
                  <w:tcW w:w="664" w:type="pct"/>
                  <w:vMerge w:val="continue"/>
                  <w:vAlign w:val="center"/>
                </w:tcPr>
                <w:p w14:paraId="5B224980">
                  <w:pPr>
                    <w:pStyle w:val="40"/>
                  </w:pPr>
                </w:p>
              </w:tc>
              <w:tc>
                <w:tcPr>
                  <w:tcW w:w="3850" w:type="pct"/>
                  <w:vAlign w:val="center"/>
                </w:tcPr>
                <w:p w14:paraId="7C396D00">
                  <w:pPr>
                    <w:pStyle w:val="40"/>
                  </w:pPr>
                  <w:r>
                    <w:t>布袋收尘灰、锅炉灰渣统一收集外售</w:t>
                  </w:r>
                  <w:r>
                    <w:rPr>
                      <w:rFonts w:hint="eastAsia"/>
                    </w:rPr>
                    <w:t>做建材</w:t>
                  </w:r>
                </w:p>
              </w:tc>
            </w:tr>
            <w:tr w14:paraId="4C7B3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486" w:type="pct"/>
                  <w:vMerge w:val="continue"/>
                  <w:vAlign w:val="center"/>
                </w:tcPr>
                <w:p w14:paraId="69599152">
                  <w:pPr>
                    <w:pStyle w:val="40"/>
                  </w:pPr>
                </w:p>
              </w:tc>
              <w:tc>
                <w:tcPr>
                  <w:tcW w:w="664" w:type="pct"/>
                  <w:vMerge w:val="continue"/>
                  <w:vAlign w:val="center"/>
                </w:tcPr>
                <w:p w14:paraId="48159A35">
                  <w:pPr>
                    <w:pStyle w:val="40"/>
                  </w:pPr>
                </w:p>
              </w:tc>
              <w:tc>
                <w:tcPr>
                  <w:tcW w:w="3850" w:type="pct"/>
                  <w:vAlign w:val="center"/>
                </w:tcPr>
                <w:p w14:paraId="62719F58">
                  <w:pPr>
                    <w:pStyle w:val="40"/>
                  </w:pPr>
                  <w:r>
                    <w:rPr>
                      <w:rFonts w:hint="eastAsia"/>
                    </w:rPr>
                    <w:t>废活性炭、废离子树脂由厂家回收</w:t>
                  </w:r>
                </w:p>
              </w:tc>
            </w:tr>
            <w:tr w14:paraId="3D7E8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486" w:type="pct"/>
                  <w:vMerge w:val="continue"/>
                  <w:vAlign w:val="center"/>
                </w:tcPr>
                <w:p w14:paraId="1C16D244">
                  <w:pPr>
                    <w:pStyle w:val="40"/>
                  </w:pPr>
                </w:p>
              </w:tc>
              <w:tc>
                <w:tcPr>
                  <w:tcW w:w="664" w:type="pct"/>
                  <w:vMerge w:val="continue"/>
                  <w:vAlign w:val="center"/>
                </w:tcPr>
                <w:p w14:paraId="7B4EEB24">
                  <w:pPr>
                    <w:pStyle w:val="40"/>
                  </w:pPr>
                </w:p>
              </w:tc>
              <w:tc>
                <w:tcPr>
                  <w:tcW w:w="3850" w:type="pct"/>
                  <w:vAlign w:val="center"/>
                </w:tcPr>
                <w:p w14:paraId="5D3025FF">
                  <w:pPr>
                    <w:pStyle w:val="40"/>
                  </w:pPr>
                  <w:r>
                    <w:rPr>
                      <w:rFonts w:hint="eastAsia"/>
                    </w:rPr>
                    <w:t>污水处理站污泥委托环保手续齐全，具备污泥处理主体资格和技术能力的单位进行处置</w:t>
                  </w:r>
                </w:p>
              </w:tc>
            </w:tr>
          </w:tbl>
          <w:p w14:paraId="2892E288">
            <w:pPr>
              <w:adjustRightInd w:val="0"/>
              <w:snapToGrid w:val="0"/>
              <w:spacing w:beforeLines="50"/>
              <w:ind w:firstLine="420"/>
              <w:rPr>
                <w:bCs/>
                <w:szCs w:val="21"/>
              </w:rPr>
            </w:pPr>
            <w:r>
              <w:rPr>
                <w:rFonts w:hint="eastAsia"/>
                <w:bCs/>
                <w:szCs w:val="21"/>
              </w:rPr>
              <w:t>（</w:t>
            </w:r>
            <w:r>
              <w:rPr>
                <w:bCs/>
                <w:szCs w:val="21"/>
              </w:rPr>
              <w:t>3</w:t>
            </w:r>
            <w:r>
              <w:rPr>
                <w:rFonts w:hint="eastAsia"/>
                <w:bCs/>
                <w:szCs w:val="21"/>
              </w:rPr>
              <w:t>）全厂主要设备情况</w:t>
            </w:r>
          </w:p>
          <w:p w14:paraId="36820E34">
            <w:pPr>
              <w:pStyle w:val="73"/>
            </w:pPr>
            <w:r>
              <w:rPr>
                <w:rFonts w:hint="eastAsia"/>
                <w:bCs w:val="0"/>
              </w:rPr>
              <w:t xml:space="preserve">表2-12 </w:t>
            </w:r>
            <w:r>
              <w:rPr>
                <w:rFonts w:hint="eastAsia"/>
              </w:rPr>
              <w:t>全厂主要设备表</w:t>
            </w:r>
          </w:p>
          <w:tbl>
            <w:tblPr>
              <w:tblStyle w:val="25"/>
              <w:tblW w:w="482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8"/>
              <w:gridCol w:w="853"/>
              <w:gridCol w:w="2064"/>
              <w:gridCol w:w="1623"/>
              <w:gridCol w:w="850"/>
              <w:gridCol w:w="1983"/>
            </w:tblGrid>
            <w:tr w14:paraId="26793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3C677339">
                  <w:pPr>
                    <w:pStyle w:val="40"/>
                  </w:pPr>
                  <w:r>
                    <w:t>序号</w:t>
                  </w:r>
                </w:p>
              </w:tc>
              <w:tc>
                <w:tcPr>
                  <w:tcW w:w="542" w:type="pct"/>
                  <w:vAlign w:val="center"/>
                </w:tcPr>
                <w:p w14:paraId="75313E09">
                  <w:pPr>
                    <w:pStyle w:val="40"/>
                  </w:pPr>
                  <w:r>
                    <w:rPr>
                      <w:rFonts w:hint="eastAsia"/>
                    </w:rPr>
                    <w:t>工序</w:t>
                  </w:r>
                </w:p>
              </w:tc>
              <w:tc>
                <w:tcPr>
                  <w:tcW w:w="1311" w:type="pct"/>
                  <w:vAlign w:val="center"/>
                </w:tcPr>
                <w:p w14:paraId="558C7771">
                  <w:pPr>
                    <w:pStyle w:val="40"/>
                  </w:pPr>
                  <w:r>
                    <w:t>设备设施名称</w:t>
                  </w:r>
                </w:p>
              </w:tc>
              <w:tc>
                <w:tcPr>
                  <w:tcW w:w="1031" w:type="pct"/>
                  <w:vAlign w:val="center"/>
                </w:tcPr>
                <w:p w14:paraId="47B20340">
                  <w:pPr>
                    <w:pStyle w:val="40"/>
                  </w:pPr>
                  <w:r>
                    <w:t>规格/型号</w:t>
                  </w:r>
                </w:p>
              </w:tc>
              <w:tc>
                <w:tcPr>
                  <w:tcW w:w="540" w:type="pct"/>
                  <w:vAlign w:val="center"/>
                </w:tcPr>
                <w:p w14:paraId="11AF010F">
                  <w:pPr>
                    <w:pStyle w:val="40"/>
                  </w:pPr>
                  <w:r>
                    <w:t>数量</w:t>
                  </w:r>
                </w:p>
              </w:tc>
              <w:tc>
                <w:tcPr>
                  <w:tcW w:w="1260" w:type="pct"/>
                  <w:vAlign w:val="center"/>
                </w:tcPr>
                <w:p w14:paraId="2647BCFF">
                  <w:pPr>
                    <w:pStyle w:val="40"/>
                  </w:pPr>
                  <w:r>
                    <w:t>备注</w:t>
                  </w:r>
                </w:p>
              </w:tc>
            </w:tr>
            <w:tr w14:paraId="04FDE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0E333F39">
                  <w:pPr>
                    <w:pStyle w:val="40"/>
                  </w:pPr>
                  <w:r>
                    <w:t>1</w:t>
                  </w:r>
                </w:p>
              </w:tc>
              <w:tc>
                <w:tcPr>
                  <w:tcW w:w="542" w:type="pct"/>
                  <w:vMerge w:val="restart"/>
                  <w:vAlign w:val="center"/>
                </w:tcPr>
                <w:p w14:paraId="465385C6">
                  <w:pPr>
                    <w:pStyle w:val="40"/>
                  </w:pPr>
                  <w:r>
                    <w:rPr>
                      <w:rFonts w:hint="eastAsia"/>
                    </w:rPr>
                    <w:t>生产线</w:t>
                  </w:r>
                </w:p>
              </w:tc>
              <w:tc>
                <w:tcPr>
                  <w:tcW w:w="1311" w:type="pct"/>
                  <w:vAlign w:val="center"/>
                </w:tcPr>
                <w:p w14:paraId="095417D5">
                  <w:pPr>
                    <w:pStyle w:val="40"/>
                  </w:pPr>
                  <w:r>
                    <w:rPr>
                      <w:rFonts w:hint="eastAsia"/>
                    </w:rPr>
                    <w:t>削皮器</w:t>
                  </w:r>
                </w:p>
              </w:tc>
              <w:tc>
                <w:tcPr>
                  <w:tcW w:w="1031" w:type="pct"/>
                  <w:vAlign w:val="center"/>
                </w:tcPr>
                <w:p w14:paraId="21CF7435">
                  <w:pPr>
                    <w:pStyle w:val="40"/>
                  </w:pPr>
                  <w:r>
                    <w:rPr>
                      <w:rFonts w:hint="eastAsia"/>
                    </w:rPr>
                    <w:t>/</w:t>
                  </w:r>
                </w:p>
              </w:tc>
              <w:tc>
                <w:tcPr>
                  <w:tcW w:w="540" w:type="pct"/>
                  <w:vAlign w:val="center"/>
                </w:tcPr>
                <w:p w14:paraId="7F15B220">
                  <w:pPr>
                    <w:pStyle w:val="40"/>
                  </w:pPr>
                  <w:r>
                    <w:rPr>
                      <w:rFonts w:hint="eastAsia"/>
                    </w:rPr>
                    <w:t>1</w:t>
                  </w:r>
                  <w:r>
                    <w:t>台</w:t>
                  </w:r>
                </w:p>
              </w:tc>
              <w:tc>
                <w:tcPr>
                  <w:tcW w:w="1260" w:type="pct"/>
                  <w:vAlign w:val="center"/>
                </w:tcPr>
                <w:p w14:paraId="5BD2B3AA">
                  <w:pPr>
                    <w:pStyle w:val="40"/>
                  </w:pPr>
                  <w:bookmarkStart w:id="54" w:name="OLE_LINK83"/>
                  <w:bookmarkStart w:id="55" w:name="OLE_LINK84"/>
                  <w:r>
                    <w:rPr>
                      <w:rFonts w:hint="eastAsia"/>
                    </w:rPr>
                    <w:t>现有</w:t>
                  </w:r>
                  <w:bookmarkEnd w:id="54"/>
                  <w:bookmarkEnd w:id="55"/>
                </w:p>
              </w:tc>
            </w:tr>
            <w:tr w14:paraId="1A633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238C7059">
                  <w:pPr>
                    <w:pStyle w:val="40"/>
                  </w:pPr>
                  <w:r>
                    <w:rPr>
                      <w:rFonts w:hint="eastAsia"/>
                    </w:rPr>
                    <w:t>2</w:t>
                  </w:r>
                </w:p>
              </w:tc>
              <w:tc>
                <w:tcPr>
                  <w:tcW w:w="542" w:type="pct"/>
                  <w:vMerge w:val="continue"/>
                  <w:vAlign w:val="center"/>
                </w:tcPr>
                <w:p w14:paraId="79158BFF">
                  <w:pPr>
                    <w:pStyle w:val="40"/>
                  </w:pPr>
                </w:p>
              </w:tc>
              <w:tc>
                <w:tcPr>
                  <w:tcW w:w="1311" w:type="pct"/>
                  <w:vAlign w:val="center"/>
                </w:tcPr>
                <w:p w14:paraId="4B043143">
                  <w:pPr>
                    <w:pStyle w:val="40"/>
                  </w:pPr>
                  <w:r>
                    <w:rPr>
                      <w:rFonts w:hint="eastAsia"/>
                    </w:rPr>
                    <w:t>切半机</w:t>
                  </w:r>
                </w:p>
              </w:tc>
              <w:tc>
                <w:tcPr>
                  <w:tcW w:w="1031" w:type="pct"/>
                  <w:vAlign w:val="center"/>
                </w:tcPr>
                <w:p w14:paraId="7F5E2165">
                  <w:pPr>
                    <w:pStyle w:val="40"/>
                  </w:pPr>
                  <w:r>
                    <w:rPr>
                      <w:rFonts w:hint="eastAsia"/>
                    </w:rPr>
                    <w:t>/</w:t>
                  </w:r>
                </w:p>
              </w:tc>
              <w:tc>
                <w:tcPr>
                  <w:tcW w:w="540" w:type="pct"/>
                  <w:vAlign w:val="center"/>
                </w:tcPr>
                <w:p w14:paraId="2E76F516">
                  <w:pPr>
                    <w:pStyle w:val="40"/>
                  </w:pPr>
                  <w:r>
                    <w:rPr>
                      <w:rFonts w:hint="eastAsia"/>
                    </w:rPr>
                    <w:t>1台</w:t>
                  </w:r>
                </w:p>
              </w:tc>
              <w:tc>
                <w:tcPr>
                  <w:tcW w:w="1260" w:type="pct"/>
                  <w:vAlign w:val="center"/>
                </w:tcPr>
                <w:p w14:paraId="4133E1B6">
                  <w:pPr>
                    <w:pStyle w:val="40"/>
                  </w:pPr>
                  <w:r>
                    <w:rPr>
                      <w:rFonts w:hint="eastAsia"/>
                    </w:rPr>
                    <w:t>现有</w:t>
                  </w:r>
                </w:p>
              </w:tc>
            </w:tr>
            <w:tr w14:paraId="0392E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007A0695">
                  <w:pPr>
                    <w:pStyle w:val="40"/>
                  </w:pPr>
                  <w:r>
                    <w:rPr>
                      <w:rFonts w:hint="eastAsia"/>
                    </w:rPr>
                    <w:t>3</w:t>
                  </w:r>
                </w:p>
              </w:tc>
              <w:tc>
                <w:tcPr>
                  <w:tcW w:w="542" w:type="pct"/>
                  <w:vMerge w:val="continue"/>
                  <w:vAlign w:val="center"/>
                </w:tcPr>
                <w:p w14:paraId="23FFA7D5">
                  <w:pPr>
                    <w:pStyle w:val="40"/>
                  </w:pPr>
                </w:p>
              </w:tc>
              <w:tc>
                <w:tcPr>
                  <w:tcW w:w="1311" w:type="pct"/>
                  <w:vAlign w:val="center"/>
                </w:tcPr>
                <w:p w14:paraId="3410B365">
                  <w:pPr>
                    <w:pStyle w:val="40"/>
                  </w:pPr>
                  <w:r>
                    <w:rPr>
                      <w:rFonts w:hint="eastAsia"/>
                    </w:rPr>
                    <w:t>全自动挖核机</w:t>
                  </w:r>
                </w:p>
              </w:tc>
              <w:tc>
                <w:tcPr>
                  <w:tcW w:w="1031" w:type="pct"/>
                  <w:vAlign w:val="center"/>
                </w:tcPr>
                <w:p w14:paraId="4FD377C3">
                  <w:pPr>
                    <w:pStyle w:val="40"/>
                  </w:pPr>
                  <w:r>
                    <w:rPr>
                      <w:rFonts w:hint="eastAsia"/>
                    </w:rPr>
                    <w:t>/</w:t>
                  </w:r>
                </w:p>
              </w:tc>
              <w:tc>
                <w:tcPr>
                  <w:tcW w:w="540" w:type="pct"/>
                  <w:vAlign w:val="center"/>
                </w:tcPr>
                <w:p w14:paraId="4D823155">
                  <w:pPr>
                    <w:pStyle w:val="40"/>
                  </w:pPr>
                  <w:r>
                    <w:rPr>
                      <w:rFonts w:hint="eastAsia"/>
                    </w:rPr>
                    <w:t>1台</w:t>
                  </w:r>
                </w:p>
              </w:tc>
              <w:tc>
                <w:tcPr>
                  <w:tcW w:w="1260" w:type="pct"/>
                  <w:vAlign w:val="center"/>
                </w:tcPr>
                <w:p w14:paraId="1DF649F7">
                  <w:pPr>
                    <w:pStyle w:val="40"/>
                  </w:pPr>
                  <w:r>
                    <w:rPr>
                      <w:rFonts w:hint="eastAsia"/>
                    </w:rPr>
                    <w:t>新增</w:t>
                  </w:r>
                </w:p>
              </w:tc>
            </w:tr>
            <w:tr w14:paraId="36C30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310708F3">
                  <w:pPr>
                    <w:pStyle w:val="40"/>
                  </w:pPr>
                  <w:r>
                    <w:rPr>
                      <w:rFonts w:hint="eastAsia"/>
                    </w:rPr>
                    <w:t>4</w:t>
                  </w:r>
                </w:p>
              </w:tc>
              <w:tc>
                <w:tcPr>
                  <w:tcW w:w="542" w:type="pct"/>
                  <w:vMerge w:val="continue"/>
                  <w:vAlign w:val="center"/>
                </w:tcPr>
                <w:p w14:paraId="6A5AE699">
                  <w:pPr>
                    <w:pStyle w:val="40"/>
                  </w:pPr>
                </w:p>
              </w:tc>
              <w:tc>
                <w:tcPr>
                  <w:tcW w:w="1311" w:type="pct"/>
                  <w:vAlign w:val="center"/>
                </w:tcPr>
                <w:p w14:paraId="24B500BE">
                  <w:pPr>
                    <w:pStyle w:val="40"/>
                  </w:pPr>
                  <w:r>
                    <w:rPr>
                      <w:rFonts w:hint="eastAsia"/>
                    </w:rPr>
                    <w:t>切条机</w:t>
                  </w:r>
                </w:p>
              </w:tc>
              <w:tc>
                <w:tcPr>
                  <w:tcW w:w="1031" w:type="pct"/>
                  <w:vAlign w:val="center"/>
                </w:tcPr>
                <w:p w14:paraId="45F6DBE7">
                  <w:pPr>
                    <w:pStyle w:val="40"/>
                  </w:pPr>
                  <w:r>
                    <w:rPr>
                      <w:rFonts w:hint="eastAsia"/>
                    </w:rPr>
                    <w:t>/</w:t>
                  </w:r>
                </w:p>
              </w:tc>
              <w:tc>
                <w:tcPr>
                  <w:tcW w:w="540" w:type="pct"/>
                  <w:vAlign w:val="center"/>
                </w:tcPr>
                <w:p w14:paraId="65D1B732">
                  <w:pPr>
                    <w:pStyle w:val="40"/>
                  </w:pPr>
                  <w:r>
                    <w:rPr>
                      <w:rFonts w:hint="eastAsia"/>
                    </w:rPr>
                    <w:t>1台</w:t>
                  </w:r>
                </w:p>
              </w:tc>
              <w:tc>
                <w:tcPr>
                  <w:tcW w:w="1260" w:type="pct"/>
                  <w:vAlign w:val="center"/>
                </w:tcPr>
                <w:p w14:paraId="0AC6F7D0">
                  <w:pPr>
                    <w:pStyle w:val="40"/>
                  </w:pPr>
                  <w:r>
                    <w:rPr>
                      <w:rFonts w:hint="eastAsia"/>
                    </w:rPr>
                    <w:t>新增</w:t>
                  </w:r>
                </w:p>
              </w:tc>
            </w:tr>
            <w:tr w14:paraId="36FD3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256E7C40">
                  <w:pPr>
                    <w:pStyle w:val="40"/>
                  </w:pPr>
                  <w:r>
                    <w:rPr>
                      <w:rFonts w:hint="eastAsia"/>
                    </w:rPr>
                    <w:t>5</w:t>
                  </w:r>
                </w:p>
              </w:tc>
              <w:tc>
                <w:tcPr>
                  <w:tcW w:w="542" w:type="pct"/>
                  <w:vMerge w:val="continue"/>
                  <w:vAlign w:val="center"/>
                </w:tcPr>
                <w:p w14:paraId="53B1B335">
                  <w:pPr>
                    <w:pStyle w:val="40"/>
                  </w:pPr>
                </w:p>
              </w:tc>
              <w:tc>
                <w:tcPr>
                  <w:tcW w:w="1311" w:type="pct"/>
                  <w:vAlign w:val="center"/>
                </w:tcPr>
                <w:p w14:paraId="792B80EF">
                  <w:pPr>
                    <w:pStyle w:val="40"/>
                  </w:pPr>
                  <w:bookmarkStart w:id="56" w:name="OLE_LINK86"/>
                  <w:bookmarkStart w:id="57" w:name="OLE_LINK85"/>
                  <w:r>
                    <w:rPr>
                      <w:rFonts w:hint="eastAsia"/>
                    </w:rPr>
                    <w:t>预煮线</w:t>
                  </w:r>
                  <w:bookmarkEnd w:id="56"/>
                  <w:bookmarkEnd w:id="57"/>
                </w:p>
              </w:tc>
              <w:tc>
                <w:tcPr>
                  <w:tcW w:w="1031" w:type="pct"/>
                  <w:vAlign w:val="center"/>
                </w:tcPr>
                <w:p w14:paraId="5BCE005D">
                  <w:pPr>
                    <w:pStyle w:val="40"/>
                  </w:pPr>
                  <w:r>
                    <w:rPr>
                      <w:rFonts w:hint="eastAsia"/>
                    </w:rPr>
                    <w:t>/</w:t>
                  </w:r>
                </w:p>
              </w:tc>
              <w:tc>
                <w:tcPr>
                  <w:tcW w:w="540" w:type="pct"/>
                  <w:vAlign w:val="center"/>
                </w:tcPr>
                <w:p w14:paraId="3EA402BF">
                  <w:pPr>
                    <w:pStyle w:val="40"/>
                  </w:pPr>
                  <w:r>
                    <w:rPr>
                      <w:rFonts w:hint="eastAsia"/>
                    </w:rPr>
                    <w:t>12m</w:t>
                  </w:r>
                </w:p>
              </w:tc>
              <w:tc>
                <w:tcPr>
                  <w:tcW w:w="1260" w:type="pct"/>
                  <w:vAlign w:val="center"/>
                </w:tcPr>
                <w:p w14:paraId="22FD0183">
                  <w:pPr>
                    <w:pStyle w:val="40"/>
                  </w:pPr>
                  <w:r>
                    <w:rPr>
                      <w:rFonts w:hint="eastAsia"/>
                    </w:rPr>
                    <w:t>预煮机改为预煮线</w:t>
                  </w:r>
                </w:p>
              </w:tc>
            </w:tr>
            <w:tr w14:paraId="5EE7D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79BA7FB3">
                  <w:pPr>
                    <w:pStyle w:val="40"/>
                  </w:pPr>
                  <w:r>
                    <w:rPr>
                      <w:rFonts w:hint="eastAsia"/>
                    </w:rPr>
                    <w:t>6</w:t>
                  </w:r>
                </w:p>
              </w:tc>
              <w:tc>
                <w:tcPr>
                  <w:tcW w:w="542" w:type="pct"/>
                  <w:vMerge w:val="continue"/>
                  <w:vAlign w:val="center"/>
                </w:tcPr>
                <w:p w14:paraId="20305905">
                  <w:pPr>
                    <w:pStyle w:val="40"/>
                  </w:pPr>
                </w:p>
              </w:tc>
              <w:tc>
                <w:tcPr>
                  <w:tcW w:w="1311" w:type="pct"/>
                  <w:vAlign w:val="center"/>
                </w:tcPr>
                <w:p w14:paraId="3C34C6FF">
                  <w:pPr>
                    <w:pStyle w:val="40"/>
                  </w:pPr>
                  <w:bookmarkStart w:id="58" w:name="OLE_LINK88"/>
                  <w:bookmarkStart w:id="59" w:name="OLE_LINK87"/>
                  <w:r>
                    <w:rPr>
                      <w:rFonts w:hint="eastAsia"/>
                    </w:rPr>
                    <w:t>分选线</w:t>
                  </w:r>
                  <w:bookmarkEnd w:id="58"/>
                  <w:bookmarkEnd w:id="59"/>
                </w:p>
              </w:tc>
              <w:tc>
                <w:tcPr>
                  <w:tcW w:w="1031" w:type="pct"/>
                  <w:vAlign w:val="center"/>
                </w:tcPr>
                <w:p w14:paraId="4711E0B6">
                  <w:pPr>
                    <w:pStyle w:val="40"/>
                  </w:pPr>
                  <w:r>
                    <w:rPr>
                      <w:rFonts w:hint="eastAsia"/>
                    </w:rPr>
                    <w:t>/</w:t>
                  </w:r>
                </w:p>
              </w:tc>
              <w:tc>
                <w:tcPr>
                  <w:tcW w:w="540" w:type="pct"/>
                  <w:vAlign w:val="center"/>
                </w:tcPr>
                <w:p w14:paraId="5F1627A3">
                  <w:pPr>
                    <w:pStyle w:val="40"/>
                  </w:pPr>
                  <w:r>
                    <w:rPr>
                      <w:rFonts w:hint="eastAsia"/>
                    </w:rPr>
                    <w:t>25m</w:t>
                  </w:r>
                </w:p>
              </w:tc>
              <w:tc>
                <w:tcPr>
                  <w:tcW w:w="1260" w:type="pct"/>
                  <w:vAlign w:val="center"/>
                </w:tcPr>
                <w:p w14:paraId="5CCF3A74">
                  <w:pPr>
                    <w:pStyle w:val="40"/>
                  </w:pPr>
                  <w:r>
                    <w:rPr>
                      <w:rFonts w:hint="eastAsia"/>
                    </w:rPr>
                    <w:t>分选案改为分选线</w:t>
                  </w:r>
                </w:p>
              </w:tc>
            </w:tr>
            <w:tr w14:paraId="7ECA8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74F65149">
                  <w:pPr>
                    <w:pStyle w:val="40"/>
                  </w:pPr>
                  <w:r>
                    <w:rPr>
                      <w:rFonts w:hint="eastAsia"/>
                    </w:rPr>
                    <w:t>7</w:t>
                  </w:r>
                </w:p>
              </w:tc>
              <w:tc>
                <w:tcPr>
                  <w:tcW w:w="542" w:type="pct"/>
                  <w:vMerge w:val="continue"/>
                  <w:vAlign w:val="center"/>
                </w:tcPr>
                <w:p w14:paraId="03B25930">
                  <w:pPr>
                    <w:pStyle w:val="40"/>
                  </w:pPr>
                </w:p>
              </w:tc>
              <w:tc>
                <w:tcPr>
                  <w:tcW w:w="1311" w:type="pct"/>
                  <w:vAlign w:val="center"/>
                </w:tcPr>
                <w:p w14:paraId="73A2E4CB">
                  <w:pPr>
                    <w:pStyle w:val="40"/>
                  </w:pPr>
                  <w:r>
                    <w:rPr>
                      <w:rFonts w:hint="eastAsia"/>
                    </w:rPr>
                    <w:t>装罐线</w:t>
                  </w:r>
                </w:p>
              </w:tc>
              <w:tc>
                <w:tcPr>
                  <w:tcW w:w="1031" w:type="pct"/>
                  <w:vAlign w:val="center"/>
                </w:tcPr>
                <w:p w14:paraId="35D1C291">
                  <w:pPr>
                    <w:pStyle w:val="40"/>
                  </w:pPr>
                  <w:r>
                    <w:rPr>
                      <w:rFonts w:hint="eastAsia"/>
                    </w:rPr>
                    <w:t>/</w:t>
                  </w:r>
                </w:p>
              </w:tc>
              <w:tc>
                <w:tcPr>
                  <w:tcW w:w="540" w:type="pct"/>
                  <w:vAlign w:val="center"/>
                </w:tcPr>
                <w:p w14:paraId="7B4F4E10">
                  <w:pPr>
                    <w:pStyle w:val="40"/>
                    <w:rPr>
                      <w:highlight w:val="yellow"/>
                    </w:rPr>
                  </w:pPr>
                  <w:r>
                    <w:rPr>
                      <w:rFonts w:hint="eastAsia"/>
                    </w:rPr>
                    <w:t>12m</w:t>
                  </w:r>
                </w:p>
              </w:tc>
              <w:tc>
                <w:tcPr>
                  <w:tcW w:w="1260" w:type="pct"/>
                  <w:vAlign w:val="center"/>
                </w:tcPr>
                <w:p w14:paraId="5C47E95E">
                  <w:pPr>
                    <w:pStyle w:val="40"/>
                  </w:pPr>
                  <w:r>
                    <w:rPr>
                      <w:rFonts w:hint="eastAsia"/>
                    </w:rPr>
                    <w:t>装罐车改为装罐线，装罐线包括洗瓶机、封瓶机</w:t>
                  </w:r>
                </w:p>
              </w:tc>
            </w:tr>
            <w:tr w14:paraId="7562C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0D0074B1">
                  <w:pPr>
                    <w:pStyle w:val="40"/>
                  </w:pPr>
                  <w:r>
                    <w:rPr>
                      <w:rFonts w:hint="eastAsia"/>
                    </w:rPr>
                    <w:t>8</w:t>
                  </w:r>
                </w:p>
              </w:tc>
              <w:tc>
                <w:tcPr>
                  <w:tcW w:w="542" w:type="pct"/>
                  <w:vMerge w:val="continue"/>
                  <w:vAlign w:val="center"/>
                </w:tcPr>
                <w:p w14:paraId="28641EDE">
                  <w:pPr>
                    <w:pStyle w:val="40"/>
                  </w:pPr>
                </w:p>
              </w:tc>
              <w:tc>
                <w:tcPr>
                  <w:tcW w:w="1311" w:type="pct"/>
                  <w:vAlign w:val="center"/>
                </w:tcPr>
                <w:p w14:paraId="0B284597">
                  <w:pPr>
                    <w:pStyle w:val="40"/>
                  </w:pPr>
                  <w:bookmarkStart w:id="60" w:name="OLE_LINK90"/>
                  <w:bookmarkStart w:id="61" w:name="OLE_LINK89"/>
                  <w:r>
                    <w:rPr>
                      <w:rFonts w:hint="eastAsia"/>
                    </w:rPr>
                    <w:t>杀菌线</w:t>
                  </w:r>
                  <w:bookmarkEnd w:id="60"/>
                  <w:bookmarkEnd w:id="61"/>
                </w:p>
              </w:tc>
              <w:tc>
                <w:tcPr>
                  <w:tcW w:w="1031" w:type="pct"/>
                  <w:vAlign w:val="center"/>
                </w:tcPr>
                <w:p w14:paraId="7509B479">
                  <w:pPr>
                    <w:pStyle w:val="40"/>
                  </w:pPr>
                  <w:r>
                    <w:rPr>
                      <w:rFonts w:hint="eastAsia"/>
                    </w:rPr>
                    <w:t>/</w:t>
                  </w:r>
                </w:p>
              </w:tc>
              <w:tc>
                <w:tcPr>
                  <w:tcW w:w="540" w:type="pct"/>
                  <w:vAlign w:val="center"/>
                </w:tcPr>
                <w:p w14:paraId="010172CB">
                  <w:pPr>
                    <w:pStyle w:val="40"/>
                  </w:pPr>
                  <w:r>
                    <w:rPr>
                      <w:rFonts w:hint="eastAsia"/>
                    </w:rPr>
                    <w:t>28m</w:t>
                  </w:r>
                </w:p>
              </w:tc>
              <w:tc>
                <w:tcPr>
                  <w:tcW w:w="1260" w:type="pct"/>
                  <w:vAlign w:val="center"/>
                </w:tcPr>
                <w:p w14:paraId="5321EBF7">
                  <w:pPr>
                    <w:pStyle w:val="40"/>
                  </w:pPr>
                  <w:r>
                    <w:rPr>
                      <w:rFonts w:hint="eastAsia"/>
                    </w:rPr>
                    <w:t>杀菌车改为杀菌线</w:t>
                  </w:r>
                </w:p>
              </w:tc>
            </w:tr>
            <w:tr w14:paraId="0156B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28B6D9B7">
                  <w:pPr>
                    <w:pStyle w:val="40"/>
                  </w:pPr>
                  <w:r>
                    <w:rPr>
                      <w:rFonts w:hint="eastAsia"/>
                    </w:rPr>
                    <w:t>9</w:t>
                  </w:r>
                </w:p>
              </w:tc>
              <w:tc>
                <w:tcPr>
                  <w:tcW w:w="542" w:type="pct"/>
                  <w:vAlign w:val="center"/>
                </w:tcPr>
                <w:p w14:paraId="475CA2AE">
                  <w:pPr>
                    <w:pStyle w:val="40"/>
                  </w:pPr>
                  <w:r>
                    <w:rPr>
                      <w:rFonts w:hint="eastAsia"/>
                    </w:rPr>
                    <w:t>锅炉</w:t>
                  </w:r>
                </w:p>
              </w:tc>
              <w:tc>
                <w:tcPr>
                  <w:tcW w:w="1311" w:type="pct"/>
                  <w:vAlign w:val="center"/>
                </w:tcPr>
                <w:p w14:paraId="0C73C848">
                  <w:pPr>
                    <w:pStyle w:val="40"/>
                  </w:pPr>
                  <w:r>
                    <w:rPr>
                      <w:rFonts w:hint="eastAsia"/>
                    </w:rPr>
                    <w:t>4t/h生物质锅炉</w:t>
                  </w:r>
                </w:p>
              </w:tc>
              <w:tc>
                <w:tcPr>
                  <w:tcW w:w="1031" w:type="pct"/>
                  <w:vAlign w:val="center"/>
                </w:tcPr>
                <w:p w14:paraId="248CE91F">
                  <w:pPr>
                    <w:pStyle w:val="40"/>
                  </w:pPr>
                  <w:r>
                    <w:rPr>
                      <w:rFonts w:hint="eastAsia"/>
                    </w:rPr>
                    <w:t>DZL4-1.25-T</w:t>
                  </w:r>
                </w:p>
              </w:tc>
              <w:tc>
                <w:tcPr>
                  <w:tcW w:w="540" w:type="pct"/>
                  <w:vAlign w:val="center"/>
                </w:tcPr>
                <w:p w14:paraId="7D4FA7EC">
                  <w:pPr>
                    <w:pStyle w:val="40"/>
                  </w:pPr>
                  <w:r>
                    <w:rPr>
                      <w:rFonts w:hint="eastAsia"/>
                    </w:rPr>
                    <w:t>1台</w:t>
                  </w:r>
                </w:p>
              </w:tc>
              <w:tc>
                <w:tcPr>
                  <w:tcW w:w="1260" w:type="pct"/>
                  <w:vAlign w:val="center"/>
                </w:tcPr>
                <w:p w14:paraId="2D922F72">
                  <w:pPr>
                    <w:pStyle w:val="40"/>
                  </w:pPr>
                  <w:r>
                    <w:rPr>
                      <w:rFonts w:hint="eastAsia"/>
                    </w:rPr>
                    <w:t>/</w:t>
                  </w:r>
                </w:p>
              </w:tc>
            </w:tr>
            <w:tr w14:paraId="0E3D5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588955B7">
                  <w:pPr>
                    <w:pStyle w:val="40"/>
                  </w:pPr>
                  <w:r>
                    <w:rPr>
                      <w:rFonts w:hint="eastAsia"/>
                    </w:rPr>
                    <w:t>10</w:t>
                  </w:r>
                </w:p>
              </w:tc>
              <w:tc>
                <w:tcPr>
                  <w:tcW w:w="542" w:type="pct"/>
                  <w:vMerge w:val="restart"/>
                  <w:vAlign w:val="center"/>
                </w:tcPr>
                <w:p w14:paraId="26B916E5">
                  <w:pPr>
                    <w:pStyle w:val="40"/>
                  </w:pPr>
                  <w:r>
                    <w:rPr>
                      <w:rFonts w:hint="eastAsia"/>
                    </w:rPr>
                    <w:t>环保设</w:t>
                  </w:r>
                </w:p>
                <w:p w14:paraId="56246E90">
                  <w:pPr>
                    <w:pStyle w:val="40"/>
                  </w:pPr>
                  <w:r>
                    <w:rPr>
                      <w:rFonts w:hint="eastAsia"/>
                    </w:rPr>
                    <w:t>备</w:t>
                  </w:r>
                </w:p>
              </w:tc>
              <w:tc>
                <w:tcPr>
                  <w:tcW w:w="1311" w:type="pct"/>
                  <w:vAlign w:val="center"/>
                </w:tcPr>
                <w:p w14:paraId="14312AE7">
                  <w:pPr>
                    <w:pStyle w:val="40"/>
                  </w:pPr>
                  <w:r>
                    <w:rPr>
                      <w:rFonts w:hint="eastAsia"/>
                    </w:rPr>
                    <w:t>旋风+布袋除尘器</w:t>
                  </w:r>
                </w:p>
              </w:tc>
              <w:tc>
                <w:tcPr>
                  <w:tcW w:w="1031" w:type="pct"/>
                  <w:vAlign w:val="center"/>
                </w:tcPr>
                <w:p w14:paraId="4E704C35">
                  <w:pPr>
                    <w:pStyle w:val="40"/>
                  </w:pPr>
                  <w:r>
                    <w:rPr>
                      <w:rFonts w:hint="eastAsia"/>
                    </w:rPr>
                    <w:t>/</w:t>
                  </w:r>
                </w:p>
              </w:tc>
              <w:tc>
                <w:tcPr>
                  <w:tcW w:w="540" w:type="pct"/>
                  <w:vAlign w:val="center"/>
                </w:tcPr>
                <w:p w14:paraId="5607F72B">
                  <w:pPr>
                    <w:pStyle w:val="40"/>
                  </w:pPr>
                  <w:r>
                    <w:rPr>
                      <w:rFonts w:hint="eastAsia"/>
                    </w:rPr>
                    <w:t>1</w:t>
                  </w:r>
                  <w:r>
                    <w:t>套</w:t>
                  </w:r>
                </w:p>
              </w:tc>
              <w:tc>
                <w:tcPr>
                  <w:tcW w:w="1260" w:type="pct"/>
                  <w:vAlign w:val="center"/>
                </w:tcPr>
                <w:p w14:paraId="5D890DE3">
                  <w:pPr>
                    <w:pStyle w:val="40"/>
                  </w:pPr>
                  <w:r>
                    <w:rPr>
                      <w:rFonts w:hint="eastAsia"/>
                    </w:rPr>
                    <w:t>/</w:t>
                  </w:r>
                </w:p>
              </w:tc>
            </w:tr>
            <w:tr w14:paraId="6391D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18689061">
                  <w:pPr>
                    <w:pStyle w:val="40"/>
                  </w:pPr>
                  <w:r>
                    <w:rPr>
                      <w:rFonts w:hint="eastAsia"/>
                    </w:rPr>
                    <w:t>11</w:t>
                  </w:r>
                </w:p>
              </w:tc>
              <w:tc>
                <w:tcPr>
                  <w:tcW w:w="542" w:type="pct"/>
                  <w:vMerge w:val="continue"/>
                  <w:vAlign w:val="center"/>
                </w:tcPr>
                <w:p w14:paraId="77CB2C7B">
                  <w:pPr>
                    <w:pStyle w:val="40"/>
                  </w:pPr>
                </w:p>
              </w:tc>
              <w:tc>
                <w:tcPr>
                  <w:tcW w:w="1311" w:type="pct"/>
                  <w:vAlign w:val="center"/>
                </w:tcPr>
                <w:p w14:paraId="6863A918">
                  <w:pPr>
                    <w:pStyle w:val="40"/>
                  </w:pPr>
                  <w:r>
                    <w:rPr>
                      <w:rFonts w:hint="eastAsia"/>
                    </w:rPr>
                    <w:t>湿式玻璃钢脱硝（SNCR）装置</w:t>
                  </w:r>
                </w:p>
              </w:tc>
              <w:tc>
                <w:tcPr>
                  <w:tcW w:w="1031" w:type="pct"/>
                  <w:vAlign w:val="center"/>
                </w:tcPr>
                <w:p w14:paraId="074BCBFD">
                  <w:pPr>
                    <w:pStyle w:val="40"/>
                  </w:pPr>
                  <w:r>
                    <w:rPr>
                      <w:rFonts w:hint="eastAsia"/>
                    </w:rPr>
                    <w:t>/</w:t>
                  </w:r>
                </w:p>
              </w:tc>
              <w:tc>
                <w:tcPr>
                  <w:tcW w:w="540" w:type="pct"/>
                  <w:vAlign w:val="center"/>
                </w:tcPr>
                <w:p w14:paraId="3BAF00CF">
                  <w:pPr>
                    <w:pStyle w:val="40"/>
                  </w:pPr>
                  <w:r>
                    <w:rPr>
                      <w:rFonts w:hint="eastAsia"/>
                    </w:rPr>
                    <w:t>1套</w:t>
                  </w:r>
                </w:p>
              </w:tc>
              <w:tc>
                <w:tcPr>
                  <w:tcW w:w="1260" w:type="pct"/>
                  <w:vAlign w:val="center"/>
                </w:tcPr>
                <w:p w14:paraId="2CFCAF72">
                  <w:pPr>
                    <w:pStyle w:val="40"/>
                  </w:pPr>
                  <w:r>
                    <w:rPr>
                      <w:rFonts w:hint="eastAsia"/>
                    </w:rPr>
                    <w:t>/</w:t>
                  </w:r>
                </w:p>
              </w:tc>
            </w:tr>
            <w:tr w14:paraId="0DB25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5483C00D">
                  <w:pPr>
                    <w:pStyle w:val="40"/>
                  </w:pPr>
                  <w:r>
                    <w:rPr>
                      <w:rFonts w:hint="eastAsia"/>
                    </w:rPr>
                    <w:t>12</w:t>
                  </w:r>
                </w:p>
              </w:tc>
              <w:tc>
                <w:tcPr>
                  <w:tcW w:w="542" w:type="pct"/>
                  <w:vMerge w:val="continue"/>
                  <w:vAlign w:val="center"/>
                </w:tcPr>
                <w:p w14:paraId="090481B0">
                  <w:pPr>
                    <w:pStyle w:val="40"/>
                  </w:pPr>
                </w:p>
              </w:tc>
              <w:tc>
                <w:tcPr>
                  <w:tcW w:w="1311" w:type="pct"/>
                  <w:vAlign w:val="center"/>
                </w:tcPr>
                <w:p w14:paraId="1E410197">
                  <w:pPr>
                    <w:pStyle w:val="40"/>
                  </w:pPr>
                  <w:r>
                    <w:rPr>
                      <w:rFonts w:hint="eastAsia"/>
                    </w:rPr>
                    <w:t>活性炭除臭装置</w:t>
                  </w:r>
                </w:p>
              </w:tc>
              <w:tc>
                <w:tcPr>
                  <w:tcW w:w="1031" w:type="pct"/>
                  <w:vAlign w:val="center"/>
                </w:tcPr>
                <w:p w14:paraId="0B1899D2">
                  <w:pPr>
                    <w:pStyle w:val="40"/>
                  </w:pPr>
                  <w:r>
                    <w:rPr>
                      <w:rFonts w:hint="eastAsia"/>
                    </w:rPr>
                    <w:t>/</w:t>
                  </w:r>
                </w:p>
              </w:tc>
              <w:tc>
                <w:tcPr>
                  <w:tcW w:w="540" w:type="pct"/>
                  <w:vAlign w:val="center"/>
                </w:tcPr>
                <w:p w14:paraId="7DF5EA5A">
                  <w:pPr>
                    <w:pStyle w:val="40"/>
                  </w:pPr>
                  <w:r>
                    <w:rPr>
                      <w:rFonts w:hint="eastAsia"/>
                    </w:rPr>
                    <w:t>2</w:t>
                  </w:r>
                  <w:r>
                    <w:t>套</w:t>
                  </w:r>
                </w:p>
              </w:tc>
              <w:tc>
                <w:tcPr>
                  <w:tcW w:w="1260" w:type="pct"/>
                  <w:vAlign w:val="center"/>
                </w:tcPr>
                <w:p w14:paraId="7498401A">
                  <w:pPr>
                    <w:pStyle w:val="40"/>
                  </w:pPr>
                  <w:r>
                    <w:rPr>
                      <w:rFonts w:hint="eastAsia"/>
                    </w:rPr>
                    <w:t>/</w:t>
                  </w:r>
                </w:p>
              </w:tc>
            </w:tr>
            <w:tr w14:paraId="7E2A3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67749A04">
                  <w:pPr>
                    <w:pStyle w:val="40"/>
                  </w:pPr>
                  <w:r>
                    <w:rPr>
                      <w:rFonts w:hint="eastAsia"/>
                    </w:rPr>
                    <w:t>13</w:t>
                  </w:r>
                </w:p>
              </w:tc>
              <w:tc>
                <w:tcPr>
                  <w:tcW w:w="542" w:type="pct"/>
                  <w:vMerge w:val="continue"/>
                  <w:vAlign w:val="center"/>
                </w:tcPr>
                <w:p w14:paraId="2A737AD5">
                  <w:pPr>
                    <w:pStyle w:val="40"/>
                  </w:pPr>
                </w:p>
              </w:tc>
              <w:tc>
                <w:tcPr>
                  <w:tcW w:w="1311" w:type="pct"/>
                  <w:vAlign w:val="center"/>
                </w:tcPr>
                <w:p w14:paraId="7A6F3EC5">
                  <w:pPr>
                    <w:pStyle w:val="40"/>
                  </w:pPr>
                  <w:r>
                    <w:rPr>
                      <w:rFonts w:hint="eastAsia"/>
                    </w:rPr>
                    <w:t>污水处理站</w:t>
                  </w:r>
                </w:p>
              </w:tc>
              <w:tc>
                <w:tcPr>
                  <w:tcW w:w="1031" w:type="pct"/>
                  <w:vAlign w:val="center"/>
                </w:tcPr>
                <w:p w14:paraId="56D52515">
                  <w:pPr>
                    <w:pStyle w:val="40"/>
                  </w:pPr>
                  <w:r>
                    <w:rPr>
                      <w:rFonts w:hint="eastAsia"/>
                    </w:rPr>
                    <w:t>/</w:t>
                  </w:r>
                </w:p>
              </w:tc>
              <w:tc>
                <w:tcPr>
                  <w:tcW w:w="540" w:type="pct"/>
                  <w:vAlign w:val="center"/>
                </w:tcPr>
                <w:p w14:paraId="5A6B5F0D">
                  <w:pPr>
                    <w:pStyle w:val="40"/>
                  </w:pPr>
                  <w:r>
                    <w:rPr>
                      <w:rFonts w:hint="eastAsia"/>
                    </w:rPr>
                    <w:t>1个</w:t>
                  </w:r>
                </w:p>
              </w:tc>
              <w:tc>
                <w:tcPr>
                  <w:tcW w:w="1260" w:type="pct"/>
                  <w:vAlign w:val="center"/>
                </w:tcPr>
                <w:p w14:paraId="50ACFBE3">
                  <w:pPr>
                    <w:pStyle w:val="40"/>
                  </w:pPr>
                  <w:r>
                    <w:rPr>
                      <w:rFonts w:hint="eastAsia"/>
                    </w:rPr>
                    <w:t>用于处理生产废水</w:t>
                  </w:r>
                </w:p>
              </w:tc>
            </w:tr>
            <w:tr w14:paraId="73DF5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16" w:type="pct"/>
                  <w:vAlign w:val="center"/>
                </w:tcPr>
                <w:p w14:paraId="7F894E20">
                  <w:pPr>
                    <w:pStyle w:val="40"/>
                  </w:pPr>
                  <w:r>
                    <w:rPr>
                      <w:rFonts w:hint="eastAsia"/>
                    </w:rPr>
                    <w:t>14</w:t>
                  </w:r>
                </w:p>
              </w:tc>
              <w:tc>
                <w:tcPr>
                  <w:tcW w:w="542" w:type="pct"/>
                  <w:vAlign w:val="center"/>
                </w:tcPr>
                <w:p w14:paraId="017E4E38">
                  <w:pPr>
                    <w:pStyle w:val="40"/>
                  </w:pPr>
                  <w:r>
                    <w:rPr>
                      <w:rFonts w:hint="eastAsia"/>
                    </w:rPr>
                    <w:t>辅助设备</w:t>
                  </w:r>
                </w:p>
              </w:tc>
              <w:tc>
                <w:tcPr>
                  <w:tcW w:w="1311" w:type="pct"/>
                  <w:vAlign w:val="center"/>
                </w:tcPr>
                <w:p w14:paraId="0ACCD758">
                  <w:pPr>
                    <w:pStyle w:val="40"/>
                  </w:pPr>
                  <w:r>
                    <w:rPr>
                      <w:rFonts w:hint="eastAsia"/>
                    </w:rPr>
                    <w:t>软化水制备装置</w:t>
                  </w:r>
                </w:p>
              </w:tc>
              <w:tc>
                <w:tcPr>
                  <w:tcW w:w="1031" w:type="pct"/>
                  <w:vAlign w:val="center"/>
                </w:tcPr>
                <w:p w14:paraId="315B2C14">
                  <w:pPr>
                    <w:pStyle w:val="40"/>
                  </w:pPr>
                  <w:r>
                    <w:rPr>
                      <w:rFonts w:hint="eastAsia"/>
                    </w:rPr>
                    <w:t>/</w:t>
                  </w:r>
                </w:p>
              </w:tc>
              <w:tc>
                <w:tcPr>
                  <w:tcW w:w="540" w:type="pct"/>
                  <w:vAlign w:val="center"/>
                </w:tcPr>
                <w:p w14:paraId="56D831C0">
                  <w:pPr>
                    <w:pStyle w:val="40"/>
                  </w:pPr>
                  <w:r>
                    <w:rPr>
                      <w:rFonts w:hint="eastAsia"/>
                    </w:rPr>
                    <w:t>1</w:t>
                  </w:r>
                  <w:r>
                    <w:t>套</w:t>
                  </w:r>
                </w:p>
              </w:tc>
              <w:tc>
                <w:tcPr>
                  <w:tcW w:w="1260" w:type="pct"/>
                  <w:vAlign w:val="center"/>
                </w:tcPr>
                <w:p w14:paraId="3A9E833B">
                  <w:pPr>
                    <w:pStyle w:val="40"/>
                  </w:pPr>
                  <w:r>
                    <w:rPr>
                      <w:rFonts w:hint="eastAsia"/>
                    </w:rPr>
                    <w:t>用于制备软化水</w:t>
                  </w:r>
                </w:p>
              </w:tc>
            </w:tr>
          </w:tbl>
          <w:p w14:paraId="73B2930A">
            <w:pPr>
              <w:adjustRightInd w:val="0"/>
              <w:snapToGrid w:val="0"/>
              <w:spacing w:beforeLines="50"/>
              <w:ind w:firstLine="420"/>
              <w:rPr>
                <w:bCs/>
                <w:szCs w:val="21"/>
              </w:rPr>
            </w:pPr>
            <w:r>
              <w:rPr>
                <w:rFonts w:hint="eastAsia"/>
                <w:bCs/>
                <w:szCs w:val="21"/>
              </w:rPr>
              <w:t>（</w:t>
            </w:r>
            <w:r>
              <w:rPr>
                <w:bCs/>
                <w:szCs w:val="21"/>
              </w:rPr>
              <w:t>4</w:t>
            </w:r>
            <w:r>
              <w:rPr>
                <w:rFonts w:hint="eastAsia"/>
                <w:bCs/>
                <w:szCs w:val="21"/>
              </w:rPr>
              <w:t>）全厂主要原辅材料消耗及能源消耗</w:t>
            </w:r>
          </w:p>
          <w:p w14:paraId="64FA06DC">
            <w:pPr>
              <w:pStyle w:val="73"/>
            </w:pPr>
            <w:r>
              <w:rPr>
                <w:rFonts w:hint="eastAsia"/>
                <w:bCs w:val="0"/>
              </w:rPr>
              <w:t xml:space="preserve">表2-13 </w:t>
            </w:r>
            <w:r>
              <w:rPr>
                <w:rFonts w:hint="eastAsia"/>
              </w:rPr>
              <w:t>全厂主要原辅材料消耗及能源消耗一览表</w:t>
            </w:r>
          </w:p>
          <w:tbl>
            <w:tblPr>
              <w:tblStyle w:val="25"/>
              <w:tblW w:w="77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3"/>
              <w:gridCol w:w="1016"/>
              <w:gridCol w:w="1348"/>
              <w:gridCol w:w="1240"/>
              <w:gridCol w:w="1748"/>
              <w:gridCol w:w="1744"/>
            </w:tblGrid>
            <w:tr w14:paraId="43A96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0" w:hRule="atLeast"/>
                <w:jc w:val="center"/>
              </w:trPr>
              <w:tc>
                <w:tcPr>
                  <w:tcW w:w="421" w:type="pct"/>
                  <w:vAlign w:val="center"/>
                </w:tcPr>
                <w:p w14:paraId="503ACA00">
                  <w:pPr>
                    <w:pStyle w:val="40"/>
                  </w:pPr>
                  <w:r>
                    <w:t>序号</w:t>
                  </w:r>
                </w:p>
              </w:tc>
              <w:tc>
                <w:tcPr>
                  <w:tcW w:w="655" w:type="pct"/>
                  <w:vAlign w:val="center"/>
                </w:tcPr>
                <w:p w14:paraId="7F53EDB9">
                  <w:pPr>
                    <w:pStyle w:val="40"/>
                  </w:pPr>
                  <w:r>
                    <w:rPr>
                      <w:rFonts w:hint="eastAsia"/>
                    </w:rPr>
                    <w:t>类别</w:t>
                  </w:r>
                </w:p>
              </w:tc>
              <w:tc>
                <w:tcPr>
                  <w:tcW w:w="870" w:type="pct"/>
                  <w:vAlign w:val="center"/>
                </w:tcPr>
                <w:p w14:paraId="6712A78C">
                  <w:pPr>
                    <w:pStyle w:val="40"/>
                  </w:pPr>
                  <w:r>
                    <w:t>名称</w:t>
                  </w:r>
                </w:p>
              </w:tc>
              <w:tc>
                <w:tcPr>
                  <w:tcW w:w="800" w:type="pct"/>
                  <w:vAlign w:val="center"/>
                </w:tcPr>
                <w:p w14:paraId="24ED7B2A">
                  <w:pPr>
                    <w:pStyle w:val="40"/>
                  </w:pPr>
                  <w:r>
                    <w:rPr>
                      <w:rFonts w:hint="eastAsia"/>
                    </w:rPr>
                    <w:t>消耗</w:t>
                  </w:r>
                  <w:r>
                    <w:t>量</w:t>
                  </w:r>
                </w:p>
              </w:tc>
              <w:tc>
                <w:tcPr>
                  <w:tcW w:w="1128" w:type="pct"/>
                  <w:vAlign w:val="center"/>
                </w:tcPr>
                <w:p w14:paraId="75F9BB49">
                  <w:pPr>
                    <w:pStyle w:val="40"/>
                  </w:pPr>
                  <w:r>
                    <w:rPr>
                      <w:rFonts w:hint="eastAsia"/>
                    </w:rPr>
                    <w:t>包装规格</w:t>
                  </w:r>
                </w:p>
              </w:tc>
              <w:tc>
                <w:tcPr>
                  <w:tcW w:w="1125" w:type="pct"/>
                  <w:vAlign w:val="center"/>
                </w:tcPr>
                <w:p w14:paraId="085245C0">
                  <w:pPr>
                    <w:pStyle w:val="40"/>
                  </w:pPr>
                  <w:r>
                    <w:t>备注</w:t>
                  </w:r>
                </w:p>
              </w:tc>
            </w:tr>
            <w:tr w14:paraId="095F5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3" w:hRule="atLeast"/>
                <w:jc w:val="center"/>
              </w:trPr>
              <w:tc>
                <w:tcPr>
                  <w:tcW w:w="421" w:type="pct"/>
                  <w:vAlign w:val="center"/>
                </w:tcPr>
                <w:p w14:paraId="05B17E83">
                  <w:pPr>
                    <w:pStyle w:val="40"/>
                  </w:pPr>
                  <w:r>
                    <w:t>1</w:t>
                  </w:r>
                </w:p>
              </w:tc>
              <w:tc>
                <w:tcPr>
                  <w:tcW w:w="655" w:type="pct"/>
                  <w:vMerge w:val="restart"/>
                  <w:vAlign w:val="center"/>
                </w:tcPr>
                <w:p w14:paraId="5C25BDA4">
                  <w:pPr>
                    <w:pStyle w:val="40"/>
                  </w:pPr>
                  <w:r>
                    <w:rPr>
                      <w:rFonts w:hint="eastAsia"/>
                    </w:rPr>
                    <w:t>原、辅材料</w:t>
                  </w:r>
                </w:p>
              </w:tc>
              <w:tc>
                <w:tcPr>
                  <w:tcW w:w="870" w:type="pct"/>
                  <w:vAlign w:val="center"/>
                </w:tcPr>
                <w:p w14:paraId="32ACAB3F">
                  <w:pPr>
                    <w:pStyle w:val="40"/>
                  </w:pPr>
                  <w:r>
                    <w:rPr>
                      <w:rFonts w:hint="eastAsia"/>
                    </w:rPr>
                    <w:t>各类水果</w:t>
                  </w:r>
                </w:p>
              </w:tc>
              <w:tc>
                <w:tcPr>
                  <w:tcW w:w="800" w:type="pct"/>
                  <w:vAlign w:val="center"/>
                </w:tcPr>
                <w:p w14:paraId="438D20B5">
                  <w:pPr>
                    <w:pStyle w:val="40"/>
                  </w:pPr>
                  <w:r>
                    <w:rPr>
                      <w:rFonts w:hint="eastAsia"/>
                    </w:rPr>
                    <w:t>500</w:t>
                  </w:r>
                  <w:r>
                    <w:t>t</w:t>
                  </w:r>
                  <w:r>
                    <w:rPr>
                      <w:rFonts w:hint="eastAsia"/>
                    </w:rPr>
                    <w:t>/a</w:t>
                  </w:r>
                </w:p>
              </w:tc>
              <w:tc>
                <w:tcPr>
                  <w:tcW w:w="1128" w:type="pct"/>
                  <w:vAlign w:val="center"/>
                </w:tcPr>
                <w:p w14:paraId="170CD40D">
                  <w:pPr>
                    <w:pStyle w:val="40"/>
                  </w:pPr>
                  <w:r>
                    <w:rPr>
                      <w:rFonts w:hint="eastAsia"/>
                    </w:rPr>
                    <w:t>散装，从果农处购买后存于库房，按需购入</w:t>
                  </w:r>
                </w:p>
              </w:tc>
              <w:tc>
                <w:tcPr>
                  <w:tcW w:w="1125" w:type="pct"/>
                  <w:vAlign w:val="center"/>
                </w:tcPr>
                <w:p w14:paraId="3DAB7CC9">
                  <w:pPr>
                    <w:pStyle w:val="40"/>
                  </w:pPr>
                  <w:r>
                    <w:rPr>
                      <w:rFonts w:hint="eastAsia"/>
                    </w:rPr>
                    <w:t>苹果、梨、桃、草莓、杏等</w:t>
                  </w:r>
                </w:p>
              </w:tc>
            </w:tr>
            <w:tr w14:paraId="46DCE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1" w:hRule="atLeast"/>
                <w:jc w:val="center"/>
              </w:trPr>
              <w:tc>
                <w:tcPr>
                  <w:tcW w:w="421" w:type="pct"/>
                  <w:vAlign w:val="center"/>
                </w:tcPr>
                <w:p w14:paraId="1C1E24CB">
                  <w:pPr>
                    <w:pStyle w:val="40"/>
                  </w:pPr>
                  <w:r>
                    <w:rPr>
                      <w:rFonts w:hint="eastAsia"/>
                    </w:rPr>
                    <w:t>2</w:t>
                  </w:r>
                </w:p>
              </w:tc>
              <w:tc>
                <w:tcPr>
                  <w:tcW w:w="655" w:type="pct"/>
                  <w:vMerge w:val="continue"/>
                  <w:vAlign w:val="center"/>
                </w:tcPr>
                <w:p w14:paraId="1A46AAA6">
                  <w:pPr>
                    <w:pStyle w:val="40"/>
                  </w:pPr>
                </w:p>
              </w:tc>
              <w:tc>
                <w:tcPr>
                  <w:tcW w:w="870" w:type="pct"/>
                  <w:vAlign w:val="center"/>
                </w:tcPr>
                <w:p w14:paraId="33C493CA">
                  <w:pPr>
                    <w:pStyle w:val="40"/>
                  </w:pPr>
                  <w:r>
                    <w:rPr>
                      <w:rFonts w:hint="eastAsia"/>
                    </w:rPr>
                    <w:t>糖</w:t>
                  </w:r>
                </w:p>
              </w:tc>
              <w:tc>
                <w:tcPr>
                  <w:tcW w:w="800" w:type="pct"/>
                  <w:vAlign w:val="center"/>
                </w:tcPr>
                <w:p w14:paraId="23F6FF83">
                  <w:pPr>
                    <w:pStyle w:val="40"/>
                  </w:pPr>
                  <w:r>
                    <w:rPr>
                      <w:rFonts w:hint="eastAsia"/>
                    </w:rPr>
                    <w:t>74</w:t>
                  </w:r>
                  <w:r>
                    <w:t>t</w:t>
                  </w:r>
                  <w:r>
                    <w:rPr>
                      <w:rFonts w:hint="eastAsia"/>
                    </w:rPr>
                    <w:t>/a</w:t>
                  </w:r>
                </w:p>
              </w:tc>
              <w:tc>
                <w:tcPr>
                  <w:tcW w:w="1128" w:type="pct"/>
                  <w:vAlign w:val="center"/>
                </w:tcPr>
                <w:p w14:paraId="7673039F">
                  <w:pPr>
                    <w:pStyle w:val="40"/>
                  </w:pPr>
                  <w:r>
                    <w:t>外购</w:t>
                  </w:r>
                  <w:r>
                    <w:rPr>
                      <w:rFonts w:hint="eastAsia"/>
                    </w:rPr>
                    <w:t>，袋装，25kg/袋</w:t>
                  </w:r>
                </w:p>
              </w:tc>
              <w:tc>
                <w:tcPr>
                  <w:tcW w:w="1125" w:type="pct"/>
                  <w:vAlign w:val="center"/>
                </w:tcPr>
                <w:p w14:paraId="5AE17460">
                  <w:pPr>
                    <w:pStyle w:val="40"/>
                  </w:pPr>
                  <w:r>
                    <w:rPr>
                      <w:rFonts w:hint="eastAsia"/>
                    </w:rPr>
                    <w:t>/</w:t>
                  </w:r>
                </w:p>
              </w:tc>
            </w:tr>
            <w:tr w14:paraId="1986E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1" w:hRule="atLeast"/>
                <w:jc w:val="center"/>
              </w:trPr>
              <w:tc>
                <w:tcPr>
                  <w:tcW w:w="421" w:type="pct"/>
                  <w:vAlign w:val="center"/>
                </w:tcPr>
                <w:p w14:paraId="16125D69">
                  <w:pPr>
                    <w:pStyle w:val="40"/>
                  </w:pPr>
                  <w:r>
                    <w:rPr>
                      <w:rFonts w:hint="eastAsia"/>
                    </w:rPr>
                    <w:t>3</w:t>
                  </w:r>
                </w:p>
              </w:tc>
              <w:tc>
                <w:tcPr>
                  <w:tcW w:w="655" w:type="pct"/>
                  <w:vMerge w:val="continue"/>
                  <w:vAlign w:val="center"/>
                </w:tcPr>
                <w:p w14:paraId="48F5FE39">
                  <w:pPr>
                    <w:pStyle w:val="40"/>
                  </w:pPr>
                </w:p>
              </w:tc>
              <w:tc>
                <w:tcPr>
                  <w:tcW w:w="870" w:type="pct"/>
                  <w:vAlign w:val="center"/>
                </w:tcPr>
                <w:p w14:paraId="49CCE06E">
                  <w:pPr>
                    <w:pStyle w:val="40"/>
                  </w:pPr>
                  <w:r>
                    <w:rPr>
                      <w:rFonts w:hint="eastAsia"/>
                    </w:rPr>
                    <w:t>柠檬酸</w:t>
                  </w:r>
                </w:p>
              </w:tc>
              <w:tc>
                <w:tcPr>
                  <w:tcW w:w="800" w:type="pct"/>
                  <w:vAlign w:val="center"/>
                </w:tcPr>
                <w:p w14:paraId="7D54441F">
                  <w:pPr>
                    <w:pStyle w:val="40"/>
                  </w:pPr>
                  <w:r>
                    <w:t>0.</w:t>
                  </w:r>
                  <w:r>
                    <w:rPr>
                      <w:rFonts w:hint="eastAsia"/>
                    </w:rPr>
                    <w:t>7</w:t>
                  </w:r>
                  <w:r>
                    <w:t>t</w:t>
                  </w:r>
                  <w:r>
                    <w:rPr>
                      <w:rFonts w:hint="eastAsia"/>
                    </w:rPr>
                    <w:t>/a</w:t>
                  </w:r>
                </w:p>
              </w:tc>
              <w:tc>
                <w:tcPr>
                  <w:tcW w:w="1128" w:type="pct"/>
                  <w:vAlign w:val="center"/>
                </w:tcPr>
                <w:p w14:paraId="29D41C27">
                  <w:pPr>
                    <w:pStyle w:val="40"/>
                  </w:pPr>
                  <w:r>
                    <w:rPr>
                      <w:rFonts w:hint="eastAsia"/>
                    </w:rPr>
                    <w:t>外购，袋装，25kg/袋</w:t>
                  </w:r>
                </w:p>
              </w:tc>
              <w:tc>
                <w:tcPr>
                  <w:tcW w:w="1125" w:type="pct"/>
                  <w:vAlign w:val="center"/>
                </w:tcPr>
                <w:p w14:paraId="5FF97861">
                  <w:pPr>
                    <w:pStyle w:val="40"/>
                  </w:pPr>
                  <w:r>
                    <w:rPr>
                      <w:rFonts w:hint="eastAsia"/>
                    </w:rPr>
                    <w:t>/</w:t>
                  </w:r>
                </w:p>
              </w:tc>
            </w:tr>
            <w:tr w14:paraId="0C330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3" w:hRule="atLeast"/>
                <w:jc w:val="center"/>
              </w:trPr>
              <w:tc>
                <w:tcPr>
                  <w:tcW w:w="421" w:type="pct"/>
                  <w:vAlign w:val="center"/>
                </w:tcPr>
                <w:p w14:paraId="7737BBB2">
                  <w:pPr>
                    <w:pStyle w:val="40"/>
                  </w:pPr>
                  <w:r>
                    <w:rPr>
                      <w:rFonts w:hint="eastAsia"/>
                    </w:rPr>
                    <w:t>4</w:t>
                  </w:r>
                </w:p>
              </w:tc>
              <w:tc>
                <w:tcPr>
                  <w:tcW w:w="655" w:type="pct"/>
                  <w:vMerge w:val="continue"/>
                  <w:vAlign w:val="center"/>
                </w:tcPr>
                <w:p w14:paraId="143A8C95">
                  <w:pPr>
                    <w:pStyle w:val="40"/>
                  </w:pPr>
                </w:p>
              </w:tc>
              <w:tc>
                <w:tcPr>
                  <w:tcW w:w="870" w:type="pct"/>
                  <w:vAlign w:val="center"/>
                </w:tcPr>
                <w:p w14:paraId="7386BA96">
                  <w:pPr>
                    <w:pStyle w:val="40"/>
                  </w:pPr>
                  <w:r>
                    <w:rPr>
                      <w:rFonts w:hint="eastAsia"/>
                    </w:rPr>
                    <w:t>食用色素</w:t>
                  </w:r>
                </w:p>
              </w:tc>
              <w:tc>
                <w:tcPr>
                  <w:tcW w:w="800" w:type="pct"/>
                  <w:vAlign w:val="center"/>
                </w:tcPr>
                <w:p w14:paraId="72A501C3">
                  <w:pPr>
                    <w:pStyle w:val="40"/>
                  </w:pPr>
                  <w:r>
                    <w:rPr>
                      <w:rFonts w:hint="eastAsia"/>
                    </w:rPr>
                    <w:t>0.09</w:t>
                  </w:r>
                  <w:r>
                    <w:t>t</w:t>
                  </w:r>
                  <w:r>
                    <w:rPr>
                      <w:rFonts w:hint="eastAsia"/>
                    </w:rPr>
                    <w:t>/a</w:t>
                  </w:r>
                </w:p>
              </w:tc>
              <w:tc>
                <w:tcPr>
                  <w:tcW w:w="1128" w:type="pct"/>
                  <w:vAlign w:val="center"/>
                </w:tcPr>
                <w:p w14:paraId="780B9450">
                  <w:pPr>
                    <w:pStyle w:val="40"/>
                  </w:pPr>
                  <w:r>
                    <w:t>外购</w:t>
                  </w:r>
                  <w:r>
                    <w:rPr>
                      <w:rFonts w:hint="eastAsia"/>
                    </w:rPr>
                    <w:t>，袋装</w:t>
                  </w:r>
                </w:p>
              </w:tc>
              <w:tc>
                <w:tcPr>
                  <w:tcW w:w="1125" w:type="pct"/>
                  <w:vAlign w:val="center"/>
                </w:tcPr>
                <w:p w14:paraId="3B24E433">
                  <w:pPr>
                    <w:pStyle w:val="40"/>
                  </w:pPr>
                  <w:r>
                    <w:rPr>
                      <w:rFonts w:hint="eastAsia"/>
                    </w:rPr>
                    <w:t>/</w:t>
                  </w:r>
                </w:p>
              </w:tc>
            </w:tr>
            <w:tr w14:paraId="13798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3" w:hRule="atLeast"/>
                <w:jc w:val="center"/>
              </w:trPr>
              <w:tc>
                <w:tcPr>
                  <w:tcW w:w="421" w:type="pct"/>
                  <w:vAlign w:val="center"/>
                </w:tcPr>
                <w:p w14:paraId="5C584D57">
                  <w:pPr>
                    <w:pStyle w:val="40"/>
                  </w:pPr>
                  <w:r>
                    <w:rPr>
                      <w:rFonts w:hint="eastAsia"/>
                    </w:rPr>
                    <w:t>5</w:t>
                  </w:r>
                </w:p>
              </w:tc>
              <w:tc>
                <w:tcPr>
                  <w:tcW w:w="655" w:type="pct"/>
                  <w:vMerge w:val="continue"/>
                  <w:vAlign w:val="center"/>
                </w:tcPr>
                <w:p w14:paraId="1C592050">
                  <w:pPr>
                    <w:pStyle w:val="40"/>
                  </w:pPr>
                </w:p>
              </w:tc>
              <w:tc>
                <w:tcPr>
                  <w:tcW w:w="870" w:type="pct"/>
                  <w:vAlign w:val="center"/>
                </w:tcPr>
                <w:p w14:paraId="263776F7">
                  <w:pPr>
                    <w:pStyle w:val="40"/>
                  </w:pPr>
                  <w:r>
                    <w:rPr>
                      <w:rFonts w:hint="eastAsia"/>
                    </w:rPr>
                    <w:t>罐头瓶</w:t>
                  </w:r>
                </w:p>
              </w:tc>
              <w:tc>
                <w:tcPr>
                  <w:tcW w:w="800" w:type="pct"/>
                  <w:vAlign w:val="center"/>
                </w:tcPr>
                <w:p w14:paraId="148CD288">
                  <w:pPr>
                    <w:pStyle w:val="40"/>
                  </w:pPr>
                  <w:r>
                    <w:rPr>
                      <w:rFonts w:hint="eastAsia"/>
                    </w:rPr>
                    <w:t>40万瓶/a</w:t>
                  </w:r>
                </w:p>
              </w:tc>
              <w:tc>
                <w:tcPr>
                  <w:tcW w:w="1128" w:type="pct"/>
                  <w:vAlign w:val="center"/>
                </w:tcPr>
                <w:p w14:paraId="21973D31">
                  <w:pPr>
                    <w:pStyle w:val="40"/>
                  </w:pPr>
                  <w:r>
                    <w:rPr>
                      <w:rFonts w:hint="eastAsia"/>
                    </w:rPr>
                    <w:t>/</w:t>
                  </w:r>
                </w:p>
              </w:tc>
              <w:tc>
                <w:tcPr>
                  <w:tcW w:w="1125" w:type="pct"/>
                  <w:vAlign w:val="center"/>
                </w:tcPr>
                <w:p w14:paraId="0B9BE690">
                  <w:pPr>
                    <w:pStyle w:val="40"/>
                  </w:pPr>
                  <w:r>
                    <w:rPr>
                      <w:rFonts w:hint="eastAsia"/>
                    </w:rPr>
                    <w:t>/</w:t>
                  </w:r>
                </w:p>
              </w:tc>
            </w:tr>
            <w:tr w14:paraId="22962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421" w:type="pct"/>
                  <w:vAlign w:val="center"/>
                </w:tcPr>
                <w:p w14:paraId="3C0947B9">
                  <w:pPr>
                    <w:pStyle w:val="40"/>
                  </w:pPr>
                  <w:r>
                    <w:rPr>
                      <w:rFonts w:hint="eastAsia"/>
                    </w:rPr>
                    <w:t>6</w:t>
                  </w:r>
                </w:p>
              </w:tc>
              <w:tc>
                <w:tcPr>
                  <w:tcW w:w="655" w:type="pct"/>
                  <w:vMerge w:val="continue"/>
                </w:tcPr>
                <w:p w14:paraId="477DBC32">
                  <w:pPr>
                    <w:pStyle w:val="40"/>
                  </w:pPr>
                </w:p>
              </w:tc>
              <w:tc>
                <w:tcPr>
                  <w:tcW w:w="870" w:type="pct"/>
                  <w:vAlign w:val="center"/>
                </w:tcPr>
                <w:p w14:paraId="3A40A359">
                  <w:pPr>
                    <w:pStyle w:val="40"/>
                  </w:pPr>
                  <w:r>
                    <w:rPr>
                      <w:rFonts w:hint="eastAsia"/>
                    </w:rPr>
                    <w:t>包装纸箱</w:t>
                  </w:r>
                </w:p>
              </w:tc>
              <w:tc>
                <w:tcPr>
                  <w:tcW w:w="800" w:type="pct"/>
                  <w:vAlign w:val="center"/>
                </w:tcPr>
                <w:p w14:paraId="664F3230">
                  <w:pPr>
                    <w:pStyle w:val="40"/>
                  </w:pPr>
                  <w:r>
                    <w:rPr>
                      <w:rFonts w:hint="eastAsia"/>
                    </w:rPr>
                    <w:t>3.3万个/a</w:t>
                  </w:r>
                </w:p>
              </w:tc>
              <w:tc>
                <w:tcPr>
                  <w:tcW w:w="1128" w:type="pct"/>
                  <w:vAlign w:val="center"/>
                </w:tcPr>
                <w:p w14:paraId="4C12DAFD">
                  <w:pPr>
                    <w:pStyle w:val="40"/>
                  </w:pPr>
                  <w:r>
                    <w:rPr>
                      <w:rFonts w:hint="eastAsia"/>
                    </w:rPr>
                    <w:t>/</w:t>
                  </w:r>
                </w:p>
              </w:tc>
              <w:tc>
                <w:tcPr>
                  <w:tcW w:w="1125" w:type="pct"/>
                  <w:vAlign w:val="center"/>
                </w:tcPr>
                <w:p w14:paraId="00807C6D">
                  <w:pPr>
                    <w:pStyle w:val="40"/>
                  </w:pPr>
                  <w:r>
                    <w:rPr>
                      <w:rFonts w:hint="eastAsia"/>
                    </w:rPr>
                    <w:t>相关厂家定制</w:t>
                  </w:r>
                </w:p>
              </w:tc>
            </w:tr>
            <w:tr w14:paraId="5F235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421" w:type="pct"/>
                  <w:vAlign w:val="center"/>
                </w:tcPr>
                <w:p w14:paraId="3AD558F0">
                  <w:pPr>
                    <w:pStyle w:val="40"/>
                  </w:pPr>
                  <w:r>
                    <w:rPr>
                      <w:rFonts w:hint="eastAsia"/>
                    </w:rPr>
                    <w:t>7</w:t>
                  </w:r>
                </w:p>
              </w:tc>
              <w:tc>
                <w:tcPr>
                  <w:tcW w:w="655" w:type="pct"/>
                  <w:vMerge w:val="continue"/>
                </w:tcPr>
                <w:p w14:paraId="68E77658">
                  <w:pPr>
                    <w:pStyle w:val="40"/>
                  </w:pPr>
                </w:p>
              </w:tc>
              <w:tc>
                <w:tcPr>
                  <w:tcW w:w="870" w:type="pct"/>
                  <w:vAlign w:val="center"/>
                </w:tcPr>
                <w:p w14:paraId="7207DA55">
                  <w:pPr>
                    <w:pStyle w:val="40"/>
                  </w:pPr>
                  <w:r>
                    <w:rPr>
                      <w:rFonts w:hint="eastAsia"/>
                    </w:rPr>
                    <w:t>标签</w:t>
                  </w:r>
                </w:p>
              </w:tc>
              <w:tc>
                <w:tcPr>
                  <w:tcW w:w="800" w:type="pct"/>
                  <w:vAlign w:val="center"/>
                </w:tcPr>
                <w:p w14:paraId="3975B245">
                  <w:pPr>
                    <w:pStyle w:val="40"/>
                  </w:pPr>
                  <w:r>
                    <w:rPr>
                      <w:rFonts w:hint="eastAsia"/>
                    </w:rPr>
                    <w:t>若干</w:t>
                  </w:r>
                </w:p>
              </w:tc>
              <w:tc>
                <w:tcPr>
                  <w:tcW w:w="1128" w:type="pct"/>
                  <w:vAlign w:val="center"/>
                </w:tcPr>
                <w:p w14:paraId="4581F2D8">
                  <w:pPr>
                    <w:pStyle w:val="40"/>
                  </w:pPr>
                  <w:r>
                    <w:rPr>
                      <w:rFonts w:hint="eastAsia"/>
                    </w:rPr>
                    <w:t>/</w:t>
                  </w:r>
                </w:p>
              </w:tc>
              <w:tc>
                <w:tcPr>
                  <w:tcW w:w="1125" w:type="pct"/>
                  <w:vAlign w:val="center"/>
                </w:tcPr>
                <w:p w14:paraId="4D6118F7">
                  <w:pPr>
                    <w:pStyle w:val="40"/>
                  </w:pPr>
                  <w:r>
                    <w:rPr>
                      <w:rFonts w:hint="eastAsia"/>
                    </w:rPr>
                    <w:t>相关厂家定制</w:t>
                  </w:r>
                </w:p>
              </w:tc>
            </w:tr>
            <w:tr w14:paraId="5A353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421" w:type="pct"/>
                  <w:vAlign w:val="center"/>
                </w:tcPr>
                <w:p w14:paraId="096A83FA">
                  <w:pPr>
                    <w:pStyle w:val="40"/>
                  </w:pPr>
                  <w:r>
                    <w:t>8</w:t>
                  </w:r>
                </w:p>
              </w:tc>
              <w:tc>
                <w:tcPr>
                  <w:tcW w:w="655" w:type="pct"/>
                  <w:vMerge w:val="restart"/>
                  <w:vAlign w:val="center"/>
                </w:tcPr>
                <w:p w14:paraId="37DBA9B3">
                  <w:pPr>
                    <w:pStyle w:val="40"/>
                  </w:pPr>
                  <w:r>
                    <w:rPr>
                      <w:rFonts w:hint="eastAsia"/>
                    </w:rPr>
                    <w:t>废气治理</w:t>
                  </w:r>
                </w:p>
              </w:tc>
              <w:tc>
                <w:tcPr>
                  <w:tcW w:w="870" w:type="pct"/>
                  <w:vAlign w:val="center"/>
                </w:tcPr>
                <w:p w14:paraId="71440060">
                  <w:pPr>
                    <w:pStyle w:val="40"/>
                  </w:pPr>
                  <w:r>
                    <w:rPr>
                      <w:rFonts w:hint="eastAsia"/>
                    </w:rPr>
                    <w:t>活性炭</w:t>
                  </w:r>
                </w:p>
              </w:tc>
              <w:tc>
                <w:tcPr>
                  <w:tcW w:w="800" w:type="pct"/>
                  <w:vAlign w:val="center"/>
                </w:tcPr>
                <w:p w14:paraId="0DFE0446">
                  <w:pPr>
                    <w:pStyle w:val="40"/>
                  </w:pPr>
                  <w:r>
                    <w:rPr>
                      <w:rFonts w:hint="eastAsia"/>
                    </w:rPr>
                    <w:t>0.03t/a</w:t>
                  </w:r>
                </w:p>
              </w:tc>
              <w:tc>
                <w:tcPr>
                  <w:tcW w:w="1128" w:type="pct"/>
                  <w:vAlign w:val="center"/>
                </w:tcPr>
                <w:p w14:paraId="71AADD0F">
                  <w:pPr>
                    <w:pStyle w:val="40"/>
                  </w:pPr>
                  <w:r>
                    <w:rPr>
                      <w:rFonts w:hint="eastAsia"/>
                    </w:rPr>
                    <w:t>/</w:t>
                  </w:r>
                </w:p>
              </w:tc>
              <w:tc>
                <w:tcPr>
                  <w:tcW w:w="1125" w:type="pct"/>
                  <w:vAlign w:val="center"/>
                </w:tcPr>
                <w:p w14:paraId="4144CB54">
                  <w:pPr>
                    <w:pStyle w:val="40"/>
                  </w:pPr>
                  <w:r>
                    <w:rPr>
                      <w:rFonts w:hint="eastAsia"/>
                    </w:rPr>
                    <w:t>除臭</w:t>
                  </w:r>
                </w:p>
              </w:tc>
            </w:tr>
            <w:tr w14:paraId="4FC82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421" w:type="pct"/>
                  <w:vAlign w:val="center"/>
                </w:tcPr>
                <w:p w14:paraId="26EED902">
                  <w:pPr>
                    <w:pStyle w:val="40"/>
                  </w:pPr>
                  <w:r>
                    <w:t>9</w:t>
                  </w:r>
                </w:p>
              </w:tc>
              <w:tc>
                <w:tcPr>
                  <w:tcW w:w="655" w:type="pct"/>
                  <w:vMerge w:val="continue"/>
                </w:tcPr>
                <w:p w14:paraId="72EB080F">
                  <w:pPr>
                    <w:pStyle w:val="40"/>
                  </w:pPr>
                </w:p>
              </w:tc>
              <w:tc>
                <w:tcPr>
                  <w:tcW w:w="870" w:type="pct"/>
                  <w:vAlign w:val="center"/>
                </w:tcPr>
                <w:p w14:paraId="3CBF44A0">
                  <w:pPr>
                    <w:pStyle w:val="40"/>
                  </w:pPr>
                  <w:r>
                    <w:rPr>
                      <w:rFonts w:hint="eastAsia"/>
                    </w:rPr>
                    <w:t>尿素</w:t>
                  </w:r>
                </w:p>
              </w:tc>
              <w:tc>
                <w:tcPr>
                  <w:tcW w:w="800" w:type="pct"/>
                  <w:vAlign w:val="center"/>
                </w:tcPr>
                <w:p w14:paraId="0D338C16">
                  <w:pPr>
                    <w:pStyle w:val="40"/>
                  </w:pPr>
                  <w:r>
                    <w:rPr>
                      <w:rFonts w:hint="eastAsia"/>
                    </w:rPr>
                    <w:t>0.71t/a</w:t>
                  </w:r>
                </w:p>
              </w:tc>
              <w:tc>
                <w:tcPr>
                  <w:tcW w:w="1128" w:type="pct"/>
                  <w:vAlign w:val="center"/>
                </w:tcPr>
                <w:p w14:paraId="4814F73B">
                  <w:pPr>
                    <w:pStyle w:val="40"/>
                  </w:pPr>
                  <w:r>
                    <w:rPr>
                      <w:rFonts w:hint="eastAsia"/>
                    </w:rPr>
                    <w:t>/</w:t>
                  </w:r>
                </w:p>
              </w:tc>
              <w:tc>
                <w:tcPr>
                  <w:tcW w:w="1125" w:type="pct"/>
                  <w:vAlign w:val="center"/>
                </w:tcPr>
                <w:p w14:paraId="22B06187">
                  <w:pPr>
                    <w:pStyle w:val="40"/>
                  </w:pPr>
                  <w:r>
                    <w:rPr>
                      <w:rFonts w:hint="eastAsia"/>
                    </w:rPr>
                    <w:t>脱硝还原剂</w:t>
                  </w:r>
                </w:p>
              </w:tc>
            </w:tr>
            <w:tr w14:paraId="3B6EB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421" w:type="pct"/>
                  <w:vAlign w:val="center"/>
                </w:tcPr>
                <w:p w14:paraId="2C354938">
                  <w:pPr>
                    <w:pStyle w:val="40"/>
                  </w:pPr>
                  <w:r>
                    <w:t>10</w:t>
                  </w:r>
                </w:p>
              </w:tc>
              <w:tc>
                <w:tcPr>
                  <w:tcW w:w="655" w:type="pct"/>
                  <w:vMerge w:val="restart"/>
                  <w:vAlign w:val="center"/>
                </w:tcPr>
                <w:p w14:paraId="6E184158">
                  <w:pPr>
                    <w:pStyle w:val="40"/>
                  </w:pPr>
                  <w:r>
                    <w:rPr>
                      <w:rFonts w:hint="eastAsia"/>
                    </w:rPr>
                    <w:t>污水处理药剂</w:t>
                  </w:r>
                </w:p>
              </w:tc>
              <w:tc>
                <w:tcPr>
                  <w:tcW w:w="870" w:type="pct"/>
                  <w:vAlign w:val="center"/>
                </w:tcPr>
                <w:p w14:paraId="09E1D158">
                  <w:pPr>
                    <w:pStyle w:val="40"/>
                  </w:pPr>
                  <w:r>
                    <w:rPr>
                      <w:rFonts w:hint="eastAsia"/>
                    </w:rPr>
                    <w:t>Ca（OH）</w:t>
                  </w:r>
                  <w:r>
                    <w:rPr>
                      <w:rFonts w:hint="eastAsia"/>
                      <w:vertAlign w:val="subscript"/>
                    </w:rPr>
                    <w:t>2</w:t>
                  </w:r>
                </w:p>
              </w:tc>
              <w:tc>
                <w:tcPr>
                  <w:tcW w:w="800" w:type="pct"/>
                  <w:vAlign w:val="center"/>
                </w:tcPr>
                <w:p w14:paraId="29C61B4A">
                  <w:pPr>
                    <w:pStyle w:val="40"/>
                  </w:pPr>
                  <w:r>
                    <w:rPr>
                      <w:rFonts w:hint="eastAsia"/>
                    </w:rPr>
                    <w:t>17.9</w:t>
                  </w:r>
                  <w:r>
                    <w:t>t</w:t>
                  </w:r>
                  <w:r>
                    <w:rPr>
                      <w:rFonts w:hint="eastAsia"/>
                    </w:rPr>
                    <w:t>/a</w:t>
                  </w:r>
                </w:p>
              </w:tc>
              <w:tc>
                <w:tcPr>
                  <w:tcW w:w="1128" w:type="pct"/>
                  <w:vAlign w:val="center"/>
                </w:tcPr>
                <w:p w14:paraId="01D35404">
                  <w:pPr>
                    <w:pStyle w:val="40"/>
                  </w:pPr>
                  <w:r>
                    <w:rPr>
                      <w:rFonts w:hint="eastAsia"/>
                    </w:rPr>
                    <w:t>/</w:t>
                  </w:r>
                </w:p>
              </w:tc>
              <w:tc>
                <w:tcPr>
                  <w:tcW w:w="1125" w:type="pct"/>
                  <w:vAlign w:val="center"/>
                </w:tcPr>
                <w:p w14:paraId="3FB02646">
                  <w:pPr>
                    <w:pStyle w:val="40"/>
                  </w:pPr>
                  <w:r>
                    <w:rPr>
                      <w:rFonts w:hint="eastAsia"/>
                    </w:rPr>
                    <w:t>/</w:t>
                  </w:r>
                </w:p>
              </w:tc>
            </w:tr>
            <w:tr w14:paraId="4382A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421" w:type="pct"/>
                  <w:vAlign w:val="center"/>
                </w:tcPr>
                <w:p w14:paraId="5F584F4C">
                  <w:pPr>
                    <w:pStyle w:val="40"/>
                  </w:pPr>
                  <w:r>
                    <w:t>11</w:t>
                  </w:r>
                </w:p>
              </w:tc>
              <w:tc>
                <w:tcPr>
                  <w:tcW w:w="655" w:type="pct"/>
                  <w:vMerge w:val="continue"/>
                </w:tcPr>
                <w:p w14:paraId="604773B4">
                  <w:pPr>
                    <w:pStyle w:val="40"/>
                  </w:pPr>
                </w:p>
              </w:tc>
              <w:tc>
                <w:tcPr>
                  <w:tcW w:w="870" w:type="pct"/>
                  <w:vAlign w:val="center"/>
                </w:tcPr>
                <w:p w14:paraId="7AB6FB4E">
                  <w:pPr>
                    <w:pStyle w:val="40"/>
                  </w:pPr>
                  <w:r>
                    <w:rPr>
                      <w:rFonts w:hint="eastAsia"/>
                    </w:rPr>
                    <w:t>PAC</w:t>
                  </w:r>
                </w:p>
              </w:tc>
              <w:tc>
                <w:tcPr>
                  <w:tcW w:w="800" w:type="pct"/>
                  <w:vAlign w:val="center"/>
                </w:tcPr>
                <w:p w14:paraId="6A1102B5">
                  <w:pPr>
                    <w:pStyle w:val="40"/>
                  </w:pPr>
                  <w:r>
                    <w:rPr>
                      <w:rFonts w:hint="eastAsia"/>
                    </w:rPr>
                    <w:t>3.307</w:t>
                  </w:r>
                  <w:r>
                    <w:t>t</w:t>
                  </w:r>
                  <w:r>
                    <w:rPr>
                      <w:rFonts w:hint="eastAsia"/>
                    </w:rPr>
                    <w:t>/a</w:t>
                  </w:r>
                </w:p>
              </w:tc>
              <w:tc>
                <w:tcPr>
                  <w:tcW w:w="1128" w:type="pct"/>
                  <w:vAlign w:val="center"/>
                </w:tcPr>
                <w:p w14:paraId="7B43D807">
                  <w:pPr>
                    <w:pStyle w:val="40"/>
                  </w:pPr>
                  <w:r>
                    <w:rPr>
                      <w:rFonts w:hint="eastAsia"/>
                    </w:rPr>
                    <w:t>/</w:t>
                  </w:r>
                </w:p>
              </w:tc>
              <w:tc>
                <w:tcPr>
                  <w:tcW w:w="1125" w:type="pct"/>
                  <w:vAlign w:val="center"/>
                </w:tcPr>
                <w:p w14:paraId="79F9DE3B">
                  <w:pPr>
                    <w:pStyle w:val="40"/>
                  </w:pPr>
                  <w:r>
                    <w:rPr>
                      <w:rFonts w:hint="eastAsia"/>
                    </w:rPr>
                    <w:t>絮凝剂</w:t>
                  </w:r>
                </w:p>
              </w:tc>
            </w:tr>
            <w:tr w14:paraId="59272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421" w:type="pct"/>
                  <w:vAlign w:val="center"/>
                </w:tcPr>
                <w:p w14:paraId="46EDE250">
                  <w:pPr>
                    <w:pStyle w:val="40"/>
                  </w:pPr>
                  <w:r>
                    <w:t>12</w:t>
                  </w:r>
                </w:p>
              </w:tc>
              <w:tc>
                <w:tcPr>
                  <w:tcW w:w="655" w:type="pct"/>
                  <w:vMerge w:val="continue"/>
                </w:tcPr>
                <w:p w14:paraId="0FA4BDC7">
                  <w:pPr>
                    <w:pStyle w:val="40"/>
                  </w:pPr>
                </w:p>
              </w:tc>
              <w:tc>
                <w:tcPr>
                  <w:tcW w:w="870" w:type="pct"/>
                  <w:vAlign w:val="center"/>
                </w:tcPr>
                <w:p w14:paraId="23C1A1C6">
                  <w:pPr>
                    <w:pStyle w:val="40"/>
                  </w:pPr>
                  <w:r>
                    <w:rPr>
                      <w:rFonts w:hint="eastAsia"/>
                    </w:rPr>
                    <w:t>PAM</w:t>
                  </w:r>
                </w:p>
              </w:tc>
              <w:tc>
                <w:tcPr>
                  <w:tcW w:w="800" w:type="pct"/>
                  <w:vAlign w:val="center"/>
                </w:tcPr>
                <w:p w14:paraId="7733F1D5">
                  <w:pPr>
                    <w:pStyle w:val="40"/>
                  </w:pPr>
                  <w:r>
                    <w:rPr>
                      <w:rFonts w:hint="eastAsia"/>
                    </w:rPr>
                    <w:t>0.661</w:t>
                  </w:r>
                  <w:r>
                    <w:t>t</w:t>
                  </w:r>
                  <w:r>
                    <w:rPr>
                      <w:rFonts w:hint="eastAsia"/>
                    </w:rPr>
                    <w:t>/a</w:t>
                  </w:r>
                </w:p>
              </w:tc>
              <w:tc>
                <w:tcPr>
                  <w:tcW w:w="1128" w:type="pct"/>
                  <w:vAlign w:val="center"/>
                </w:tcPr>
                <w:p w14:paraId="6E3F2141">
                  <w:pPr>
                    <w:pStyle w:val="40"/>
                  </w:pPr>
                  <w:r>
                    <w:rPr>
                      <w:rFonts w:hint="eastAsia"/>
                    </w:rPr>
                    <w:t>/</w:t>
                  </w:r>
                </w:p>
              </w:tc>
              <w:tc>
                <w:tcPr>
                  <w:tcW w:w="1125" w:type="pct"/>
                  <w:vAlign w:val="center"/>
                </w:tcPr>
                <w:p w14:paraId="658E3F95">
                  <w:pPr>
                    <w:pStyle w:val="40"/>
                  </w:pPr>
                  <w:r>
                    <w:rPr>
                      <w:rFonts w:hint="eastAsia"/>
                    </w:rPr>
                    <w:t>助凝剂</w:t>
                  </w:r>
                </w:p>
              </w:tc>
            </w:tr>
            <w:tr w14:paraId="78A54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421" w:type="pct"/>
                  <w:vAlign w:val="center"/>
                </w:tcPr>
                <w:p w14:paraId="4B34F22E">
                  <w:pPr>
                    <w:pStyle w:val="40"/>
                  </w:pPr>
                  <w:r>
                    <w:t>13</w:t>
                  </w:r>
                </w:p>
              </w:tc>
              <w:tc>
                <w:tcPr>
                  <w:tcW w:w="655" w:type="pct"/>
                  <w:vMerge w:val="restart"/>
                  <w:vAlign w:val="center"/>
                </w:tcPr>
                <w:p w14:paraId="05D38D87">
                  <w:pPr>
                    <w:pStyle w:val="40"/>
                  </w:pPr>
                  <w:r>
                    <w:rPr>
                      <w:rFonts w:hint="eastAsia"/>
                    </w:rPr>
                    <w:t>能源</w:t>
                  </w:r>
                </w:p>
              </w:tc>
              <w:tc>
                <w:tcPr>
                  <w:tcW w:w="870" w:type="pct"/>
                  <w:vAlign w:val="center"/>
                </w:tcPr>
                <w:p w14:paraId="3429FACF">
                  <w:pPr>
                    <w:pStyle w:val="40"/>
                  </w:pPr>
                  <w:r>
                    <w:rPr>
                      <w:rFonts w:hint="eastAsia"/>
                    </w:rPr>
                    <w:t>新鲜水</w:t>
                  </w:r>
                </w:p>
              </w:tc>
              <w:tc>
                <w:tcPr>
                  <w:tcW w:w="800" w:type="pct"/>
                  <w:vAlign w:val="center"/>
                </w:tcPr>
                <w:p w14:paraId="26BD4A96">
                  <w:pPr>
                    <w:pStyle w:val="40"/>
                  </w:pPr>
                  <w:r>
                    <w:rPr>
                      <w:rFonts w:hint="eastAsia"/>
                    </w:rPr>
                    <w:t>17207.64</w:t>
                  </w:r>
                  <w:r>
                    <w:t>t/a</w:t>
                  </w:r>
                </w:p>
              </w:tc>
              <w:tc>
                <w:tcPr>
                  <w:tcW w:w="1128" w:type="pct"/>
                  <w:vAlign w:val="center"/>
                </w:tcPr>
                <w:p w14:paraId="6FC7BCCE">
                  <w:pPr>
                    <w:pStyle w:val="40"/>
                  </w:pPr>
                  <w:r>
                    <w:rPr>
                      <w:rFonts w:hint="eastAsia"/>
                    </w:rPr>
                    <w:t>/</w:t>
                  </w:r>
                </w:p>
              </w:tc>
              <w:tc>
                <w:tcPr>
                  <w:tcW w:w="1125" w:type="pct"/>
                  <w:vAlign w:val="center"/>
                </w:tcPr>
                <w:p w14:paraId="384775C0">
                  <w:pPr>
                    <w:pStyle w:val="40"/>
                  </w:pPr>
                  <w:r>
                    <w:rPr>
                      <w:rFonts w:hint="eastAsia"/>
                    </w:rPr>
                    <w:t>用水外购</w:t>
                  </w:r>
                </w:p>
              </w:tc>
            </w:tr>
            <w:tr w14:paraId="10E00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421" w:type="pct"/>
                  <w:vAlign w:val="center"/>
                </w:tcPr>
                <w:p w14:paraId="20914794">
                  <w:pPr>
                    <w:pStyle w:val="40"/>
                  </w:pPr>
                  <w:r>
                    <w:rPr>
                      <w:rFonts w:hint="eastAsia"/>
                    </w:rPr>
                    <w:t>14</w:t>
                  </w:r>
                </w:p>
              </w:tc>
              <w:tc>
                <w:tcPr>
                  <w:tcW w:w="655" w:type="pct"/>
                  <w:vMerge w:val="continue"/>
                </w:tcPr>
                <w:p w14:paraId="3B0CDC61">
                  <w:pPr>
                    <w:pStyle w:val="40"/>
                  </w:pPr>
                </w:p>
              </w:tc>
              <w:tc>
                <w:tcPr>
                  <w:tcW w:w="870" w:type="pct"/>
                  <w:vAlign w:val="center"/>
                </w:tcPr>
                <w:p w14:paraId="16E530E7">
                  <w:pPr>
                    <w:pStyle w:val="40"/>
                  </w:pPr>
                  <w:r>
                    <w:rPr>
                      <w:rFonts w:hint="eastAsia"/>
                    </w:rPr>
                    <w:t>电</w:t>
                  </w:r>
                </w:p>
              </w:tc>
              <w:tc>
                <w:tcPr>
                  <w:tcW w:w="800" w:type="pct"/>
                  <w:vAlign w:val="center"/>
                </w:tcPr>
                <w:p w14:paraId="29FCAE3D">
                  <w:pPr>
                    <w:pStyle w:val="40"/>
                  </w:pPr>
                  <w:r>
                    <w:rPr>
                      <w:rFonts w:hint="eastAsia"/>
                    </w:rPr>
                    <w:t>9万kWh/a</w:t>
                  </w:r>
                </w:p>
              </w:tc>
              <w:tc>
                <w:tcPr>
                  <w:tcW w:w="1128" w:type="pct"/>
                  <w:vAlign w:val="center"/>
                </w:tcPr>
                <w:p w14:paraId="63E05E94">
                  <w:pPr>
                    <w:pStyle w:val="40"/>
                  </w:pPr>
                  <w:r>
                    <w:rPr>
                      <w:rFonts w:hint="eastAsia"/>
                    </w:rPr>
                    <w:t>/</w:t>
                  </w:r>
                </w:p>
              </w:tc>
              <w:tc>
                <w:tcPr>
                  <w:tcW w:w="1125" w:type="pct"/>
                  <w:vAlign w:val="center"/>
                </w:tcPr>
                <w:p w14:paraId="5D00E4D7">
                  <w:pPr>
                    <w:pStyle w:val="40"/>
                  </w:pPr>
                  <w:r>
                    <w:rPr>
                      <w:rFonts w:hint="eastAsia"/>
                    </w:rPr>
                    <w:t>/</w:t>
                  </w:r>
                </w:p>
              </w:tc>
            </w:tr>
            <w:tr w14:paraId="41C05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421" w:type="pct"/>
                  <w:vAlign w:val="center"/>
                </w:tcPr>
                <w:p w14:paraId="5CCC36A4">
                  <w:pPr>
                    <w:pStyle w:val="40"/>
                  </w:pPr>
                  <w:r>
                    <w:rPr>
                      <w:rFonts w:hint="eastAsia"/>
                    </w:rPr>
                    <w:t>15</w:t>
                  </w:r>
                </w:p>
              </w:tc>
              <w:tc>
                <w:tcPr>
                  <w:tcW w:w="655" w:type="pct"/>
                  <w:vMerge w:val="continue"/>
                </w:tcPr>
                <w:p w14:paraId="3DDC5150">
                  <w:pPr>
                    <w:pStyle w:val="40"/>
                  </w:pPr>
                </w:p>
              </w:tc>
              <w:tc>
                <w:tcPr>
                  <w:tcW w:w="870" w:type="pct"/>
                  <w:vAlign w:val="center"/>
                </w:tcPr>
                <w:p w14:paraId="1FD05133">
                  <w:pPr>
                    <w:pStyle w:val="40"/>
                  </w:pPr>
                  <w:r>
                    <w:rPr>
                      <w:rFonts w:hint="eastAsia"/>
                    </w:rPr>
                    <w:t>生物质成型燃料</w:t>
                  </w:r>
                </w:p>
              </w:tc>
              <w:tc>
                <w:tcPr>
                  <w:tcW w:w="800" w:type="pct"/>
                  <w:vAlign w:val="center"/>
                </w:tcPr>
                <w:p w14:paraId="39E071C1">
                  <w:pPr>
                    <w:pStyle w:val="40"/>
                  </w:pPr>
                  <w:r>
                    <w:rPr>
                      <w:rFonts w:hint="eastAsia"/>
                    </w:rPr>
                    <w:t>800t/a</w:t>
                  </w:r>
                </w:p>
              </w:tc>
              <w:tc>
                <w:tcPr>
                  <w:tcW w:w="1128" w:type="pct"/>
                  <w:vAlign w:val="center"/>
                </w:tcPr>
                <w:p w14:paraId="76ABD467">
                  <w:pPr>
                    <w:pStyle w:val="40"/>
                  </w:pPr>
                  <w:r>
                    <w:rPr>
                      <w:rFonts w:hint="eastAsia"/>
                    </w:rPr>
                    <w:t>/</w:t>
                  </w:r>
                </w:p>
              </w:tc>
              <w:tc>
                <w:tcPr>
                  <w:tcW w:w="1125" w:type="pct"/>
                  <w:vAlign w:val="center"/>
                </w:tcPr>
                <w:p w14:paraId="6BBA243A">
                  <w:pPr>
                    <w:pStyle w:val="40"/>
                  </w:pPr>
                  <w:r>
                    <w:rPr>
                      <w:rFonts w:hint="eastAsia"/>
                    </w:rPr>
                    <w:t>/</w:t>
                  </w:r>
                </w:p>
              </w:tc>
            </w:tr>
          </w:tbl>
          <w:p w14:paraId="2BFECEFF">
            <w:pPr>
              <w:pStyle w:val="73"/>
            </w:pPr>
          </w:p>
          <w:p w14:paraId="3DE37C16">
            <w:pPr>
              <w:adjustRightInd w:val="0"/>
              <w:snapToGrid w:val="0"/>
              <w:ind w:firstLine="420"/>
              <w:rPr>
                <w:bCs/>
                <w:szCs w:val="21"/>
              </w:rPr>
            </w:pPr>
            <w:r>
              <w:rPr>
                <w:rFonts w:hint="eastAsia"/>
                <w:bCs/>
                <w:szCs w:val="21"/>
              </w:rPr>
              <w:t>（</w:t>
            </w:r>
            <w:r>
              <w:rPr>
                <w:bCs/>
                <w:szCs w:val="21"/>
              </w:rPr>
              <w:t>5</w:t>
            </w:r>
            <w:r>
              <w:rPr>
                <w:rFonts w:hint="eastAsia"/>
                <w:bCs/>
                <w:szCs w:val="21"/>
              </w:rPr>
              <w:t>）全厂给排水</w:t>
            </w:r>
          </w:p>
          <w:p w14:paraId="14F17EED">
            <w:pPr>
              <w:adjustRightInd w:val="0"/>
              <w:snapToGrid w:val="0"/>
              <w:ind w:firstLine="420"/>
              <w:rPr>
                <w:bCs/>
                <w:szCs w:val="21"/>
              </w:rPr>
            </w:pPr>
            <w:r>
              <w:rPr>
                <w:rFonts w:hint="eastAsia"/>
                <w:bCs/>
                <w:szCs w:val="21"/>
              </w:rPr>
              <w:t>全厂给排水情况汇总如下：</w:t>
            </w:r>
          </w:p>
          <w:p w14:paraId="2BAECCEC">
            <w:pPr>
              <w:pStyle w:val="73"/>
            </w:pPr>
            <w:r>
              <w:rPr>
                <w:rFonts w:hint="eastAsia"/>
                <w:bCs w:val="0"/>
              </w:rPr>
              <w:t xml:space="preserve">表2-14 </w:t>
            </w:r>
            <w:r>
              <w:rPr>
                <w:rFonts w:hint="eastAsia"/>
              </w:rPr>
              <w:t>全厂给排水情况</w:t>
            </w:r>
            <w:r>
              <w:t>m³/a</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18"/>
              <w:gridCol w:w="1418"/>
              <w:gridCol w:w="945"/>
              <w:gridCol w:w="833"/>
              <w:gridCol w:w="1089"/>
              <w:gridCol w:w="1017"/>
              <w:gridCol w:w="1877"/>
            </w:tblGrid>
            <w:tr w14:paraId="2F5C2D5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13" w:hRule="atLeast"/>
                <w:jc w:val="center"/>
              </w:trPr>
              <w:tc>
                <w:tcPr>
                  <w:tcW w:w="718" w:type="dxa"/>
                  <w:vMerge w:val="restart"/>
                  <w:vAlign w:val="center"/>
                </w:tcPr>
                <w:p w14:paraId="5DC41836">
                  <w:pPr>
                    <w:pStyle w:val="40"/>
                  </w:pPr>
                  <w:r>
                    <w:t>序</w:t>
                  </w:r>
                  <w:r>
                    <w:rPr>
                      <w:rFonts w:hint="eastAsia"/>
                    </w:rPr>
                    <w:t>号</w:t>
                  </w:r>
                </w:p>
              </w:tc>
              <w:tc>
                <w:tcPr>
                  <w:tcW w:w="1418" w:type="dxa"/>
                  <w:vMerge w:val="restart"/>
                  <w:vAlign w:val="center"/>
                </w:tcPr>
                <w:p w14:paraId="1C67B879">
                  <w:pPr>
                    <w:pStyle w:val="40"/>
                  </w:pPr>
                  <w:r>
                    <w:rPr>
                      <w:rFonts w:hint="eastAsia"/>
                    </w:rPr>
                    <w:t>项目</w:t>
                  </w:r>
                </w:p>
              </w:tc>
              <w:tc>
                <w:tcPr>
                  <w:tcW w:w="1777" w:type="dxa"/>
                  <w:gridSpan w:val="2"/>
                  <w:vAlign w:val="center"/>
                </w:tcPr>
                <w:p w14:paraId="231CD0EB">
                  <w:pPr>
                    <w:pStyle w:val="40"/>
                  </w:pPr>
                  <w:r>
                    <w:rPr>
                      <w:rFonts w:hint="eastAsia"/>
                    </w:rPr>
                    <w:t>用水总量</w:t>
                  </w:r>
                </w:p>
              </w:tc>
              <w:tc>
                <w:tcPr>
                  <w:tcW w:w="1089" w:type="dxa"/>
                  <w:vMerge w:val="restart"/>
                  <w:vAlign w:val="center"/>
                </w:tcPr>
                <w:p w14:paraId="7FCBDE3D">
                  <w:pPr>
                    <w:pStyle w:val="40"/>
                  </w:pPr>
                  <w:r>
                    <w:rPr>
                      <w:rFonts w:hint="eastAsia"/>
                    </w:rPr>
                    <w:t>损耗量</w:t>
                  </w:r>
                </w:p>
              </w:tc>
              <w:tc>
                <w:tcPr>
                  <w:tcW w:w="1017" w:type="dxa"/>
                  <w:vMerge w:val="restart"/>
                  <w:vAlign w:val="center"/>
                </w:tcPr>
                <w:p w14:paraId="7D8E506A">
                  <w:pPr>
                    <w:pStyle w:val="40"/>
                  </w:pPr>
                  <w:r>
                    <w:rPr>
                      <w:rFonts w:hint="eastAsia"/>
                    </w:rPr>
                    <w:t>废水产生量</w:t>
                  </w:r>
                </w:p>
              </w:tc>
              <w:tc>
                <w:tcPr>
                  <w:tcW w:w="1877" w:type="dxa"/>
                  <w:vMerge w:val="restart"/>
                  <w:vAlign w:val="center"/>
                </w:tcPr>
                <w:p w14:paraId="1F355574">
                  <w:pPr>
                    <w:pStyle w:val="40"/>
                  </w:pPr>
                  <w:r>
                    <w:rPr>
                      <w:rFonts w:hint="eastAsia"/>
                    </w:rPr>
                    <w:t>废水排放量及去向</w:t>
                  </w:r>
                </w:p>
              </w:tc>
            </w:tr>
            <w:tr w14:paraId="05F88FB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13" w:hRule="atLeast"/>
                <w:jc w:val="center"/>
              </w:trPr>
              <w:tc>
                <w:tcPr>
                  <w:tcW w:w="718" w:type="dxa"/>
                  <w:vMerge w:val="continue"/>
                  <w:vAlign w:val="center"/>
                </w:tcPr>
                <w:p w14:paraId="73D5AC89">
                  <w:pPr>
                    <w:pStyle w:val="40"/>
                  </w:pPr>
                </w:p>
              </w:tc>
              <w:tc>
                <w:tcPr>
                  <w:tcW w:w="1418" w:type="dxa"/>
                  <w:vMerge w:val="continue"/>
                </w:tcPr>
                <w:p w14:paraId="15EE5971">
                  <w:pPr>
                    <w:pStyle w:val="40"/>
                  </w:pPr>
                </w:p>
              </w:tc>
              <w:tc>
                <w:tcPr>
                  <w:tcW w:w="945" w:type="dxa"/>
                  <w:vAlign w:val="center"/>
                </w:tcPr>
                <w:p w14:paraId="1AFBA7D4">
                  <w:pPr>
                    <w:pStyle w:val="40"/>
                  </w:pPr>
                  <w:r>
                    <w:t>新鲜水</w:t>
                  </w:r>
                  <w:r>
                    <w:rPr>
                      <w:rFonts w:hint="eastAsia"/>
                    </w:rPr>
                    <w:t>用量</w:t>
                  </w:r>
                </w:p>
              </w:tc>
              <w:tc>
                <w:tcPr>
                  <w:tcW w:w="833" w:type="dxa"/>
                  <w:vAlign w:val="center"/>
                </w:tcPr>
                <w:p w14:paraId="0AB0F236">
                  <w:pPr>
                    <w:pStyle w:val="40"/>
                  </w:pPr>
                  <w:r>
                    <w:rPr>
                      <w:rFonts w:hint="eastAsia"/>
                    </w:rPr>
                    <w:t>循环水量</w:t>
                  </w:r>
                </w:p>
              </w:tc>
              <w:tc>
                <w:tcPr>
                  <w:tcW w:w="1089" w:type="dxa"/>
                  <w:vMerge w:val="continue"/>
                  <w:vAlign w:val="center"/>
                </w:tcPr>
                <w:p w14:paraId="5BCCFF14">
                  <w:pPr>
                    <w:pStyle w:val="40"/>
                  </w:pPr>
                </w:p>
              </w:tc>
              <w:tc>
                <w:tcPr>
                  <w:tcW w:w="1017" w:type="dxa"/>
                  <w:vMerge w:val="continue"/>
                </w:tcPr>
                <w:p w14:paraId="26E471C4">
                  <w:pPr>
                    <w:pStyle w:val="40"/>
                  </w:pPr>
                </w:p>
              </w:tc>
              <w:tc>
                <w:tcPr>
                  <w:tcW w:w="1877" w:type="dxa"/>
                  <w:vMerge w:val="continue"/>
                </w:tcPr>
                <w:p w14:paraId="5CD8A249">
                  <w:pPr>
                    <w:pStyle w:val="40"/>
                  </w:pPr>
                </w:p>
              </w:tc>
            </w:tr>
            <w:tr w14:paraId="08D42D0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75" w:hRule="atLeast"/>
                <w:jc w:val="center"/>
              </w:trPr>
              <w:tc>
                <w:tcPr>
                  <w:tcW w:w="718" w:type="dxa"/>
                  <w:vAlign w:val="center"/>
                </w:tcPr>
                <w:p w14:paraId="0CF716EB">
                  <w:pPr>
                    <w:pStyle w:val="40"/>
                  </w:pPr>
                  <w:r>
                    <w:t>1</w:t>
                  </w:r>
                </w:p>
              </w:tc>
              <w:tc>
                <w:tcPr>
                  <w:tcW w:w="1418" w:type="dxa"/>
                  <w:vAlign w:val="center"/>
                </w:tcPr>
                <w:p w14:paraId="0893F688">
                  <w:pPr>
                    <w:pStyle w:val="40"/>
                    <w:rPr>
                      <w:highlight w:val="yellow"/>
                    </w:rPr>
                  </w:pPr>
                  <w:r>
                    <w:rPr>
                      <w:rFonts w:hint="eastAsia"/>
                    </w:rPr>
                    <w:t>罐头生产线</w:t>
                  </w:r>
                </w:p>
              </w:tc>
              <w:tc>
                <w:tcPr>
                  <w:tcW w:w="945" w:type="dxa"/>
                  <w:vAlign w:val="center"/>
                </w:tcPr>
                <w:p w14:paraId="1D5FF437">
                  <w:pPr>
                    <w:pStyle w:val="40"/>
                  </w:pPr>
                  <w:r>
                    <w:rPr>
                      <w:rFonts w:hint="eastAsia"/>
                    </w:rPr>
                    <w:t>9966</w:t>
                  </w:r>
                </w:p>
              </w:tc>
              <w:tc>
                <w:tcPr>
                  <w:tcW w:w="833" w:type="dxa"/>
                  <w:vAlign w:val="center"/>
                </w:tcPr>
                <w:p w14:paraId="5271B2F5">
                  <w:pPr>
                    <w:pStyle w:val="40"/>
                  </w:pPr>
                  <w:r>
                    <w:rPr>
                      <w:rFonts w:hint="eastAsia"/>
                    </w:rPr>
                    <w:t>/</w:t>
                  </w:r>
                </w:p>
              </w:tc>
              <w:tc>
                <w:tcPr>
                  <w:tcW w:w="1089" w:type="dxa"/>
                  <w:vAlign w:val="center"/>
                </w:tcPr>
                <w:p w14:paraId="7DF3F9CF">
                  <w:pPr>
                    <w:pStyle w:val="40"/>
                  </w:pPr>
                  <w:r>
                    <w:rPr>
                      <w:rFonts w:hint="eastAsia"/>
                    </w:rPr>
                    <w:t>996.6</w:t>
                  </w:r>
                </w:p>
              </w:tc>
              <w:tc>
                <w:tcPr>
                  <w:tcW w:w="1017" w:type="dxa"/>
                  <w:vAlign w:val="center"/>
                </w:tcPr>
                <w:p w14:paraId="61E5373C">
                  <w:pPr>
                    <w:pStyle w:val="40"/>
                  </w:pPr>
                  <w:r>
                    <w:rPr>
                      <w:rFonts w:hint="eastAsia"/>
                    </w:rPr>
                    <w:t>8969.4</w:t>
                  </w:r>
                </w:p>
              </w:tc>
              <w:tc>
                <w:tcPr>
                  <w:tcW w:w="1877" w:type="dxa"/>
                  <w:vAlign w:val="center"/>
                </w:tcPr>
                <w:p w14:paraId="004FE730">
                  <w:pPr>
                    <w:pStyle w:val="40"/>
                  </w:pPr>
                  <w:r>
                    <w:rPr>
                      <w:rFonts w:hint="eastAsia"/>
                    </w:rPr>
                    <w:t>进入污水处理站，处理达标后外运至秦皇岛市抚宁区中冶水务有限公司</w:t>
                  </w:r>
                </w:p>
              </w:tc>
            </w:tr>
            <w:tr w14:paraId="398A896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68" w:hRule="atLeast"/>
                <w:jc w:val="center"/>
              </w:trPr>
              <w:tc>
                <w:tcPr>
                  <w:tcW w:w="718" w:type="dxa"/>
                  <w:vAlign w:val="center"/>
                </w:tcPr>
                <w:p w14:paraId="794A6946">
                  <w:pPr>
                    <w:pStyle w:val="40"/>
                  </w:pPr>
                  <w:r>
                    <w:rPr>
                      <w:rFonts w:hint="eastAsia"/>
                    </w:rPr>
                    <w:t>2</w:t>
                  </w:r>
                </w:p>
              </w:tc>
              <w:tc>
                <w:tcPr>
                  <w:tcW w:w="1418" w:type="dxa"/>
                  <w:vAlign w:val="center"/>
                </w:tcPr>
                <w:p w14:paraId="4A1B5A9D">
                  <w:pPr>
                    <w:pStyle w:val="40"/>
                    <w:rPr>
                      <w:highlight w:val="yellow"/>
                    </w:rPr>
                  </w:pPr>
                  <w:r>
                    <w:rPr>
                      <w:rFonts w:hint="eastAsia"/>
                    </w:rPr>
                    <w:t>锅炉</w:t>
                  </w:r>
                </w:p>
              </w:tc>
              <w:tc>
                <w:tcPr>
                  <w:tcW w:w="945" w:type="dxa"/>
                  <w:vAlign w:val="center"/>
                </w:tcPr>
                <w:p w14:paraId="46497017">
                  <w:pPr>
                    <w:pStyle w:val="40"/>
                  </w:pPr>
                  <w:r>
                    <w:rPr>
                      <w:rFonts w:hint="eastAsia"/>
                    </w:rPr>
                    <w:t>353.64</w:t>
                  </w:r>
                </w:p>
              </w:tc>
              <w:tc>
                <w:tcPr>
                  <w:tcW w:w="833" w:type="dxa"/>
                  <w:vAlign w:val="center"/>
                </w:tcPr>
                <w:p w14:paraId="1AEB5D45">
                  <w:pPr>
                    <w:pStyle w:val="40"/>
                  </w:pPr>
                  <w:r>
                    <w:rPr>
                      <w:rFonts w:hint="eastAsia"/>
                    </w:rPr>
                    <w:t>6720</w:t>
                  </w:r>
                </w:p>
              </w:tc>
              <w:tc>
                <w:tcPr>
                  <w:tcW w:w="1089" w:type="dxa"/>
                  <w:vAlign w:val="center"/>
                </w:tcPr>
                <w:p w14:paraId="62FDFEC4">
                  <w:pPr>
                    <w:pStyle w:val="40"/>
                  </w:pPr>
                  <w:r>
                    <w:rPr>
                      <w:rFonts w:hint="eastAsia"/>
                    </w:rPr>
                    <w:t>68.88</w:t>
                  </w:r>
                </w:p>
              </w:tc>
              <w:tc>
                <w:tcPr>
                  <w:tcW w:w="1017" w:type="dxa"/>
                  <w:vAlign w:val="center"/>
                </w:tcPr>
                <w:p w14:paraId="686EECC3">
                  <w:pPr>
                    <w:pStyle w:val="40"/>
                  </w:pPr>
                  <w:r>
                    <w:rPr>
                      <w:rFonts w:hint="eastAsia"/>
                    </w:rPr>
                    <w:t>284.8</w:t>
                  </w:r>
                </w:p>
              </w:tc>
              <w:tc>
                <w:tcPr>
                  <w:tcW w:w="1877" w:type="dxa"/>
                  <w:vAlign w:val="center"/>
                </w:tcPr>
                <w:p w14:paraId="63445741">
                  <w:pPr>
                    <w:pStyle w:val="40"/>
                  </w:pPr>
                  <w:r>
                    <w:rPr>
                      <w:rFonts w:hint="eastAsia"/>
                    </w:rPr>
                    <w:t>洒水抑尘</w:t>
                  </w:r>
                </w:p>
              </w:tc>
            </w:tr>
            <w:tr w14:paraId="0B452AD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73" w:hRule="atLeast"/>
                <w:jc w:val="center"/>
              </w:trPr>
              <w:tc>
                <w:tcPr>
                  <w:tcW w:w="718" w:type="dxa"/>
                  <w:vAlign w:val="center"/>
                </w:tcPr>
                <w:p w14:paraId="59E035C2">
                  <w:pPr>
                    <w:pStyle w:val="40"/>
                  </w:pPr>
                  <w:r>
                    <w:rPr>
                      <w:rFonts w:hint="eastAsia"/>
                    </w:rPr>
                    <w:t>3</w:t>
                  </w:r>
                </w:p>
              </w:tc>
              <w:tc>
                <w:tcPr>
                  <w:tcW w:w="1418" w:type="dxa"/>
                  <w:vAlign w:val="center"/>
                </w:tcPr>
                <w:p w14:paraId="6FE52703">
                  <w:pPr>
                    <w:pStyle w:val="40"/>
                    <w:rPr>
                      <w:bCs/>
                      <w:highlight w:val="yellow"/>
                    </w:rPr>
                  </w:pPr>
                  <w:r>
                    <w:rPr>
                      <w:rFonts w:hint="eastAsia"/>
                    </w:rPr>
                    <w:t>生活</w:t>
                  </w:r>
                </w:p>
              </w:tc>
              <w:tc>
                <w:tcPr>
                  <w:tcW w:w="945" w:type="dxa"/>
                  <w:vAlign w:val="center"/>
                </w:tcPr>
                <w:p w14:paraId="6A41B865">
                  <w:pPr>
                    <w:pStyle w:val="40"/>
                  </w:pPr>
                  <w:r>
                    <w:rPr>
                      <w:rFonts w:hint="eastAsia"/>
                    </w:rPr>
                    <w:t>168</w:t>
                  </w:r>
                </w:p>
              </w:tc>
              <w:tc>
                <w:tcPr>
                  <w:tcW w:w="833" w:type="dxa"/>
                  <w:vAlign w:val="center"/>
                </w:tcPr>
                <w:p w14:paraId="5F4D7F04">
                  <w:pPr>
                    <w:pStyle w:val="40"/>
                  </w:pPr>
                  <w:r>
                    <w:rPr>
                      <w:rFonts w:hint="eastAsia"/>
                    </w:rPr>
                    <w:t>/</w:t>
                  </w:r>
                </w:p>
              </w:tc>
              <w:tc>
                <w:tcPr>
                  <w:tcW w:w="1089" w:type="dxa"/>
                  <w:vAlign w:val="center"/>
                </w:tcPr>
                <w:p w14:paraId="46FBCD56">
                  <w:pPr>
                    <w:pStyle w:val="40"/>
                  </w:pPr>
                  <w:r>
                    <w:rPr>
                      <w:rFonts w:hint="eastAsia"/>
                    </w:rPr>
                    <w:t>16.8</w:t>
                  </w:r>
                </w:p>
              </w:tc>
              <w:tc>
                <w:tcPr>
                  <w:tcW w:w="1017" w:type="dxa"/>
                  <w:vAlign w:val="center"/>
                </w:tcPr>
                <w:p w14:paraId="5FD675F1">
                  <w:pPr>
                    <w:pStyle w:val="40"/>
                  </w:pPr>
                  <w:r>
                    <w:rPr>
                      <w:rFonts w:hint="eastAsia"/>
                    </w:rPr>
                    <w:t>151.2</w:t>
                  </w:r>
                </w:p>
              </w:tc>
              <w:tc>
                <w:tcPr>
                  <w:tcW w:w="1877" w:type="dxa"/>
                  <w:vAlign w:val="center"/>
                </w:tcPr>
                <w:p w14:paraId="3250FB3C">
                  <w:pPr>
                    <w:pStyle w:val="40"/>
                  </w:pPr>
                  <w:r>
                    <w:rPr>
                      <w:rFonts w:hint="eastAsia"/>
                    </w:rPr>
                    <w:t>旱厕清掏，不外排</w:t>
                  </w:r>
                </w:p>
              </w:tc>
            </w:tr>
            <w:tr w14:paraId="1B85431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79" w:hRule="atLeast"/>
                <w:jc w:val="center"/>
              </w:trPr>
              <w:tc>
                <w:tcPr>
                  <w:tcW w:w="2136" w:type="dxa"/>
                  <w:gridSpan w:val="2"/>
                  <w:vAlign w:val="center"/>
                </w:tcPr>
                <w:p w14:paraId="7B853BCC">
                  <w:pPr>
                    <w:pStyle w:val="40"/>
                    <w:rPr>
                      <w:highlight w:val="yellow"/>
                    </w:rPr>
                  </w:pPr>
                  <w:r>
                    <w:rPr>
                      <w:rFonts w:hint="eastAsia"/>
                    </w:rPr>
                    <w:t>小计</w:t>
                  </w:r>
                </w:p>
              </w:tc>
              <w:tc>
                <w:tcPr>
                  <w:tcW w:w="1777" w:type="dxa"/>
                  <w:gridSpan w:val="2"/>
                  <w:vAlign w:val="center"/>
                </w:tcPr>
                <w:p w14:paraId="35B8F21E">
                  <w:pPr>
                    <w:pStyle w:val="40"/>
                  </w:pPr>
                  <w:r>
                    <w:rPr>
                      <w:rFonts w:hint="eastAsia"/>
                    </w:rPr>
                    <w:t>17207.64</w:t>
                  </w:r>
                </w:p>
              </w:tc>
              <w:tc>
                <w:tcPr>
                  <w:tcW w:w="1089" w:type="dxa"/>
                  <w:vAlign w:val="center"/>
                </w:tcPr>
                <w:p w14:paraId="2FFC0568">
                  <w:pPr>
                    <w:pStyle w:val="40"/>
                    <w:rPr>
                      <w:highlight w:val="yellow"/>
                    </w:rPr>
                  </w:pPr>
                  <w:r>
                    <w:rPr>
                      <w:rFonts w:hint="eastAsia"/>
                    </w:rPr>
                    <w:t>1082.28</w:t>
                  </w:r>
                </w:p>
              </w:tc>
              <w:tc>
                <w:tcPr>
                  <w:tcW w:w="1017" w:type="dxa"/>
                  <w:vAlign w:val="center"/>
                </w:tcPr>
                <w:p w14:paraId="3448B6F1">
                  <w:pPr>
                    <w:pStyle w:val="40"/>
                    <w:rPr>
                      <w:highlight w:val="yellow"/>
                    </w:rPr>
                  </w:pPr>
                  <w:r>
                    <w:rPr>
                      <w:rFonts w:hint="eastAsia"/>
                    </w:rPr>
                    <w:t>9405.4</w:t>
                  </w:r>
                </w:p>
              </w:tc>
              <w:tc>
                <w:tcPr>
                  <w:tcW w:w="1877" w:type="dxa"/>
                  <w:vAlign w:val="center"/>
                </w:tcPr>
                <w:p w14:paraId="0587D3FC">
                  <w:pPr>
                    <w:pStyle w:val="40"/>
                    <w:rPr>
                      <w:highlight w:val="yellow"/>
                    </w:rPr>
                  </w:pPr>
                  <w:r>
                    <w:rPr>
                      <w:rFonts w:hint="eastAsia"/>
                    </w:rPr>
                    <w:t>/</w:t>
                  </w:r>
                </w:p>
              </w:tc>
            </w:tr>
          </w:tbl>
          <w:p w14:paraId="74DCFF2C">
            <w:pPr>
              <w:pStyle w:val="73"/>
            </w:pPr>
          </w:p>
          <w:p w14:paraId="03C84A3E">
            <w:pPr>
              <w:pStyle w:val="108"/>
              <w:spacing w:line="360" w:lineRule="auto"/>
              <w:ind w:firstLine="422" w:firstLineChars="200"/>
              <w:jc w:val="left"/>
              <w:rPr>
                <w:sz w:val="24"/>
              </w:rPr>
            </w:pPr>
            <w:r>
              <w:rPr>
                <w:b/>
                <w:kern w:val="0"/>
              </w:rPr>
              <mc:AlternateContent>
                <mc:Choice Requires="wps">
                  <w:drawing>
                    <wp:anchor distT="0" distB="0" distL="114300" distR="114300" simplePos="0" relativeHeight="251701248" behindDoc="0" locked="0" layoutInCell="1" allowOverlap="1">
                      <wp:simplePos x="0" y="0"/>
                      <wp:positionH relativeFrom="column">
                        <wp:posOffset>1441450</wp:posOffset>
                      </wp:positionH>
                      <wp:positionV relativeFrom="paragraph">
                        <wp:posOffset>93980</wp:posOffset>
                      </wp:positionV>
                      <wp:extent cx="623570" cy="256540"/>
                      <wp:effectExtent l="0" t="0" r="0" b="0"/>
                      <wp:wrapNone/>
                      <wp:docPr id="42" name="文本框 102"/>
                      <wp:cNvGraphicFramePr/>
                      <a:graphic xmlns:a="http://schemas.openxmlformats.org/drawingml/2006/main">
                        <a:graphicData uri="http://schemas.microsoft.com/office/word/2010/wordprocessingShape">
                          <wps:wsp>
                            <wps:cNvSpPr txBox="1"/>
                            <wps:spPr>
                              <a:xfrm>
                                <a:off x="0" y="0"/>
                                <a:ext cx="623570" cy="256540"/>
                              </a:xfrm>
                              <a:prstGeom prst="rect">
                                <a:avLst/>
                              </a:prstGeom>
                              <a:noFill/>
                              <a:ln w="12700">
                                <a:noFill/>
                              </a:ln>
                            </wps:spPr>
                            <wps:txbx>
                              <w:txbxContent>
                                <w:p w14:paraId="5A5D3E47">
                                  <w:pPr>
                                    <w:pStyle w:val="108"/>
                                    <w:jc w:val="both"/>
                                  </w:pPr>
                                  <w:r>
                                    <w:rPr>
                                      <w:rFonts w:hint="eastAsia"/>
                                    </w:rPr>
                                    <w:t>4.746</w:t>
                                  </w:r>
                                </w:p>
                              </w:txbxContent>
                            </wps:txbx>
                            <wps:bodyPr upright="1"/>
                          </wps:wsp>
                        </a:graphicData>
                      </a:graphic>
                    </wp:anchor>
                  </w:drawing>
                </mc:Choice>
                <mc:Fallback>
                  <w:pict>
                    <v:shape id="文本框 102" o:spid="_x0000_s1026" o:spt="202" type="#_x0000_t202" style="position:absolute;left:0pt;margin-left:113.5pt;margin-top:7.4pt;height:20.2pt;width:49.1pt;z-index:251701248;mso-width-relative:page;mso-height-relative:page;" filled="f" stroked="f" coordsize="21600,21600" o:gfxdata="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8ErfzXAAAACQEAAA8AAAAAAAAAAQAgAAAAIgAAAGRycy9kb3ducmV2LnhtbFBLAQIUABQA&#10;AAAIAIdO4kCSAFXYuAEAAFoDAAAOAAAAAAAAAAEAIAAAACYBAABkcnMvZTJvRG9jLnhtbFBLBQYA&#10;AAAABgAGAFkBAABQBQAAAAA=&#10;">
                      <v:fill on="f" focussize="0,0"/>
                      <v:stroke on="f" weight="1pt"/>
                      <v:imagedata o:title=""/>
                      <o:lock v:ext="edit" aspectratio="f"/>
                      <v:textbox>
                        <w:txbxContent>
                          <w:p w14:paraId="5A5D3E47">
                            <w:pPr>
                              <w:pStyle w:val="108"/>
                              <w:jc w:val="both"/>
                            </w:pPr>
                            <w:r>
                              <w:rPr>
                                <w:rFonts w:hint="eastAsia"/>
                              </w:rPr>
                              <w:t>4.746</w:t>
                            </w:r>
                          </w:p>
                        </w:txbxContent>
                      </v:textbox>
                    </v:shape>
                  </w:pict>
                </mc:Fallback>
              </mc:AlternateContent>
            </w:r>
          </w:p>
          <w:p w14:paraId="1EED1C7D">
            <w:pPr>
              <w:pStyle w:val="108"/>
              <w:spacing w:line="360" w:lineRule="auto"/>
              <w:ind w:firstLine="422" w:firstLineChars="200"/>
              <w:jc w:val="left"/>
              <w:rPr>
                <w:sz w:val="24"/>
              </w:rPr>
            </w:pPr>
            <w:r>
              <w:rPr>
                <w:b/>
                <w:kern w:val="0"/>
              </w:rPr>
              <mc:AlternateContent>
                <mc:Choice Requires="wps">
                  <w:drawing>
                    <wp:anchor distT="0" distB="0" distL="114300" distR="114300" simplePos="0" relativeHeight="251702272" behindDoc="0" locked="0" layoutInCell="1" allowOverlap="1">
                      <wp:simplePos x="0" y="0"/>
                      <wp:positionH relativeFrom="column">
                        <wp:posOffset>384175</wp:posOffset>
                      </wp:positionH>
                      <wp:positionV relativeFrom="paragraph">
                        <wp:posOffset>243840</wp:posOffset>
                      </wp:positionV>
                      <wp:extent cx="614045" cy="256540"/>
                      <wp:effectExtent l="0" t="0" r="0" b="0"/>
                      <wp:wrapNone/>
                      <wp:docPr id="43" name="文本框 103"/>
                      <wp:cNvGraphicFramePr/>
                      <a:graphic xmlns:a="http://schemas.openxmlformats.org/drawingml/2006/main">
                        <a:graphicData uri="http://schemas.microsoft.com/office/word/2010/wordprocessingShape">
                          <wps:wsp>
                            <wps:cNvSpPr txBox="1"/>
                            <wps:spPr>
                              <a:xfrm>
                                <a:off x="0" y="0"/>
                                <a:ext cx="614045" cy="256540"/>
                              </a:xfrm>
                              <a:prstGeom prst="rect">
                                <a:avLst/>
                              </a:prstGeom>
                              <a:noFill/>
                              <a:ln w="12700">
                                <a:noFill/>
                              </a:ln>
                            </wps:spPr>
                            <wps:txbx>
                              <w:txbxContent>
                                <w:p w14:paraId="480B4F00">
                                  <w:pPr>
                                    <w:pStyle w:val="108"/>
                                    <w:jc w:val="both"/>
                                  </w:pPr>
                                  <w:r>
                                    <w:rPr>
                                      <w:rFonts w:hint="eastAsia"/>
                                    </w:rPr>
                                    <w:t>47.457</w:t>
                                  </w:r>
                                </w:p>
                              </w:txbxContent>
                            </wps:txbx>
                            <wps:bodyPr upright="1"/>
                          </wps:wsp>
                        </a:graphicData>
                      </a:graphic>
                    </wp:anchor>
                  </w:drawing>
                </mc:Choice>
                <mc:Fallback>
                  <w:pict>
                    <v:shape id="文本框 103" o:spid="_x0000_s1026" o:spt="202" type="#_x0000_t202" style="position:absolute;left:0pt;margin-left:30.25pt;margin-top:19.2pt;height:20.2pt;width:48.35pt;z-index:251702272;mso-width-relative:page;mso-height-relative:page;" filled="f" stroked="f" coordsize="21600,21600" o:gfxdata="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oWdEf2AAAAAgBAAAPAAAAAAAAAAEAIAAAACIAAABkcnMvZG93bnJldi54bWxQSwECFAAU&#10;AAAACACHTuJABrAXALgBAABaAwAADgAAAAAAAAABACAAAAAnAQAAZHJzL2Uyb0RvYy54bWxQSwUG&#10;AAAAAAYABgBZAQAAUQUAAAAA&#10;">
                      <v:fill on="f" focussize="0,0"/>
                      <v:stroke on="f" weight="1pt"/>
                      <v:imagedata o:title=""/>
                      <o:lock v:ext="edit" aspectratio="f"/>
                      <v:textbox>
                        <w:txbxContent>
                          <w:p w14:paraId="480B4F00">
                            <w:pPr>
                              <w:pStyle w:val="108"/>
                              <w:jc w:val="both"/>
                            </w:pPr>
                            <w:r>
                              <w:rPr>
                                <w:rFonts w:hint="eastAsia"/>
                              </w:rPr>
                              <w:t>47.457</w:t>
                            </w:r>
                          </w:p>
                        </w:txbxContent>
                      </v:textbox>
                    </v:shape>
                  </w:pict>
                </mc:Fallback>
              </mc:AlternateContent>
            </w:r>
            <w:r>
              <w:rPr>
                <w:b/>
                <w:kern w:val="0"/>
              </w:rPr>
              <mc:AlternateContent>
                <mc:Choice Requires="wps">
                  <w:drawing>
                    <wp:anchor distT="0" distB="0" distL="114300" distR="114300" simplePos="0" relativeHeight="251720704" behindDoc="0" locked="0" layoutInCell="1" allowOverlap="1">
                      <wp:simplePos x="0" y="0"/>
                      <wp:positionH relativeFrom="column">
                        <wp:posOffset>1637665</wp:posOffset>
                      </wp:positionH>
                      <wp:positionV relativeFrom="paragraph">
                        <wp:posOffset>135255</wp:posOffset>
                      </wp:positionV>
                      <wp:extent cx="623570" cy="256540"/>
                      <wp:effectExtent l="0" t="0" r="0" b="0"/>
                      <wp:wrapNone/>
                      <wp:docPr id="61" name="文本框 1076"/>
                      <wp:cNvGraphicFramePr/>
                      <a:graphic xmlns:a="http://schemas.openxmlformats.org/drawingml/2006/main">
                        <a:graphicData uri="http://schemas.microsoft.com/office/word/2010/wordprocessingShape">
                          <wps:wsp>
                            <wps:cNvSpPr txBox="1"/>
                            <wps:spPr>
                              <a:xfrm>
                                <a:off x="0" y="0"/>
                                <a:ext cx="623570" cy="256540"/>
                              </a:xfrm>
                              <a:prstGeom prst="rect">
                                <a:avLst/>
                              </a:prstGeom>
                              <a:noFill/>
                              <a:ln w="12700">
                                <a:noFill/>
                              </a:ln>
                            </wps:spPr>
                            <wps:txbx>
                              <w:txbxContent>
                                <w:p w14:paraId="7B33C32F">
                                  <w:pPr>
                                    <w:pStyle w:val="108"/>
                                    <w:jc w:val="both"/>
                                  </w:pPr>
                                  <w:r>
                                    <w:rPr>
                                      <w:rFonts w:hint="eastAsia"/>
                                    </w:rPr>
                                    <w:t>42.711</w:t>
                                  </w:r>
                                </w:p>
                              </w:txbxContent>
                            </wps:txbx>
                            <wps:bodyPr upright="1"/>
                          </wps:wsp>
                        </a:graphicData>
                      </a:graphic>
                    </wp:anchor>
                  </w:drawing>
                </mc:Choice>
                <mc:Fallback>
                  <w:pict>
                    <v:shape id="文本框 1076" o:spid="_x0000_s1026" o:spt="202" type="#_x0000_t202" style="position:absolute;left:0pt;margin-left:128.95pt;margin-top:10.65pt;height:20.2pt;width:49.1pt;z-index:251720704;mso-width-relative:page;mso-height-relative:page;" filled="f" stroked="f" coordsize="21600,21600" o:gfxdata="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KceYH2AAAAAkBAAAPAAAAAAAAAAEAIAAAACIAAABkcnMvZG93bnJldi54bWxQSwECFAAU&#10;AAAACACHTuJAoynsc7gBAABbAwAADgAAAAAAAAABACAAAAAnAQAAZHJzL2Uyb0RvYy54bWxQSwUG&#10;AAAAAAYABgBZAQAAUQUAAAAA&#10;">
                      <v:fill on="f" focussize="0,0"/>
                      <v:stroke on="f" weight="1pt"/>
                      <v:imagedata o:title=""/>
                      <o:lock v:ext="edit" aspectratio="f"/>
                      <v:textbox>
                        <w:txbxContent>
                          <w:p w14:paraId="7B33C32F">
                            <w:pPr>
                              <w:pStyle w:val="108"/>
                              <w:jc w:val="both"/>
                            </w:pPr>
                            <w:r>
                              <w:rPr>
                                <w:rFonts w:hint="eastAsia"/>
                              </w:rPr>
                              <w:t>42.711</w:t>
                            </w:r>
                          </w:p>
                        </w:txbxContent>
                      </v:textbox>
                    </v:shape>
                  </w:pict>
                </mc:Fallback>
              </mc:AlternateContent>
            </w:r>
            <w:r>
              <w:rPr>
                <w:b/>
                <w:bCs/>
                <w:sz w:val="28"/>
              </w:rPr>
              <mc:AlternateContent>
                <mc:Choice Requires="wps">
                  <w:drawing>
                    <wp:anchor distT="0" distB="0" distL="114300" distR="114300" simplePos="0" relativeHeight="251700224" behindDoc="0" locked="0" layoutInCell="1" allowOverlap="1">
                      <wp:simplePos x="0" y="0"/>
                      <wp:positionH relativeFrom="column">
                        <wp:posOffset>1302385</wp:posOffset>
                      </wp:positionH>
                      <wp:positionV relativeFrom="paragraph">
                        <wp:posOffset>92710</wp:posOffset>
                      </wp:positionV>
                      <wp:extent cx="293370" cy="223520"/>
                      <wp:effectExtent l="3810" t="0" r="7620" b="5080"/>
                      <wp:wrapNone/>
                      <wp:docPr id="41" name="自选图形 310"/>
                      <wp:cNvGraphicFramePr/>
                      <a:graphic xmlns:a="http://schemas.openxmlformats.org/drawingml/2006/main">
                        <a:graphicData uri="http://schemas.microsoft.com/office/word/2010/wordprocessingShape">
                          <wps:wsp>
                            <wps:cNvCnPr/>
                            <wps:spPr>
                              <a:xfrm flipV="1">
                                <a:off x="0" y="0"/>
                                <a:ext cx="293370" cy="223520"/>
                              </a:xfrm>
                              <a:prstGeom prst="straightConnector1">
                                <a:avLst/>
                              </a:prstGeom>
                              <a:ln w="12700" cap="flat" cmpd="sng">
                                <a:solidFill>
                                  <a:srgbClr val="000000"/>
                                </a:solidFill>
                                <a:prstDash val="dash"/>
                                <a:headEnd type="none" w="med" len="med"/>
                                <a:tailEnd type="triangle" w="med" len="med"/>
                              </a:ln>
                            </wps:spPr>
                            <wps:bodyPr/>
                          </wps:wsp>
                        </a:graphicData>
                      </a:graphic>
                    </wp:anchor>
                  </w:drawing>
                </mc:Choice>
                <mc:Fallback>
                  <w:pict>
                    <v:shape id="自选图形 310" o:spid="_x0000_s1026" o:spt="32" type="#_x0000_t32" style="position:absolute;left:0pt;flip:y;margin-left:102.55pt;margin-top:7.3pt;height:17.6pt;width:23.1pt;z-index:251700224;mso-width-relative:page;mso-height-relative:page;" filled="f" stroked="t" coordsize="21600,21600" o:gfxdata="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31Z4vbAAAACQEAAA8AAAAAAAAAAQAgAAAA&#10;IgAAAGRycy9kb3ducmV2LnhtbFBLAQIUABQAAAAIAIdO4kCLv5gUCAIAAPgDAAAOAAAAAAAAAAEA&#10;IAAAACoBAABkcnMvZTJvRG9jLnhtbFBLBQYAAAAABgAGAFkBAACkBQAAAAA=&#10;">
                      <v:fill on="f" focussize="0,0"/>
                      <v:stroke weight="1pt" color="#000000" joinstyle="round" dashstyle="dash" endarrow="block"/>
                      <v:imagedata o:title=""/>
                      <o:lock v:ext="edit" aspectratio="f"/>
                    </v:shape>
                  </w:pict>
                </mc:Fallback>
              </mc:AlternateContent>
            </w:r>
            <w:r>
              <w:rPr>
                <w:szCs w:val="24"/>
              </w:rPr>
              <mc:AlternateContent>
                <mc:Choice Requires="wps">
                  <w:drawing>
                    <wp:anchor distT="0" distB="0" distL="114300" distR="114300" simplePos="0" relativeHeight="251709440" behindDoc="0" locked="0" layoutInCell="1" allowOverlap="1">
                      <wp:simplePos x="0" y="0"/>
                      <wp:positionH relativeFrom="column">
                        <wp:posOffset>3066415</wp:posOffset>
                      </wp:positionH>
                      <wp:positionV relativeFrom="paragraph">
                        <wp:posOffset>218440</wp:posOffset>
                      </wp:positionV>
                      <wp:extent cx="1815465" cy="489585"/>
                      <wp:effectExtent l="4445" t="4445" r="8890" b="20320"/>
                      <wp:wrapNone/>
                      <wp:docPr id="50" name="矩形 1031"/>
                      <wp:cNvGraphicFramePr/>
                      <a:graphic xmlns:a="http://schemas.openxmlformats.org/drawingml/2006/main">
                        <a:graphicData uri="http://schemas.microsoft.com/office/word/2010/wordprocessingShape">
                          <wps:wsp>
                            <wps:cNvSpPr/>
                            <wps:spPr>
                              <a:xfrm>
                                <a:off x="0" y="0"/>
                                <a:ext cx="1815465" cy="489585"/>
                              </a:xfrm>
                              <a:prstGeom prst="rect">
                                <a:avLst/>
                              </a:prstGeom>
                              <a:noFill/>
                              <a:ln w="9525" cap="flat" cmpd="sng">
                                <a:solidFill>
                                  <a:srgbClr val="000000"/>
                                </a:solidFill>
                                <a:prstDash val="solid"/>
                                <a:miter/>
                                <a:headEnd type="none" w="med" len="med"/>
                                <a:tailEnd type="none" w="med" len="med"/>
                              </a:ln>
                            </wps:spPr>
                            <wps:txbx>
                              <w:txbxContent>
                                <w:p w14:paraId="0BB90779">
                                  <w:pPr>
                                    <w:spacing w:line="240" w:lineRule="auto"/>
                                    <w:ind w:firstLine="0" w:firstLineChars="0"/>
                                    <w:rPr>
                                      <w:szCs w:val="21"/>
                                    </w:rPr>
                                  </w:pPr>
                                  <w:r>
                                    <w:rPr>
                                      <w:rFonts w:hint="eastAsia"/>
                                      <w:szCs w:val="21"/>
                                    </w:rPr>
                                    <w:t>秦皇岛市抚宁区中冶水务有限公司</w:t>
                                  </w:r>
                                </w:p>
                              </w:txbxContent>
                            </wps:txbx>
                            <wps:bodyPr upright="1"/>
                          </wps:wsp>
                        </a:graphicData>
                      </a:graphic>
                    </wp:anchor>
                  </w:drawing>
                </mc:Choice>
                <mc:Fallback>
                  <w:pict>
                    <v:rect id="矩形 1031" o:spid="_x0000_s1026" o:spt="1" style="position:absolute;left:0pt;margin-left:241.45pt;margin-top:17.2pt;height:38.55pt;width:142.95pt;z-index:251709440;mso-width-relative:page;mso-height-relative:page;" filled="f" stroked="t" coordsize="21600,21600" o:gfxdata="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5OtiXYAAAACgEAAA8AAAAAAAAAAQAgAAAAIgAAAGRycy9kb3du&#10;cmV2LnhtbFBLAQIUABQAAAAIAIdO4kAKYPaV/wEAAAQEAAAOAAAAAAAAAAEAIAAAACcBAABkcnMv&#10;ZTJvRG9jLnhtbFBLBQYAAAAABgAGAFkBAACYBQAAAAA=&#10;">
                      <v:fill on="f" focussize="0,0"/>
                      <v:stroke color="#000000" joinstyle="miter"/>
                      <v:imagedata o:title=""/>
                      <o:lock v:ext="edit" aspectratio="f"/>
                      <v:textbox>
                        <w:txbxContent>
                          <w:p w14:paraId="0BB90779">
                            <w:pPr>
                              <w:spacing w:line="240" w:lineRule="auto"/>
                              <w:ind w:firstLine="0" w:firstLineChars="0"/>
                              <w:rPr>
                                <w:szCs w:val="21"/>
                              </w:rPr>
                            </w:pPr>
                            <w:r>
                              <w:rPr>
                                <w:rFonts w:hint="eastAsia"/>
                                <w:szCs w:val="21"/>
                              </w:rPr>
                              <w:t>秦皇岛市抚宁区中冶水务有限公司</w:t>
                            </w:r>
                          </w:p>
                        </w:txbxContent>
                      </v:textbox>
                    </v:rect>
                  </w:pict>
                </mc:Fallback>
              </mc:AlternateContent>
            </w:r>
            <w:r>
              <w:rPr>
                <w:b/>
                <w:kern w:val="0"/>
              </w:rPr>
              <mc:AlternateContent>
                <mc:Choice Requires="wps">
                  <w:drawing>
                    <wp:anchor distT="0" distB="0" distL="114300" distR="114300" simplePos="0" relativeHeight="251710464" behindDoc="0" locked="0" layoutInCell="1" allowOverlap="1">
                      <wp:simplePos x="0" y="0"/>
                      <wp:positionH relativeFrom="column">
                        <wp:posOffset>2578100</wp:posOffset>
                      </wp:positionH>
                      <wp:positionV relativeFrom="paragraph">
                        <wp:posOffset>127635</wp:posOffset>
                      </wp:positionV>
                      <wp:extent cx="623570" cy="256540"/>
                      <wp:effectExtent l="0" t="0" r="0" b="0"/>
                      <wp:wrapNone/>
                      <wp:docPr id="51" name="文本框 21"/>
                      <wp:cNvGraphicFramePr/>
                      <a:graphic xmlns:a="http://schemas.openxmlformats.org/drawingml/2006/main">
                        <a:graphicData uri="http://schemas.microsoft.com/office/word/2010/wordprocessingShape">
                          <wps:wsp>
                            <wps:cNvSpPr txBox="1"/>
                            <wps:spPr>
                              <a:xfrm>
                                <a:off x="0" y="0"/>
                                <a:ext cx="623570" cy="256540"/>
                              </a:xfrm>
                              <a:prstGeom prst="rect">
                                <a:avLst/>
                              </a:prstGeom>
                              <a:noFill/>
                              <a:ln w="12700">
                                <a:noFill/>
                              </a:ln>
                            </wps:spPr>
                            <wps:txbx>
                              <w:txbxContent>
                                <w:p w14:paraId="05B68245">
                                  <w:pPr>
                                    <w:pStyle w:val="108"/>
                                    <w:jc w:val="both"/>
                                  </w:pPr>
                                  <w:r>
                                    <w:rPr>
                                      <w:rFonts w:hint="eastAsia"/>
                                    </w:rPr>
                                    <w:t>42.711</w:t>
                                  </w:r>
                                </w:p>
                              </w:txbxContent>
                            </wps:txbx>
                            <wps:bodyPr upright="1"/>
                          </wps:wsp>
                        </a:graphicData>
                      </a:graphic>
                    </wp:anchor>
                  </w:drawing>
                </mc:Choice>
                <mc:Fallback>
                  <w:pict>
                    <v:shape id="文本框 21" o:spid="_x0000_s1026" o:spt="202" type="#_x0000_t202" style="position:absolute;left:0pt;margin-left:203pt;margin-top:10.05pt;height:20.2pt;width:49.1pt;z-index:251710464;mso-width-relative:page;mso-height-relative:page;" filled="f" stroked="f" coordsize="21600,21600" o:gfxdata="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C8n2ntgAAAAJAQAADwAAAAAAAAABACAAAAAiAAAAZHJzL2Rvd25yZXYueG1sUEsBAhQAFAAA&#10;AAgAh07iQAPrk8+2AQAAWQMAAA4AAAAAAAAAAQAgAAAAJwEAAGRycy9lMm9Eb2MueG1sUEsFBgAA&#10;AAAGAAYAWQEAAE8FAAAAAA==&#10;">
                      <v:fill on="f" focussize="0,0"/>
                      <v:stroke on="f" weight="1pt"/>
                      <v:imagedata o:title=""/>
                      <o:lock v:ext="edit" aspectratio="f"/>
                      <v:textbox>
                        <w:txbxContent>
                          <w:p w14:paraId="05B68245">
                            <w:pPr>
                              <w:pStyle w:val="108"/>
                              <w:jc w:val="both"/>
                            </w:pPr>
                            <w:r>
                              <w:rPr>
                                <w:rFonts w:hint="eastAsia"/>
                              </w:rPr>
                              <w:t>42.711</w:t>
                            </w:r>
                          </w:p>
                        </w:txbxContent>
                      </v:textbox>
                    </v:shape>
                  </w:pict>
                </mc:Fallback>
              </mc:AlternateContent>
            </w:r>
          </w:p>
          <w:p w14:paraId="7F254D29">
            <w:pPr>
              <w:pStyle w:val="108"/>
              <w:spacing w:line="360" w:lineRule="auto"/>
              <w:ind w:firstLine="422" w:firstLineChars="200"/>
              <w:jc w:val="left"/>
              <w:rPr>
                <w:sz w:val="24"/>
              </w:rPr>
            </w:pPr>
            <w:r>
              <w:rPr>
                <w:b/>
                <w:bCs/>
                <w:szCs w:val="24"/>
              </w:rPr>
              <mc:AlternateContent>
                <mc:Choice Requires="wps">
                  <w:drawing>
                    <wp:anchor distT="0" distB="0" distL="114300" distR="114300" simplePos="0" relativeHeight="251695104" behindDoc="0" locked="0" layoutInCell="1" allowOverlap="1">
                      <wp:simplePos x="0" y="0"/>
                      <wp:positionH relativeFrom="column">
                        <wp:posOffset>861060</wp:posOffset>
                      </wp:positionH>
                      <wp:positionV relativeFrom="paragraph">
                        <wp:posOffset>60325</wp:posOffset>
                      </wp:positionV>
                      <wp:extent cx="911225" cy="323215"/>
                      <wp:effectExtent l="6350" t="6350" r="15875" b="13335"/>
                      <wp:wrapNone/>
                      <wp:docPr id="36" name="矩形 132"/>
                      <wp:cNvGraphicFramePr/>
                      <a:graphic xmlns:a="http://schemas.openxmlformats.org/drawingml/2006/main">
                        <a:graphicData uri="http://schemas.microsoft.com/office/word/2010/wordprocessingShape">
                          <wps:wsp>
                            <wps:cNvSpPr>
                              <a:spLocks noChangeArrowheads="1"/>
                            </wps:cNvSpPr>
                            <wps:spPr bwMode="auto">
                              <a:xfrm>
                                <a:off x="0" y="0"/>
                                <a:ext cx="885825" cy="276225"/>
                              </a:xfrm>
                              <a:prstGeom prst="rect">
                                <a:avLst/>
                              </a:prstGeom>
                              <a:solidFill>
                                <a:srgbClr val="FFFFFF"/>
                              </a:solidFill>
                              <a:ln w="12700" algn="ctr">
                                <a:solidFill>
                                  <a:srgbClr val="000000"/>
                                </a:solidFill>
                                <a:miter lim="800000"/>
                              </a:ln>
                              <a:effectLst/>
                            </wps:spPr>
                            <wps:txbx>
                              <w:txbxContent>
                                <w:p w14:paraId="202E3ABF">
                                  <w:pPr>
                                    <w:pStyle w:val="108"/>
                                  </w:pPr>
                                  <w:r>
                                    <w:rPr>
                                      <w:rFonts w:hint="eastAsia"/>
                                    </w:rPr>
                                    <w:t>生产线用水</w:t>
                                  </w:r>
                                </w:p>
                                <w:p w14:paraId="53190A2A">
                                  <w:pPr>
                                    <w:ind w:firstLine="420"/>
                                  </w:pPr>
                                </w:p>
                              </w:txbxContent>
                            </wps:txbx>
                            <wps:bodyPr rot="0" vert="horz" wrap="square" lIns="91440" tIns="45720" rIns="91440" bIns="45720" anchor="t" anchorCtr="0" upright="1">
                              <a:noAutofit/>
                            </wps:bodyPr>
                          </wps:wsp>
                        </a:graphicData>
                      </a:graphic>
                    </wp:anchor>
                  </w:drawing>
                </mc:Choice>
                <mc:Fallback>
                  <w:pict>
                    <v:rect id="矩形 132" o:spid="_x0000_s1026" o:spt="1" style="position:absolute;left:0pt;margin-left:67.8pt;margin-top:4.75pt;height:25.45pt;width:71.75pt;z-index:251695104;mso-width-relative:page;mso-height-relative:page;" fillcolor="#FFFFFF" filled="t" stroked="t" coordsize="21600,21600" o:gfxdata="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DUQl0f2gAAAAgBAAAPAAAAAAAAAAEA&#10;IAAAACIAAABkcnMvZG93bnJldi54bWxQSwECFAAUAAAACACHTuJArpJtS0YCAACWBAAADgAAAAAA&#10;AAABACAAAAApAQAAZHJzL2Uyb0RvYy54bWxQSwUGAAAAAAYABgBZAQAA4QUAAAAA&#10;">
                      <v:fill on="t" focussize="0,0"/>
                      <v:stroke weight="1pt" color="#000000" miterlimit="8" joinstyle="miter"/>
                      <v:imagedata o:title=""/>
                      <o:lock v:ext="edit" aspectratio="f"/>
                      <v:textbox>
                        <w:txbxContent>
                          <w:p w14:paraId="202E3ABF">
                            <w:pPr>
                              <w:pStyle w:val="108"/>
                            </w:pPr>
                            <w:r>
                              <w:rPr>
                                <w:rFonts w:hint="eastAsia"/>
                              </w:rPr>
                              <w:t>生产线用水</w:t>
                            </w:r>
                          </w:p>
                          <w:p w14:paraId="53190A2A">
                            <w:pPr>
                              <w:ind w:firstLine="420"/>
                            </w:pPr>
                          </w:p>
                        </w:txbxContent>
                      </v:textbox>
                    </v:rect>
                  </w:pict>
                </mc:Fallback>
              </mc:AlternateContent>
            </w:r>
            <w:r>
              <w:rPr>
                <w:szCs w:val="24"/>
              </w:rPr>
              <mc:AlternateContent>
                <mc:Choice Requires="wps">
                  <w:drawing>
                    <wp:anchor distT="0" distB="0" distL="114300" distR="114300" simplePos="0" relativeHeight="251697152" behindDoc="0" locked="0" layoutInCell="1" allowOverlap="1">
                      <wp:simplePos x="0" y="0"/>
                      <wp:positionH relativeFrom="column">
                        <wp:posOffset>1781810</wp:posOffset>
                      </wp:positionH>
                      <wp:positionV relativeFrom="paragraph">
                        <wp:posOffset>189230</wp:posOffset>
                      </wp:positionV>
                      <wp:extent cx="254000" cy="1905"/>
                      <wp:effectExtent l="0" t="38100" r="12700" b="36195"/>
                      <wp:wrapNone/>
                      <wp:docPr id="38" name="自选图形 91"/>
                      <wp:cNvGraphicFramePr/>
                      <a:graphic xmlns:a="http://schemas.openxmlformats.org/drawingml/2006/main">
                        <a:graphicData uri="http://schemas.microsoft.com/office/word/2010/wordprocessingShape">
                          <wps:wsp>
                            <wps:cNvCnPr/>
                            <wps:spPr>
                              <a:xfrm flipV="1">
                                <a:off x="0" y="0"/>
                                <a:ext cx="254000" cy="1905"/>
                              </a:xfrm>
                              <a:prstGeom prst="bentConnector3">
                                <a:avLst>
                                  <a:gd name="adj1" fmla="val 50000"/>
                                </a:avLst>
                              </a:prstGeom>
                              <a:ln w="12700" cap="flat" cmpd="sng">
                                <a:solidFill>
                                  <a:srgbClr val="000000"/>
                                </a:solidFill>
                                <a:prstDash val="solid"/>
                                <a:miter/>
                                <a:headEnd type="none" w="med" len="med"/>
                                <a:tailEnd type="triangle" w="med" len="med"/>
                              </a:ln>
                            </wps:spPr>
                            <wps:bodyPr/>
                          </wps:wsp>
                        </a:graphicData>
                      </a:graphic>
                    </wp:anchor>
                  </w:drawing>
                </mc:Choice>
                <mc:Fallback>
                  <w:pict>
                    <v:shape id="自选图形 91" o:spid="_x0000_s1026" o:spt="34" type="#_x0000_t34" style="position:absolute;left:0pt;flip:y;margin-left:140.3pt;margin-top:14.9pt;height:0.15pt;width:20pt;z-index:251697152;mso-width-relative:page;mso-height-relative:page;" filled="f" stroked="t" coordsize="21600,21600" o:gfxdata="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DKAIzz1wAA&#10;AAkBAAAPAAAAAAAAAAEAIAAAACIAAABkcnMvZG93bnJldi54bWxQSwECFAAUAAAACACHTuJA9Mgh&#10;ax8CAAApBAAADgAAAAAAAAABACAAAAAmAQAAZHJzL2Uyb0RvYy54bWxQSwUGAAAAAAYABgBZAQAA&#10;twUAAAAA&#10;" adj="10800">
                      <v:fill on="f" focussize="0,0"/>
                      <v:stroke weight="1pt" color="#000000" joinstyle="miter" endarrow="block"/>
                      <v:imagedata o:title=""/>
                      <o:lock v:ext="edit" aspectratio="f"/>
                    </v:shape>
                  </w:pict>
                </mc:Fallback>
              </mc:AlternateContent>
            </w:r>
            <w:r>
              <w:rPr>
                <w:szCs w:val="24"/>
              </w:rPr>
              <mc:AlternateContent>
                <mc:Choice Requires="wps">
                  <w:drawing>
                    <wp:anchor distT="0" distB="0" distL="114300" distR="114300" simplePos="0" relativeHeight="251708416" behindDoc="0" locked="0" layoutInCell="1" allowOverlap="1">
                      <wp:simplePos x="0" y="0"/>
                      <wp:positionH relativeFrom="column">
                        <wp:posOffset>2703830</wp:posOffset>
                      </wp:positionH>
                      <wp:positionV relativeFrom="paragraph">
                        <wp:posOffset>190500</wp:posOffset>
                      </wp:positionV>
                      <wp:extent cx="380365" cy="635"/>
                      <wp:effectExtent l="0" t="37465" r="635" b="38100"/>
                      <wp:wrapNone/>
                      <wp:docPr id="49" name="自选图形 16"/>
                      <wp:cNvGraphicFramePr/>
                      <a:graphic xmlns:a="http://schemas.openxmlformats.org/drawingml/2006/main">
                        <a:graphicData uri="http://schemas.microsoft.com/office/word/2010/wordprocessingShape">
                          <wps:wsp>
                            <wps:cNvCnPr/>
                            <wps:spPr>
                              <a:xfrm>
                                <a:off x="0" y="0"/>
                                <a:ext cx="380365" cy="635"/>
                              </a:xfrm>
                              <a:prstGeom prst="straightConnector1">
                                <a:avLst/>
                              </a:prstGeom>
                              <a:ln w="12700" cap="flat" cmpd="sng">
                                <a:solidFill>
                                  <a:srgbClr val="000000"/>
                                </a:solidFill>
                                <a:prstDash val="solid"/>
                                <a:headEnd type="none" w="med" len="med"/>
                                <a:tailEnd type="triangle" w="med" len="med"/>
                              </a:ln>
                            </wps:spPr>
                            <wps:bodyPr/>
                          </wps:wsp>
                        </a:graphicData>
                      </a:graphic>
                    </wp:anchor>
                  </w:drawing>
                </mc:Choice>
                <mc:Fallback>
                  <w:pict>
                    <v:shape id="自选图形 16" o:spid="_x0000_s1026" o:spt="32" type="#_x0000_t32" style="position:absolute;left:0pt;margin-left:212.9pt;margin-top:15pt;height:0.05pt;width:29.95pt;z-index:251708416;mso-width-relative:page;mso-height-relative:page;" filled="f" stroked="t" coordsize="21600,21600" o:gfxdata="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K5wqTtcAAAAJAQAADwAAAAAAAAABACAAAAAiAAAAZHJzL2Rvd25y&#10;ZXYueG1sUEsBAhQAFAAAAAgAh07iQMCrS1P/AQAA6wMAAA4AAAAAAAAAAQAgAAAAJgEAAGRycy9l&#10;Mm9Eb2MueG1sUEsFBgAAAAAGAAYAWQEAAJcFAAAAAA==&#10;">
                      <v:fill on="f" focussize="0,0"/>
                      <v:stroke weight="1pt" color="#000000" joinstyle="round" endarrow="block"/>
                      <v:imagedata o:title=""/>
                      <o:lock v:ext="edit" aspectratio="f"/>
                    </v:shape>
                  </w:pict>
                </mc:Fallback>
              </mc:AlternateContent>
            </w:r>
            <w:r>
              <w:rPr>
                <w:szCs w:val="24"/>
              </w:rPr>
              <mc:AlternateContent>
                <mc:Choice Requires="wps">
                  <w:drawing>
                    <wp:anchor distT="0" distB="0" distL="114300" distR="114300" simplePos="0" relativeHeight="251699200" behindDoc="0" locked="0" layoutInCell="1" allowOverlap="1">
                      <wp:simplePos x="0" y="0"/>
                      <wp:positionH relativeFrom="column">
                        <wp:posOffset>2040890</wp:posOffset>
                      </wp:positionH>
                      <wp:positionV relativeFrom="paragraph">
                        <wp:posOffset>45720</wp:posOffset>
                      </wp:positionV>
                      <wp:extent cx="657225" cy="314325"/>
                      <wp:effectExtent l="4445" t="4445" r="5080" b="5080"/>
                      <wp:wrapNone/>
                      <wp:docPr id="40" name="矩形 1051"/>
                      <wp:cNvGraphicFramePr/>
                      <a:graphic xmlns:a="http://schemas.openxmlformats.org/drawingml/2006/main">
                        <a:graphicData uri="http://schemas.microsoft.com/office/word/2010/wordprocessingShape">
                          <wps:wsp>
                            <wps:cNvSpPr/>
                            <wps:spPr>
                              <a:xfrm>
                                <a:off x="0" y="0"/>
                                <a:ext cx="657225" cy="314325"/>
                              </a:xfrm>
                              <a:prstGeom prst="rect">
                                <a:avLst/>
                              </a:prstGeom>
                              <a:noFill/>
                              <a:ln w="9525" cap="flat" cmpd="sng">
                                <a:solidFill>
                                  <a:srgbClr val="000000"/>
                                </a:solidFill>
                                <a:prstDash val="solid"/>
                                <a:miter/>
                                <a:headEnd type="none" w="med" len="med"/>
                                <a:tailEnd type="none" w="med" len="med"/>
                              </a:ln>
                            </wps:spPr>
                            <wps:txbx>
                              <w:txbxContent>
                                <w:p w14:paraId="376DD93B">
                                  <w:pPr>
                                    <w:spacing w:line="240" w:lineRule="auto"/>
                                    <w:ind w:firstLine="0" w:firstLineChars="0"/>
                                    <w:rPr>
                                      <w:szCs w:val="21"/>
                                    </w:rPr>
                                  </w:pPr>
                                  <w:r>
                                    <w:rPr>
                                      <w:rFonts w:hint="eastAsia"/>
                                      <w:szCs w:val="21"/>
                                    </w:rPr>
                                    <w:t>污水站</w:t>
                                  </w:r>
                                </w:p>
                              </w:txbxContent>
                            </wps:txbx>
                            <wps:bodyPr upright="1"/>
                          </wps:wsp>
                        </a:graphicData>
                      </a:graphic>
                    </wp:anchor>
                  </w:drawing>
                </mc:Choice>
                <mc:Fallback>
                  <w:pict>
                    <v:rect id="矩形 1051" o:spid="_x0000_s1026" o:spt="1" style="position:absolute;left:0pt;margin-left:160.7pt;margin-top:3.6pt;height:24.75pt;width:51.75pt;z-index:251699200;mso-width-relative:page;mso-height-relative:page;" filled="f" stroked="t" coordsize="21600,21600" o:gfxdata="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MvHldDXAAAACAEAAA8AAAAAAAAAAQAgAAAAIgAAAGRycy9kb3ducmV2&#10;LnhtbFBLAQIUABQAAAAIAIdO4kBV0KG8/QEAAAMEAAAOAAAAAAAAAAEAIAAAACYBAABkcnMvZTJv&#10;RG9jLnhtbFBLBQYAAAAABgAGAFkBAACVBQAAAAA=&#10;">
                      <v:fill on="f" focussize="0,0"/>
                      <v:stroke color="#000000" joinstyle="miter"/>
                      <v:imagedata o:title=""/>
                      <o:lock v:ext="edit" aspectratio="f"/>
                      <v:textbox>
                        <w:txbxContent>
                          <w:p w14:paraId="376DD93B">
                            <w:pPr>
                              <w:spacing w:line="240" w:lineRule="auto"/>
                              <w:ind w:firstLine="0" w:firstLineChars="0"/>
                              <w:rPr>
                                <w:szCs w:val="21"/>
                              </w:rPr>
                            </w:pPr>
                            <w:r>
                              <w:rPr>
                                <w:rFonts w:hint="eastAsia"/>
                                <w:szCs w:val="21"/>
                              </w:rPr>
                              <w:t>污水站</w:t>
                            </w:r>
                          </w:p>
                        </w:txbxContent>
                      </v:textbox>
                    </v:rect>
                  </w:pict>
                </mc:Fallback>
              </mc:AlternateContent>
            </w:r>
            <w:r>
              <w:rPr>
                <w:b/>
                <w:bCs/>
                <w:szCs w:val="24"/>
              </w:rPr>
              <mc:AlternateContent>
                <mc:Choice Requires="wps">
                  <w:drawing>
                    <wp:anchor distT="0" distB="0" distL="114300" distR="114300" simplePos="0" relativeHeight="251694080" behindDoc="0" locked="0" layoutInCell="1" allowOverlap="1">
                      <wp:simplePos x="0" y="0"/>
                      <wp:positionH relativeFrom="column">
                        <wp:posOffset>546735</wp:posOffset>
                      </wp:positionH>
                      <wp:positionV relativeFrom="paragraph">
                        <wp:posOffset>220345</wp:posOffset>
                      </wp:positionV>
                      <wp:extent cx="3175" cy="2042795"/>
                      <wp:effectExtent l="0" t="0" r="0" b="0"/>
                      <wp:wrapNone/>
                      <wp:docPr id="35" name="自选图形 461"/>
                      <wp:cNvGraphicFramePr/>
                      <a:graphic xmlns:a="http://schemas.openxmlformats.org/drawingml/2006/main">
                        <a:graphicData uri="http://schemas.microsoft.com/office/word/2010/wordprocessingShape">
                          <wps:wsp>
                            <wps:cNvCnPr/>
                            <wps:spPr>
                              <a:xfrm flipH="1">
                                <a:off x="0" y="0"/>
                                <a:ext cx="3175" cy="2042795"/>
                              </a:xfrm>
                              <a:prstGeom prst="straightConnector1">
                                <a:avLst/>
                              </a:prstGeom>
                              <a:ln w="12700" cap="flat" cmpd="sng">
                                <a:solidFill>
                                  <a:srgbClr val="000000"/>
                                </a:solidFill>
                                <a:prstDash val="solid"/>
                                <a:headEnd type="none" w="med" len="med"/>
                                <a:tailEnd type="none" w="med" len="med"/>
                              </a:ln>
                            </wps:spPr>
                            <wps:bodyPr/>
                          </wps:wsp>
                        </a:graphicData>
                      </a:graphic>
                    </wp:anchor>
                  </w:drawing>
                </mc:Choice>
                <mc:Fallback>
                  <w:pict>
                    <v:shape id="自选图形 461" o:spid="_x0000_s1026" o:spt="32" type="#_x0000_t32" style="position:absolute;left:0pt;flip:x;margin-left:43.05pt;margin-top:17.35pt;height:160.85pt;width:0.25pt;z-index:251694080;mso-width-relative:page;mso-height-relative:page;" filled="f" stroked="t" coordsize="21600,21600" o:gfxdata="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v6aJudYAAAAIAQAADwAAAAAAAAABACAAAAAiAAAAZHJzL2Rvd25y&#10;ZXYueG1sUEsBAhQAFAAAAAgAh07iQOBba+0AAgAA9AMAAA4AAAAAAAAAAQAgAAAAJQEAAGRycy9l&#10;Mm9Eb2MueG1sUEsFBgAAAAAGAAYAWQEAAJcFAAAAAA==&#10;">
                      <v:fill on="f" focussize="0,0"/>
                      <v:stroke weight="1pt" color="#000000" joinstyle="round"/>
                      <v:imagedata o:title=""/>
                      <o:lock v:ext="edit" aspectratio="f"/>
                    </v:shape>
                  </w:pict>
                </mc:Fallback>
              </mc:AlternateContent>
            </w:r>
            <w:r>
              <w:rPr>
                <w:szCs w:val="24"/>
              </w:rPr>
              <mc:AlternateContent>
                <mc:Choice Requires="wps">
                  <w:drawing>
                    <wp:anchor distT="0" distB="0" distL="114300" distR="114300" simplePos="0" relativeHeight="251698176" behindDoc="0" locked="0" layoutInCell="1" allowOverlap="1">
                      <wp:simplePos x="0" y="0"/>
                      <wp:positionH relativeFrom="column">
                        <wp:posOffset>548005</wp:posOffset>
                      </wp:positionH>
                      <wp:positionV relativeFrom="paragraph">
                        <wp:posOffset>227330</wp:posOffset>
                      </wp:positionV>
                      <wp:extent cx="335280" cy="0"/>
                      <wp:effectExtent l="0" t="38100" r="7620" b="38100"/>
                      <wp:wrapNone/>
                      <wp:docPr id="39"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280"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43.15pt;margin-top:17.9pt;height:0pt;width:26.4pt;z-index:251698176;mso-width-relative:page;mso-height-relative:page;" filled="f" stroked="t" coordsize="21600,21600" o:gfxdata="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O1tdfLZAAAACAEAAA8AAAAA&#10;AAAAAQAgAAAAIgAAAGRycy9kb3ducmV2LnhtbFBLAQIUABQAAAAIAIdO4kCkNxVTEwIAAP4DAAAO&#10;AAAAAAAAAAEAIAAAACgBAABkcnMvZTJvRG9jLnhtbFBLBQYAAAAABgAGAFkBAACtBQAAAAA=&#10;">
                      <v:fill on="f" focussize="0,0"/>
                      <v:stroke weight="1pt" color="#000000" joinstyle="round" endarrow="block"/>
                      <v:imagedata o:title=""/>
                      <o:lock v:ext="edit" aspectratio="f"/>
                    </v:shape>
                  </w:pict>
                </mc:Fallback>
              </mc:AlternateContent>
            </w:r>
          </w:p>
          <w:p w14:paraId="4AA9A74B">
            <w:pPr>
              <w:pStyle w:val="108"/>
              <w:spacing w:line="360" w:lineRule="auto"/>
              <w:ind w:firstLine="480" w:firstLineChars="200"/>
              <w:jc w:val="left"/>
              <w:rPr>
                <w:sz w:val="24"/>
              </w:rPr>
            </w:pPr>
          </w:p>
          <w:p w14:paraId="6C7ABEC9">
            <w:pPr>
              <w:pStyle w:val="108"/>
              <w:spacing w:line="360" w:lineRule="auto"/>
              <w:ind w:firstLine="422" w:firstLineChars="200"/>
              <w:jc w:val="left"/>
              <w:rPr>
                <w:sz w:val="24"/>
              </w:rPr>
            </w:pPr>
            <w:r>
              <w:rPr>
                <w:b/>
                <w:kern w:val="0"/>
              </w:rPr>
              <mc:AlternateContent>
                <mc:Choice Requires="wps">
                  <w:drawing>
                    <wp:anchor distT="0" distB="0" distL="114300" distR="114300" simplePos="0" relativeHeight="251691008" behindDoc="0" locked="0" layoutInCell="1" allowOverlap="1">
                      <wp:simplePos x="0" y="0"/>
                      <wp:positionH relativeFrom="column">
                        <wp:posOffset>513715</wp:posOffset>
                      </wp:positionH>
                      <wp:positionV relativeFrom="paragraph">
                        <wp:posOffset>187325</wp:posOffset>
                      </wp:positionV>
                      <wp:extent cx="576580" cy="256540"/>
                      <wp:effectExtent l="0" t="0" r="0" b="0"/>
                      <wp:wrapNone/>
                      <wp:docPr id="32" name="文本框 1047"/>
                      <wp:cNvGraphicFramePr/>
                      <a:graphic xmlns:a="http://schemas.openxmlformats.org/drawingml/2006/main">
                        <a:graphicData uri="http://schemas.microsoft.com/office/word/2010/wordprocessingShape">
                          <wps:wsp>
                            <wps:cNvSpPr txBox="1"/>
                            <wps:spPr>
                              <a:xfrm>
                                <a:off x="0" y="0"/>
                                <a:ext cx="576580" cy="256540"/>
                              </a:xfrm>
                              <a:prstGeom prst="rect">
                                <a:avLst/>
                              </a:prstGeom>
                              <a:noFill/>
                              <a:ln w="12700">
                                <a:noFill/>
                              </a:ln>
                            </wps:spPr>
                            <wps:txbx>
                              <w:txbxContent>
                                <w:p w14:paraId="614A5BAD">
                                  <w:pPr>
                                    <w:pStyle w:val="108"/>
                                    <w:jc w:val="both"/>
                                  </w:pPr>
                                  <w:r>
                                    <w:rPr>
                                      <w:rFonts w:hint="eastAsia"/>
                                    </w:rPr>
                                    <w:t>33.684</w:t>
                                  </w:r>
                                </w:p>
                              </w:txbxContent>
                            </wps:txbx>
                            <wps:bodyPr upright="1"/>
                          </wps:wsp>
                        </a:graphicData>
                      </a:graphic>
                    </wp:anchor>
                  </w:drawing>
                </mc:Choice>
                <mc:Fallback>
                  <w:pict>
                    <v:shape id="文本框 1047" o:spid="_x0000_s1026" o:spt="202" type="#_x0000_t202" style="position:absolute;left:0pt;margin-left:40.45pt;margin-top:14.75pt;height:20.2pt;width:45.4pt;z-index:251691008;mso-width-relative:page;mso-height-relative:page;" filled="f" stroked="f" coordsize="21600,21600" o:gfxdata="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qOALX1wAAAAgBAAAPAAAAAAAAAAEAIAAAACIAAABkcnMvZG93bnJldi54bWxQSwECFAAU&#10;AAAACACHTuJAP5Ud1LkBAABbAwAADgAAAAAAAAABACAAAAAmAQAAZHJzL2Uyb0RvYy54bWxQSwUG&#10;AAAAAAYABgBZAQAAUQUAAAAA&#10;">
                      <v:fill on="f" focussize="0,0"/>
                      <v:stroke on="f" weight="1pt"/>
                      <v:imagedata o:title=""/>
                      <o:lock v:ext="edit" aspectratio="f"/>
                      <v:textbox>
                        <w:txbxContent>
                          <w:p w14:paraId="614A5BAD">
                            <w:pPr>
                              <w:pStyle w:val="108"/>
                              <w:jc w:val="both"/>
                            </w:pPr>
                            <w:r>
                              <w:rPr>
                                <w:rFonts w:hint="eastAsia"/>
                              </w:rPr>
                              <w:t>33.684</w:t>
                            </w:r>
                          </w:p>
                        </w:txbxContent>
                      </v:textbox>
                    </v:shape>
                  </w:pict>
                </mc:Fallback>
              </mc:AlternateContent>
            </w:r>
            <w:r>
              <mc:AlternateContent>
                <mc:Choice Requires="wps">
                  <w:drawing>
                    <wp:anchor distT="0" distB="0" distL="114300" distR="114300" simplePos="0" relativeHeight="251705344" behindDoc="0" locked="0" layoutInCell="1" allowOverlap="1">
                      <wp:simplePos x="0" y="0"/>
                      <wp:positionH relativeFrom="column">
                        <wp:posOffset>2926080</wp:posOffset>
                      </wp:positionH>
                      <wp:positionV relativeFrom="paragraph">
                        <wp:posOffset>72390</wp:posOffset>
                      </wp:positionV>
                      <wp:extent cx="612775" cy="305435"/>
                      <wp:effectExtent l="0" t="0" r="0" b="0"/>
                      <wp:wrapNone/>
                      <wp:docPr id="46" name="文本框 1044"/>
                      <wp:cNvGraphicFramePr/>
                      <a:graphic xmlns:a="http://schemas.openxmlformats.org/drawingml/2006/main">
                        <a:graphicData uri="http://schemas.microsoft.com/office/word/2010/wordprocessingShape">
                          <wps:wsp>
                            <wps:cNvSpPr txBox="1"/>
                            <wps:spPr>
                              <a:xfrm>
                                <a:off x="0" y="0"/>
                                <a:ext cx="612775" cy="305435"/>
                              </a:xfrm>
                              <a:prstGeom prst="rect">
                                <a:avLst/>
                              </a:prstGeom>
                              <a:noFill/>
                              <a:ln w="12700">
                                <a:noFill/>
                              </a:ln>
                            </wps:spPr>
                            <wps:txbx>
                              <w:txbxContent>
                                <w:p w14:paraId="46A73163">
                                  <w:pPr>
                                    <w:pStyle w:val="108"/>
                                    <w:jc w:val="both"/>
                                  </w:pPr>
                                  <w:r>
                                    <w:rPr>
                                      <w:rFonts w:hint="eastAsia"/>
                                    </w:rPr>
                                    <w:t>0.328</w:t>
                                  </w:r>
                                </w:p>
                              </w:txbxContent>
                            </wps:txbx>
                            <wps:bodyPr upright="1"/>
                          </wps:wsp>
                        </a:graphicData>
                      </a:graphic>
                    </wp:anchor>
                  </w:drawing>
                </mc:Choice>
                <mc:Fallback>
                  <w:pict>
                    <v:shape id="文本框 1044" o:spid="_x0000_s1026" o:spt="202" type="#_x0000_t202" style="position:absolute;left:0pt;margin-left:230.4pt;margin-top:5.7pt;height:24.05pt;width:48.25pt;z-index:251705344;mso-width-relative:page;mso-height-relative:page;" filled="f" stroked="f" coordsize="21600,21600" o:gfxdata="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pf01C9gAAAAJAQAADwAAAAAAAAABACAAAAAiAAAAZHJzL2Rvd25yZXYueG1sUEsBAhQA&#10;FAAAAAgAh07iQMucM0C5AQAAWwMAAA4AAAAAAAAAAQAgAAAAJwEAAGRycy9lMm9Eb2MueG1sUEsF&#10;BgAAAAAGAAYAWQEAAFIFAAAAAA==&#10;">
                      <v:fill on="f" focussize="0,0"/>
                      <v:stroke on="f" weight="1pt"/>
                      <v:imagedata o:title=""/>
                      <o:lock v:ext="edit" aspectratio="f"/>
                      <v:textbox>
                        <w:txbxContent>
                          <w:p w14:paraId="46A73163">
                            <w:pPr>
                              <w:pStyle w:val="108"/>
                              <w:jc w:val="both"/>
                            </w:pPr>
                            <w:r>
                              <w:rPr>
                                <w:rFonts w:hint="eastAsia"/>
                              </w:rPr>
                              <w:t>0.328</w:t>
                            </w:r>
                          </w:p>
                        </w:txbxContent>
                      </v:textbox>
                    </v:shape>
                  </w:pict>
                </mc:Fallback>
              </mc:AlternateContent>
            </w:r>
            <w:r>
              <mc:AlternateContent>
                <mc:Choice Requires="wps">
                  <w:drawing>
                    <wp:anchor distT="0" distB="0" distL="114300" distR="114300" simplePos="0" relativeHeight="251693056" behindDoc="0" locked="0" layoutInCell="1" allowOverlap="1">
                      <wp:simplePos x="0" y="0"/>
                      <wp:positionH relativeFrom="column">
                        <wp:posOffset>1781810</wp:posOffset>
                      </wp:positionH>
                      <wp:positionV relativeFrom="paragraph">
                        <wp:posOffset>205740</wp:posOffset>
                      </wp:positionV>
                      <wp:extent cx="623570" cy="305435"/>
                      <wp:effectExtent l="0" t="0" r="0" b="0"/>
                      <wp:wrapNone/>
                      <wp:docPr id="34" name="文本框 1045"/>
                      <wp:cNvGraphicFramePr/>
                      <a:graphic xmlns:a="http://schemas.openxmlformats.org/drawingml/2006/main">
                        <a:graphicData uri="http://schemas.microsoft.com/office/word/2010/wordprocessingShape">
                          <wps:wsp>
                            <wps:cNvSpPr txBox="1"/>
                            <wps:spPr>
                              <a:xfrm>
                                <a:off x="0" y="0"/>
                                <a:ext cx="623570" cy="305435"/>
                              </a:xfrm>
                              <a:prstGeom prst="rect">
                                <a:avLst/>
                              </a:prstGeom>
                              <a:noFill/>
                              <a:ln w="12700">
                                <a:noFill/>
                              </a:ln>
                            </wps:spPr>
                            <wps:txbx>
                              <w:txbxContent>
                                <w:p w14:paraId="1DC8EE6B">
                                  <w:pPr>
                                    <w:pStyle w:val="108"/>
                                    <w:jc w:val="both"/>
                                  </w:pPr>
                                  <w:r>
                                    <w:rPr>
                                      <w:rFonts w:hint="eastAsia"/>
                                    </w:rPr>
                                    <w:t>33.315</w:t>
                                  </w:r>
                                </w:p>
                              </w:txbxContent>
                            </wps:txbx>
                            <wps:bodyPr upright="1"/>
                          </wps:wsp>
                        </a:graphicData>
                      </a:graphic>
                    </wp:anchor>
                  </w:drawing>
                </mc:Choice>
                <mc:Fallback>
                  <w:pict>
                    <v:shape id="文本框 1045" o:spid="_x0000_s1026" o:spt="202" type="#_x0000_t202" style="position:absolute;left:0pt;margin-left:140.3pt;margin-top:16.2pt;height:24.05pt;width:49.1pt;z-index:251693056;mso-width-relative:page;mso-height-relative:page;" filled="f" stroked="f" coordsize="21600,21600" o:gfxdata="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F6iab/XAAAACQEAAA8AAAAAAAAAAQAgAAAAIgAAAGRycy9kb3ducmV2LnhtbFBLAQIUABQA&#10;AAAIAIdO4kD0WeM5uAEAAFsDAAAOAAAAAAAAAAEAIAAAACYBAABkcnMvZTJvRG9jLnhtbFBLBQYA&#10;AAAABgAGAFkBAABQBQAAAAA=&#10;">
                      <v:fill on="f" focussize="0,0"/>
                      <v:stroke on="f" weight="1pt"/>
                      <v:imagedata o:title=""/>
                      <o:lock v:ext="edit" aspectratio="f"/>
                      <v:textbox>
                        <w:txbxContent>
                          <w:p w14:paraId="1DC8EE6B">
                            <w:pPr>
                              <w:pStyle w:val="108"/>
                              <w:jc w:val="both"/>
                            </w:pPr>
                            <w:r>
                              <w:rPr>
                                <w:rFonts w:hint="eastAsia"/>
                              </w:rPr>
                              <w:t>33.315</w:t>
                            </w:r>
                          </w:p>
                        </w:txbxContent>
                      </v:textbox>
                    </v:shape>
                  </w:pict>
                </mc:Fallback>
              </mc:AlternateContent>
            </w:r>
            <w:r>
              <w:rPr>
                <w:b/>
                <w:bCs/>
                <w:sz w:val="28"/>
              </w:rPr>
              <mc:AlternateContent>
                <mc:Choice Requires="wps">
                  <w:drawing>
                    <wp:anchor distT="0" distB="0" distL="114300" distR="114300" simplePos="0" relativeHeight="251704320" behindDoc="0" locked="0" layoutInCell="1" allowOverlap="1">
                      <wp:simplePos x="0" y="0"/>
                      <wp:positionH relativeFrom="column">
                        <wp:posOffset>2632710</wp:posOffset>
                      </wp:positionH>
                      <wp:positionV relativeFrom="paragraph">
                        <wp:posOffset>177165</wp:posOffset>
                      </wp:positionV>
                      <wp:extent cx="293370" cy="223520"/>
                      <wp:effectExtent l="3810" t="0" r="7620" b="5080"/>
                      <wp:wrapNone/>
                      <wp:docPr id="45" name="自选图形 1046"/>
                      <wp:cNvGraphicFramePr/>
                      <a:graphic xmlns:a="http://schemas.openxmlformats.org/drawingml/2006/main">
                        <a:graphicData uri="http://schemas.microsoft.com/office/word/2010/wordprocessingShape">
                          <wps:wsp>
                            <wps:cNvCnPr/>
                            <wps:spPr>
                              <a:xfrm flipV="1">
                                <a:off x="0" y="0"/>
                                <a:ext cx="293370" cy="223520"/>
                              </a:xfrm>
                              <a:prstGeom prst="straightConnector1">
                                <a:avLst/>
                              </a:prstGeom>
                              <a:ln w="12700" cap="flat" cmpd="sng">
                                <a:solidFill>
                                  <a:srgbClr val="000000"/>
                                </a:solidFill>
                                <a:prstDash val="dash"/>
                                <a:headEnd type="none" w="med" len="med"/>
                                <a:tailEnd type="triangle" w="med" len="med"/>
                              </a:ln>
                            </wps:spPr>
                            <wps:bodyPr/>
                          </wps:wsp>
                        </a:graphicData>
                      </a:graphic>
                    </wp:anchor>
                  </w:drawing>
                </mc:Choice>
                <mc:Fallback>
                  <w:pict>
                    <v:shape id="自选图形 1046" o:spid="_x0000_s1026" o:spt="32" type="#_x0000_t32" style="position:absolute;left:0pt;flip:y;margin-left:207.3pt;margin-top:13.95pt;height:17.6pt;width:23.1pt;z-index:251704320;mso-width-relative:page;mso-height-relative:page;" filled="f" stroked="t" coordsize="21600,21600" o:gfxdata="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VZGUn2wAAAAkBAAAPAAAAAAAAAAEA&#10;IAAAACIAAABkcnMvZG93bnJldi54bWxQSwECFAAUAAAACACHTuJAnORJAQwCAAD5AwAADgAAAAAA&#10;AAABACAAAAAqAQAAZHJzL2Uyb0RvYy54bWxQSwUGAAAAAAYABgBZAQAAqAUAAAAA&#10;">
                      <v:fill on="f" focussize="0,0"/>
                      <v:stroke weight="1pt" color="#000000" joinstyle="round" dashstyle="dash" endarrow="block"/>
                      <v:imagedata o:title=""/>
                      <o:lock v:ext="edit" aspectratio="f"/>
                    </v:shape>
                  </w:pict>
                </mc:Fallback>
              </mc:AlternateContent>
            </w:r>
          </w:p>
          <w:p w14:paraId="6BF52011">
            <w:pPr>
              <w:pStyle w:val="111"/>
              <w:ind w:firstLine="482"/>
              <w:rPr>
                <w:rFonts w:ascii="Times New Roman" w:hAnsi="Times New Roman"/>
              </w:rPr>
            </w:pPr>
            <w:r>
              <w:rPr>
                <w:rFonts w:ascii="Times New Roman" w:hAnsi="Times New Roman"/>
              </w:rPr>
              <mc:AlternateContent>
                <mc:Choice Requires="wps">
                  <w:drawing>
                    <wp:anchor distT="0" distB="0" distL="114300" distR="114300" simplePos="0" relativeHeight="251685888" behindDoc="0" locked="0" layoutInCell="1" allowOverlap="1">
                      <wp:simplePos x="0" y="0"/>
                      <wp:positionH relativeFrom="column">
                        <wp:posOffset>3030220</wp:posOffset>
                      </wp:positionH>
                      <wp:positionV relativeFrom="paragraph">
                        <wp:posOffset>8890</wp:posOffset>
                      </wp:positionV>
                      <wp:extent cx="489585" cy="292100"/>
                      <wp:effectExtent l="0" t="0" r="0" b="0"/>
                      <wp:wrapNone/>
                      <wp:docPr id="29" name="文本框 1051"/>
                      <wp:cNvGraphicFramePr/>
                      <a:graphic xmlns:a="http://schemas.openxmlformats.org/drawingml/2006/main">
                        <a:graphicData uri="http://schemas.microsoft.com/office/word/2010/wordprocessingShape">
                          <wps:wsp>
                            <wps:cNvSpPr txBox="1"/>
                            <wps:spPr>
                              <a:xfrm>
                                <a:off x="0" y="0"/>
                                <a:ext cx="489585" cy="292100"/>
                              </a:xfrm>
                              <a:prstGeom prst="rect">
                                <a:avLst/>
                              </a:prstGeom>
                              <a:noFill/>
                              <a:ln>
                                <a:noFill/>
                              </a:ln>
                            </wps:spPr>
                            <wps:txbx>
                              <w:txbxContent>
                                <w:p w14:paraId="345537B8">
                                  <w:pPr>
                                    <w:spacing w:line="240" w:lineRule="auto"/>
                                    <w:ind w:firstLine="0" w:firstLineChars="0"/>
                                  </w:pPr>
                                  <w:r>
                                    <w:rPr>
                                      <w:rFonts w:hint="eastAsia"/>
                                      <w:szCs w:val="21"/>
                                    </w:rPr>
                                    <w:t>32</w:t>
                                  </w:r>
                                </w:p>
                              </w:txbxContent>
                            </wps:txbx>
                            <wps:bodyPr upright="1"/>
                          </wps:wsp>
                        </a:graphicData>
                      </a:graphic>
                    </wp:anchor>
                  </w:drawing>
                </mc:Choice>
                <mc:Fallback>
                  <w:pict>
                    <v:shape id="文本框 1051" o:spid="_x0000_s1026" o:spt="202" type="#_x0000_t202" style="position:absolute;left:0pt;margin-left:238.6pt;margin-top:0.7pt;height:23pt;width:38.55pt;z-index:251685888;mso-width-relative:page;mso-height-relative:page;" filled="f" stroked="f" coordsize="21600,21600" o:gfxdata="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AIPd571AAA&#10;AAgBAAAPAAAAAAAAAAEAIAAAACIAAABkcnMvZG93bnJldi54bWxQSwECFAAUAAAACACHTuJAKgxb&#10;9rABAABRAwAADgAAAAAAAAABACAAAAAjAQAAZHJzL2Uyb0RvYy54bWxQSwUGAAAAAAYABgBZAQAA&#10;RQUAAAAA&#10;">
                      <v:fill on="f" focussize="0,0"/>
                      <v:stroke on="f"/>
                      <v:imagedata o:title=""/>
                      <o:lock v:ext="edit" aspectratio="f"/>
                      <v:textbox>
                        <w:txbxContent>
                          <w:p w14:paraId="345537B8">
                            <w:pPr>
                              <w:spacing w:line="240" w:lineRule="auto"/>
                              <w:ind w:firstLine="0" w:firstLineChars="0"/>
                            </w:pPr>
                            <w:r>
                              <w:rPr>
                                <w:rFonts w:hint="eastAsia"/>
                                <w:szCs w:val="21"/>
                              </w:rPr>
                              <w:t>32</w:t>
                            </w:r>
                          </w:p>
                        </w:txbxContent>
                      </v:textbox>
                    </v:shape>
                  </w:pict>
                </mc:Fallback>
              </mc:AlternateContent>
            </w:r>
            <w:r>
              <w:rPr>
                <w:b/>
                <w:kern w:val="0"/>
              </w:rPr>
              <mc:AlternateContent>
                <mc:Choice Requires="wps">
                  <w:drawing>
                    <wp:anchor distT="0" distB="0" distL="114300" distR="114300" simplePos="0" relativeHeight="251678720" behindDoc="0" locked="0" layoutInCell="1" allowOverlap="1">
                      <wp:simplePos x="0" y="0"/>
                      <wp:positionH relativeFrom="column">
                        <wp:posOffset>67310</wp:posOffset>
                      </wp:positionH>
                      <wp:positionV relativeFrom="paragraph">
                        <wp:posOffset>32385</wp:posOffset>
                      </wp:positionV>
                      <wp:extent cx="567055" cy="256540"/>
                      <wp:effectExtent l="0" t="0" r="0" b="0"/>
                      <wp:wrapNone/>
                      <wp:docPr id="25" name="文本框 14"/>
                      <wp:cNvGraphicFramePr/>
                      <a:graphic xmlns:a="http://schemas.openxmlformats.org/drawingml/2006/main">
                        <a:graphicData uri="http://schemas.microsoft.com/office/word/2010/wordprocessingShape">
                          <wps:wsp>
                            <wps:cNvSpPr txBox="1"/>
                            <wps:spPr>
                              <a:xfrm>
                                <a:off x="0" y="0"/>
                                <a:ext cx="567055" cy="256540"/>
                              </a:xfrm>
                              <a:prstGeom prst="rect">
                                <a:avLst/>
                              </a:prstGeom>
                              <a:noFill/>
                              <a:ln w="12700">
                                <a:noFill/>
                              </a:ln>
                            </wps:spPr>
                            <wps:txbx>
                              <w:txbxContent>
                                <w:p w14:paraId="2AFE694F">
                                  <w:pPr>
                                    <w:pStyle w:val="108"/>
                                    <w:jc w:val="both"/>
                                  </w:pPr>
                                  <w:r>
                                    <w:rPr>
                                      <w:rFonts w:hint="eastAsia"/>
                                    </w:rPr>
                                    <w:t>81.941</w:t>
                                  </w:r>
                                </w:p>
                              </w:txbxContent>
                            </wps:txbx>
                            <wps:bodyPr upright="1"/>
                          </wps:wsp>
                        </a:graphicData>
                      </a:graphic>
                    </wp:anchor>
                  </w:drawing>
                </mc:Choice>
                <mc:Fallback>
                  <w:pict>
                    <v:shape id="文本框 14" o:spid="_x0000_s1026" o:spt="202" type="#_x0000_t202" style="position:absolute;left:0pt;margin-left:5.3pt;margin-top:2.55pt;height:20.2pt;width:44.65pt;z-index:251678720;mso-width-relative:page;mso-height-relative:page;" filled="f" stroked="f" coordsize="21600,21600" o:gfxdata="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Q&#10;wgls0wAAAAYBAAAPAAAAAAAAAAEAIAAAACIAAABkcnMvZG93bnJldi54bWxQSwECFAAUAAAACACH&#10;TuJAcwAUILcBAABZAwAADgAAAAAAAAABACAAAAAiAQAAZHJzL2Uyb0RvYy54bWxQSwUGAAAAAAYA&#10;BgBZAQAASwUAAAAA&#10;">
                      <v:fill on="f" focussize="0,0"/>
                      <v:stroke on="f" weight="1pt"/>
                      <v:imagedata o:title=""/>
                      <o:lock v:ext="edit" aspectratio="f"/>
                      <v:textbox>
                        <w:txbxContent>
                          <w:p w14:paraId="2AFE694F">
                            <w:pPr>
                              <w:pStyle w:val="108"/>
                              <w:jc w:val="both"/>
                            </w:pPr>
                            <w:r>
                              <w:rPr>
                                <w:rFonts w:hint="eastAsia"/>
                              </w:rPr>
                              <w:t>81.941</w:t>
                            </w:r>
                          </w:p>
                        </w:txbxContent>
                      </v:textbox>
                    </v:shape>
                  </w:pict>
                </mc:Fallback>
              </mc:AlternateContent>
            </w:r>
            <w:r>
              <w:rPr>
                <w:rFonts w:ascii="Times New Roman" w:hAnsi="Times New Roman"/>
                <w:b/>
                <w:bCs/>
                <w:sz w:val="28"/>
              </w:rPr>
              <mc:AlternateContent>
                <mc:Choice Requires="wps">
                  <w:drawing>
                    <wp:anchor distT="0" distB="0" distL="114300" distR="114300" simplePos="0" relativeHeight="251683840" behindDoc="0" locked="0" layoutInCell="1" allowOverlap="1">
                      <wp:simplePos x="0" y="0"/>
                      <wp:positionH relativeFrom="column">
                        <wp:posOffset>2216785</wp:posOffset>
                      </wp:positionH>
                      <wp:positionV relativeFrom="paragraph">
                        <wp:posOffset>146050</wp:posOffset>
                      </wp:positionV>
                      <wp:extent cx="791210" cy="276225"/>
                      <wp:effectExtent l="6350" t="6350" r="21590" b="22225"/>
                      <wp:wrapNone/>
                      <wp:docPr id="235" name="矩形 132"/>
                      <wp:cNvGraphicFramePr/>
                      <a:graphic xmlns:a="http://schemas.openxmlformats.org/drawingml/2006/main">
                        <a:graphicData uri="http://schemas.microsoft.com/office/word/2010/wordprocessingShape">
                          <wps:wsp>
                            <wps:cNvSpPr>
                              <a:spLocks noChangeArrowheads="1"/>
                            </wps:cNvSpPr>
                            <wps:spPr bwMode="auto">
                              <a:xfrm>
                                <a:off x="0" y="0"/>
                                <a:ext cx="885825" cy="276225"/>
                              </a:xfrm>
                              <a:prstGeom prst="rect">
                                <a:avLst/>
                              </a:prstGeom>
                              <a:solidFill>
                                <a:srgbClr val="FFFFFF"/>
                              </a:solidFill>
                              <a:ln w="12700" algn="ctr">
                                <a:solidFill>
                                  <a:srgbClr val="000000"/>
                                </a:solidFill>
                                <a:miter lim="800000"/>
                              </a:ln>
                              <a:effectLst/>
                            </wps:spPr>
                            <wps:txbx>
                              <w:txbxContent>
                                <w:p w14:paraId="587206D5">
                                  <w:pPr>
                                    <w:pStyle w:val="108"/>
                                  </w:pPr>
                                  <w:r>
                                    <w:rPr>
                                      <w:rFonts w:hint="eastAsia"/>
                                    </w:rPr>
                                    <w:t>锅炉用水</w:t>
                                  </w:r>
                                </w:p>
                              </w:txbxContent>
                            </wps:txbx>
                            <wps:bodyPr rot="0" vert="horz" wrap="square" lIns="91440" tIns="45720" rIns="91440" bIns="45720" anchor="t" anchorCtr="0" upright="1">
                              <a:noAutofit/>
                            </wps:bodyPr>
                          </wps:wsp>
                        </a:graphicData>
                      </a:graphic>
                    </wp:anchor>
                  </w:drawing>
                </mc:Choice>
                <mc:Fallback>
                  <w:pict>
                    <v:rect id="矩形 132" o:spid="_x0000_s1026" o:spt="1" style="position:absolute;left:0pt;margin-left:174.55pt;margin-top:11.5pt;height:21.75pt;width:62.3pt;z-index:251683840;mso-width-relative:page;mso-height-relative:page;" fillcolor="#FFFFFF" filled="t" stroked="t" coordsize="21600,21600" o:gfxdata="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FQiKZ7cAAAACQEAAA8AAAAAAAAA&#10;AQAgAAAAIgAAAGRycy9kb3ducmV2LnhtbFBLAQIUABQAAAAIAIdO4kDQAPoERgIAAJcEAAAOAAAA&#10;AAAAAAEAIAAAACsBAABkcnMvZTJvRG9jLnhtbFBLBQYAAAAABgAGAFkBAADjBQAAAAA=&#10;">
                      <v:fill on="t" focussize="0,0"/>
                      <v:stroke weight="1pt" color="#000000" miterlimit="8" joinstyle="miter"/>
                      <v:imagedata o:title=""/>
                      <o:lock v:ext="edit" aspectratio="f"/>
                      <v:textbox>
                        <w:txbxContent>
                          <w:p w14:paraId="587206D5">
                            <w:pPr>
                              <w:pStyle w:val="108"/>
                            </w:pPr>
                            <w:r>
                              <w:rPr>
                                <w:rFonts w:hint="eastAsia"/>
                              </w:rPr>
                              <w:t>锅炉用水</w:t>
                            </w:r>
                          </w:p>
                        </w:txbxContent>
                      </v:textbox>
                    </v:rect>
                  </w:pict>
                </mc:Fallback>
              </mc:AlternateContent>
            </w:r>
            <w:r>
              <w:rPr>
                <w:rFonts w:ascii="Times New Roman" w:hAnsi="Times New Roman"/>
                <w:b/>
                <w:bCs/>
                <w:sz w:val="28"/>
              </w:rPr>
              <mc:AlternateContent>
                <mc:Choice Requires="wps">
                  <w:drawing>
                    <wp:anchor distT="0" distB="0" distL="114300" distR="114300" simplePos="0" relativeHeight="251688960" behindDoc="0" locked="0" layoutInCell="1" allowOverlap="1">
                      <wp:simplePos x="0" y="0"/>
                      <wp:positionH relativeFrom="column">
                        <wp:posOffset>868680</wp:posOffset>
                      </wp:positionH>
                      <wp:positionV relativeFrom="paragraph">
                        <wp:posOffset>132080</wp:posOffset>
                      </wp:positionV>
                      <wp:extent cx="1000760" cy="276225"/>
                      <wp:effectExtent l="6350" t="6350" r="21590" b="22225"/>
                      <wp:wrapNone/>
                      <wp:docPr id="1888" name="矩形 132"/>
                      <wp:cNvGraphicFramePr/>
                      <a:graphic xmlns:a="http://schemas.openxmlformats.org/drawingml/2006/main">
                        <a:graphicData uri="http://schemas.microsoft.com/office/word/2010/wordprocessingShape">
                          <wps:wsp>
                            <wps:cNvSpPr>
                              <a:spLocks noChangeArrowheads="1"/>
                            </wps:cNvSpPr>
                            <wps:spPr bwMode="auto">
                              <a:xfrm>
                                <a:off x="0" y="0"/>
                                <a:ext cx="885825" cy="276225"/>
                              </a:xfrm>
                              <a:prstGeom prst="rect">
                                <a:avLst/>
                              </a:prstGeom>
                              <a:solidFill>
                                <a:srgbClr val="FFFFFF"/>
                              </a:solidFill>
                              <a:ln w="12700" algn="ctr">
                                <a:solidFill>
                                  <a:srgbClr val="000000"/>
                                </a:solidFill>
                                <a:miter lim="800000"/>
                              </a:ln>
                              <a:effectLst/>
                            </wps:spPr>
                            <wps:txbx>
                              <w:txbxContent>
                                <w:p w14:paraId="1A598162">
                                  <w:pPr>
                                    <w:ind w:firstLine="0" w:firstLineChars="0"/>
                                  </w:pPr>
                                  <w:r>
                                    <w:rPr>
                                      <w:rFonts w:hint="eastAsia"/>
                                    </w:rPr>
                                    <w:t>锅炉软水系统</w:t>
                                  </w:r>
                                </w:p>
                              </w:txbxContent>
                            </wps:txbx>
                            <wps:bodyPr rot="0" vert="horz" wrap="square" lIns="91440" tIns="45720" rIns="91440" bIns="45720" anchor="t" anchorCtr="0" upright="1">
                              <a:noAutofit/>
                            </wps:bodyPr>
                          </wps:wsp>
                        </a:graphicData>
                      </a:graphic>
                    </wp:anchor>
                  </w:drawing>
                </mc:Choice>
                <mc:Fallback>
                  <w:pict>
                    <v:rect id="矩形 132" o:spid="_x0000_s1026" o:spt="1" style="position:absolute;left:0pt;margin-left:68.4pt;margin-top:10.4pt;height:21.75pt;width:78.8pt;z-index:251688960;mso-width-relative:page;mso-height-relative:page;" fillcolor="#FFFFFF" filled="t" stroked="t" coordsize="21600,21600" o:gfxdata="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nvuZ9NsAAAAJAQAADwAAAAAAAAAB&#10;ACAAAAAiAAAAZHJzL2Rvd25yZXYueG1sUEsBAhQAFAAAAAgAh07iQM7tvq1GAgAAmAQAAA4AAAAA&#10;AAAAAQAgAAAAKgEAAGRycy9lMm9Eb2MueG1sUEsFBgAAAAAGAAYAWQEAAOIFAAAAAA==&#10;">
                      <v:fill on="t" focussize="0,0"/>
                      <v:stroke weight="1pt" color="#000000" miterlimit="8" joinstyle="miter"/>
                      <v:imagedata o:title=""/>
                      <o:lock v:ext="edit" aspectratio="f"/>
                      <v:textbox>
                        <w:txbxContent>
                          <w:p w14:paraId="1A598162">
                            <w:pPr>
                              <w:ind w:firstLine="0" w:firstLineChars="0"/>
                            </w:pPr>
                            <w:r>
                              <w:rPr>
                                <w:rFonts w:hint="eastAsia"/>
                              </w:rPr>
                              <w:t>锅炉软水系统</w:t>
                            </w:r>
                          </w:p>
                        </w:txbxContent>
                      </v:textbox>
                    </v:rect>
                  </w:pict>
                </mc:Fallback>
              </mc:AlternateContent>
            </w:r>
          </w:p>
          <w:p w14:paraId="16C8DD50">
            <w:pPr>
              <w:pStyle w:val="111"/>
              <w:ind w:firstLine="482"/>
              <w:rPr>
                <w:rFonts w:ascii="Times New Roman" w:hAnsi="Times New Roman"/>
              </w:rPr>
            </w:pPr>
            <w:r>
              <w:rPr>
                <w:rFonts w:ascii="Times New Roman" w:hAnsi="Times New Roman"/>
              </w:rPr>
              <mc:AlternateContent>
                <mc:Choice Requires="wps">
                  <w:drawing>
                    <wp:anchor distT="0" distB="0" distL="114300" distR="114300" simplePos="0" relativeHeight="251721728" behindDoc="0" locked="0" layoutInCell="1" allowOverlap="1">
                      <wp:simplePos x="0" y="0"/>
                      <wp:positionH relativeFrom="column">
                        <wp:posOffset>3047365</wp:posOffset>
                      </wp:positionH>
                      <wp:positionV relativeFrom="paragraph">
                        <wp:posOffset>148590</wp:posOffset>
                      </wp:positionV>
                      <wp:extent cx="489585" cy="292100"/>
                      <wp:effectExtent l="0" t="0" r="0" b="0"/>
                      <wp:wrapNone/>
                      <wp:docPr id="62" name="文本框 1077"/>
                      <wp:cNvGraphicFramePr/>
                      <a:graphic xmlns:a="http://schemas.openxmlformats.org/drawingml/2006/main">
                        <a:graphicData uri="http://schemas.microsoft.com/office/word/2010/wordprocessingShape">
                          <wps:wsp>
                            <wps:cNvSpPr txBox="1"/>
                            <wps:spPr>
                              <a:xfrm>
                                <a:off x="0" y="0"/>
                                <a:ext cx="489585" cy="292100"/>
                              </a:xfrm>
                              <a:prstGeom prst="rect">
                                <a:avLst/>
                              </a:prstGeom>
                              <a:noFill/>
                              <a:ln>
                                <a:noFill/>
                              </a:ln>
                            </wps:spPr>
                            <wps:txbx>
                              <w:txbxContent>
                                <w:p w14:paraId="3C760C7F">
                                  <w:pPr>
                                    <w:spacing w:line="240" w:lineRule="auto"/>
                                    <w:ind w:firstLine="0" w:firstLineChars="0"/>
                                  </w:pPr>
                                  <w:r>
                                    <w:rPr>
                                      <w:rFonts w:hint="eastAsia"/>
                                      <w:szCs w:val="21"/>
                                    </w:rPr>
                                    <w:t>32</w:t>
                                  </w:r>
                                </w:p>
                              </w:txbxContent>
                            </wps:txbx>
                            <wps:bodyPr upright="1"/>
                          </wps:wsp>
                        </a:graphicData>
                      </a:graphic>
                    </wp:anchor>
                  </w:drawing>
                </mc:Choice>
                <mc:Fallback>
                  <w:pict>
                    <v:shape id="文本框 1077" o:spid="_x0000_s1026" o:spt="202" type="#_x0000_t202" style="position:absolute;left:0pt;margin-left:239.95pt;margin-top:11.7pt;height:23pt;width:38.55pt;z-index:251721728;mso-width-relative:page;mso-height-relative:page;" filled="f" stroked="f" coordsize="21600,21600" o:gfxdata="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4a7U&#10;3dcAAAAJAQAADwAAAAAAAAABACAAAAAiAAAAZHJzL2Rvd25yZXYueG1sUEsBAhQAFAAAAAgAh07i&#10;QM7OtRCxAQAAUQMAAA4AAAAAAAAAAQAgAAAAJgEAAGRycy9lMm9Eb2MueG1sUEsFBgAAAAAGAAYA&#10;WQEAAEkFAAAAAA==&#10;">
                      <v:fill on="f" focussize="0,0"/>
                      <v:stroke on="f"/>
                      <v:imagedata o:title=""/>
                      <o:lock v:ext="edit" aspectratio="f"/>
                      <v:textbox>
                        <w:txbxContent>
                          <w:p w14:paraId="3C760C7F">
                            <w:pPr>
                              <w:spacing w:line="240" w:lineRule="auto"/>
                              <w:ind w:firstLine="0" w:firstLineChars="0"/>
                            </w:pPr>
                            <w:r>
                              <w:rPr>
                                <w:rFonts w:hint="eastAsia"/>
                                <w:szCs w:val="21"/>
                              </w:rPr>
                              <w:t>32</w:t>
                            </w:r>
                          </w:p>
                        </w:txbxContent>
                      </v:textbox>
                    </v:shape>
                  </w:pict>
                </mc:Fallback>
              </mc:AlternateContent>
            </w:r>
            <w:r>
              <w:rPr>
                <w:rFonts w:ascii="Times New Roman" w:hAnsi="Times New Roman"/>
              </w:rPr>
              <mc:AlternateContent>
                <mc:Choice Requires="wps">
                  <w:drawing>
                    <wp:anchor distT="0" distB="0" distL="114300" distR="114300" simplePos="0" relativeHeight="251686912" behindDoc="0" locked="0" layoutInCell="1" allowOverlap="1">
                      <wp:simplePos x="0" y="0"/>
                      <wp:positionH relativeFrom="column">
                        <wp:posOffset>3012440</wp:posOffset>
                      </wp:positionH>
                      <wp:positionV relativeFrom="paragraph">
                        <wp:posOffset>100330</wp:posOffset>
                      </wp:positionV>
                      <wp:extent cx="394335" cy="3810"/>
                      <wp:effectExtent l="0" t="34925" r="5715" b="37465"/>
                      <wp:wrapNone/>
                      <wp:docPr id="30" name="自选图形 1056"/>
                      <wp:cNvGraphicFramePr/>
                      <a:graphic xmlns:a="http://schemas.openxmlformats.org/drawingml/2006/main">
                        <a:graphicData uri="http://schemas.microsoft.com/office/word/2010/wordprocessingShape">
                          <wps:wsp>
                            <wps:cNvCnPr/>
                            <wps:spPr>
                              <a:xfrm>
                                <a:off x="0" y="0"/>
                                <a:ext cx="394335" cy="3810"/>
                              </a:xfrm>
                              <a:prstGeom prst="straightConnector1">
                                <a:avLst/>
                              </a:prstGeom>
                              <a:ln w="12700" cap="flat" cmpd="sng">
                                <a:solidFill>
                                  <a:srgbClr val="000000"/>
                                </a:solidFill>
                                <a:prstDash val="solid"/>
                                <a:headEnd type="none" w="med" len="med"/>
                                <a:tailEnd type="triangle" w="med" len="med"/>
                              </a:ln>
                            </wps:spPr>
                            <wps:bodyPr/>
                          </wps:wsp>
                        </a:graphicData>
                      </a:graphic>
                    </wp:anchor>
                  </w:drawing>
                </mc:Choice>
                <mc:Fallback>
                  <w:pict>
                    <v:shape id="自选图形 1056" o:spid="_x0000_s1026" o:spt="32" type="#_x0000_t32" style="position:absolute;left:0pt;margin-left:237.2pt;margin-top:7.9pt;height:0.3pt;width:31.05pt;z-index:251686912;mso-width-relative:page;mso-height-relative:page;" filled="f" stroked="t" coordsize="21600,21600" o:gfxdata="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FoDznzWAAAACQEAAA8AAAAAAAAAAQAgAAAAIgAAAGRycy9k&#10;b3ducmV2LnhtbFBLAQIUABQAAAAIAIdO4kCDdPYnBAIAAO4DAAAOAAAAAAAAAAEAIAAAACUBAABk&#10;cnMvZTJvRG9jLnhtbFBLBQYAAAAABgAGAFkBAACbBQAAAAA=&#10;">
                      <v:fill on="f" focussize="0,0"/>
                      <v:stroke weight="1pt" color="#000000" joinstyle="round" endarrow="block"/>
                      <v:imagedata o:title=""/>
                      <o:lock v:ext="edit" aspectratio="f"/>
                    </v:shape>
                  </w:pict>
                </mc:Fallback>
              </mc:AlternateContent>
            </w:r>
            <w:r>
              <mc:AlternateContent>
                <mc:Choice Requires="wps">
                  <w:drawing>
                    <wp:anchor distT="0" distB="0" distL="114300" distR="114300" simplePos="0" relativeHeight="251696128" behindDoc="0" locked="0" layoutInCell="1" allowOverlap="1">
                      <wp:simplePos x="0" y="0"/>
                      <wp:positionH relativeFrom="column">
                        <wp:posOffset>220980</wp:posOffset>
                      </wp:positionH>
                      <wp:positionV relativeFrom="paragraph">
                        <wp:posOffset>117475</wp:posOffset>
                      </wp:positionV>
                      <wp:extent cx="335280" cy="0"/>
                      <wp:effectExtent l="0" t="38100" r="7620" b="38100"/>
                      <wp:wrapNone/>
                      <wp:docPr id="37"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280"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17.4pt;margin-top:9.25pt;height:0pt;width:26.4pt;z-index:251696128;mso-width-relative:page;mso-height-relative:page;" filled="f" stroked="t" coordsize="21600,21600" o:gfxdata="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BPMh5g1wAAAAcBAAAPAAAAAAAA&#10;AAEAIAAAACIAAABkcnMvZG93bnJldi54bWxQSwECFAAUAAAACACHTuJA2SuiCBMCAAD+AwAADgAA&#10;AAAAAAABACAAAAAmAQAAZHJzL2Uyb0RvYy54bWxQSwUGAAAAAAYABgBZAQAAqwUAAAAA&#10;">
                      <v:fill on="f" focussize="0,0"/>
                      <v:stroke weight="1pt" color="#000000" joinstyle="round" endarrow="block"/>
                      <v:imagedata o:title=""/>
                      <o:lock v:ext="edit" aspectratio="f"/>
                    </v:shape>
                  </w:pict>
                </mc:Fallback>
              </mc:AlternateContent>
            </w:r>
            <w:r>
              <w:rPr>
                <w:rFonts w:ascii="Times New Roman" w:hAnsi="Times New Roman"/>
              </w:rPr>
              <mc:AlternateContent>
                <mc:Choice Requires="wps">
                  <w:drawing>
                    <wp:anchor distT="0" distB="0" distL="114300" distR="114300" simplePos="0" relativeHeight="251703296" behindDoc="0" locked="0" layoutInCell="1" allowOverlap="1">
                      <wp:simplePos x="0" y="0"/>
                      <wp:positionH relativeFrom="column">
                        <wp:posOffset>3415030</wp:posOffset>
                      </wp:positionH>
                      <wp:positionV relativeFrom="paragraph">
                        <wp:posOffset>635</wp:posOffset>
                      </wp:positionV>
                      <wp:extent cx="480695" cy="274955"/>
                      <wp:effectExtent l="4445" t="4445" r="10160" b="6350"/>
                      <wp:wrapNone/>
                      <wp:docPr id="44" name="矩形 1055"/>
                      <wp:cNvGraphicFramePr/>
                      <a:graphic xmlns:a="http://schemas.openxmlformats.org/drawingml/2006/main">
                        <a:graphicData uri="http://schemas.microsoft.com/office/word/2010/wordprocessingShape">
                          <wps:wsp>
                            <wps:cNvSpPr/>
                            <wps:spPr>
                              <a:xfrm>
                                <a:off x="0" y="0"/>
                                <a:ext cx="480695" cy="274955"/>
                              </a:xfrm>
                              <a:prstGeom prst="rect">
                                <a:avLst/>
                              </a:prstGeom>
                              <a:noFill/>
                              <a:ln w="9525" cap="flat" cmpd="sng">
                                <a:solidFill>
                                  <a:srgbClr val="000000"/>
                                </a:solidFill>
                                <a:prstDash val="solid"/>
                                <a:miter/>
                                <a:headEnd type="none" w="med" len="med"/>
                                <a:tailEnd type="none" w="med" len="med"/>
                              </a:ln>
                            </wps:spPr>
                            <wps:txbx>
                              <w:txbxContent>
                                <w:p w14:paraId="276EDC7B">
                                  <w:pPr>
                                    <w:spacing w:line="240" w:lineRule="auto"/>
                                    <w:ind w:firstLine="0" w:firstLineChars="0"/>
                                    <w:rPr>
                                      <w:szCs w:val="21"/>
                                    </w:rPr>
                                  </w:pPr>
                                  <w:r>
                                    <w:rPr>
                                      <w:rFonts w:hint="eastAsia"/>
                                      <w:szCs w:val="21"/>
                                    </w:rPr>
                                    <w:t>生产</w:t>
                                  </w:r>
                                </w:p>
                              </w:txbxContent>
                            </wps:txbx>
                            <wps:bodyPr upright="1"/>
                          </wps:wsp>
                        </a:graphicData>
                      </a:graphic>
                    </wp:anchor>
                  </w:drawing>
                </mc:Choice>
                <mc:Fallback>
                  <w:pict>
                    <v:rect id="矩形 1055" o:spid="_x0000_s1026" o:spt="1" style="position:absolute;left:0pt;margin-left:268.9pt;margin-top:0.05pt;height:21.65pt;width:37.85pt;z-index:251703296;mso-width-relative:page;mso-height-relative:page;" filled="f" stroked="t" coordsize="21600,21600" o:gfxdata="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LRrGx9UAAAAHAQAADwAAAAAAAAABACAAAAAiAAAAZHJzL2Rvd25yZXYu&#10;eG1sUEsBAhQAFAAAAAgAh07iQPoAju7+AQAAAwQAAA4AAAAAAAAAAQAgAAAAJAEAAGRycy9lMm9E&#10;b2MueG1sUEsFBgAAAAAGAAYAWQEAAJQFAAAAAA==&#10;">
                      <v:fill on="f" focussize="0,0"/>
                      <v:stroke color="#000000" joinstyle="miter"/>
                      <v:imagedata o:title=""/>
                      <o:lock v:ext="edit" aspectratio="f"/>
                      <v:textbox>
                        <w:txbxContent>
                          <w:p w14:paraId="276EDC7B">
                            <w:pPr>
                              <w:spacing w:line="240" w:lineRule="auto"/>
                              <w:ind w:firstLine="0" w:firstLineChars="0"/>
                              <w:rPr>
                                <w:szCs w:val="21"/>
                              </w:rPr>
                            </w:pPr>
                            <w:r>
                              <w:rPr>
                                <w:rFonts w:hint="eastAsia"/>
                                <w:szCs w:val="21"/>
                              </w:rPr>
                              <w:t>生产</w:t>
                            </w:r>
                          </w:p>
                        </w:txbxContent>
                      </v:textbox>
                    </v:rect>
                  </w:pict>
                </mc:Fallback>
              </mc:AlternateContent>
            </w:r>
            <w:r>
              <w:rPr>
                <w:rFonts w:ascii="Times New Roman" w:hAnsi="Times New Roman"/>
                <w:b/>
                <w:bCs/>
                <w:sz w:val="28"/>
              </w:rPr>
              <mc:AlternateContent>
                <mc:Choice Requires="wps">
                  <w:drawing>
                    <wp:anchor distT="0" distB="0" distL="114300" distR="114300" simplePos="0" relativeHeight="251681792" behindDoc="0" locked="0" layoutInCell="1" allowOverlap="1">
                      <wp:simplePos x="0" y="0"/>
                      <wp:positionH relativeFrom="column">
                        <wp:posOffset>1884045</wp:posOffset>
                      </wp:positionH>
                      <wp:positionV relativeFrom="paragraph">
                        <wp:posOffset>138430</wp:posOffset>
                      </wp:positionV>
                      <wp:extent cx="335915" cy="0"/>
                      <wp:effectExtent l="0" t="38100" r="6985" b="38100"/>
                      <wp:wrapNone/>
                      <wp:docPr id="231"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723"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148.35pt;margin-top:10.9pt;height:0pt;width:26.45pt;z-index:251681792;mso-width-relative:page;mso-height-relative:page;" filled="f" stroked="t" coordsize="21600,21600" o:gfxdata="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Du9KIj2gAAAAkBAAAPAAAA&#10;AAAAAAEAIAAAACIAAABkcnMvZG93bnJldi54bWxQSwECFAAUAAAACACHTuJA+npi8xMCAAD/AwAA&#10;DgAAAAAAAAABACAAAAApAQAAZHJzL2Uyb0RvYy54bWxQSwUGAAAAAAYABgBZAQAArgUAAAAA&#10;">
                      <v:fill on="f" focussize="0,0"/>
                      <v:stroke weight="1pt" color="#000000" joinstyle="round" endarrow="block"/>
                      <v:imagedata o:title=""/>
                      <o:lock v:ext="edit" aspectratio="f"/>
                    </v:shape>
                  </w:pict>
                </mc:Fallback>
              </mc:AlternateContent>
            </w:r>
            <w:r>
              <w:rPr>
                <w:rFonts w:ascii="Times New Roman" w:hAnsi="Times New Roman"/>
                <w:b/>
                <w:bCs/>
                <w:sz w:val="28"/>
              </w:rPr>
              <mc:AlternateContent>
                <mc:Choice Requires="wps">
                  <w:drawing>
                    <wp:anchor distT="0" distB="0" distL="114300" distR="114300" simplePos="0" relativeHeight="251689984" behindDoc="0" locked="0" layoutInCell="1" allowOverlap="1">
                      <wp:simplePos x="0" y="0"/>
                      <wp:positionH relativeFrom="column">
                        <wp:posOffset>546735</wp:posOffset>
                      </wp:positionH>
                      <wp:positionV relativeFrom="paragraph">
                        <wp:posOffset>124460</wp:posOffset>
                      </wp:positionV>
                      <wp:extent cx="335280" cy="0"/>
                      <wp:effectExtent l="0" t="38100" r="7620" b="38100"/>
                      <wp:wrapNone/>
                      <wp:docPr id="281"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280"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43.05pt;margin-top:9.8pt;height:0pt;width:26.4pt;z-index:251689984;mso-width-relative:page;mso-height-relative:page;" filled="f" stroked="t" coordsize="21600,21600" o:gfxdata="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KFxoDdgAAAAIAQAADwAAAAAA&#10;AAABACAAAAAiAAAAZHJzL2Rvd25yZXYueG1sUEsBAhQAFAAAAAgAh07iQMoyg8YTAgAA/wMAAA4A&#10;AAAAAAAAAQAgAAAAJwEAAGRycy9lMm9Eb2MueG1sUEsFBgAAAAAGAAYAWQEAAKwFAAAAAA==&#10;">
                      <v:fill on="f" focussize="0,0"/>
                      <v:stroke weight="1pt" color="#000000" joinstyle="round" endarrow="block"/>
                      <v:imagedata o:title=""/>
                      <o:lock v:ext="edit" aspectratio="f"/>
                    </v:shape>
                  </w:pict>
                </mc:Fallback>
              </mc:AlternateContent>
            </w:r>
          </w:p>
          <w:p w14:paraId="29CA8E71">
            <w:pPr>
              <w:pStyle w:val="111"/>
              <w:ind w:firstLine="482"/>
              <w:rPr>
                <w:rFonts w:ascii="Times New Roman" w:hAnsi="Times New Roman"/>
              </w:rPr>
            </w:pPr>
            <w:r>
              <w:rPr>
                <w:rFonts w:ascii="Times New Roman" w:hAnsi="Times New Roman"/>
              </w:rPr>
              <mc:AlternateContent>
                <mc:Choice Requires="wps">
                  <w:drawing>
                    <wp:anchor distT="0" distB="0" distL="114300" distR="114300" simplePos="0" relativeHeight="251707392" behindDoc="0" locked="0" layoutInCell="1" allowOverlap="1">
                      <wp:simplePos x="0" y="0"/>
                      <wp:positionH relativeFrom="column">
                        <wp:posOffset>2511425</wp:posOffset>
                      </wp:positionH>
                      <wp:positionV relativeFrom="paragraph">
                        <wp:posOffset>125095</wp:posOffset>
                      </wp:positionV>
                      <wp:extent cx="623570" cy="305435"/>
                      <wp:effectExtent l="0" t="0" r="0" b="0"/>
                      <wp:wrapNone/>
                      <wp:docPr id="48" name="文本框 1059"/>
                      <wp:cNvGraphicFramePr/>
                      <a:graphic xmlns:a="http://schemas.openxmlformats.org/drawingml/2006/main">
                        <a:graphicData uri="http://schemas.microsoft.com/office/word/2010/wordprocessingShape">
                          <wps:wsp>
                            <wps:cNvSpPr txBox="1"/>
                            <wps:spPr>
                              <a:xfrm>
                                <a:off x="0" y="0"/>
                                <a:ext cx="623570" cy="305435"/>
                              </a:xfrm>
                              <a:prstGeom prst="rect">
                                <a:avLst/>
                              </a:prstGeom>
                              <a:noFill/>
                              <a:ln w="12700">
                                <a:noFill/>
                              </a:ln>
                            </wps:spPr>
                            <wps:txbx>
                              <w:txbxContent>
                                <w:p w14:paraId="481BCCA8">
                                  <w:pPr>
                                    <w:pStyle w:val="108"/>
                                    <w:jc w:val="both"/>
                                  </w:pPr>
                                  <w:r>
                                    <w:rPr>
                                      <w:rFonts w:hint="eastAsia"/>
                                    </w:rPr>
                                    <w:t>0.987</w:t>
                                  </w:r>
                                </w:p>
                              </w:txbxContent>
                            </wps:txbx>
                            <wps:bodyPr upright="1"/>
                          </wps:wsp>
                        </a:graphicData>
                      </a:graphic>
                    </wp:anchor>
                  </w:drawing>
                </mc:Choice>
                <mc:Fallback>
                  <w:pict>
                    <v:shape id="文本框 1059" o:spid="_x0000_s1026" o:spt="202" type="#_x0000_t202" style="position:absolute;left:0pt;margin-left:197.75pt;margin-top:9.85pt;height:24.05pt;width:49.1pt;z-index:251707392;mso-width-relative:page;mso-height-relative:page;" filled="f" stroked="f" coordsize="21600,21600" o:gfxdata="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IFKIl2AAAAAkBAAAPAAAAAAAAAAEAIAAAACIAAABkcnMvZG93bnJldi54bWxQSwECFAAU&#10;AAAACACHTuJAvj8NGrgBAABbAwAADgAAAAAAAAABACAAAAAnAQAAZHJzL2Uyb0RvYy54bWxQSwUG&#10;AAAAAAYABgBZAQAAUQUAAAAA&#10;">
                      <v:fill on="f" focussize="0,0"/>
                      <v:stroke on="f" weight="1pt"/>
                      <v:imagedata o:title=""/>
                      <o:lock v:ext="edit" aspectratio="f"/>
                      <v:textbox>
                        <w:txbxContent>
                          <w:p w14:paraId="481BCCA8">
                            <w:pPr>
                              <w:pStyle w:val="108"/>
                              <w:jc w:val="both"/>
                            </w:pPr>
                            <w:r>
                              <w:rPr>
                                <w:rFonts w:hint="eastAsia"/>
                              </w:rPr>
                              <w:t>0.987</w:t>
                            </w:r>
                          </w:p>
                        </w:txbxContent>
                      </v:textbox>
                    </v:shape>
                  </w:pict>
                </mc:Fallback>
              </mc:AlternateContent>
            </w:r>
            <w:r>
              <w:rPr>
                <w:rFonts w:ascii="Times New Roman" w:hAnsi="Times New Roman"/>
              </w:rPr>
              <mc:AlternateContent>
                <mc:Choice Requires="wps">
                  <w:drawing>
                    <wp:anchor distT="0" distB="0" distL="114300" distR="114300" simplePos="0" relativeHeight="251711488" behindDoc="0" locked="0" layoutInCell="1" allowOverlap="1">
                      <wp:simplePos x="0" y="0"/>
                      <wp:positionH relativeFrom="column">
                        <wp:posOffset>3014980</wp:posOffset>
                      </wp:positionH>
                      <wp:positionV relativeFrom="paragraph">
                        <wp:posOffset>43180</wp:posOffset>
                      </wp:positionV>
                      <wp:extent cx="412115" cy="1905"/>
                      <wp:effectExtent l="0" t="37465" r="6985" b="36830"/>
                      <wp:wrapNone/>
                      <wp:docPr id="52" name="自选图形 1054"/>
                      <wp:cNvGraphicFramePr/>
                      <a:graphic xmlns:a="http://schemas.openxmlformats.org/drawingml/2006/main">
                        <a:graphicData uri="http://schemas.microsoft.com/office/word/2010/wordprocessingShape">
                          <wps:wsp>
                            <wps:cNvCnPr/>
                            <wps:spPr>
                              <a:xfrm flipH="1" flipV="1">
                                <a:off x="0" y="0"/>
                                <a:ext cx="412115" cy="1905"/>
                              </a:xfrm>
                              <a:prstGeom prst="straightConnector1">
                                <a:avLst/>
                              </a:prstGeom>
                              <a:ln w="12700" cap="flat" cmpd="sng">
                                <a:solidFill>
                                  <a:srgbClr val="000000"/>
                                </a:solidFill>
                                <a:prstDash val="solid"/>
                                <a:headEnd type="none" w="med" len="med"/>
                                <a:tailEnd type="triangle" w="med" len="med"/>
                              </a:ln>
                            </wps:spPr>
                            <wps:bodyPr/>
                          </wps:wsp>
                        </a:graphicData>
                      </a:graphic>
                    </wp:anchor>
                  </w:drawing>
                </mc:Choice>
                <mc:Fallback>
                  <w:pict>
                    <v:shape id="自选图形 1054" o:spid="_x0000_s1026" o:spt="32" type="#_x0000_t32" style="position:absolute;left:0pt;flip:x y;margin-left:237.4pt;margin-top:3.4pt;height:0.15pt;width:32.45pt;z-index:251711488;mso-width-relative:page;mso-height-relative:page;" filled="f" stroked="t" coordsize="21600,21600" o:gfxdata="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12hX3dYAAAAHAQAADwAAAAAAAAABACAAAAAi&#10;AAAAZHJzL2Rvd25yZXYueG1sUEsBAhQAFAAAAAgAh07iQFVrkmsMAgAAAgQAAA4AAAAAAAAAAQAg&#10;AAAAJQEAAGRycy9lMm9Eb2MueG1sUEsFBgAAAAAGAAYAWQEAAKMFAAAAAA==&#10;">
                      <v:fill on="f" focussize="0,0"/>
                      <v:stroke weight="1pt" color="#000000" joinstyle="round" endarrow="block"/>
                      <v:imagedata o:title=""/>
                      <o:lock v:ext="edit" aspectratio="f"/>
                    </v:shape>
                  </w:pict>
                </mc:Fallback>
              </mc:AlternateContent>
            </w:r>
            <w:r>
              <w:rPr>
                <w:kern w:val="0"/>
              </w:rPr>
              <mc:AlternateContent>
                <mc:Choice Requires="wps">
                  <w:drawing>
                    <wp:anchor distT="0" distB="0" distL="114300" distR="114300" simplePos="0" relativeHeight="251680768" behindDoc="0" locked="0" layoutInCell="1" allowOverlap="1">
                      <wp:simplePos x="0" y="0"/>
                      <wp:positionH relativeFrom="column">
                        <wp:posOffset>61595</wp:posOffset>
                      </wp:positionH>
                      <wp:positionV relativeFrom="paragraph">
                        <wp:posOffset>1905</wp:posOffset>
                      </wp:positionV>
                      <wp:extent cx="604520" cy="353060"/>
                      <wp:effectExtent l="0" t="0" r="0" b="0"/>
                      <wp:wrapNone/>
                      <wp:docPr id="27" name="文本框 1048"/>
                      <wp:cNvGraphicFramePr/>
                      <a:graphic xmlns:a="http://schemas.openxmlformats.org/drawingml/2006/main">
                        <a:graphicData uri="http://schemas.microsoft.com/office/word/2010/wordprocessingShape">
                          <wps:wsp>
                            <wps:cNvSpPr txBox="1"/>
                            <wps:spPr>
                              <a:xfrm>
                                <a:off x="0" y="0"/>
                                <a:ext cx="604520" cy="353060"/>
                              </a:xfrm>
                              <a:prstGeom prst="rect">
                                <a:avLst/>
                              </a:prstGeom>
                              <a:noFill/>
                              <a:ln w="12700">
                                <a:noFill/>
                              </a:ln>
                            </wps:spPr>
                            <wps:txbx>
                              <w:txbxContent>
                                <w:p w14:paraId="2BF7E592">
                                  <w:pPr>
                                    <w:pStyle w:val="108"/>
                                    <w:jc w:val="both"/>
                                  </w:pPr>
                                  <w:r>
                                    <w:rPr>
                                      <w:rFonts w:hint="eastAsia"/>
                                    </w:rPr>
                                    <w:t>新鲜水</w:t>
                                  </w:r>
                                </w:p>
                                <w:p w14:paraId="3167B064">
                                  <w:pPr>
                                    <w:pStyle w:val="108"/>
                                  </w:pPr>
                                </w:p>
                                <w:p w14:paraId="29FBE3AC">
                                  <w:pPr>
                                    <w:pStyle w:val="108"/>
                                  </w:pPr>
                                </w:p>
                                <w:p w14:paraId="6F0A50BE">
                                  <w:pPr>
                                    <w:pStyle w:val="108"/>
                                  </w:pPr>
                                </w:p>
                                <w:p w14:paraId="37DF2359">
                                  <w:pPr>
                                    <w:pStyle w:val="108"/>
                                  </w:pPr>
                                </w:p>
                              </w:txbxContent>
                            </wps:txbx>
                            <wps:bodyPr upright="1"/>
                          </wps:wsp>
                        </a:graphicData>
                      </a:graphic>
                    </wp:anchor>
                  </w:drawing>
                </mc:Choice>
                <mc:Fallback>
                  <w:pict>
                    <v:shape id="文本框 1048" o:spid="_x0000_s1026" o:spt="202" type="#_x0000_t202" style="position:absolute;left:0pt;margin-left:4.85pt;margin-top:0.15pt;height:27.8pt;width:47.6pt;z-index:251680768;mso-width-relative:page;mso-height-relative:page;" filled="f" stroked="f" coordsize="21600,21600" o:gfxdata="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P95LbbTAAAABQEAAA8AAAAAAAAAAQAgAAAAIgAAAGRycy9kb3ducmV2LnhtbFBLAQIUABQAAAAI&#10;AIdO4kBtd0uRuQEAAFsDAAAOAAAAAAAAAAEAIAAAACIBAABkcnMvZTJvRG9jLnhtbFBLBQYAAAAA&#10;BgAGAFkBAABNBQAAAAA=&#10;">
                      <v:fill on="f" focussize="0,0"/>
                      <v:stroke on="f" weight="1pt"/>
                      <v:imagedata o:title=""/>
                      <o:lock v:ext="edit" aspectratio="f"/>
                      <v:textbox>
                        <w:txbxContent>
                          <w:p w14:paraId="2BF7E592">
                            <w:pPr>
                              <w:pStyle w:val="108"/>
                              <w:jc w:val="both"/>
                            </w:pPr>
                            <w:r>
                              <w:rPr>
                                <w:rFonts w:hint="eastAsia"/>
                              </w:rPr>
                              <w:t>新鲜水</w:t>
                            </w:r>
                          </w:p>
                          <w:p w14:paraId="3167B064">
                            <w:pPr>
                              <w:pStyle w:val="108"/>
                            </w:pPr>
                          </w:p>
                          <w:p w14:paraId="29FBE3AC">
                            <w:pPr>
                              <w:pStyle w:val="108"/>
                            </w:pPr>
                          </w:p>
                          <w:p w14:paraId="6F0A50BE">
                            <w:pPr>
                              <w:pStyle w:val="108"/>
                            </w:pPr>
                          </w:p>
                          <w:p w14:paraId="37DF2359">
                            <w:pPr>
                              <w:pStyle w:val="108"/>
                            </w:pPr>
                          </w:p>
                        </w:txbxContent>
                      </v:textbox>
                    </v:shape>
                  </w:pict>
                </mc:Fallback>
              </mc:AlternateContent>
            </w:r>
            <w:r>
              <w:rPr>
                <w:rFonts w:ascii="Times New Roman" w:hAnsi="Times New Roman"/>
              </w:rPr>
              <mc:AlternateContent>
                <mc:Choice Requires="wps">
                  <w:drawing>
                    <wp:anchor distT="0" distB="0" distL="114300" distR="114300" simplePos="0" relativeHeight="251706368" behindDoc="0" locked="0" layoutInCell="1" allowOverlap="1">
                      <wp:simplePos x="0" y="0"/>
                      <wp:positionH relativeFrom="column">
                        <wp:posOffset>2571115</wp:posOffset>
                      </wp:positionH>
                      <wp:positionV relativeFrom="paragraph">
                        <wp:posOffset>124460</wp:posOffset>
                      </wp:positionV>
                      <wp:extent cx="1270" cy="287020"/>
                      <wp:effectExtent l="37465" t="0" r="37465" b="17780"/>
                      <wp:wrapNone/>
                      <wp:docPr id="47" name="自选图形 1060"/>
                      <wp:cNvGraphicFramePr/>
                      <a:graphic xmlns:a="http://schemas.openxmlformats.org/drawingml/2006/main">
                        <a:graphicData uri="http://schemas.microsoft.com/office/word/2010/wordprocessingShape">
                          <wps:wsp>
                            <wps:cNvCnPr/>
                            <wps:spPr>
                              <a:xfrm>
                                <a:off x="0" y="0"/>
                                <a:ext cx="1270" cy="287020"/>
                              </a:xfrm>
                              <a:prstGeom prst="straightConnector1">
                                <a:avLst/>
                              </a:prstGeom>
                              <a:ln w="12700" cap="flat" cmpd="sng">
                                <a:solidFill>
                                  <a:srgbClr val="000000"/>
                                </a:solidFill>
                                <a:prstDash val="solid"/>
                                <a:headEnd type="none" w="med" len="med"/>
                                <a:tailEnd type="triangle" w="med" len="med"/>
                              </a:ln>
                            </wps:spPr>
                            <wps:bodyPr/>
                          </wps:wsp>
                        </a:graphicData>
                      </a:graphic>
                    </wp:anchor>
                  </w:drawing>
                </mc:Choice>
                <mc:Fallback>
                  <w:pict>
                    <v:shape id="自选图形 1060" o:spid="_x0000_s1026" o:spt="32" type="#_x0000_t32" style="position:absolute;left:0pt;margin-left:202.45pt;margin-top:9.8pt;height:22.6pt;width:0.1pt;z-index:251706368;mso-width-relative:page;mso-height-relative:page;" filled="f" stroked="t" coordsize="21600,21600" o:gfxdata="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2L5YtYAAAAJAQAADwAAAAAAAAABACAAAAAiAAAAZHJzL2Rvd25yZXYu&#10;eG1sUEsBAhQAFAAAAAgAh07iQP+qonX9AQAA7gMAAA4AAAAAAAAAAQAgAAAAJQEAAGRycy9lMm9E&#10;b2MueG1sUEsFBgAAAAAGAAYAWQEAAJQFAAAAAA==&#10;">
                      <v:fill on="f" focussize="0,0"/>
                      <v:stroke weight="1pt" color="#000000" joinstyle="round" endarrow="block"/>
                      <v:imagedata o:title=""/>
                      <o:lock v:ext="edit" aspectratio="f"/>
                    </v:shape>
                  </w:pict>
                </mc:Fallback>
              </mc:AlternateContent>
            </w:r>
            <w:r>
              <w:rPr>
                <w:rFonts w:ascii="Times New Roman" w:hAnsi="Times New Roman"/>
                <w:sz w:val="24"/>
              </w:rPr>
              <mc:AlternateContent>
                <mc:Choice Requires="wps">
                  <w:drawing>
                    <wp:anchor distT="0" distB="0" distL="114300" distR="114300" simplePos="0" relativeHeight="251687936" behindDoc="0" locked="0" layoutInCell="1" allowOverlap="1">
                      <wp:simplePos x="0" y="0"/>
                      <wp:positionH relativeFrom="column">
                        <wp:posOffset>1372235</wp:posOffset>
                      </wp:positionH>
                      <wp:positionV relativeFrom="paragraph">
                        <wp:posOffset>106045</wp:posOffset>
                      </wp:positionV>
                      <wp:extent cx="76200" cy="436880"/>
                      <wp:effectExtent l="6350" t="0" r="0" b="1270"/>
                      <wp:wrapNone/>
                      <wp:docPr id="31" name="任意多边形 1061"/>
                      <wp:cNvGraphicFramePr/>
                      <a:graphic xmlns:a="http://schemas.openxmlformats.org/drawingml/2006/main">
                        <a:graphicData uri="http://schemas.microsoft.com/office/word/2010/wordprocessingShape">
                          <wps:wsp>
                            <wps:cNvSpPr/>
                            <wps:spPr>
                              <a:xfrm>
                                <a:off x="0" y="0"/>
                                <a:ext cx="76200" cy="436880"/>
                              </a:xfrm>
                              <a:custGeom>
                                <a:avLst/>
                                <a:gdLst/>
                                <a:ahLst/>
                                <a:cxnLst/>
                                <a:pathLst>
                                  <a:path w="1" h="360">
                                    <a:moveTo>
                                      <a:pt x="0" y="0"/>
                                    </a:moveTo>
                                    <a:lnTo>
                                      <a:pt x="0" y="360"/>
                                    </a:lnTo>
                                  </a:path>
                                </a:pathLst>
                              </a:custGeom>
                              <a:noFill/>
                              <a:ln w="12700" cap="flat" cmpd="sng">
                                <a:solidFill>
                                  <a:srgbClr val="000000"/>
                                </a:solidFill>
                                <a:prstDash val="solid"/>
                                <a:headEnd type="none" w="med" len="med"/>
                                <a:tailEnd type="none" w="med" len="med"/>
                              </a:ln>
                            </wps:spPr>
                            <wps:bodyPr upright="1"/>
                          </wps:wsp>
                        </a:graphicData>
                      </a:graphic>
                    </wp:anchor>
                  </w:drawing>
                </mc:Choice>
                <mc:Fallback>
                  <w:pict>
                    <v:shape id="任意多边形 1061" o:spid="_x0000_s1026" o:spt="100" style="position:absolute;left:0pt;margin-left:108.05pt;margin-top:8.35pt;height:34.4pt;width:6pt;z-index:251687936;mso-width-relative:page;mso-height-relative:page;" filled="f" stroked="t" coordsize="1,360" o:gfxdata="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PCbnW1QAAAAkBAAAPAAAAAAAAAAEAIAAAACIAAABkcnMvZG93bnJldi54bWxQSwEC&#10;FAAUAAAACACHTuJA+yoINzACAACOBAAADgAAAAAAAAABACAAAAAkAQAAZHJzL2Uyb0RvYy54bWxQ&#10;SwUGAAAAAAYABgBZAQAAxgUAAAAA&#10;" path="m0,0l0,360e">
                      <v:fill on="f" focussize="0,0"/>
                      <v:stroke weight="1pt" color="#000000" joinstyle="round"/>
                      <v:imagedata o:title=""/>
                      <o:lock v:ext="edit" aspectratio="f"/>
                    </v:shape>
                  </w:pict>
                </mc:Fallback>
              </mc:AlternateContent>
            </w:r>
          </w:p>
          <w:p w14:paraId="22DF552F">
            <w:pPr>
              <w:pStyle w:val="111"/>
              <w:ind w:firstLine="482"/>
              <w:rPr>
                <w:rFonts w:ascii="Times New Roman" w:hAnsi="Times New Roman"/>
              </w:rPr>
            </w:pPr>
            <w:r>
              <w:rPr>
                <w:rFonts w:ascii="Times New Roman" w:hAnsi="Times New Roman"/>
              </w:rPr>
              <mc:AlternateContent>
                <mc:Choice Requires="wps">
                  <w:drawing>
                    <wp:anchor distT="0" distB="0" distL="114300" distR="114300" simplePos="0" relativeHeight="251692032" behindDoc="0" locked="0" layoutInCell="1" allowOverlap="1">
                      <wp:simplePos x="0" y="0"/>
                      <wp:positionH relativeFrom="column">
                        <wp:posOffset>1348105</wp:posOffset>
                      </wp:positionH>
                      <wp:positionV relativeFrom="paragraph">
                        <wp:posOffset>60960</wp:posOffset>
                      </wp:positionV>
                      <wp:extent cx="806450" cy="305435"/>
                      <wp:effectExtent l="0" t="0" r="0" b="0"/>
                      <wp:wrapNone/>
                      <wp:docPr id="33" name="文本框 1062"/>
                      <wp:cNvGraphicFramePr/>
                      <a:graphic xmlns:a="http://schemas.openxmlformats.org/drawingml/2006/main">
                        <a:graphicData uri="http://schemas.microsoft.com/office/word/2010/wordprocessingShape">
                          <wps:wsp>
                            <wps:cNvSpPr txBox="1"/>
                            <wps:spPr>
                              <a:xfrm>
                                <a:off x="0" y="0"/>
                                <a:ext cx="806450" cy="305435"/>
                              </a:xfrm>
                              <a:prstGeom prst="rect">
                                <a:avLst/>
                              </a:prstGeom>
                              <a:noFill/>
                              <a:ln w="12700">
                                <a:noFill/>
                              </a:ln>
                            </wps:spPr>
                            <wps:txbx>
                              <w:txbxContent>
                                <w:p w14:paraId="76598C19">
                                  <w:pPr>
                                    <w:pStyle w:val="108"/>
                                    <w:jc w:val="both"/>
                                  </w:pPr>
                                  <w:r>
                                    <w:rPr>
                                      <w:rFonts w:hint="eastAsia"/>
                                    </w:rPr>
                                    <w:t>0.369</w:t>
                                  </w:r>
                                </w:p>
                              </w:txbxContent>
                            </wps:txbx>
                            <wps:bodyPr upright="1"/>
                          </wps:wsp>
                        </a:graphicData>
                      </a:graphic>
                    </wp:anchor>
                  </w:drawing>
                </mc:Choice>
                <mc:Fallback>
                  <w:pict>
                    <v:shape id="文本框 1062" o:spid="_x0000_s1026" o:spt="202" type="#_x0000_t202" style="position:absolute;left:0pt;margin-left:106.15pt;margin-top:4.8pt;height:24.05pt;width:63.5pt;z-index:251692032;mso-width-relative:page;mso-height-relative:page;" filled="f" stroked="f" coordsize="21600,21600" o:gfxdata="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O7Fc3PXAAAACAEAAA8AAAAAAAAAAQAgAAAAIgAAAGRycy9kb3ducmV2LnhtbFBLAQIUABQA&#10;AAAIAIdO4kAuOmmFuAEAAFsDAAAOAAAAAAAAAAEAIAAAACYBAABkcnMvZTJvRG9jLnhtbFBLBQYA&#10;AAAABgAGAFkBAABQBQAAAAA=&#10;">
                      <v:fill on="f" focussize="0,0"/>
                      <v:stroke on="f" weight="1pt"/>
                      <v:imagedata o:title=""/>
                      <o:lock v:ext="edit" aspectratio="f"/>
                      <v:textbox>
                        <w:txbxContent>
                          <w:p w14:paraId="76598C19">
                            <w:pPr>
                              <w:pStyle w:val="108"/>
                              <w:jc w:val="both"/>
                            </w:pPr>
                            <w:r>
                              <w:rPr>
                                <w:rFonts w:hint="eastAsia"/>
                              </w:rPr>
                              <w:t>0.369</w:t>
                            </w:r>
                          </w:p>
                        </w:txbxContent>
                      </v:textbox>
                    </v:shape>
                  </w:pict>
                </mc:Fallback>
              </mc:AlternateContent>
            </w:r>
            <w:r>
              <w:rPr>
                <w:rFonts w:ascii="Times New Roman" w:hAnsi="Times New Roman"/>
                <w:kern w:val="0"/>
              </w:rPr>
              <mc:AlternateContent>
                <mc:Choice Requires="wps">
                  <w:drawing>
                    <wp:anchor distT="0" distB="0" distL="114300" distR="114300" simplePos="0" relativeHeight="251684864" behindDoc="0" locked="0" layoutInCell="1" allowOverlap="1">
                      <wp:simplePos x="0" y="0"/>
                      <wp:positionH relativeFrom="column">
                        <wp:posOffset>567055</wp:posOffset>
                      </wp:positionH>
                      <wp:positionV relativeFrom="paragraph">
                        <wp:posOffset>69850</wp:posOffset>
                      </wp:positionV>
                      <wp:extent cx="874395" cy="248285"/>
                      <wp:effectExtent l="0" t="0" r="0" b="0"/>
                      <wp:wrapNone/>
                      <wp:docPr id="28" name="文本框 1063"/>
                      <wp:cNvGraphicFramePr/>
                      <a:graphic xmlns:a="http://schemas.openxmlformats.org/drawingml/2006/main">
                        <a:graphicData uri="http://schemas.microsoft.com/office/word/2010/wordprocessingShape">
                          <wps:wsp>
                            <wps:cNvSpPr txBox="1"/>
                            <wps:spPr>
                              <a:xfrm>
                                <a:off x="0" y="0"/>
                                <a:ext cx="874395" cy="248285"/>
                              </a:xfrm>
                              <a:prstGeom prst="rect">
                                <a:avLst/>
                              </a:prstGeom>
                              <a:noFill/>
                              <a:ln w="12700">
                                <a:noFill/>
                              </a:ln>
                            </wps:spPr>
                            <wps:txbx>
                              <w:txbxContent>
                                <w:p w14:paraId="55D3813B">
                                  <w:pPr>
                                    <w:pStyle w:val="108"/>
                                  </w:pPr>
                                  <w:r>
                                    <w:rPr>
                                      <w:rFonts w:hint="eastAsia"/>
                                    </w:rPr>
                                    <w:t>软化排污水</w:t>
                                  </w:r>
                                </w:p>
                              </w:txbxContent>
                            </wps:txbx>
                            <wps:bodyPr upright="1"/>
                          </wps:wsp>
                        </a:graphicData>
                      </a:graphic>
                    </wp:anchor>
                  </w:drawing>
                </mc:Choice>
                <mc:Fallback>
                  <w:pict>
                    <v:shape id="文本框 1063" o:spid="_x0000_s1026" o:spt="202" type="#_x0000_t202" style="position:absolute;left:0pt;margin-left:44.65pt;margin-top:5.5pt;height:19.55pt;width:68.85pt;z-index:251684864;mso-width-relative:page;mso-height-relative:page;" filled="f" stroked="f" coordsize="21600,21600" o:gfxdata="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HHep9UAAAAIAQAADwAAAAAAAAABACAAAAAiAAAAZHJzL2Rvd25yZXYueG1sUEsBAhQAFAAA&#10;AAgAh07iQAXGr6m5AQAAWwMAAA4AAAAAAAAAAQAgAAAAJAEAAGRycy9lMm9Eb2MueG1sUEsFBgAA&#10;AAAGAAYAWQEAAE8FAAAAAA==&#10;">
                      <v:fill on="f" focussize="0,0"/>
                      <v:stroke on="f" weight="1pt"/>
                      <v:imagedata o:title=""/>
                      <o:lock v:ext="edit" aspectratio="f"/>
                      <v:textbox>
                        <w:txbxContent>
                          <w:p w14:paraId="55D3813B">
                            <w:pPr>
                              <w:pStyle w:val="108"/>
                            </w:pPr>
                            <w:r>
                              <w:rPr>
                                <w:rFonts w:hint="eastAsia"/>
                              </w:rPr>
                              <w:t>软化排污水</w:t>
                            </w:r>
                          </w:p>
                        </w:txbxContent>
                      </v:textbox>
                    </v:shape>
                  </w:pict>
                </mc:Fallback>
              </mc:AlternateContent>
            </w:r>
          </w:p>
          <w:p w14:paraId="72CC6681">
            <w:pPr>
              <w:pStyle w:val="110"/>
              <w:spacing w:after="0"/>
              <w:ind w:left="0" w:leftChars="0" w:firstLine="400"/>
              <w:rPr>
                <w:kern w:val="0"/>
                <w:sz w:val="24"/>
              </w:rPr>
            </w:pPr>
            <w:r>
              <w:rPr>
                <w:sz w:val="24"/>
              </w:rPr>
              <mc:AlternateContent>
                <mc:Choice Requires="wps">
                  <w:drawing>
                    <wp:anchor distT="0" distB="0" distL="114300" distR="114300" simplePos="0" relativeHeight="251679744" behindDoc="0" locked="0" layoutInCell="1" allowOverlap="1">
                      <wp:simplePos x="0" y="0"/>
                      <wp:positionH relativeFrom="column">
                        <wp:posOffset>1715135</wp:posOffset>
                      </wp:positionH>
                      <wp:positionV relativeFrom="paragraph">
                        <wp:posOffset>94615</wp:posOffset>
                      </wp:positionV>
                      <wp:extent cx="935355" cy="283845"/>
                      <wp:effectExtent l="4445" t="4445" r="12700" b="16510"/>
                      <wp:wrapNone/>
                      <wp:docPr id="26" name="矩形 1065"/>
                      <wp:cNvGraphicFramePr/>
                      <a:graphic xmlns:a="http://schemas.openxmlformats.org/drawingml/2006/main">
                        <a:graphicData uri="http://schemas.microsoft.com/office/word/2010/wordprocessingShape">
                          <wps:wsp>
                            <wps:cNvSpPr/>
                            <wps:spPr>
                              <a:xfrm>
                                <a:off x="0" y="0"/>
                                <a:ext cx="935355" cy="283845"/>
                              </a:xfrm>
                              <a:prstGeom prst="rect">
                                <a:avLst/>
                              </a:prstGeom>
                              <a:noFill/>
                              <a:ln w="9525" cap="flat" cmpd="sng">
                                <a:solidFill>
                                  <a:srgbClr val="000000"/>
                                </a:solidFill>
                                <a:prstDash val="solid"/>
                                <a:miter/>
                                <a:headEnd type="none" w="med" len="med"/>
                                <a:tailEnd type="none" w="med" len="med"/>
                              </a:ln>
                            </wps:spPr>
                            <wps:txbx>
                              <w:txbxContent>
                                <w:p w14:paraId="2A79762B">
                                  <w:pPr>
                                    <w:spacing w:line="240" w:lineRule="auto"/>
                                    <w:ind w:firstLine="210" w:firstLineChars="100"/>
                                    <w:rPr>
                                      <w:szCs w:val="21"/>
                                    </w:rPr>
                                  </w:pPr>
                                  <w:r>
                                    <w:rPr>
                                      <w:rFonts w:hint="eastAsia"/>
                                      <w:szCs w:val="21"/>
                                    </w:rPr>
                                    <w:t>洒水抑尘</w:t>
                                  </w:r>
                                </w:p>
                                <w:p w14:paraId="36AD287F">
                                  <w:pPr>
                                    <w:ind w:firstLine="420"/>
                                  </w:pPr>
                                </w:p>
                              </w:txbxContent>
                            </wps:txbx>
                            <wps:bodyPr upright="1"/>
                          </wps:wsp>
                        </a:graphicData>
                      </a:graphic>
                    </wp:anchor>
                  </w:drawing>
                </mc:Choice>
                <mc:Fallback>
                  <w:pict>
                    <v:rect id="矩形 1065" o:spid="_x0000_s1026" o:spt="1" style="position:absolute;left:0pt;margin-left:135.05pt;margin-top:7.45pt;height:22.35pt;width:73.65pt;z-index:251679744;mso-width-relative:page;mso-height-relative:page;" filled="f" stroked="t" coordsize="21600,21600" o:gfxdata="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I3jJEfYAAAACQEAAA8AAAAAAAAAAQAgAAAAIgAAAGRycy9kb3du&#10;cmV2LnhtbFBLAQIUABQAAAAIAIdO4kBPKxvx/wEAAAMEAAAOAAAAAAAAAAEAIAAAACcBAABkcnMv&#10;ZTJvRG9jLnhtbFBLBQYAAAAABgAGAFkBAACYBQAAAAA=&#10;">
                      <v:fill on="f" focussize="0,0"/>
                      <v:stroke color="#000000" joinstyle="miter"/>
                      <v:imagedata o:title=""/>
                      <o:lock v:ext="edit" aspectratio="f"/>
                      <v:textbox>
                        <w:txbxContent>
                          <w:p w14:paraId="2A79762B">
                            <w:pPr>
                              <w:spacing w:line="240" w:lineRule="auto"/>
                              <w:ind w:firstLine="210" w:firstLineChars="100"/>
                              <w:rPr>
                                <w:szCs w:val="21"/>
                              </w:rPr>
                            </w:pPr>
                            <w:r>
                              <w:rPr>
                                <w:rFonts w:hint="eastAsia"/>
                                <w:szCs w:val="21"/>
                              </w:rPr>
                              <w:t>洒水抑尘</w:t>
                            </w:r>
                          </w:p>
                          <w:p w14:paraId="36AD287F">
                            <w:pPr>
                              <w:ind w:firstLine="420"/>
                            </w:pPr>
                          </w:p>
                        </w:txbxContent>
                      </v:textbox>
                    </v:rect>
                  </w:pict>
                </mc:Fallback>
              </mc:AlternateContent>
            </w:r>
          </w:p>
          <w:p w14:paraId="0ED16F20">
            <w:pPr>
              <w:pStyle w:val="110"/>
              <w:spacing w:after="0"/>
              <w:ind w:left="0" w:leftChars="0" w:firstLine="400"/>
              <w:rPr>
                <w:kern w:val="0"/>
                <w:sz w:val="24"/>
              </w:rPr>
            </w:pPr>
            <w:r>
              <w:rPr>
                <w:b/>
                <w:bCs/>
                <w:sz w:val="28"/>
              </w:rPr>
              <mc:AlternateContent>
                <mc:Choice Requires="wps">
                  <w:drawing>
                    <wp:anchor distT="0" distB="0" distL="114300" distR="114300" simplePos="0" relativeHeight="251682816" behindDoc="0" locked="0" layoutInCell="1" allowOverlap="1">
                      <wp:simplePos x="0" y="0"/>
                      <wp:positionH relativeFrom="column">
                        <wp:posOffset>1380490</wp:posOffset>
                      </wp:positionH>
                      <wp:positionV relativeFrom="paragraph">
                        <wp:posOffset>60960</wp:posOffset>
                      </wp:positionV>
                      <wp:extent cx="335915" cy="0"/>
                      <wp:effectExtent l="0" t="38100" r="6985" b="38100"/>
                      <wp:wrapNone/>
                      <wp:docPr id="233"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723"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108.7pt;margin-top:4.8pt;height:0pt;width:26.45pt;z-index:251682816;mso-width-relative:page;mso-height-relative:page;" filled="f" stroked="t" coordsize="21600,21600" o:gfxdata="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TsKmn9kAAAAHAQAADwAAAAAA&#10;AAABACAAAAAiAAAAZHJzL2Rvd25yZXYueG1sUEsBAhQAFAAAAAgAh07iQKjLAyISAgAA/wMAAA4A&#10;AAAAAAAAAQAgAAAAKAEAAGRycy9lMm9Eb2MueG1sUEsFBgAAAAAGAAYAWQEAAKwFAAAAAA==&#10;">
                      <v:fill on="f" focussize="0,0"/>
                      <v:stroke weight="1pt" color="#000000" joinstyle="round" endarrow="block"/>
                      <v:imagedata o:title=""/>
                      <o:lock v:ext="edit" aspectratio="f"/>
                    </v:shape>
                  </w:pict>
                </mc:Fallback>
              </mc:AlternateContent>
            </w:r>
          </w:p>
          <w:p w14:paraId="273B0DD1">
            <w:pPr>
              <w:pStyle w:val="109"/>
              <w:ind w:firstLine="402"/>
            </w:pPr>
            <w:r>
              <w:rPr>
                <w:kern w:val="0"/>
              </w:rPr>
              <mc:AlternateContent>
                <mc:Choice Requires="wps">
                  <w:drawing>
                    <wp:anchor distT="0" distB="0" distL="114300" distR="114300" simplePos="0" relativeHeight="251717632" behindDoc="0" locked="0" layoutInCell="1" allowOverlap="1">
                      <wp:simplePos x="0" y="0"/>
                      <wp:positionH relativeFrom="column">
                        <wp:posOffset>1552575</wp:posOffset>
                      </wp:positionH>
                      <wp:positionV relativeFrom="paragraph">
                        <wp:posOffset>29845</wp:posOffset>
                      </wp:positionV>
                      <wp:extent cx="623570" cy="256540"/>
                      <wp:effectExtent l="0" t="0" r="0" b="0"/>
                      <wp:wrapNone/>
                      <wp:docPr id="58" name="文本框 1073"/>
                      <wp:cNvGraphicFramePr/>
                      <a:graphic xmlns:a="http://schemas.openxmlformats.org/drawingml/2006/main">
                        <a:graphicData uri="http://schemas.microsoft.com/office/word/2010/wordprocessingShape">
                          <wps:wsp>
                            <wps:cNvSpPr txBox="1"/>
                            <wps:spPr>
                              <a:xfrm>
                                <a:off x="0" y="0"/>
                                <a:ext cx="623570" cy="256540"/>
                              </a:xfrm>
                              <a:prstGeom prst="rect">
                                <a:avLst/>
                              </a:prstGeom>
                              <a:noFill/>
                              <a:ln w="12700">
                                <a:noFill/>
                              </a:ln>
                            </wps:spPr>
                            <wps:txbx>
                              <w:txbxContent>
                                <w:p w14:paraId="3F8255E5">
                                  <w:pPr>
                                    <w:pStyle w:val="108"/>
                                    <w:jc w:val="both"/>
                                  </w:pPr>
                                  <w:r>
                                    <w:rPr>
                                      <w:rFonts w:hint="eastAsia"/>
                                    </w:rPr>
                                    <w:t>0.08</w:t>
                                  </w:r>
                                </w:p>
                              </w:txbxContent>
                            </wps:txbx>
                            <wps:bodyPr upright="1"/>
                          </wps:wsp>
                        </a:graphicData>
                      </a:graphic>
                    </wp:anchor>
                  </w:drawing>
                </mc:Choice>
                <mc:Fallback>
                  <w:pict>
                    <v:shape id="文本框 1073" o:spid="_x0000_s1026" o:spt="202" type="#_x0000_t202" style="position:absolute;left:0pt;margin-left:122.25pt;margin-top:2.35pt;height:20.2pt;width:49.1pt;z-index:251717632;mso-width-relative:page;mso-height-relative:page;" filled="f" stroked="f" coordsize="21600,21600" o:gfxdata="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7rCx11wAAAAgBAAAPAAAAAAAAAAEAIAAAACIAAABkcnMvZG93bnJldi54bWxQSwECFAAU&#10;AAAACACHTuJAPE0/N7kBAABbAwAADgAAAAAAAAABACAAAAAmAQAAZHJzL2Uyb0RvYy54bWxQSwUG&#10;AAAAAAYABgBZAQAAUQUAAAAA&#10;">
                      <v:fill on="f" focussize="0,0"/>
                      <v:stroke on="f" weight="1pt"/>
                      <v:imagedata o:title=""/>
                      <o:lock v:ext="edit" aspectratio="f"/>
                      <v:textbox>
                        <w:txbxContent>
                          <w:p w14:paraId="3F8255E5">
                            <w:pPr>
                              <w:pStyle w:val="108"/>
                              <w:jc w:val="both"/>
                            </w:pPr>
                            <w:r>
                              <w:rPr>
                                <w:rFonts w:hint="eastAsia"/>
                              </w:rPr>
                              <w:t>0.08</w:t>
                            </w:r>
                          </w:p>
                        </w:txbxContent>
                      </v:textbox>
                    </v:shape>
                  </w:pict>
                </mc:Fallback>
              </mc:AlternateContent>
            </w:r>
            <w:r>
              <w:rPr>
                <w:bCs/>
                <w:sz w:val="28"/>
              </w:rPr>
              <mc:AlternateContent>
                <mc:Choice Requires="wps">
                  <w:drawing>
                    <wp:anchor distT="0" distB="0" distL="114300" distR="114300" simplePos="0" relativeHeight="251714560" behindDoc="0" locked="0" layoutInCell="1" allowOverlap="1">
                      <wp:simplePos x="0" y="0"/>
                      <wp:positionH relativeFrom="column">
                        <wp:posOffset>1245235</wp:posOffset>
                      </wp:positionH>
                      <wp:positionV relativeFrom="paragraph">
                        <wp:posOffset>147320</wp:posOffset>
                      </wp:positionV>
                      <wp:extent cx="293370" cy="223520"/>
                      <wp:effectExtent l="3810" t="0" r="7620" b="5080"/>
                      <wp:wrapNone/>
                      <wp:docPr id="55" name="自选图形 1070"/>
                      <wp:cNvGraphicFramePr/>
                      <a:graphic xmlns:a="http://schemas.openxmlformats.org/drawingml/2006/main">
                        <a:graphicData uri="http://schemas.microsoft.com/office/word/2010/wordprocessingShape">
                          <wps:wsp>
                            <wps:cNvCnPr/>
                            <wps:spPr>
                              <a:xfrm flipV="1">
                                <a:off x="0" y="0"/>
                                <a:ext cx="293370" cy="223520"/>
                              </a:xfrm>
                              <a:prstGeom prst="straightConnector1">
                                <a:avLst/>
                              </a:prstGeom>
                              <a:ln w="12700" cap="flat" cmpd="sng">
                                <a:solidFill>
                                  <a:srgbClr val="000000"/>
                                </a:solidFill>
                                <a:prstDash val="dash"/>
                                <a:headEnd type="none" w="med" len="med"/>
                                <a:tailEnd type="triangle" w="med" len="med"/>
                              </a:ln>
                            </wps:spPr>
                            <wps:bodyPr/>
                          </wps:wsp>
                        </a:graphicData>
                      </a:graphic>
                    </wp:anchor>
                  </w:drawing>
                </mc:Choice>
                <mc:Fallback>
                  <w:pict>
                    <v:shape id="自选图形 1070" o:spid="_x0000_s1026" o:spt="32" type="#_x0000_t32" style="position:absolute;left:0pt;flip:y;margin-left:98.05pt;margin-top:11.6pt;height:17.6pt;width:23.1pt;z-index:251714560;mso-width-relative:page;mso-height-relative:page;" filled="f" stroked="t" coordsize="21600,21600" o:gfxdata="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2aZwLbAAAACQEAAA8AAAAAAAAAAQAgAAAA&#10;IgAAAGRycy9kb3ducmV2LnhtbFBLAQIUABQAAAAIAIdO4kBYQZNcCAIAAPkDAAAOAAAAAAAAAAEA&#10;IAAAACoBAABkcnMvZTJvRG9jLnhtbFBLBQYAAAAABgAGAFkBAACkBQAAAAA=&#10;">
                      <v:fill on="f" focussize="0,0"/>
                      <v:stroke weight="1pt" color="#000000" joinstyle="round" dashstyle="dash" endarrow="block"/>
                      <v:imagedata o:title=""/>
                      <o:lock v:ext="edit" aspectratio="f"/>
                    </v:shape>
                  </w:pict>
                </mc:Fallback>
              </mc:AlternateContent>
            </w:r>
          </w:p>
          <w:p w14:paraId="2190004B">
            <w:pPr>
              <w:pStyle w:val="73"/>
            </w:pPr>
            <w:r>
              <mc:AlternateContent>
                <mc:Choice Requires="wps">
                  <w:drawing>
                    <wp:anchor distT="0" distB="0" distL="114300" distR="114300" simplePos="0" relativeHeight="251719680" behindDoc="0" locked="0" layoutInCell="1" allowOverlap="1">
                      <wp:simplePos x="0" y="0"/>
                      <wp:positionH relativeFrom="column">
                        <wp:posOffset>466725</wp:posOffset>
                      </wp:positionH>
                      <wp:positionV relativeFrom="paragraph">
                        <wp:posOffset>29210</wp:posOffset>
                      </wp:positionV>
                      <wp:extent cx="623570" cy="256540"/>
                      <wp:effectExtent l="0" t="0" r="0" b="0"/>
                      <wp:wrapNone/>
                      <wp:docPr id="60" name="文本框 1075"/>
                      <wp:cNvGraphicFramePr/>
                      <a:graphic xmlns:a="http://schemas.openxmlformats.org/drawingml/2006/main">
                        <a:graphicData uri="http://schemas.microsoft.com/office/word/2010/wordprocessingShape">
                          <wps:wsp>
                            <wps:cNvSpPr txBox="1"/>
                            <wps:spPr>
                              <a:xfrm>
                                <a:off x="0" y="0"/>
                                <a:ext cx="623570" cy="256540"/>
                              </a:xfrm>
                              <a:prstGeom prst="rect">
                                <a:avLst/>
                              </a:prstGeom>
                              <a:noFill/>
                              <a:ln w="12700">
                                <a:noFill/>
                              </a:ln>
                            </wps:spPr>
                            <wps:txbx>
                              <w:txbxContent>
                                <w:p w14:paraId="1E42CF5A">
                                  <w:pPr>
                                    <w:pStyle w:val="108"/>
                                    <w:jc w:val="both"/>
                                  </w:pPr>
                                  <w:r>
                                    <w:rPr>
                                      <w:rFonts w:hint="eastAsia"/>
                                    </w:rPr>
                                    <w:t>0.8</w:t>
                                  </w:r>
                                </w:p>
                              </w:txbxContent>
                            </wps:txbx>
                            <wps:bodyPr upright="1"/>
                          </wps:wsp>
                        </a:graphicData>
                      </a:graphic>
                    </wp:anchor>
                  </w:drawing>
                </mc:Choice>
                <mc:Fallback>
                  <w:pict>
                    <v:shape id="文本框 1075" o:spid="_x0000_s1026" o:spt="202" type="#_x0000_t202" style="position:absolute;left:0pt;margin-left:36.75pt;margin-top:2.3pt;height:20.2pt;width:49.1pt;z-index:251719680;mso-width-relative:page;mso-height-relative:page;" filled="f" stroked="f" coordsize="21600,21600" o:gfxdata="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NG+EovUAAAABwEAAA8AAAAAAAAAAQAgAAAAIgAAAGRycy9kb3ducmV2LnhtbFBLAQIUABQAAAAI&#10;AIdO4kByNn4GuAEAAFsDAAAOAAAAAAAAAAEAIAAAACMBAABkcnMvZTJvRG9jLnhtbFBLBQYAAAAA&#10;BgAGAFkBAABNBQAAAAA=&#10;">
                      <v:fill on="f" focussize="0,0"/>
                      <v:stroke on="f" weight="1pt"/>
                      <v:imagedata o:title=""/>
                      <o:lock v:ext="edit" aspectratio="f"/>
                      <v:textbox>
                        <w:txbxContent>
                          <w:p w14:paraId="1E42CF5A">
                            <w:pPr>
                              <w:pStyle w:val="108"/>
                              <w:jc w:val="both"/>
                            </w:pPr>
                            <w:r>
                              <w:rPr>
                                <w:rFonts w:hint="eastAsia"/>
                              </w:rPr>
                              <w:t>0.8</w:t>
                            </w:r>
                          </w:p>
                        </w:txbxContent>
                      </v:textbox>
                    </v:shape>
                  </w:pict>
                </mc:Fallback>
              </mc:AlternateContent>
            </w:r>
            <w:r>
              <mc:AlternateContent>
                <mc:Choice Requires="wps">
                  <w:drawing>
                    <wp:anchor distT="0" distB="0" distL="114300" distR="114300" simplePos="0" relativeHeight="251718656" behindDoc="0" locked="0" layoutInCell="1" allowOverlap="1">
                      <wp:simplePos x="0" y="0"/>
                      <wp:positionH relativeFrom="column">
                        <wp:posOffset>1622425</wp:posOffset>
                      </wp:positionH>
                      <wp:positionV relativeFrom="paragraph">
                        <wp:posOffset>99060</wp:posOffset>
                      </wp:positionV>
                      <wp:extent cx="623570" cy="256540"/>
                      <wp:effectExtent l="0" t="0" r="0" b="0"/>
                      <wp:wrapNone/>
                      <wp:docPr id="59" name="文本框 1074"/>
                      <wp:cNvGraphicFramePr/>
                      <a:graphic xmlns:a="http://schemas.openxmlformats.org/drawingml/2006/main">
                        <a:graphicData uri="http://schemas.microsoft.com/office/word/2010/wordprocessingShape">
                          <wps:wsp>
                            <wps:cNvSpPr txBox="1"/>
                            <wps:spPr>
                              <a:xfrm>
                                <a:off x="0" y="0"/>
                                <a:ext cx="623570" cy="256540"/>
                              </a:xfrm>
                              <a:prstGeom prst="rect">
                                <a:avLst/>
                              </a:prstGeom>
                              <a:noFill/>
                              <a:ln w="12700">
                                <a:noFill/>
                              </a:ln>
                            </wps:spPr>
                            <wps:txbx>
                              <w:txbxContent>
                                <w:p w14:paraId="2F1E30AF">
                                  <w:pPr>
                                    <w:pStyle w:val="108"/>
                                    <w:jc w:val="both"/>
                                  </w:pPr>
                                  <w:r>
                                    <w:rPr>
                                      <w:rFonts w:hint="eastAsia"/>
                                    </w:rPr>
                                    <w:t>0.72</w:t>
                                  </w:r>
                                </w:p>
                              </w:txbxContent>
                            </wps:txbx>
                            <wps:bodyPr upright="1"/>
                          </wps:wsp>
                        </a:graphicData>
                      </a:graphic>
                    </wp:anchor>
                  </w:drawing>
                </mc:Choice>
                <mc:Fallback>
                  <w:pict>
                    <v:shape id="文本框 1074" o:spid="_x0000_s1026" o:spt="202" type="#_x0000_t202" style="position:absolute;left:0pt;margin-left:127.75pt;margin-top:7.8pt;height:20.2pt;width:49.1pt;z-index:251718656;mso-width-relative:page;mso-height-relative:page;" filled="f" stroked="f" coordsize="21600,21600" o:gfxdata="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BFIu9c1wAAAAkBAAAPAAAAAAAAAAEAIAAAACIAAABkcnMvZG93bnJldi54bWxQSwECFAAU&#10;AAAACACHTuJAeE007bkBAABbAwAADgAAAAAAAAABACAAAAAmAQAAZHJzL2Uyb0RvYy54bWxQSwUG&#10;AAAAAAYABgBZAQAAUQUAAAAA&#10;">
                      <v:fill on="f" focussize="0,0"/>
                      <v:stroke on="f" weight="1pt"/>
                      <v:imagedata o:title=""/>
                      <o:lock v:ext="edit" aspectratio="f"/>
                      <v:textbox>
                        <w:txbxContent>
                          <w:p w14:paraId="2F1E30AF">
                            <w:pPr>
                              <w:pStyle w:val="108"/>
                              <w:jc w:val="both"/>
                            </w:pPr>
                            <w:r>
                              <w:rPr>
                                <w:rFonts w:hint="eastAsia"/>
                              </w:rPr>
                              <w:t>0.72</w:t>
                            </w:r>
                          </w:p>
                        </w:txbxContent>
                      </v:textbox>
                    </v:shape>
                  </w:pict>
                </mc:Fallback>
              </mc:AlternateContent>
            </w:r>
          </w:p>
          <w:p w14:paraId="15D4D01C">
            <w:pPr>
              <w:pStyle w:val="73"/>
            </w:pPr>
            <w:r>
              <w:rPr>
                <w:sz w:val="24"/>
              </w:rPr>
              <mc:AlternateContent>
                <mc:Choice Requires="wps">
                  <w:drawing>
                    <wp:anchor distT="0" distB="0" distL="114300" distR="114300" simplePos="0" relativeHeight="251716608" behindDoc="0" locked="0" layoutInCell="1" allowOverlap="1">
                      <wp:simplePos x="0" y="0"/>
                      <wp:positionH relativeFrom="column">
                        <wp:posOffset>1981835</wp:posOffset>
                      </wp:positionH>
                      <wp:positionV relativeFrom="paragraph">
                        <wp:posOffset>72390</wp:posOffset>
                      </wp:positionV>
                      <wp:extent cx="941705" cy="283845"/>
                      <wp:effectExtent l="0" t="0" r="0" b="0"/>
                      <wp:wrapNone/>
                      <wp:docPr id="57" name="矩形 1072"/>
                      <wp:cNvGraphicFramePr/>
                      <a:graphic xmlns:a="http://schemas.openxmlformats.org/drawingml/2006/main">
                        <a:graphicData uri="http://schemas.microsoft.com/office/word/2010/wordprocessingShape">
                          <wps:wsp>
                            <wps:cNvSpPr/>
                            <wps:spPr>
                              <a:xfrm>
                                <a:off x="0" y="0"/>
                                <a:ext cx="941705" cy="283845"/>
                              </a:xfrm>
                              <a:prstGeom prst="rect">
                                <a:avLst/>
                              </a:prstGeom>
                              <a:noFill/>
                              <a:ln>
                                <a:noFill/>
                              </a:ln>
                            </wps:spPr>
                            <wps:txbx>
                              <w:txbxContent>
                                <w:p w14:paraId="5F9D41FC">
                                  <w:pPr>
                                    <w:spacing w:line="240" w:lineRule="auto"/>
                                    <w:ind w:firstLine="0" w:firstLineChars="0"/>
                                  </w:pPr>
                                  <w:r>
                                    <w:rPr>
                                      <w:rFonts w:hint="eastAsia"/>
                                      <w:szCs w:val="21"/>
                                    </w:rPr>
                                    <w:t>旱厕清掏</w:t>
                                  </w:r>
                                </w:p>
                              </w:txbxContent>
                            </wps:txbx>
                            <wps:bodyPr upright="1"/>
                          </wps:wsp>
                        </a:graphicData>
                      </a:graphic>
                    </wp:anchor>
                  </w:drawing>
                </mc:Choice>
                <mc:Fallback>
                  <w:pict>
                    <v:rect id="矩形 1072" o:spid="_x0000_s1026" o:spt="1" style="position:absolute;left:0pt;margin-left:156.05pt;margin-top:5.7pt;height:22.35pt;width:74.15pt;z-index:251716608;mso-width-relative:page;mso-height-relative:page;" filled="f" stroked="f" coordsize="21600,21600" o:gfxdata="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G+HqqnZAAAACQEAAA8A&#10;AAAAAAAAAQAgAAAAIgAAAGRycy9kb3ducmV2LnhtbFBLAQIUABQAAAAIAIdO4kCw0U3npAEAAEQD&#10;AAAOAAAAAAAAAAEAIAAAACgBAABkcnMvZTJvRG9jLnhtbFBLBQYAAAAABgAGAFkBAAA+BQAAAAA=&#10;">
                      <v:fill on="f" focussize="0,0"/>
                      <v:stroke on="f"/>
                      <v:imagedata o:title=""/>
                      <o:lock v:ext="edit" aspectratio="f"/>
                      <v:textbox>
                        <w:txbxContent>
                          <w:p w14:paraId="5F9D41FC">
                            <w:pPr>
                              <w:spacing w:line="240" w:lineRule="auto"/>
                              <w:ind w:firstLine="0" w:firstLineChars="0"/>
                            </w:pPr>
                            <w:r>
                              <w:rPr>
                                <w:rFonts w:hint="eastAsia"/>
                                <w:szCs w:val="21"/>
                              </w:rPr>
                              <w:t>旱厕清掏</w:t>
                            </w:r>
                          </w:p>
                        </w:txbxContent>
                      </v:textbox>
                    </v:rect>
                  </w:pict>
                </mc:Fallback>
              </mc:AlternateContent>
            </w:r>
            <w:r>
              <w:rPr>
                <w:sz w:val="28"/>
              </w:rPr>
              <mc:AlternateContent>
                <mc:Choice Requires="wps">
                  <w:drawing>
                    <wp:anchor distT="0" distB="0" distL="114300" distR="114300" simplePos="0" relativeHeight="251713536" behindDoc="0" locked="0" layoutInCell="1" allowOverlap="1">
                      <wp:simplePos x="0" y="0"/>
                      <wp:positionH relativeFrom="column">
                        <wp:posOffset>890905</wp:posOffset>
                      </wp:positionH>
                      <wp:positionV relativeFrom="paragraph">
                        <wp:posOffset>64770</wp:posOffset>
                      </wp:positionV>
                      <wp:extent cx="753110" cy="276225"/>
                      <wp:effectExtent l="6350" t="6350" r="21590" b="22225"/>
                      <wp:wrapNone/>
                      <wp:docPr id="54" name="矩形 132"/>
                      <wp:cNvGraphicFramePr/>
                      <a:graphic xmlns:a="http://schemas.openxmlformats.org/drawingml/2006/main">
                        <a:graphicData uri="http://schemas.microsoft.com/office/word/2010/wordprocessingShape">
                          <wps:wsp>
                            <wps:cNvSpPr>
                              <a:spLocks noChangeArrowheads="1"/>
                            </wps:cNvSpPr>
                            <wps:spPr bwMode="auto">
                              <a:xfrm>
                                <a:off x="0" y="0"/>
                                <a:ext cx="885825" cy="276225"/>
                              </a:xfrm>
                              <a:prstGeom prst="rect">
                                <a:avLst/>
                              </a:prstGeom>
                              <a:solidFill>
                                <a:srgbClr val="FFFFFF"/>
                              </a:solidFill>
                              <a:ln w="12700" algn="ctr">
                                <a:solidFill>
                                  <a:srgbClr val="000000"/>
                                </a:solidFill>
                                <a:miter lim="800000"/>
                              </a:ln>
                              <a:effectLst/>
                            </wps:spPr>
                            <wps:txbx>
                              <w:txbxContent>
                                <w:p w14:paraId="735935E3">
                                  <w:pPr>
                                    <w:ind w:firstLine="0" w:firstLineChars="0"/>
                                  </w:pPr>
                                  <w:r>
                                    <w:rPr>
                                      <w:rFonts w:hint="eastAsia"/>
                                    </w:rPr>
                                    <w:t>生活用水</w:t>
                                  </w:r>
                                </w:p>
                              </w:txbxContent>
                            </wps:txbx>
                            <wps:bodyPr rot="0" vert="horz" wrap="square" lIns="91440" tIns="45720" rIns="91440" bIns="45720" anchor="t" anchorCtr="0" upright="1">
                              <a:noAutofit/>
                            </wps:bodyPr>
                          </wps:wsp>
                        </a:graphicData>
                      </a:graphic>
                    </wp:anchor>
                  </w:drawing>
                </mc:Choice>
                <mc:Fallback>
                  <w:pict>
                    <v:rect id="矩形 132" o:spid="_x0000_s1026" o:spt="1" style="position:absolute;left:0pt;margin-left:70.15pt;margin-top:5.1pt;height:21.75pt;width:59.3pt;z-index:251713536;mso-width-relative:page;mso-height-relative:page;" fillcolor="#FFFFFF" filled="t" stroked="t" coordsize="21600,21600" o:gfxdata="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qZSVb2wAAAAkBAAAPAAAAAAAAAAEA&#10;IAAAACIAAABkcnMvZG93bnJldi54bWxQSwECFAAUAAAACACHTuJAp3qINkUCAACWBAAADgAAAAAA&#10;AAABACAAAAAqAQAAZHJzL2Uyb0RvYy54bWxQSwUGAAAAAAYABgBZAQAA4QUAAAAA&#10;">
                      <v:fill on="t" focussize="0,0"/>
                      <v:stroke weight="1pt" color="#000000" miterlimit="8" joinstyle="miter"/>
                      <v:imagedata o:title=""/>
                      <o:lock v:ext="edit" aspectratio="f"/>
                      <v:textbox>
                        <w:txbxContent>
                          <w:p w14:paraId="735935E3">
                            <w:pPr>
                              <w:ind w:firstLine="0" w:firstLineChars="0"/>
                            </w:pPr>
                            <w:r>
                              <w:rPr>
                                <w:rFonts w:hint="eastAsia"/>
                              </w:rPr>
                              <w:t>生活用水</w:t>
                            </w:r>
                          </w:p>
                        </w:txbxContent>
                      </v:textbox>
                    </v:rect>
                  </w:pict>
                </mc:Fallback>
              </mc:AlternateContent>
            </w:r>
          </w:p>
          <w:p w14:paraId="11993AAC">
            <w:pPr>
              <w:pStyle w:val="73"/>
            </w:pPr>
            <w:r>
              <w:rPr>
                <w:sz w:val="28"/>
              </w:rPr>
              <mc:AlternateContent>
                <mc:Choice Requires="wps">
                  <w:drawing>
                    <wp:anchor distT="0" distB="0" distL="114300" distR="114300" simplePos="0" relativeHeight="251715584" behindDoc="0" locked="0" layoutInCell="1" allowOverlap="1">
                      <wp:simplePos x="0" y="0"/>
                      <wp:positionH relativeFrom="column">
                        <wp:posOffset>1647190</wp:posOffset>
                      </wp:positionH>
                      <wp:positionV relativeFrom="paragraph">
                        <wp:posOffset>60960</wp:posOffset>
                      </wp:positionV>
                      <wp:extent cx="335915" cy="0"/>
                      <wp:effectExtent l="0" t="38100" r="6985" b="38100"/>
                      <wp:wrapNone/>
                      <wp:docPr id="56"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723"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129.7pt;margin-top:4.8pt;height:0pt;width:26.45pt;z-index:251715584;mso-width-relative:page;mso-height-relative:page;" filled="f" stroked="t" coordsize="21600,21600" o:gfxdata="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G5PsJDZAAAABwEAAA8AAAAA&#10;AAAAAQAgAAAAIgAAAGRycy9kb3ducmV2LnhtbFBLAQIUABQAAAAIAIdO4kAg+8pREwIAAP4DAAAO&#10;AAAAAAAAAAEAIAAAACgBAABkcnMvZTJvRG9jLnhtbFBLBQYAAAAABgAGAFkBAACtBQAAAAA=&#10;">
                      <v:fill on="f" focussize="0,0"/>
                      <v:stroke weight="1pt" color="#000000" joinstyle="round" endarrow="block"/>
                      <v:imagedata o:title=""/>
                      <o:lock v:ext="edit" aspectratio="f"/>
                    </v:shape>
                  </w:pict>
                </mc:Fallback>
              </mc:AlternateContent>
            </w:r>
            <w:r>
              <w:rPr>
                <w:sz w:val="28"/>
              </w:rPr>
              <mc:AlternateContent>
                <mc:Choice Requires="wps">
                  <w:drawing>
                    <wp:anchor distT="0" distB="0" distL="114300" distR="114300" simplePos="0" relativeHeight="251712512" behindDoc="0" locked="0" layoutInCell="1" allowOverlap="1">
                      <wp:simplePos x="0" y="0"/>
                      <wp:positionH relativeFrom="column">
                        <wp:posOffset>556260</wp:posOffset>
                      </wp:positionH>
                      <wp:positionV relativeFrom="paragraph">
                        <wp:posOffset>41275</wp:posOffset>
                      </wp:positionV>
                      <wp:extent cx="335280" cy="0"/>
                      <wp:effectExtent l="0" t="38100" r="7620" b="38100"/>
                      <wp:wrapNone/>
                      <wp:docPr id="53" name="自选图形 133"/>
                      <wp:cNvGraphicFramePr/>
                      <a:graphic xmlns:a="http://schemas.openxmlformats.org/drawingml/2006/main">
                        <a:graphicData uri="http://schemas.microsoft.com/office/word/2010/wordprocessingShape">
                          <wps:wsp>
                            <wps:cNvCnPr>
                              <a:cxnSpLocks noChangeShapeType="1"/>
                            </wps:cNvCnPr>
                            <wps:spPr bwMode="auto">
                              <a:xfrm flipV="1">
                                <a:off x="0" y="0"/>
                                <a:ext cx="335280" cy="0"/>
                              </a:xfrm>
                              <a:prstGeom prst="straightConnector1">
                                <a:avLst/>
                              </a:prstGeom>
                              <a:noFill/>
                              <a:ln w="12700">
                                <a:solidFill>
                                  <a:srgbClr val="000000"/>
                                </a:solidFill>
                                <a:round/>
                                <a:tailEnd type="triangle" w="med" len="med"/>
                              </a:ln>
                              <a:effectLst/>
                            </wps:spPr>
                            <wps:bodyPr/>
                          </wps:wsp>
                        </a:graphicData>
                      </a:graphic>
                    </wp:anchor>
                  </w:drawing>
                </mc:Choice>
                <mc:Fallback>
                  <w:pict>
                    <v:shape id="自选图形 133" o:spid="_x0000_s1026" o:spt="32" type="#_x0000_t32" style="position:absolute;left:0pt;flip:y;margin-left:43.8pt;margin-top:3.25pt;height:0pt;width:26.4pt;z-index:251712512;mso-width-relative:page;mso-height-relative:page;" filled="f" stroked="t" coordsize="21600,21600" o:gfxdata="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GuF10TWAAAABgEAAA8AAAAAAAAA&#10;AQAgAAAAIgAAAGRycy9kb3ducmV2LnhtbFBLAQIUABQAAAAIAIdO4kDGur0kEwIAAP4DAAAOAAAA&#10;AAAAAAEAIAAAACUBAABkcnMvZTJvRG9jLnhtbFBLBQYAAAAABgAGAFkBAACqBQAAAAA=&#10;">
                      <v:fill on="f" focussize="0,0"/>
                      <v:stroke weight="1pt" color="#000000" joinstyle="round" endarrow="block"/>
                      <v:imagedata o:title=""/>
                      <o:lock v:ext="edit" aspectratio="f"/>
                    </v:shape>
                  </w:pict>
                </mc:Fallback>
              </mc:AlternateContent>
            </w:r>
          </w:p>
          <w:p w14:paraId="72FBB8AB">
            <w:pPr>
              <w:pStyle w:val="73"/>
            </w:pPr>
          </w:p>
          <w:p w14:paraId="157643F4">
            <w:pPr>
              <w:spacing w:line="400" w:lineRule="exact"/>
              <w:ind w:firstLine="422"/>
              <w:jc w:val="center"/>
              <w:rPr>
                <w:b/>
                <w:szCs w:val="21"/>
              </w:rPr>
            </w:pPr>
            <w:r>
              <w:rPr>
                <w:b/>
                <w:szCs w:val="21"/>
              </w:rPr>
              <w:t>图</w:t>
            </w:r>
            <w:r>
              <w:rPr>
                <w:rFonts w:hint="eastAsia"/>
                <w:b/>
                <w:szCs w:val="21"/>
              </w:rPr>
              <w:t>2-2全厂</w:t>
            </w:r>
            <w:r>
              <w:rPr>
                <w:b/>
                <w:szCs w:val="21"/>
              </w:rPr>
              <w:t>水平衡图  m</w:t>
            </w:r>
            <w:r>
              <w:rPr>
                <w:b/>
                <w:szCs w:val="21"/>
                <w:vertAlign w:val="superscript"/>
              </w:rPr>
              <w:t>3</w:t>
            </w:r>
            <w:r>
              <w:rPr>
                <w:b/>
                <w:szCs w:val="21"/>
              </w:rPr>
              <w:t>/</w:t>
            </w:r>
            <w:r>
              <w:rPr>
                <w:rFonts w:hint="eastAsia"/>
                <w:b/>
                <w:szCs w:val="21"/>
              </w:rPr>
              <w:t>d</w:t>
            </w:r>
          </w:p>
          <w:p w14:paraId="63BFCC12">
            <w:pPr>
              <w:spacing w:line="400" w:lineRule="exact"/>
              <w:ind w:firstLine="422"/>
              <w:jc w:val="center"/>
              <w:rPr>
                <w:b/>
                <w:szCs w:val="21"/>
              </w:rPr>
            </w:pPr>
          </w:p>
          <w:p w14:paraId="54E6DFAC">
            <w:pPr>
              <w:pStyle w:val="2"/>
              <w:ind w:firstLine="480"/>
            </w:pPr>
          </w:p>
          <w:p w14:paraId="56DC420E">
            <w:pPr>
              <w:ind w:firstLine="420"/>
            </w:pPr>
          </w:p>
          <w:p w14:paraId="12CA7B1A">
            <w:pPr>
              <w:pStyle w:val="2"/>
              <w:ind w:firstLine="480"/>
            </w:pPr>
          </w:p>
          <w:p w14:paraId="46516891">
            <w:pPr>
              <w:ind w:firstLine="420"/>
            </w:pPr>
          </w:p>
          <w:p w14:paraId="0E865D01">
            <w:pPr>
              <w:pStyle w:val="2"/>
              <w:ind w:firstLine="480"/>
            </w:pPr>
          </w:p>
          <w:p w14:paraId="563D0CE3">
            <w:pPr>
              <w:pStyle w:val="2"/>
              <w:ind w:firstLine="480"/>
            </w:pPr>
          </w:p>
          <w:p w14:paraId="18B51008">
            <w:pPr>
              <w:pStyle w:val="2"/>
              <w:ind w:firstLine="480"/>
            </w:pPr>
          </w:p>
          <w:p w14:paraId="17019CC0">
            <w:pPr>
              <w:pStyle w:val="2"/>
              <w:ind w:firstLine="480"/>
            </w:pPr>
          </w:p>
          <w:p w14:paraId="46BF1ACA">
            <w:pPr>
              <w:spacing w:line="400" w:lineRule="exact"/>
              <w:ind w:firstLine="422"/>
              <w:jc w:val="center"/>
              <w:rPr>
                <w:b/>
                <w:szCs w:val="21"/>
              </w:rPr>
            </w:pPr>
          </w:p>
        </w:tc>
      </w:tr>
      <w:tr w14:paraId="726133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94" w:hRule="atLeast"/>
          <w:jc w:val="center"/>
        </w:trPr>
        <w:tc>
          <w:tcPr>
            <w:tcW w:w="373" w:type="pct"/>
            <w:vAlign w:val="center"/>
          </w:tcPr>
          <w:p w14:paraId="61986A47">
            <w:pPr>
              <w:pStyle w:val="40"/>
            </w:pPr>
          </w:p>
          <w:p w14:paraId="5A92AE0A">
            <w:pPr>
              <w:pStyle w:val="40"/>
            </w:pPr>
          </w:p>
          <w:p w14:paraId="27AF8C5F">
            <w:pPr>
              <w:pStyle w:val="40"/>
            </w:pPr>
          </w:p>
          <w:p w14:paraId="62DB72E8">
            <w:pPr>
              <w:pStyle w:val="40"/>
            </w:pPr>
          </w:p>
          <w:p w14:paraId="315A1DD4">
            <w:pPr>
              <w:pStyle w:val="40"/>
            </w:pPr>
          </w:p>
          <w:p w14:paraId="0677017D">
            <w:pPr>
              <w:pStyle w:val="40"/>
            </w:pPr>
          </w:p>
          <w:p w14:paraId="5F529446">
            <w:pPr>
              <w:pStyle w:val="40"/>
            </w:pPr>
          </w:p>
          <w:p w14:paraId="7F6E1670">
            <w:pPr>
              <w:pStyle w:val="40"/>
            </w:pPr>
          </w:p>
          <w:p w14:paraId="627DAF36">
            <w:pPr>
              <w:pStyle w:val="40"/>
            </w:pPr>
            <w:r>
              <w:rPr>
                <w:rFonts w:hint="eastAsia"/>
              </w:rPr>
              <w:t>工艺流程和产排污环节</w:t>
            </w:r>
          </w:p>
        </w:tc>
        <w:tc>
          <w:tcPr>
            <w:tcW w:w="4627" w:type="pct"/>
          </w:tcPr>
          <w:p w14:paraId="08BF0025">
            <w:pPr>
              <w:adjustRightInd w:val="0"/>
              <w:snapToGrid w:val="0"/>
              <w:ind w:firstLine="422"/>
              <w:rPr>
                <w:b/>
                <w:szCs w:val="21"/>
              </w:rPr>
            </w:pPr>
            <w:r>
              <w:rPr>
                <w:b/>
                <w:szCs w:val="21"/>
              </w:rPr>
              <w:t>施工期：</w:t>
            </w:r>
          </w:p>
          <w:p w14:paraId="1CDCE018">
            <w:pPr>
              <w:adjustRightInd w:val="0"/>
              <w:snapToGrid w:val="0"/>
              <w:ind w:firstLine="420"/>
              <w:rPr>
                <w:bCs/>
                <w:szCs w:val="21"/>
              </w:rPr>
            </w:pPr>
            <w:r>
              <w:rPr>
                <w:rFonts w:hint="eastAsia"/>
                <w:bCs/>
                <w:szCs w:val="21"/>
              </w:rPr>
              <w:t>本项目施工期主要为设备安装、调试，且施工期短，随着施工期结束，相关污染随即消失，对环境影响很小。</w:t>
            </w:r>
          </w:p>
          <w:p w14:paraId="795B7DB6">
            <w:pPr>
              <w:adjustRightInd w:val="0"/>
              <w:snapToGrid w:val="0"/>
              <w:ind w:firstLine="422"/>
              <w:rPr>
                <w:b/>
                <w:szCs w:val="21"/>
              </w:rPr>
            </w:pPr>
            <w:r>
              <w:rPr>
                <w:b/>
                <w:szCs w:val="21"/>
              </w:rPr>
              <w:t>运营期：</w:t>
            </w:r>
          </w:p>
          <w:p w14:paraId="31D37B58">
            <w:pPr>
              <w:snapToGrid w:val="0"/>
              <w:ind w:firstLine="420"/>
              <w:contextualSpacing/>
            </w:pPr>
            <w:r>
              <w:rPr>
                <w:rFonts w:hint="eastAsia"/>
              </w:rPr>
              <w:t>工艺流程简述：</w:t>
            </w:r>
          </w:p>
          <w:p w14:paraId="5396AEED">
            <w:pPr>
              <w:adjustRightInd w:val="0"/>
              <w:snapToGrid w:val="0"/>
              <w:ind w:firstLine="420"/>
              <w:rPr>
                <w:szCs w:val="21"/>
              </w:rPr>
            </w:pPr>
            <w:r>
              <w:rPr>
                <w:rFonts w:hint="eastAsia"/>
                <w:szCs w:val="21"/>
              </w:rPr>
              <w:t>1）水果罐头生产工艺流程及产排污节点</w:t>
            </w:r>
          </w:p>
          <w:p w14:paraId="2062F9D3">
            <w:pPr>
              <w:adjustRightInd w:val="0"/>
              <w:snapToGrid w:val="0"/>
              <w:ind w:firstLine="420"/>
              <w:rPr>
                <w:szCs w:val="21"/>
              </w:rPr>
            </w:pPr>
            <w:r>
              <w:rPr>
                <w:rFonts w:hint="eastAsia"/>
                <w:szCs w:val="21"/>
              </w:rPr>
              <w:t>工艺流程简述：</w:t>
            </w:r>
          </w:p>
          <w:p w14:paraId="29CD1FDF">
            <w:pPr>
              <w:adjustRightInd w:val="0"/>
              <w:snapToGrid w:val="0"/>
              <w:ind w:firstLine="420"/>
              <w:rPr>
                <w:szCs w:val="21"/>
              </w:rPr>
            </w:pPr>
            <w:r>
              <w:rPr>
                <w:rFonts w:hint="eastAsia"/>
                <w:szCs w:val="21"/>
              </w:rPr>
              <w:t>首先对原料进行选择，去除其中腐烂、病虫及损伤果，用清水进行清洗；然后用削皮器削去果皮，用全自动挖核机进行去核；将削皮去核后的水果使用切半机</w:t>
            </w:r>
            <w:bookmarkStart w:id="62" w:name="OLE_LINK17"/>
            <w:bookmarkStart w:id="63" w:name="OLE_LINK25"/>
            <w:r>
              <w:rPr>
                <w:rFonts w:hint="eastAsia"/>
                <w:szCs w:val="21"/>
              </w:rPr>
              <w:t>、切条</w:t>
            </w:r>
            <w:bookmarkEnd w:id="62"/>
            <w:bookmarkEnd w:id="63"/>
            <w:r>
              <w:rPr>
                <w:rFonts w:hint="eastAsia"/>
                <w:szCs w:val="21"/>
              </w:rPr>
              <w:t>机进行切半、切条处理；除草莓以外的水果投入预煮线，预煮之后的水果送分选线进行分选，去除其中软烂水果、按大小、色泽等分类；苹果及草莓由于组织中含有较多空气，不利于罐藏加工，需将空气排除，將水果放入不锈钢桶，加入浓糖水浸没果块，抽真空，使糖分替换掉空气所占空间，达到排出气体的目的，剩余糖水用于罐装；其他水果或通过抽空的苹果、草莓在罐装工序趁热罐装，加入适量调好的糖水，热排气密封；密封好的罐头放入杀菌线杀菌，然后喷水雾进行分段冷却；冷却好的罐头擦干水分，经过检验后贴标，包装入库。</w:t>
            </w:r>
          </w:p>
          <w:p w14:paraId="196BED95">
            <w:pPr>
              <w:adjustRightInd w:val="0"/>
              <w:snapToGrid w:val="0"/>
              <w:ind w:firstLine="420"/>
              <w:rPr>
                <w:szCs w:val="21"/>
              </w:rPr>
            </w:pPr>
            <w:r>
              <w:rPr>
                <w:rFonts w:hint="eastAsia"/>
                <w:szCs w:val="21"/>
              </w:rPr>
              <w:t>主要排污节点为：不合格水果、果皮、果核、软烂果块、不合格品、废水、设备噪声。</w:t>
            </w:r>
          </w:p>
          <w:p w14:paraId="79044D24">
            <w:pPr>
              <w:adjustRightInd w:val="0"/>
              <w:snapToGrid w:val="0"/>
              <w:ind w:firstLine="420"/>
              <w:rPr>
                <w:szCs w:val="21"/>
              </w:rPr>
            </w:pPr>
            <w:r>
              <w:rPr>
                <w:rFonts w:hint="eastAsia"/>
                <w:szCs w:val="21"/>
              </w:rPr>
              <w:drawing>
                <wp:inline distT="0" distB="0" distL="0" distR="0">
                  <wp:extent cx="4733925" cy="2766695"/>
                  <wp:effectExtent l="19050" t="0" r="952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6"/>
                          <a:srcRect/>
                          <a:stretch>
                            <a:fillRect/>
                          </a:stretch>
                        </pic:blipFill>
                        <pic:spPr>
                          <a:xfrm>
                            <a:off x="0" y="0"/>
                            <a:ext cx="4733925" cy="2767258"/>
                          </a:xfrm>
                          <a:prstGeom prst="rect">
                            <a:avLst/>
                          </a:prstGeom>
                          <a:noFill/>
                          <a:ln w="9525">
                            <a:noFill/>
                            <a:miter lim="800000"/>
                            <a:headEnd/>
                            <a:tailEnd/>
                          </a:ln>
                        </pic:spPr>
                      </pic:pic>
                    </a:graphicData>
                  </a:graphic>
                </wp:inline>
              </w:drawing>
            </w:r>
          </w:p>
          <w:p w14:paraId="0C84D793">
            <w:pPr>
              <w:pStyle w:val="76"/>
              <w:numPr>
                <w:ilvl w:val="0"/>
                <w:numId w:val="0"/>
              </w:numPr>
              <w:spacing w:line="360" w:lineRule="auto"/>
              <w:rPr>
                <w:rFonts w:hint="default"/>
              </w:rPr>
            </w:pPr>
            <w:r>
              <w:t>图2-3 水果罐头生产工艺流程及排污节点图</w:t>
            </w:r>
          </w:p>
          <w:p w14:paraId="267BED76">
            <w:pPr>
              <w:widowControl/>
              <w:adjustRightInd w:val="0"/>
              <w:snapToGrid w:val="0"/>
              <w:ind w:firstLine="420"/>
              <w:rPr>
                <w:szCs w:val="21"/>
              </w:rPr>
            </w:pPr>
            <w:r>
              <w:rPr>
                <w:rFonts w:hint="eastAsia"/>
                <w:szCs w:val="21"/>
              </w:rPr>
              <w:t>2）锅炉工艺流程及产排污节点</w:t>
            </w:r>
          </w:p>
          <w:p w14:paraId="23FE3C77">
            <w:pPr>
              <w:widowControl/>
              <w:adjustRightInd w:val="0"/>
              <w:snapToGrid w:val="0"/>
              <w:ind w:firstLine="420"/>
              <w:rPr>
                <w:szCs w:val="21"/>
              </w:rPr>
            </w:pPr>
            <w:r>
              <w:rPr>
                <w:rFonts w:hint="eastAsia"/>
                <w:szCs w:val="21"/>
              </w:rPr>
              <w:t>工艺流程简述：</w:t>
            </w:r>
          </w:p>
          <w:p w14:paraId="4B2CD3F0">
            <w:pPr>
              <w:widowControl/>
              <w:adjustRightInd w:val="0"/>
              <w:snapToGrid w:val="0"/>
              <w:ind w:firstLine="420"/>
              <w:rPr>
                <w:szCs w:val="21"/>
              </w:rPr>
            </w:pPr>
            <w:r>
              <w:rPr>
                <w:rFonts w:hint="eastAsia"/>
                <w:szCs w:val="21"/>
              </w:rPr>
              <w:t>使用生物质锅炉为杀菌过程提供蒸汽。</w:t>
            </w:r>
          </w:p>
          <w:p w14:paraId="5C979548">
            <w:pPr>
              <w:widowControl/>
              <w:ind w:firstLine="420"/>
              <w:jc w:val="left"/>
              <w:rPr>
                <w:szCs w:val="21"/>
              </w:rPr>
            </w:pPr>
            <w:r>
              <w:rPr>
                <w:rFonts w:hint="eastAsia"/>
                <w:szCs w:val="21"/>
              </w:rPr>
              <w:t>主要排污节点为：锅炉</w:t>
            </w:r>
            <w:r>
              <w:rPr>
                <w:szCs w:val="21"/>
              </w:rPr>
              <w:t>废气、废水、噪声、</w:t>
            </w:r>
            <w:r>
              <w:rPr>
                <w:rFonts w:hint="eastAsia"/>
                <w:szCs w:val="21"/>
              </w:rPr>
              <w:t>布袋收尘灰</w:t>
            </w:r>
            <w:r>
              <w:rPr>
                <w:szCs w:val="21"/>
              </w:rPr>
              <w:t>、</w:t>
            </w:r>
            <w:r>
              <w:rPr>
                <w:rFonts w:hint="eastAsia"/>
                <w:szCs w:val="21"/>
              </w:rPr>
              <w:t>锅炉灰</w:t>
            </w:r>
            <w:r>
              <w:rPr>
                <w:szCs w:val="21"/>
              </w:rPr>
              <w:t>渣等污染物。</w:t>
            </w:r>
          </w:p>
          <w:p w14:paraId="3B54BAD9">
            <w:pPr>
              <w:pStyle w:val="114"/>
              <w:ind w:firstLine="482"/>
              <w:rPr>
                <w:rFonts w:cs="Times New Roman"/>
                <w:color w:val="auto"/>
                <w:szCs w:val="32"/>
              </w:rPr>
            </w:pPr>
            <w:r>
              <w:rPr>
                <w:rFonts w:cs="Times New Roman"/>
                <w:b/>
                <w:bCs/>
                <w:color w:val="auto"/>
              </w:rPr>
              <mc:AlternateContent>
                <mc:Choice Requires="wps">
                  <w:drawing>
                    <wp:anchor distT="0" distB="0" distL="114300" distR="114300" simplePos="0" relativeHeight="251666432" behindDoc="0" locked="0" layoutInCell="1" allowOverlap="1">
                      <wp:simplePos x="0" y="0"/>
                      <wp:positionH relativeFrom="column">
                        <wp:posOffset>1331595</wp:posOffset>
                      </wp:positionH>
                      <wp:positionV relativeFrom="paragraph">
                        <wp:posOffset>78740</wp:posOffset>
                      </wp:positionV>
                      <wp:extent cx="2753360" cy="452120"/>
                      <wp:effectExtent l="0" t="0" r="8890" b="5080"/>
                      <wp:wrapNone/>
                      <wp:docPr id="13" name="矩形 94"/>
                      <wp:cNvGraphicFramePr/>
                      <a:graphic xmlns:a="http://schemas.openxmlformats.org/drawingml/2006/main">
                        <a:graphicData uri="http://schemas.microsoft.com/office/word/2010/wordprocessingShape">
                          <wps:wsp>
                            <wps:cNvSpPr/>
                            <wps:spPr>
                              <a:xfrm>
                                <a:off x="0" y="0"/>
                                <a:ext cx="2753360" cy="452120"/>
                              </a:xfrm>
                              <a:prstGeom prst="rect">
                                <a:avLst/>
                              </a:prstGeom>
                              <a:solidFill>
                                <a:srgbClr val="FFFFFF"/>
                              </a:solidFill>
                              <a:ln>
                                <a:noFill/>
                              </a:ln>
                            </wps:spPr>
                            <wps:txbx>
                              <w:txbxContent>
                                <w:p w14:paraId="614D6A26">
                                  <w:pPr>
                                    <w:spacing w:line="240" w:lineRule="auto"/>
                                    <w:ind w:firstLine="0" w:firstLineChars="0"/>
                                  </w:pPr>
                                  <w:r>
                                    <w:rPr>
                                      <w:rFonts w:hint="eastAsia"/>
                                    </w:rPr>
                                    <w:t>旋风除尘+布袋除尘器+湿式玻璃钢脱硝（SNCR）+35</w:t>
                                  </w:r>
                                  <w:r>
                                    <w:t>m排气筒</w:t>
                                  </w:r>
                                </w:p>
                              </w:txbxContent>
                            </wps:txbx>
                            <wps:bodyPr upright="1"/>
                          </wps:wsp>
                        </a:graphicData>
                      </a:graphic>
                    </wp:anchor>
                  </w:drawing>
                </mc:Choice>
                <mc:Fallback>
                  <w:pict>
                    <v:rect id="矩形 94" o:spid="_x0000_s1026" o:spt="1" style="position:absolute;left:0pt;margin-left:104.85pt;margin-top:6.2pt;height:35.6pt;width:216.8pt;z-index:251666432;mso-width-relative:page;mso-height-relative:page;" fillcolor="#FFFFFF" filled="t" stroked="f" coordsize="21600,21600" o:gfxdata="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pGDPx9cAAAAJAQAADwAAAAAAAAABACAAAAAiAAAAZHJzL2Rvd25yZXYueG1sUEsBAhQA&#10;FAAAAAgAh07iQCXWk9S6AQAAbAMAAA4AAAAAAAAAAQAgAAAAJgEAAGRycy9lMm9Eb2MueG1sUEsF&#10;BgAAAAAGAAYAWQEAAFIFAAAAAA==&#10;">
                      <v:fill on="t" focussize="0,0"/>
                      <v:stroke on="f"/>
                      <v:imagedata o:title=""/>
                      <o:lock v:ext="edit" aspectratio="f"/>
                      <v:textbox>
                        <w:txbxContent>
                          <w:p w14:paraId="614D6A26">
                            <w:pPr>
                              <w:spacing w:line="240" w:lineRule="auto"/>
                              <w:ind w:firstLine="0" w:firstLineChars="0"/>
                            </w:pPr>
                            <w:r>
                              <w:rPr>
                                <w:rFonts w:hint="eastAsia"/>
                              </w:rPr>
                              <w:t>旋风除尘+布袋除尘器+湿式玻璃钢脱硝（SNCR）+35</w:t>
                            </w:r>
                            <w:r>
                              <w:t>m排气筒</w:t>
                            </w:r>
                          </w:p>
                        </w:txbxContent>
                      </v:textbox>
                    </v:rect>
                  </w:pict>
                </mc:Fallback>
              </mc:AlternateContent>
            </w:r>
          </w:p>
          <w:p w14:paraId="2C2E313D">
            <w:pPr>
              <w:pStyle w:val="114"/>
              <w:ind w:firstLine="482"/>
              <w:rPr>
                <w:rFonts w:cs="Times New Roman"/>
                <w:color w:val="auto"/>
                <w:szCs w:val="32"/>
              </w:rPr>
            </w:pPr>
            <w:r>
              <w:rPr>
                <w:rFonts w:cs="Times New Roman"/>
                <w:color w:val="auto"/>
                <w:szCs w:val="32"/>
              </w:rPr>
              <mc:AlternateContent>
                <mc:Choice Requires="wps">
                  <w:drawing>
                    <wp:anchor distT="0" distB="0" distL="114300" distR="114300" simplePos="0" relativeHeight="251662336" behindDoc="0" locked="0" layoutInCell="1" allowOverlap="1">
                      <wp:simplePos x="0" y="0"/>
                      <wp:positionH relativeFrom="column">
                        <wp:posOffset>2503805</wp:posOffset>
                      </wp:positionH>
                      <wp:positionV relativeFrom="paragraph">
                        <wp:posOffset>194310</wp:posOffset>
                      </wp:positionV>
                      <wp:extent cx="0" cy="257175"/>
                      <wp:effectExtent l="38100" t="0" r="38100" b="9525"/>
                      <wp:wrapNone/>
                      <wp:docPr id="9" name="自选图形 36"/>
                      <wp:cNvGraphicFramePr/>
                      <a:graphic xmlns:a="http://schemas.openxmlformats.org/drawingml/2006/main">
                        <a:graphicData uri="http://schemas.microsoft.com/office/word/2010/wordprocessingShape">
                          <wps:wsp>
                            <wps:cNvCnPr/>
                            <wps:spPr>
                              <a:xfrm flipV="1">
                                <a:off x="0" y="0"/>
                                <a:ext cx="0" cy="257175"/>
                              </a:xfrm>
                              <a:prstGeom prst="straightConnector1">
                                <a:avLst/>
                              </a:prstGeom>
                              <a:ln w="9525" cap="flat" cmpd="sng">
                                <a:solidFill>
                                  <a:srgbClr val="000000"/>
                                </a:solidFill>
                                <a:prstDash val="dash"/>
                                <a:headEnd type="none" w="med" len="med"/>
                                <a:tailEnd type="triangle" w="med" len="med"/>
                              </a:ln>
                            </wps:spPr>
                            <wps:bodyPr/>
                          </wps:wsp>
                        </a:graphicData>
                      </a:graphic>
                    </wp:anchor>
                  </w:drawing>
                </mc:Choice>
                <mc:Fallback>
                  <w:pict>
                    <v:shape id="自选图形 36" o:spid="_x0000_s1026" o:spt="32" type="#_x0000_t32" style="position:absolute;left:0pt;flip:y;margin-left:197.15pt;margin-top:15.3pt;height:20.25pt;width:0pt;z-index:251662336;mso-width-relative:page;mso-height-relative:page;" filled="f" stroked="t" coordsize="21600,21600" o:gfxdata="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9PCvKNMAAAAJAQAADwAAAAAAAAABACAAAAAiAAAAZHJzL2Rvd25yZXYu&#10;eG1sUEsBAhQAFAAAAAgAh07iQLri+goAAgAA8AMAAA4AAAAAAAAAAQAgAAAAIgEAAGRycy9lMm9E&#10;b2MueG1sUEsFBgAAAAAGAAYAWQEAAJQFAAAAAA==&#10;">
                      <v:fill on="f" focussize="0,0"/>
                      <v:stroke color="#000000" joinstyle="round" dashstyle="dash" endarrow="block"/>
                      <v:imagedata o:title=""/>
                      <o:lock v:ext="edit" aspectratio="f"/>
                    </v:shape>
                  </w:pict>
                </mc:Fallback>
              </mc:AlternateContent>
            </w:r>
          </w:p>
          <w:p w14:paraId="26D2C71E">
            <w:pPr>
              <w:pStyle w:val="114"/>
              <w:rPr>
                <w:rFonts w:cs="Times New Roman"/>
                <w:color w:val="auto"/>
                <w:szCs w:val="32"/>
              </w:rPr>
            </w:pPr>
            <w:r>
              <w:rPr>
                <w:rFonts w:cs="Times New Roman"/>
                <w:color w:val="auto"/>
              </w:rPr>
              <mc:AlternateContent>
                <mc:Choice Requires="wps">
                  <w:drawing>
                    <wp:anchor distT="0" distB="0" distL="114300" distR="114300" simplePos="0" relativeHeight="251663360" behindDoc="0" locked="0" layoutInCell="1" allowOverlap="1">
                      <wp:simplePos x="0" y="0"/>
                      <wp:positionH relativeFrom="column">
                        <wp:posOffset>2091690</wp:posOffset>
                      </wp:positionH>
                      <wp:positionV relativeFrom="paragraph">
                        <wp:posOffset>167005</wp:posOffset>
                      </wp:positionV>
                      <wp:extent cx="838200" cy="318770"/>
                      <wp:effectExtent l="0" t="0" r="0" b="5080"/>
                      <wp:wrapNone/>
                      <wp:docPr id="10" name="矩形 62"/>
                      <wp:cNvGraphicFramePr/>
                      <a:graphic xmlns:a="http://schemas.openxmlformats.org/drawingml/2006/main">
                        <a:graphicData uri="http://schemas.microsoft.com/office/word/2010/wordprocessingShape">
                          <wps:wsp>
                            <wps:cNvSpPr/>
                            <wps:spPr>
                              <a:xfrm>
                                <a:off x="0" y="0"/>
                                <a:ext cx="838200" cy="318770"/>
                              </a:xfrm>
                              <a:prstGeom prst="rect">
                                <a:avLst/>
                              </a:prstGeom>
                              <a:solidFill>
                                <a:srgbClr val="FFFFFF"/>
                              </a:solidFill>
                              <a:ln>
                                <a:noFill/>
                              </a:ln>
                            </wps:spPr>
                            <wps:txbx>
                              <w:txbxContent>
                                <w:p w14:paraId="5FE66010">
                                  <w:pPr>
                                    <w:ind w:firstLine="0" w:firstLineChars="0"/>
                                  </w:pPr>
                                  <w:r>
                                    <w:rPr>
                                      <w:rFonts w:hint="eastAsia"/>
                                    </w:rPr>
                                    <w:t>锅炉烟气</w:t>
                                  </w:r>
                                </w:p>
                              </w:txbxContent>
                            </wps:txbx>
                            <wps:bodyPr upright="1"/>
                          </wps:wsp>
                        </a:graphicData>
                      </a:graphic>
                    </wp:anchor>
                  </w:drawing>
                </mc:Choice>
                <mc:Fallback>
                  <w:pict>
                    <v:rect id="矩形 62" o:spid="_x0000_s1026" o:spt="1" style="position:absolute;left:0pt;margin-left:164.7pt;margin-top:13.15pt;height:25.1pt;width:66pt;z-index:251663360;mso-width-relative:page;mso-height-relative:page;" fillcolor="#FFFFFF" filled="t" stroked="f" coordsize="21600,21600" o:gfxdata="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McO/72AAAAAkBAAAPAAAAAAAAAAEAIAAAACIAAABkcnMvZG93bnJldi54bWxQSwECFAAU&#10;AAAACACHTuJAKUzFQbgBAABrAwAADgAAAAAAAAABACAAAAAnAQAAZHJzL2Uyb0RvYy54bWxQSwUG&#10;AAAAAAYABgBZAQAAUQUAAAAA&#10;">
                      <v:fill on="t" focussize="0,0"/>
                      <v:stroke on="f"/>
                      <v:imagedata o:title=""/>
                      <o:lock v:ext="edit" aspectratio="f"/>
                      <v:textbox>
                        <w:txbxContent>
                          <w:p w14:paraId="5FE66010">
                            <w:pPr>
                              <w:ind w:firstLine="0" w:firstLineChars="0"/>
                            </w:pPr>
                            <w:r>
                              <w:rPr>
                                <w:rFonts w:hint="eastAsia"/>
                              </w:rPr>
                              <w:t>锅炉烟气</w:t>
                            </w:r>
                          </w:p>
                        </w:txbxContent>
                      </v:textbox>
                    </v:rect>
                  </w:pict>
                </mc:Fallback>
              </mc:AlternateContent>
            </w:r>
          </w:p>
          <w:p w14:paraId="708FC642">
            <w:pPr>
              <w:pStyle w:val="114"/>
              <w:rPr>
                <w:rFonts w:cs="Times New Roman"/>
                <w:color w:val="auto"/>
                <w:szCs w:val="32"/>
              </w:rPr>
            </w:pPr>
            <w:r>
              <w:rPr>
                <w:rFonts w:cs="Times New Roman"/>
                <w:b/>
                <w:bCs/>
                <w:color w:val="auto"/>
              </w:rPr>
              <mc:AlternateContent>
                <mc:Choice Requires="wps">
                  <w:drawing>
                    <wp:anchor distT="0" distB="0" distL="114300" distR="114300" simplePos="0" relativeHeight="251668480" behindDoc="0" locked="0" layoutInCell="1" allowOverlap="1">
                      <wp:simplePos x="0" y="0"/>
                      <wp:positionH relativeFrom="column">
                        <wp:posOffset>2933065</wp:posOffset>
                      </wp:positionH>
                      <wp:positionV relativeFrom="paragraph">
                        <wp:posOffset>46355</wp:posOffset>
                      </wp:positionV>
                      <wp:extent cx="1351915" cy="323850"/>
                      <wp:effectExtent l="0" t="0" r="635" b="0"/>
                      <wp:wrapNone/>
                      <wp:docPr id="15" name="文本框 109"/>
                      <wp:cNvGraphicFramePr/>
                      <a:graphic xmlns:a="http://schemas.openxmlformats.org/drawingml/2006/main">
                        <a:graphicData uri="http://schemas.microsoft.com/office/word/2010/wordprocessingShape">
                          <wps:wsp>
                            <wps:cNvSpPr txBox="1"/>
                            <wps:spPr>
                              <a:xfrm>
                                <a:off x="0" y="0"/>
                                <a:ext cx="1351915" cy="323850"/>
                              </a:xfrm>
                              <a:prstGeom prst="rect">
                                <a:avLst/>
                              </a:prstGeom>
                              <a:solidFill>
                                <a:srgbClr val="FFFFFF"/>
                              </a:solidFill>
                              <a:ln>
                                <a:noFill/>
                              </a:ln>
                            </wps:spPr>
                            <wps:txbx>
                              <w:txbxContent>
                                <w:p w14:paraId="3E8CF0C9">
                                  <w:pPr>
                                    <w:ind w:firstLine="0" w:firstLineChars="0"/>
                                  </w:pPr>
                                  <w:r>
                                    <w:rPr>
                                      <w:rFonts w:hint="eastAsia"/>
                                    </w:rPr>
                                    <w:t>噪声、固废、废水</w:t>
                                  </w:r>
                                </w:p>
                              </w:txbxContent>
                            </wps:txbx>
                            <wps:bodyPr upright="1"/>
                          </wps:wsp>
                        </a:graphicData>
                      </a:graphic>
                    </wp:anchor>
                  </w:drawing>
                </mc:Choice>
                <mc:Fallback>
                  <w:pict>
                    <v:shape id="文本框 109" o:spid="_x0000_s1026" o:spt="202" type="#_x0000_t202" style="position:absolute;left:0pt;margin-left:230.95pt;margin-top:3.65pt;height:25.5pt;width:106.45pt;z-index:251668480;mso-width-relative:page;mso-height-relative:page;" fillcolor="#FFFFFF" filled="t" stroked="f" coordsize="21600,21600" o:gfxdata="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gTw0qtcAAAAIAQAADwAAAAAAAAABACAAAAAiAAAAZHJzL2Rvd25yZXYu&#10;eG1sUEsBAhQAFAAAAAgAh07iQKouPv3DAQAAegMAAA4AAAAAAAAAAQAgAAAAJgEAAGRycy9lMm9E&#10;b2MueG1sUEsFBgAAAAAGAAYAWQEAAFsFAAAAAA==&#10;">
                      <v:fill on="t" focussize="0,0"/>
                      <v:stroke on="f"/>
                      <v:imagedata o:title=""/>
                      <o:lock v:ext="edit" aspectratio="f"/>
                      <v:textbox>
                        <w:txbxContent>
                          <w:p w14:paraId="3E8CF0C9">
                            <w:pPr>
                              <w:ind w:firstLine="0" w:firstLineChars="0"/>
                            </w:pPr>
                            <w:r>
                              <w:rPr>
                                <w:rFonts w:hint="eastAsia"/>
                              </w:rPr>
                              <w:t>噪声、固废、废水</w:t>
                            </w:r>
                          </w:p>
                        </w:txbxContent>
                      </v:textbox>
                    </v:shape>
                  </w:pict>
                </mc:Fallback>
              </mc:AlternateContent>
            </w:r>
            <w:r>
              <w:rPr>
                <w:rFonts w:cs="Times New Roman"/>
                <w:b/>
                <w:bCs/>
                <w:color w:val="auto"/>
              </w:rPr>
              <mc:AlternateContent>
                <mc:Choice Requires="wps">
                  <w:drawing>
                    <wp:anchor distT="0" distB="0" distL="114300" distR="114300" simplePos="0" relativeHeight="251667456" behindDoc="0" locked="0" layoutInCell="1" allowOverlap="1">
                      <wp:simplePos x="0" y="0"/>
                      <wp:positionH relativeFrom="column">
                        <wp:posOffset>2659380</wp:posOffset>
                      </wp:positionH>
                      <wp:positionV relativeFrom="paragraph">
                        <wp:posOffset>226695</wp:posOffset>
                      </wp:positionV>
                      <wp:extent cx="215265" cy="164465"/>
                      <wp:effectExtent l="3175" t="0" r="10160" b="6985"/>
                      <wp:wrapNone/>
                      <wp:docPr id="14" name="自选图形 58"/>
                      <wp:cNvGraphicFramePr/>
                      <a:graphic xmlns:a="http://schemas.openxmlformats.org/drawingml/2006/main">
                        <a:graphicData uri="http://schemas.microsoft.com/office/word/2010/wordprocessingShape">
                          <wps:wsp>
                            <wps:cNvCnPr/>
                            <wps:spPr>
                              <a:xfrm flipV="1">
                                <a:off x="0" y="0"/>
                                <a:ext cx="215265" cy="164465"/>
                              </a:xfrm>
                              <a:prstGeom prst="straightConnector1">
                                <a:avLst/>
                              </a:prstGeom>
                              <a:ln w="9525" cap="flat" cmpd="sng">
                                <a:solidFill>
                                  <a:srgbClr val="000000"/>
                                </a:solidFill>
                                <a:prstDash val="lgDash"/>
                                <a:headEnd type="none" w="med" len="med"/>
                                <a:tailEnd type="triangle" w="med" len="med"/>
                              </a:ln>
                            </wps:spPr>
                            <wps:bodyPr/>
                          </wps:wsp>
                        </a:graphicData>
                      </a:graphic>
                    </wp:anchor>
                  </w:drawing>
                </mc:Choice>
                <mc:Fallback>
                  <w:pict>
                    <v:shape id="自选图形 58" o:spid="_x0000_s1026" o:spt="32" type="#_x0000_t32" style="position:absolute;left:0pt;flip:y;margin-left:209.4pt;margin-top:17.85pt;height:12.95pt;width:16.95pt;z-index:251667456;mso-width-relative:page;mso-height-relative:page;" filled="f" stroked="t" coordsize="21600,21600" o:gfxdata="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bAM+D2gAAAAkBAAAPAAAAAAAAAAEAIAAAACIA&#10;AABkcnMvZG93bnJldi54bWxQSwECFAAUAAAACACHTuJAGIAZtQcCAAD4AwAADgAAAAAAAAABACAA&#10;AAApAQAAZHJzL2Uyb0RvYy54bWxQSwUGAAAAAAYABgBZAQAAogUAAAAA&#10;">
                      <v:fill on="f" focussize="0,0"/>
                      <v:stroke color="#000000" joinstyle="round" dashstyle="longDash" endarrow="block"/>
                      <v:imagedata o:title=""/>
                      <o:lock v:ext="edit" aspectratio="f"/>
                    </v:shape>
                  </w:pict>
                </mc:Fallback>
              </mc:AlternateContent>
            </w:r>
            <w:r>
              <w:rPr>
                <w:rFonts w:cs="Times New Roman"/>
                <w:b/>
                <w:bCs/>
                <w:color w:val="auto"/>
              </w:rPr>
              <mc:AlternateContent>
                <mc:Choice Requires="wps">
                  <w:drawing>
                    <wp:anchor distT="0" distB="0" distL="114300" distR="114300" simplePos="0" relativeHeight="251665408" behindDoc="0" locked="0" layoutInCell="1" allowOverlap="1">
                      <wp:simplePos x="0" y="0"/>
                      <wp:positionH relativeFrom="column">
                        <wp:posOffset>2519680</wp:posOffset>
                      </wp:positionH>
                      <wp:positionV relativeFrom="paragraph">
                        <wp:posOffset>126365</wp:posOffset>
                      </wp:positionV>
                      <wp:extent cx="0" cy="257175"/>
                      <wp:effectExtent l="38100" t="0" r="38100" b="9525"/>
                      <wp:wrapNone/>
                      <wp:docPr id="12" name="自选图形 99"/>
                      <wp:cNvGraphicFramePr/>
                      <a:graphic xmlns:a="http://schemas.openxmlformats.org/drawingml/2006/main">
                        <a:graphicData uri="http://schemas.microsoft.com/office/word/2010/wordprocessingShape">
                          <wps:wsp>
                            <wps:cNvCnPr/>
                            <wps:spPr>
                              <a:xfrm flipV="1">
                                <a:off x="0" y="0"/>
                                <a:ext cx="0" cy="257175"/>
                              </a:xfrm>
                              <a:prstGeom prst="straightConnector1">
                                <a:avLst/>
                              </a:prstGeom>
                              <a:ln w="9525" cap="flat" cmpd="sng">
                                <a:solidFill>
                                  <a:srgbClr val="000000"/>
                                </a:solidFill>
                                <a:prstDash val="dash"/>
                                <a:headEnd type="none" w="med" len="med"/>
                                <a:tailEnd type="triangle" w="med" len="med"/>
                              </a:ln>
                            </wps:spPr>
                            <wps:bodyPr/>
                          </wps:wsp>
                        </a:graphicData>
                      </a:graphic>
                    </wp:anchor>
                  </w:drawing>
                </mc:Choice>
                <mc:Fallback>
                  <w:pict>
                    <v:shape id="自选图形 99" o:spid="_x0000_s1026" o:spt="32" type="#_x0000_t32" style="position:absolute;left:0pt;flip:y;margin-left:198.4pt;margin-top:9.95pt;height:20.25pt;width:0pt;z-index:251665408;mso-width-relative:page;mso-height-relative:page;" filled="f" stroked="t" coordsize="21600,21600" o:gfxdata="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GjK1kbTAAAACQEAAA8AAAAAAAAAAQAgAAAAIgAAAGRycy9kb3ducmV2&#10;LnhtbFBLAQIUABQAAAAIAIdO4kC/tXUhAQIAAPEDAAAOAAAAAAAAAAEAIAAAACIBAABkcnMvZTJv&#10;RG9jLnhtbFBLBQYAAAAABgAGAFkBAACVBQAAAAA=&#10;">
                      <v:fill on="f" focussize="0,0"/>
                      <v:stroke color="#000000" joinstyle="round" dashstyle="dash" endarrow="block"/>
                      <v:imagedata o:title=""/>
                      <o:lock v:ext="edit" aspectratio="f"/>
                    </v:shape>
                  </w:pict>
                </mc:Fallback>
              </mc:AlternateContent>
            </w:r>
          </w:p>
          <w:p w14:paraId="421C10C3">
            <w:pPr>
              <w:pStyle w:val="113"/>
              <w:ind w:left="480" w:firstLine="0" w:firstLineChars="0"/>
              <w:rPr>
                <w:color w:val="auto"/>
              </w:rPr>
            </w:pPr>
            <w:r>
              <w:rPr>
                <w:color w:val="auto"/>
              </w:rPr>
              <mc:AlternateContent>
                <mc:Choice Requires="wps">
                  <w:drawing>
                    <wp:anchor distT="0" distB="0" distL="114300" distR="114300" simplePos="0" relativeHeight="251661312" behindDoc="0" locked="0" layoutInCell="1" allowOverlap="1">
                      <wp:simplePos x="0" y="0"/>
                      <wp:positionH relativeFrom="column">
                        <wp:posOffset>2107565</wp:posOffset>
                      </wp:positionH>
                      <wp:positionV relativeFrom="paragraph">
                        <wp:posOffset>82550</wp:posOffset>
                      </wp:positionV>
                      <wp:extent cx="899795" cy="323850"/>
                      <wp:effectExtent l="4445" t="4445" r="10160" b="14605"/>
                      <wp:wrapNone/>
                      <wp:docPr id="4" name="文本框 46"/>
                      <wp:cNvGraphicFramePr/>
                      <a:graphic xmlns:a="http://schemas.openxmlformats.org/drawingml/2006/main">
                        <a:graphicData uri="http://schemas.microsoft.com/office/word/2010/wordprocessingShape">
                          <wps:wsp>
                            <wps:cNvSpPr txBox="1"/>
                            <wps:spPr>
                              <a:xfrm>
                                <a:off x="0" y="0"/>
                                <a:ext cx="899795" cy="3238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D74FC50">
                                  <w:pPr>
                                    <w:spacing w:line="240" w:lineRule="auto"/>
                                    <w:ind w:firstLine="0" w:firstLineChars="0"/>
                                  </w:pPr>
                                  <w:r>
                                    <w:rPr>
                                      <w:rFonts w:hint="eastAsia"/>
                                    </w:rPr>
                                    <w:t>生物质锅炉</w:t>
                                  </w:r>
                                </w:p>
                              </w:txbxContent>
                            </wps:txbx>
                            <wps:bodyPr upright="1"/>
                          </wps:wsp>
                        </a:graphicData>
                      </a:graphic>
                    </wp:anchor>
                  </w:drawing>
                </mc:Choice>
                <mc:Fallback>
                  <w:pict>
                    <v:shape id="文本框 46" o:spid="_x0000_s1026" o:spt="202" type="#_x0000_t202" style="position:absolute;left:0pt;margin-left:165.95pt;margin-top:6.5pt;height:25.5pt;width:70.85pt;z-index:251661312;mso-width-relative:page;mso-height-relative:page;" fillcolor="#FFFFFF" filled="t" stroked="t" coordsize="21600,21600" o:gfxdata="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qW0vwNgAAAAJAQAADwAAAAAAAAABACAA&#10;AAAiAAAAZHJzL2Rvd25yZXYueG1sUEsBAhQAFAAAAAgAh07iQN1tr6kNAgAANgQAAA4AAAAAAAAA&#10;AQAgAAAAJwEAAGRycy9lMm9Eb2MueG1sUEsFBgAAAAAGAAYAWQEAAKYFAAAAAA==&#10;">
                      <v:fill on="t" focussize="0,0"/>
                      <v:stroke color="#000000" joinstyle="miter"/>
                      <v:imagedata o:title=""/>
                      <o:lock v:ext="edit" aspectratio="f"/>
                      <v:textbox>
                        <w:txbxContent>
                          <w:p w14:paraId="3D74FC50">
                            <w:pPr>
                              <w:spacing w:line="240" w:lineRule="auto"/>
                              <w:ind w:firstLine="0" w:firstLineChars="0"/>
                            </w:pPr>
                            <w:r>
                              <w:rPr>
                                <w:rFonts w:hint="eastAsia"/>
                              </w:rPr>
                              <w:t>生物质锅炉</w:t>
                            </w:r>
                          </w:p>
                        </w:txbxContent>
                      </v:textbox>
                    </v:shape>
                  </w:pict>
                </mc:Fallback>
              </mc:AlternateContent>
            </w:r>
          </w:p>
          <w:p w14:paraId="3112B14B">
            <w:pPr>
              <w:pStyle w:val="113"/>
              <w:ind w:left="480" w:firstLine="0" w:firstLineChars="0"/>
              <w:rPr>
                <w:color w:val="auto"/>
              </w:rPr>
            </w:pPr>
            <w:r>
              <w:rPr>
                <w:b/>
                <w:bCs/>
                <w:color w:val="auto"/>
              </w:rPr>
              <mc:AlternateContent>
                <mc:Choice Requires="wps">
                  <w:drawing>
                    <wp:anchor distT="0" distB="0" distL="114300" distR="114300" simplePos="0" relativeHeight="251669504" behindDoc="0" locked="0" layoutInCell="1" allowOverlap="1">
                      <wp:simplePos x="0" y="0"/>
                      <wp:positionH relativeFrom="column">
                        <wp:posOffset>2158365</wp:posOffset>
                      </wp:positionH>
                      <wp:positionV relativeFrom="paragraph">
                        <wp:posOffset>83820</wp:posOffset>
                      </wp:positionV>
                      <wp:extent cx="820420" cy="335280"/>
                      <wp:effectExtent l="0" t="0" r="0" b="0"/>
                      <wp:wrapNone/>
                      <wp:docPr id="16" name="文本框 367"/>
                      <wp:cNvGraphicFramePr/>
                      <a:graphic xmlns:a="http://schemas.openxmlformats.org/drawingml/2006/main">
                        <a:graphicData uri="http://schemas.microsoft.com/office/word/2010/wordprocessingShape">
                          <wps:wsp>
                            <wps:cNvSpPr txBox="1"/>
                            <wps:spPr>
                              <a:xfrm>
                                <a:off x="0" y="0"/>
                                <a:ext cx="820420" cy="335280"/>
                              </a:xfrm>
                              <a:prstGeom prst="rect">
                                <a:avLst/>
                              </a:prstGeom>
                              <a:noFill/>
                              <a:ln>
                                <a:noFill/>
                              </a:ln>
                            </wps:spPr>
                            <wps:txbx>
                              <w:txbxContent>
                                <w:p w14:paraId="166D2373">
                                  <w:pPr>
                                    <w:ind w:firstLine="0" w:firstLineChars="0"/>
                                  </w:pPr>
                                  <w:r>
                                    <w:rPr>
                                      <w:rFonts w:hint="eastAsia"/>
                                    </w:rPr>
                                    <w:t>蒸汽</w:t>
                                  </w:r>
                                </w:p>
                              </w:txbxContent>
                            </wps:txbx>
                            <wps:bodyPr upright="1"/>
                          </wps:wsp>
                        </a:graphicData>
                      </a:graphic>
                    </wp:anchor>
                  </w:drawing>
                </mc:Choice>
                <mc:Fallback>
                  <w:pict>
                    <v:shape id="文本框 367" o:spid="_x0000_s1026" o:spt="202" type="#_x0000_t202" style="position:absolute;left:0pt;margin-left:169.95pt;margin-top:6.6pt;height:26.4pt;width:64.6pt;z-index:251669504;mso-width-relative:page;mso-height-relative:page;" filled="f" stroked="f" coordsize="21600,21600" o:gfxdata="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BND7XS1gAA&#10;AAkBAAAPAAAAAAAAAAEAIAAAACIAAABkcnMvZG93bnJldi54bWxQSwECFAAUAAAACACHTuJAXhH+&#10;I64BAABQAwAADgAAAAAAAAABACAAAAAlAQAAZHJzL2Uyb0RvYy54bWxQSwUGAAAAAAYABgBZAQAA&#10;RQUAAAAA&#10;">
                      <v:fill on="f" focussize="0,0"/>
                      <v:stroke on="f"/>
                      <v:imagedata o:title=""/>
                      <o:lock v:ext="edit" aspectratio="f"/>
                      <v:textbox>
                        <w:txbxContent>
                          <w:p w14:paraId="166D2373">
                            <w:pPr>
                              <w:ind w:firstLine="0" w:firstLineChars="0"/>
                            </w:pPr>
                            <w:r>
                              <w:rPr>
                                <w:rFonts w:hint="eastAsia"/>
                              </w:rPr>
                              <w:t>蒸汽</w:t>
                            </w:r>
                          </w:p>
                        </w:txbxContent>
                      </v:textbox>
                    </v:shape>
                  </w:pict>
                </mc:Fallback>
              </mc:AlternateContent>
            </w:r>
            <w:r>
              <w:rPr>
                <w:color w:val="auto"/>
                <w:sz w:val="21"/>
              </w:rPr>
              <mc:AlternateContent>
                <mc:Choice Requires="wps">
                  <w:drawing>
                    <wp:anchor distT="0" distB="0" distL="114300" distR="114300" simplePos="0" relativeHeight="251670528" behindDoc="0" locked="0" layoutInCell="1" allowOverlap="1">
                      <wp:simplePos x="0" y="0"/>
                      <wp:positionH relativeFrom="column">
                        <wp:posOffset>2529205</wp:posOffset>
                      </wp:positionH>
                      <wp:positionV relativeFrom="paragraph">
                        <wp:posOffset>87630</wp:posOffset>
                      </wp:positionV>
                      <wp:extent cx="1905" cy="282575"/>
                      <wp:effectExtent l="36830" t="0" r="37465" b="3175"/>
                      <wp:wrapNone/>
                      <wp:docPr id="17" name="直线 410"/>
                      <wp:cNvGraphicFramePr/>
                      <a:graphic xmlns:a="http://schemas.openxmlformats.org/drawingml/2006/main">
                        <a:graphicData uri="http://schemas.microsoft.com/office/word/2010/wordprocessingShape">
                          <wps:wsp>
                            <wps:cNvCnPr/>
                            <wps:spPr>
                              <a:xfrm>
                                <a:off x="0" y="0"/>
                                <a:ext cx="1905" cy="28257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线 410" o:spid="_x0000_s1026" o:spt="20" style="position:absolute;left:0pt;margin-left:199.15pt;margin-top:6.9pt;height:22.25pt;width:0.15pt;z-index:251670528;mso-width-relative:page;mso-height-relative:page;" filled="f" stroked="t" coordsize="21600,21600" o:gfxdata="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xujI8dgAAAAJAQAADwAAAAAAAAABACAAAAAiAAAAZHJzL2Rvd25yZXYueG1sUEsBAhQA&#10;FAAAAAgAh07iQM8x0avyAQAA5AMAAA4AAAAAAAAAAQAgAAAAJwEAAGRycy9lMm9Eb2MueG1sUEsF&#10;BgAAAAAGAAYAWQEAAIsFAAAAAA==&#10;">
                      <v:fill on="f" focussize="0,0"/>
                      <v:stroke color="#000000" joinstyle="round" endarrow="block"/>
                      <v:imagedata o:title=""/>
                      <o:lock v:ext="edit" aspectratio="f"/>
                    </v:line>
                  </w:pict>
                </mc:Fallback>
              </mc:AlternateContent>
            </w:r>
          </w:p>
          <w:p w14:paraId="0071D352">
            <w:pPr>
              <w:pStyle w:val="113"/>
              <w:ind w:firstLine="0" w:firstLineChars="0"/>
              <w:rPr>
                <w:color w:val="auto"/>
              </w:rPr>
            </w:pPr>
            <w:r>
              <w:rPr>
                <w:b/>
                <w:bCs/>
                <w:color w:val="auto"/>
              </w:rPr>
              <mc:AlternateContent>
                <mc:Choice Requires="wps">
                  <w:drawing>
                    <wp:anchor distT="0" distB="0" distL="114300" distR="114300" simplePos="0" relativeHeight="251664384" behindDoc="0" locked="0" layoutInCell="1" allowOverlap="1">
                      <wp:simplePos x="0" y="0"/>
                      <wp:positionH relativeFrom="column">
                        <wp:posOffset>2114550</wp:posOffset>
                      </wp:positionH>
                      <wp:positionV relativeFrom="paragraph">
                        <wp:posOffset>37465</wp:posOffset>
                      </wp:positionV>
                      <wp:extent cx="866775" cy="323850"/>
                      <wp:effectExtent l="4445" t="5080" r="5080" b="13970"/>
                      <wp:wrapNone/>
                      <wp:docPr id="11" name="文本框 104"/>
                      <wp:cNvGraphicFramePr/>
                      <a:graphic xmlns:a="http://schemas.openxmlformats.org/drawingml/2006/main">
                        <a:graphicData uri="http://schemas.microsoft.com/office/word/2010/wordprocessingShape">
                          <wps:wsp>
                            <wps:cNvSpPr txBox="1"/>
                            <wps:spPr>
                              <a:xfrm>
                                <a:off x="0" y="0"/>
                                <a:ext cx="866775" cy="3238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B5A5670">
                                  <w:pPr>
                                    <w:ind w:firstLine="0" w:firstLineChars="0"/>
                                    <w:jc w:val="center"/>
                                  </w:pPr>
                                  <w:r>
                                    <w:rPr>
                                      <w:rFonts w:hint="eastAsia"/>
                                    </w:rPr>
                                    <w:t>杀菌</w:t>
                                  </w:r>
                                </w:p>
                              </w:txbxContent>
                            </wps:txbx>
                            <wps:bodyPr upright="1"/>
                          </wps:wsp>
                        </a:graphicData>
                      </a:graphic>
                    </wp:anchor>
                  </w:drawing>
                </mc:Choice>
                <mc:Fallback>
                  <w:pict>
                    <v:shape id="文本框 104" o:spid="_x0000_s1026" o:spt="202" type="#_x0000_t202" style="position:absolute;left:0pt;margin-left:166.5pt;margin-top:2.95pt;height:25.5pt;width:68.25pt;z-index:251664384;mso-width-relative:page;mso-height-relative:page;" fillcolor="#FFFFFF" filled="t" stroked="t" coordsize="21600,21600" o:gfxdata="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cBGIGtcAAAAIAQAADwAAAAAAAAABACAA&#10;AAAiAAAAZHJzL2Rvd25yZXYueG1sUEsBAhQAFAAAAAgAh07iQJv8lA4OAgAAOAQAAA4AAAAAAAAA&#10;AQAgAAAAJgEAAGRycy9lMm9Eb2MueG1sUEsFBgAAAAAGAAYAWQEAAKYFAAAAAA==&#10;">
                      <v:fill on="t" focussize="0,0"/>
                      <v:stroke color="#000000" joinstyle="miter"/>
                      <v:imagedata o:title=""/>
                      <o:lock v:ext="edit" aspectratio="f"/>
                      <v:textbox>
                        <w:txbxContent>
                          <w:p w14:paraId="1B5A5670">
                            <w:pPr>
                              <w:ind w:firstLine="0" w:firstLineChars="0"/>
                              <w:jc w:val="center"/>
                            </w:pPr>
                            <w:r>
                              <w:rPr>
                                <w:rFonts w:hint="eastAsia"/>
                              </w:rPr>
                              <w:t>杀菌</w:t>
                            </w:r>
                          </w:p>
                        </w:txbxContent>
                      </v:textbox>
                    </v:shape>
                  </w:pict>
                </mc:Fallback>
              </mc:AlternateContent>
            </w:r>
          </w:p>
          <w:p w14:paraId="10D154AC">
            <w:pPr>
              <w:pStyle w:val="113"/>
              <w:spacing w:line="400" w:lineRule="exact"/>
              <w:ind w:firstLine="0" w:firstLineChars="0"/>
              <w:rPr>
                <w:color w:val="auto"/>
              </w:rPr>
            </w:pPr>
          </w:p>
          <w:p w14:paraId="7C58ECE2">
            <w:pPr>
              <w:pStyle w:val="76"/>
              <w:numPr>
                <w:ilvl w:val="0"/>
                <w:numId w:val="0"/>
              </w:numPr>
              <w:spacing w:line="240" w:lineRule="auto"/>
              <w:ind w:left="425"/>
              <w:rPr>
                <w:rFonts w:hint="default"/>
              </w:rPr>
            </w:pPr>
            <w:r>
              <w:t>图2-4 生物质锅炉工艺及产排污节点图</w:t>
            </w:r>
          </w:p>
          <w:p w14:paraId="6FDFD7E8">
            <w:pPr>
              <w:pStyle w:val="76"/>
              <w:numPr>
                <w:ilvl w:val="0"/>
                <w:numId w:val="0"/>
              </w:numPr>
              <w:spacing w:line="240" w:lineRule="auto"/>
              <w:ind w:left="425"/>
              <w:rPr>
                <w:rFonts w:hint="default"/>
              </w:rPr>
            </w:pPr>
          </w:p>
          <w:p w14:paraId="268AEFFA">
            <w:pPr>
              <w:adjustRightInd w:val="0"/>
              <w:snapToGrid w:val="0"/>
              <w:ind w:firstLine="420"/>
              <w:rPr>
                <w:szCs w:val="21"/>
              </w:rPr>
            </w:pPr>
            <w:r>
              <w:rPr>
                <w:rFonts w:hint="eastAsia"/>
                <w:szCs w:val="21"/>
              </w:rPr>
              <w:t>3）</w:t>
            </w:r>
            <w:r>
              <w:rPr>
                <w:szCs w:val="21"/>
              </w:rPr>
              <w:t>软化水制备工艺流程</w:t>
            </w:r>
            <w:r>
              <w:rPr>
                <w:rFonts w:hint="eastAsia"/>
                <w:szCs w:val="21"/>
              </w:rPr>
              <w:t>及产排污节点</w:t>
            </w:r>
          </w:p>
          <w:p w14:paraId="0E8EF86E">
            <w:pPr>
              <w:pStyle w:val="113"/>
              <w:adjustRightInd w:val="0"/>
              <w:snapToGrid w:val="0"/>
              <w:spacing w:line="360" w:lineRule="auto"/>
              <w:ind w:firstLine="420"/>
              <w:rPr>
                <w:color w:val="auto"/>
                <w:kern w:val="2"/>
                <w:sz w:val="21"/>
                <w:szCs w:val="21"/>
              </w:rPr>
            </w:pPr>
            <w:r>
              <w:rPr>
                <w:color w:val="auto"/>
                <w:kern w:val="2"/>
                <w:sz w:val="21"/>
                <w:szCs w:val="21"/>
              </w:rPr>
              <w:t>工艺流程简述：</w:t>
            </w:r>
          </w:p>
          <w:p w14:paraId="70D07DD4">
            <w:pPr>
              <w:pStyle w:val="18"/>
              <w:adjustRightInd w:val="0"/>
              <w:ind w:firstLine="420"/>
              <w:rPr>
                <w:kern w:val="2"/>
                <w:sz w:val="21"/>
                <w:szCs w:val="21"/>
              </w:rPr>
            </w:pPr>
            <w:r>
              <w:rPr>
                <w:rFonts w:hint="eastAsia"/>
                <w:kern w:val="2"/>
                <w:sz w:val="21"/>
                <w:szCs w:val="21"/>
              </w:rPr>
              <w:t>新鲜</w:t>
            </w:r>
            <w:r>
              <w:rPr>
                <w:kern w:val="2"/>
                <w:sz w:val="21"/>
                <w:szCs w:val="21"/>
              </w:rPr>
              <w:t>水首先进入软化水处理设备（自来水中都会含有钙、镁离子，锅炉直接用自来水，长时间会结成大量的水垢，影响锅炉的使用寿命，因此需要对水进行处理，采用软水器将水中的钙镁离子置换出来，因此生产废水中 COD和BOD浓度低），该设备去除水中的Ca</w:t>
            </w:r>
            <w:r>
              <w:rPr>
                <w:kern w:val="2"/>
                <w:sz w:val="21"/>
                <w:szCs w:val="21"/>
                <w:vertAlign w:val="superscript"/>
              </w:rPr>
              <w:t>2+</w:t>
            </w:r>
            <w:r>
              <w:rPr>
                <w:kern w:val="2"/>
                <w:sz w:val="21"/>
                <w:szCs w:val="21"/>
              </w:rPr>
              <w:t>、Mg</w:t>
            </w:r>
            <w:r>
              <w:rPr>
                <w:kern w:val="2"/>
                <w:sz w:val="21"/>
                <w:szCs w:val="21"/>
                <w:vertAlign w:val="superscript"/>
              </w:rPr>
              <w:t>2+</w:t>
            </w:r>
            <w:r>
              <w:rPr>
                <w:kern w:val="2"/>
                <w:sz w:val="21"/>
                <w:szCs w:val="21"/>
              </w:rPr>
              <w:t>离子，经软化后的水由补水泵输送至锅炉中加热，然后用于为</w:t>
            </w:r>
            <w:r>
              <w:rPr>
                <w:rFonts w:hint="eastAsia"/>
                <w:kern w:val="2"/>
                <w:sz w:val="21"/>
                <w:szCs w:val="21"/>
              </w:rPr>
              <w:t>杀菌</w:t>
            </w:r>
            <w:r>
              <w:rPr>
                <w:kern w:val="2"/>
                <w:sz w:val="21"/>
                <w:szCs w:val="21"/>
              </w:rPr>
              <w:t>工序提供蒸汽。</w:t>
            </w:r>
          </w:p>
          <w:p w14:paraId="1224BBBE">
            <w:pPr>
              <w:pStyle w:val="18"/>
              <w:adjustRightInd w:val="0"/>
              <w:ind w:firstLine="420"/>
              <w:rPr>
                <w:kern w:val="2"/>
                <w:sz w:val="21"/>
                <w:szCs w:val="21"/>
              </w:rPr>
            </w:pPr>
            <w:r>
              <w:rPr>
                <w:kern w:val="2"/>
                <w:sz w:val="21"/>
                <w:szCs w:val="21"/>
              </w:rPr>
              <w:t>本项目软水制水设备采用离子树脂过滤方式，制水效率取9</w:t>
            </w:r>
            <w:r>
              <w:rPr>
                <w:rFonts w:hint="eastAsia"/>
                <w:kern w:val="2"/>
                <w:sz w:val="21"/>
                <w:szCs w:val="21"/>
              </w:rPr>
              <w:t>5</w:t>
            </w:r>
            <w:r>
              <w:rPr>
                <w:kern w:val="2"/>
                <w:sz w:val="21"/>
                <w:szCs w:val="21"/>
              </w:rPr>
              <w:t>%。</w:t>
            </w:r>
          </w:p>
          <w:p w14:paraId="11B2F7EF">
            <w:pPr>
              <w:pStyle w:val="18"/>
              <w:adjustRightInd w:val="0"/>
              <w:ind w:firstLine="420"/>
              <w:rPr>
                <w:kern w:val="2"/>
                <w:sz w:val="21"/>
                <w:szCs w:val="21"/>
              </w:rPr>
            </w:pPr>
            <w:r>
              <w:rPr>
                <w:rFonts w:hint="eastAsia"/>
                <w:kern w:val="2"/>
                <w:sz w:val="21"/>
                <w:szCs w:val="21"/>
              </w:rPr>
              <w:t>主要排污节点为：锅炉</w:t>
            </w:r>
            <w:r>
              <w:rPr>
                <w:kern w:val="2"/>
                <w:sz w:val="21"/>
                <w:szCs w:val="21"/>
              </w:rPr>
              <w:t>废水、废</w:t>
            </w:r>
            <w:r>
              <w:rPr>
                <w:rFonts w:hint="eastAsia"/>
                <w:kern w:val="2"/>
                <w:sz w:val="21"/>
                <w:szCs w:val="21"/>
              </w:rPr>
              <w:t>离子</w:t>
            </w:r>
            <w:r>
              <w:rPr>
                <w:kern w:val="2"/>
                <w:sz w:val="21"/>
                <w:szCs w:val="21"/>
              </w:rPr>
              <w:t>树脂</w:t>
            </w:r>
            <w:r>
              <w:rPr>
                <w:rFonts w:hint="eastAsia"/>
                <w:kern w:val="2"/>
                <w:sz w:val="21"/>
                <w:szCs w:val="21"/>
              </w:rPr>
              <w:t>等</w:t>
            </w:r>
            <w:r>
              <w:rPr>
                <w:kern w:val="2"/>
                <w:sz w:val="21"/>
                <w:szCs w:val="21"/>
              </w:rPr>
              <w:t>。</w:t>
            </w:r>
          </w:p>
          <w:p w14:paraId="0F136370">
            <w:pPr>
              <w:pStyle w:val="113"/>
              <w:ind w:left="480" w:firstLine="0" w:firstLineChars="0"/>
              <w:rPr>
                <w:color w:val="auto"/>
              </w:rPr>
            </w:pPr>
            <w:r>
              <w:rPr>
                <w:b/>
                <w:bCs/>
                <w:color w:val="auto"/>
              </w:rPr>
              <mc:AlternateContent>
                <mc:Choice Requires="wps">
                  <w:drawing>
                    <wp:anchor distT="0" distB="0" distL="114300" distR="114300" simplePos="0" relativeHeight="251677696" behindDoc="0" locked="0" layoutInCell="1" allowOverlap="1">
                      <wp:simplePos x="0" y="0"/>
                      <wp:positionH relativeFrom="column">
                        <wp:posOffset>2987040</wp:posOffset>
                      </wp:positionH>
                      <wp:positionV relativeFrom="paragraph">
                        <wp:posOffset>71755</wp:posOffset>
                      </wp:positionV>
                      <wp:extent cx="1351915" cy="323850"/>
                      <wp:effectExtent l="0" t="0" r="0" b="0"/>
                      <wp:wrapNone/>
                      <wp:docPr id="24" name="文本框 69"/>
                      <wp:cNvGraphicFramePr/>
                      <a:graphic xmlns:a="http://schemas.openxmlformats.org/drawingml/2006/main">
                        <a:graphicData uri="http://schemas.microsoft.com/office/word/2010/wordprocessingShape">
                          <wps:wsp>
                            <wps:cNvSpPr txBox="1"/>
                            <wps:spPr>
                              <a:xfrm>
                                <a:off x="0" y="0"/>
                                <a:ext cx="1351915" cy="323850"/>
                              </a:xfrm>
                              <a:prstGeom prst="rect">
                                <a:avLst/>
                              </a:prstGeom>
                              <a:noFill/>
                              <a:ln>
                                <a:noFill/>
                              </a:ln>
                            </wps:spPr>
                            <wps:txbx>
                              <w:txbxContent>
                                <w:p w14:paraId="22FDC27E">
                                  <w:pPr>
                                    <w:ind w:firstLine="0" w:firstLineChars="0"/>
                                  </w:pPr>
                                  <w:r>
                                    <w:rPr>
                                      <w:rFonts w:hint="eastAsia"/>
                                    </w:rPr>
                                    <w:t>固废、废水</w:t>
                                  </w:r>
                                </w:p>
                              </w:txbxContent>
                            </wps:txbx>
                            <wps:bodyPr upright="1"/>
                          </wps:wsp>
                        </a:graphicData>
                      </a:graphic>
                    </wp:anchor>
                  </w:drawing>
                </mc:Choice>
                <mc:Fallback>
                  <w:pict>
                    <v:shape id="文本框 69" o:spid="_x0000_s1026" o:spt="202" type="#_x0000_t202" style="position:absolute;left:0pt;margin-left:235.2pt;margin-top:5.65pt;height:25.5pt;width:106.45pt;z-index:251677696;mso-width-relative:page;mso-height-relative:page;" filled="f" stroked="f" coordsize="21600,21600" o:gfxdata="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AtSzrLW&#10;AAAACQEAAA8AAAAAAAAAAQAgAAAAIgAAAGRycy9kb3ducmV2LnhtbFBLAQIUABQAAAAIAIdO4kDo&#10;smX4sAEAAFADAAAOAAAAAAAAAAEAIAAAACUBAABkcnMvZTJvRG9jLnhtbFBLBQYAAAAABgAGAFkB&#10;AABHBQAAAAA=&#10;">
                      <v:fill on="f" focussize="0,0"/>
                      <v:stroke on="f"/>
                      <v:imagedata o:title=""/>
                      <o:lock v:ext="edit" aspectratio="f"/>
                      <v:textbox>
                        <w:txbxContent>
                          <w:p w14:paraId="22FDC27E">
                            <w:pPr>
                              <w:ind w:firstLine="0" w:firstLineChars="0"/>
                            </w:pPr>
                            <w:r>
                              <w:rPr>
                                <w:rFonts w:hint="eastAsia"/>
                              </w:rPr>
                              <w:t>固废、废水</w:t>
                            </w:r>
                          </w:p>
                        </w:txbxContent>
                      </v:textbox>
                    </v:shape>
                  </w:pict>
                </mc:Fallback>
              </mc:AlternateContent>
            </w:r>
            <w:r>
              <w:rPr>
                <w:b/>
                <w:bCs/>
                <w:color w:val="auto"/>
              </w:rPr>
              <mc:AlternateContent>
                <mc:Choice Requires="wps">
                  <w:drawing>
                    <wp:anchor distT="0" distB="0" distL="114300" distR="114300" simplePos="0" relativeHeight="251676672" behindDoc="0" locked="0" layoutInCell="1" allowOverlap="1">
                      <wp:simplePos x="0" y="0"/>
                      <wp:positionH relativeFrom="column">
                        <wp:posOffset>2726055</wp:posOffset>
                      </wp:positionH>
                      <wp:positionV relativeFrom="paragraph">
                        <wp:posOffset>191770</wp:posOffset>
                      </wp:positionV>
                      <wp:extent cx="215265" cy="164465"/>
                      <wp:effectExtent l="3175" t="0" r="10160" b="6985"/>
                      <wp:wrapNone/>
                      <wp:docPr id="23" name="自选图形 78"/>
                      <wp:cNvGraphicFramePr/>
                      <a:graphic xmlns:a="http://schemas.openxmlformats.org/drawingml/2006/main">
                        <a:graphicData uri="http://schemas.microsoft.com/office/word/2010/wordprocessingShape">
                          <wps:wsp>
                            <wps:cNvCnPr/>
                            <wps:spPr>
                              <a:xfrm flipV="1">
                                <a:off x="0" y="0"/>
                                <a:ext cx="215265" cy="164465"/>
                              </a:xfrm>
                              <a:prstGeom prst="straightConnector1">
                                <a:avLst/>
                              </a:prstGeom>
                              <a:ln w="9525" cap="flat" cmpd="sng">
                                <a:solidFill>
                                  <a:srgbClr val="000000"/>
                                </a:solidFill>
                                <a:prstDash val="lgDash"/>
                                <a:headEnd type="none" w="med" len="med"/>
                                <a:tailEnd type="triangle" w="med" len="med"/>
                              </a:ln>
                            </wps:spPr>
                            <wps:bodyPr/>
                          </wps:wsp>
                        </a:graphicData>
                      </a:graphic>
                    </wp:anchor>
                  </w:drawing>
                </mc:Choice>
                <mc:Fallback>
                  <w:pict>
                    <v:shape id="自选图形 78" o:spid="_x0000_s1026" o:spt="32" type="#_x0000_t32" style="position:absolute;left:0pt;flip:y;margin-left:214.65pt;margin-top:15.1pt;height:12.95pt;width:16.95pt;z-index:251676672;mso-width-relative:page;mso-height-relative:page;" filled="f" stroked="t" coordsize="21600,21600" o:gfxdata="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5jdxs2QAAAAkBAAAPAAAAAAAAAAEAIAAAACIA&#10;AABkcnMvZG93bnJldi54bWxQSwECFAAUAAAACACHTuJA+PIZvwgCAAD4AwAADgAAAAAAAAABACAA&#10;AAAoAQAAZHJzL2Uyb0RvYy54bWxQSwUGAAAAAAYABgBZAQAAogUAAAAA&#10;">
                      <v:fill on="f" focussize="0,0"/>
                      <v:stroke color="#000000" joinstyle="round" dashstyle="longDash" endarrow="block"/>
                      <v:imagedata o:title=""/>
                      <o:lock v:ext="edit" aspectratio="f"/>
                    </v:shape>
                  </w:pict>
                </mc:Fallback>
              </mc:AlternateContent>
            </w:r>
          </w:p>
          <w:p w14:paraId="2951E88E">
            <w:pPr>
              <w:pStyle w:val="113"/>
              <w:ind w:firstLine="0" w:firstLineChars="0"/>
              <w:rPr>
                <w:color w:val="auto"/>
              </w:rPr>
            </w:pPr>
            <w:r>
              <w:rPr>
                <w:b/>
                <w:bCs/>
                <w:color w:val="auto"/>
              </w:rPr>
              <mc:AlternateContent>
                <mc:Choice Requires="wps">
                  <w:drawing>
                    <wp:anchor distT="0" distB="0" distL="114300" distR="114300" simplePos="0" relativeHeight="251675648" behindDoc="0" locked="0" layoutInCell="1" allowOverlap="1">
                      <wp:simplePos x="0" y="0"/>
                      <wp:positionH relativeFrom="column">
                        <wp:posOffset>1167130</wp:posOffset>
                      </wp:positionH>
                      <wp:positionV relativeFrom="paragraph">
                        <wp:posOffset>70485</wp:posOffset>
                      </wp:positionV>
                      <wp:extent cx="590550" cy="323850"/>
                      <wp:effectExtent l="0" t="0" r="0" b="0"/>
                      <wp:wrapNone/>
                      <wp:docPr id="22" name="文本框 83"/>
                      <wp:cNvGraphicFramePr/>
                      <a:graphic xmlns:a="http://schemas.openxmlformats.org/drawingml/2006/main">
                        <a:graphicData uri="http://schemas.microsoft.com/office/word/2010/wordprocessingShape">
                          <wps:wsp>
                            <wps:cNvSpPr txBox="1"/>
                            <wps:spPr>
                              <a:xfrm>
                                <a:off x="0" y="0"/>
                                <a:ext cx="590550" cy="323850"/>
                              </a:xfrm>
                              <a:prstGeom prst="rect">
                                <a:avLst/>
                              </a:prstGeom>
                              <a:noFill/>
                              <a:ln>
                                <a:noFill/>
                              </a:ln>
                            </wps:spPr>
                            <wps:txbx>
                              <w:txbxContent>
                                <w:p w14:paraId="6C425D52">
                                  <w:pPr>
                                    <w:ind w:firstLine="0" w:firstLineChars="0"/>
                                  </w:pPr>
                                  <w:r>
                                    <w:rPr>
                                      <w:rFonts w:hint="eastAsia"/>
                                    </w:rPr>
                                    <w:t>新鲜水</w:t>
                                  </w:r>
                                </w:p>
                              </w:txbxContent>
                            </wps:txbx>
                            <wps:bodyPr upright="1"/>
                          </wps:wsp>
                        </a:graphicData>
                      </a:graphic>
                    </wp:anchor>
                  </w:drawing>
                </mc:Choice>
                <mc:Fallback>
                  <w:pict>
                    <v:shape id="文本框 83" o:spid="_x0000_s1026" o:spt="202" type="#_x0000_t202" style="position:absolute;left:0pt;margin-left:91.9pt;margin-top:5.55pt;height:25.5pt;width:46.5pt;z-index:251675648;mso-width-relative:page;mso-height-relative:page;" filled="f" stroked="f" coordsize="21600,21600" o:gfxdata="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NAnswrWAAAA&#10;CQEAAA8AAAAAAAAAAQAgAAAAIgAAAGRycy9kb3ducmV2LnhtbFBLAQIUABQAAAAIAIdO4kAwspGH&#10;rQEAAE8DAAAOAAAAAAAAAAEAIAAAACUBAABkcnMvZTJvRG9jLnhtbFBLBQYAAAAABgAGAFkBAABE&#10;BQAAAAA=&#10;">
                      <v:fill on="f" focussize="0,0"/>
                      <v:stroke on="f"/>
                      <v:imagedata o:title=""/>
                      <o:lock v:ext="edit" aspectratio="f"/>
                      <v:textbox>
                        <w:txbxContent>
                          <w:p w14:paraId="6C425D52">
                            <w:pPr>
                              <w:ind w:firstLine="0" w:firstLineChars="0"/>
                            </w:pPr>
                            <w:r>
                              <w:rPr>
                                <w:rFonts w:hint="eastAsia"/>
                              </w:rPr>
                              <w:t>新鲜水</w:t>
                            </w:r>
                          </w:p>
                        </w:txbxContent>
                      </v:textbox>
                    </v:shape>
                  </w:pict>
                </mc:Fallback>
              </mc:AlternateContent>
            </w:r>
            <w:r>
              <w:rPr>
                <w:b/>
                <w:bCs/>
                <w:color w:val="auto"/>
              </w:rPr>
              <mc:AlternateContent>
                <mc:Choice Requires="wps">
                  <w:drawing>
                    <wp:anchor distT="0" distB="0" distL="114300" distR="114300" simplePos="0" relativeHeight="251674624" behindDoc="0" locked="0" layoutInCell="1" allowOverlap="1">
                      <wp:simplePos x="0" y="0"/>
                      <wp:positionH relativeFrom="column">
                        <wp:posOffset>3340100</wp:posOffset>
                      </wp:positionH>
                      <wp:positionV relativeFrom="paragraph">
                        <wp:posOffset>29210</wp:posOffset>
                      </wp:positionV>
                      <wp:extent cx="553720" cy="322580"/>
                      <wp:effectExtent l="5080" t="4445" r="12700" b="15875"/>
                      <wp:wrapNone/>
                      <wp:docPr id="21" name="文本框 375"/>
                      <wp:cNvGraphicFramePr/>
                      <a:graphic xmlns:a="http://schemas.openxmlformats.org/drawingml/2006/main">
                        <a:graphicData uri="http://schemas.microsoft.com/office/word/2010/wordprocessingShape">
                          <wps:wsp>
                            <wps:cNvSpPr txBox="1"/>
                            <wps:spPr>
                              <a:xfrm>
                                <a:off x="0" y="0"/>
                                <a:ext cx="553720" cy="322580"/>
                              </a:xfrm>
                              <a:prstGeom prst="rect">
                                <a:avLst/>
                              </a:prstGeom>
                              <a:noFill/>
                              <a:ln w="9525" cap="flat" cmpd="sng">
                                <a:solidFill>
                                  <a:srgbClr val="000000"/>
                                </a:solidFill>
                                <a:prstDash val="solid"/>
                                <a:miter/>
                                <a:headEnd type="none" w="med" len="med"/>
                                <a:tailEnd type="none" w="med" len="med"/>
                              </a:ln>
                            </wps:spPr>
                            <wps:txbx>
                              <w:txbxContent>
                                <w:p w14:paraId="0A5EE605">
                                  <w:pPr>
                                    <w:ind w:firstLine="0" w:firstLineChars="0"/>
                                  </w:pPr>
                                  <w:r>
                                    <w:rPr>
                                      <w:rFonts w:hint="eastAsia"/>
                                    </w:rPr>
                                    <w:t>锅炉</w:t>
                                  </w:r>
                                </w:p>
                              </w:txbxContent>
                            </wps:txbx>
                            <wps:bodyPr upright="1"/>
                          </wps:wsp>
                        </a:graphicData>
                      </a:graphic>
                    </wp:anchor>
                  </w:drawing>
                </mc:Choice>
                <mc:Fallback>
                  <w:pict>
                    <v:shape id="文本框 375" o:spid="_x0000_s1026" o:spt="202" type="#_x0000_t202" style="position:absolute;left:0pt;margin-left:263pt;margin-top:2.3pt;height:25.4pt;width:43.6pt;z-index:251674624;mso-width-relative:page;mso-height-relative:page;" filled="f" stroked="t" coordsize="21600,21600" o:gfxdata="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BJO5eTVAAAACAEAAA8AAAAAAAAAAQAgAAAAIgAAAGRy&#10;cy9kb3ducmV2LnhtbFBLAQIUABQAAAAIAIdO4kDGPBcnCAIAAA8EAAAOAAAAAAAAAAEAIAAAACQB&#10;AABkcnMvZTJvRG9jLnhtbFBLBQYAAAAABgAGAFkBAACeBQAAAAA=&#10;">
                      <v:fill on="f" focussize="0,0"/>
                      <v:stroke color="#000000" joinstyle="miter"/>
                      <v:imagedata o:title=""/>
                      <o:lock v:ext="edit" aspectratio="f"/>
                      <v:textbox>
                        <w:txbxContent>
                          <w:p w14:paraId="0A5EE605">
                            <w:pPr>
                              <w:ind w:firstLine="0" w:firstLineChars="0"/>
                            </w:pPr>
                            <w:r>
                              <w:rPr>
                                <w:rFonts w:hint="eastAsia"/>
                              </w:rPr>
                              <w:t>锅炉</w:t>
                            </w:r>
                          </w:p>
                        </w:txbxContent>
                      </v:textbox>
                    </v:shape>
                  </w:pict>
                </mc:Fallback>
              </mc:AlternateContent>
            </w:r>
            <w:r>
              <w:rPr>
                <w:color w:val="auto"/>
              </w:rPr>
              <mc:AlternateContent>
                <mc:Choice Requires="wps">
                  <w:drawing>
                    <wp:anchor distT="0" distB="0" distL="114300" distR="114300" simplePos="0" relativeHeight="251671552" behindDoc="0" locked="0" layoutInCell="1" allowOverlap="1">
                      <wp:simplePos x="0" y="0"/>
                      <wp:positionH relativeFrom="column">
                        <wp:posOffset>1721485</wp:posOffset>
                      </wp:positionH>
                      <wp:positionV relativeFrom="paragraph">
                        <wp:posOffset>207645</wp:posOffset>
                      </wp:positionV>
                      <wp:extent cx="292100" cy="3810"/>
                      <wp:effectExtent l="0" t="36830" r="12700" b="35560"/>
                      <wp:wrapNone/>
                      <wp:docPr id="18" name="自选图形 45"/>
                      <wp:cNvGraphicFramePr/>
                      <a:graphic xmlns:a="http://schemas.openxmlformats.org/drawingml/2006/main">
                        <a:graphicData uri="http://schemas.microsoft.com/office/word/2010/wordprocessingShape">
                          <wps:wsp>
                            <wps:cNvCnPr/>
                            <wps:spPr>
                              <a:xfrm flipV="1">
                                <a:off x="0" y="0"/>
                                <a:ext cx="292100" cy="381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45" o:spid="_x0000_s1026" o:spt="32" type="#_x0000_t32" style="position:absolute;left:0pt;flip:y;margin-left:135.55pt;margin-top:16.35pt;height:0.3pt;width:23pt;z-index:251671552;mso-width-relative:page;mso-height-relative:page;" filled="f" stroked="t" coordsize="21600,21600" o:gfxdata="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PJ1PHtgAAAAJAQAADwAAAAAAAAABACAAAAAiAAAA&#10;ZHJzL2Rvd25yZXYueG1sUEsBAhQAFAAAAAgAh07iQMAgHFUHAgAA9QMAAA4AAAAAAAAAAQAgAAAA&#10;JwEAAGRycy9lMm9Eb2MueG1sUEsFBgAAAAAGAAYAWQEAAKAFAAAAAA==&#10;">
                      <v:fill on="f" focussize="0,0"/>
                      <v:stroke color="#000000" joinstyle="round" endarrow="block"/>
                      <v:imagedata o:title=""/>
                      <o:lock v:ext="edit" aspectratio="f"/>
                    </v:shape>
                  </w:pict>
                </mc:Fallback>
              </mc:AlternateContent>
            </w:r>
            <w:r>
              <w:rPr>
                <w:b/>
                <w:bCs/>
                <w:color w:val="auto"/>
              </w:rPr>
              <mc:AlternateContent>
                <mc:Choice Requires="wps">
                  <w:drawing>
                    <wp:anchor distT="0" distB="0" distL="114300" distR="114300" simplePos="0" relativeHeight="251673600" behindDoc="0" locked="0" layoutInCell="1" allowOverlap="1">
                      <wp:simplePos x="0" y="0"/>
                      <wp:positionH relativeFrom="column">
                        <wp:posOffset>2012950</wp:posOffset>
                      </wp:positionH>
                      <wp:positionV relativeFrom="paragraph">
                        <wp:posOffset>37465</wp:posOffset>
                      </wp:positionV>
                      <wp:extent cx="1025525" cy="323850"/>
                      <wp:effectExtent l="4445" t="4445" r="17780" b="14605"/>
                      <wp:wrapNone/>
                      <wp:docPr id="20" name="文本框 374"/>
                      <wp:cNvGraphicFramePr/>
                      <a:graphic xmlns:a="http://schemas.openxmlformats.org/drawingml/2006/main">
                        <a:graphicData uri="http://schemas.microsoft.com/office/word/2010/wordprocessingShape">
                          <wps:wsp>
                            <wps:cNvSpPr txBox="1"/>
                            <wps:spPr>
                              <a:xfrm>
                                <a:off x="0" y="0"/>
                                <a:ext cx="1025525" cy="3238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BBDD319">
                                  <w:pPr>
                                    <w:spacing w:line="240" w:lineRule="auto"/>
                                    <w:ind w:firstLine="0" w:firstLineChars="0"/>
                                  </w:pPr>
                                  <w:r>
                                    <w:rPr>
                                      <w:rFonts w:hint="eastAsia"/>
                                    </w:rPr>
                                    <w:t>软水制备系统</w:t>
                                  </w:r>
                                </w:p>
                                <w:p w14:paraId="365DCA70">
                                  <w:pPr>
                                    <w:ind w:firstLine="420"/>
                                  </w:pPr>
                                </w:p>
                              </w:txbxContent>
                            </wps:txbx>
                            <wps:bodyPr upright="1"/>
                          </wps:wsp>
                        </a:graphicData>
                      </a:graphic>
                    </wp:anchor>
                  </w:drawing>
                </mc:Choice>
                <mc:Fallback>
                  <w:pict>
                    <v:shape id="文本框 374" o:spid="_x0000_s1026" o:spt="202" type="#_x0000_t202" style="position:absolute;left:0pt;margin-left:158.5pt;margin-top:2.95pt;height:25.5pt;width:80.75pt;z-index:251673600;mso-width-relative:page;mso-height-relative:page;" fillcolor="#FFFFFF" filled="t" stroked="t" coordsize="21600,21600" o:gfxdata="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YgsdM1wAAAAgBAAAPAAAAAAAAAAEAIAAA&#10;ACIAAABkcnMvZG93bnJldi54bWxQSwECFAAUAAAACACHTuJAD52tWg0CAAA5BAAADgAAAAAAAAAB&#10;ACAAAAAmAQAAZHJzL2Uyb0RvYy54bWxQSwUGAAAAAAYABgBZAQAApQUAAAAA&#10;">
                      <v:fill on="t" focussize="0,0"/>
                      <v:stroke color="#000000" joinstyle="miter"/>
                      <v:imagedata o:title=""/>
                      <o:lock v:ext="edit" aspectratio="f"/>
                      <v:textbox>
                        <w:txbxContent>
                          <w:p w14:paraId="3BBDD319">
                            <w:pPr>
                              <w:spacing w:line="240" w:lineRule="auto"/>
                              <w:ind w:firstLine="0" w:firstLineChars="0"/>
                            </w:pPr>
                            <w:r>
                              <w:rPr>
                                <w:rFonts w:hint="eastAsia"/>
                              </w:rPr>
                              <w:t>软水制备系统</w:t>
                            </w:r>
                          </w:p>
                          <w:p w14:paraId="365DCA70">
                            <w:pPr>
                              <w:ind w:firstLine="420"/>
                            </w:pPr>
                          </w:p>
                        </w:txbxContent>
                      </v:textbox>
                    </v:shape>
                  </w:pict>
                </mc:Fallback>
              </mc:AlternateContent>
            </w:r>
            <w:r>
              <w:rPr>
                <w:color w:val="auto"/>
              </w:rPr>
              <mc:AlternateContent>
                <mc:Choice Requires="wps">
                  <w:drawing>
                    <wp:anchor distT="0" distB="0" distL="114300" distR="114300" simplePos="0" relativeHeight="251672576" behindDoc="0" locked="0" layoutInCell="1" allowOverlap="1">
                      <wp:simplePos x="0" y="0"/>
                      <wp:positionH relativeFrom="column">
                        <wp:posOffset>2986405</wp:posOffset>
                      </wp:positionH>
                      <wp:positionV relativeFrom="paragraph">
                        <wp:posOffset>201930</wp:posOffset>
                      </wp:positionV>
                      <wp:extent cx="346075" cy="635"/>
                      <wp:effectExtent l="0" t="37465" r="15875" b="38100"/>
                      <wp:wrapNone/>
                      <wp:docPr id="19" name="自选图形 43"/>
                      <wp:cNvGraphicFramePr/>
                      <a:graphic xmlns:a="http://schemas.openxmlformats.org/drawingml/2006/main">
                        <a:graphicData uri="http://schemas.microsoft.com/office/word/2010/wordprocessingShape">
                          <wps:wsp>
                            <wps:cNvCnPr/>
                            <wps:spPr>
                              <a:xfrm>
                                <a:off x="0" y="0"/>
                                <a:ext cx="346075" cy="63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43" o:spid="_x0000_s1026" o:spt="32" type="#_x0000_t32" style="position:absolute;left:0pt;margin-left:235.15pt;margin-top:15.9pt;height:0.05pt;width:27.25pt;z-index:251672576;mso-width-relative:page;mso-height-relative:page;" filled="f" stroked="t" coordsize="21600,21600" o:gfxdata="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gmBzo2gAAAAkBAAAPAAAAAAAAAAEAIAAAACIAAABkcnMvZG93&#10;bnJldi54bWxQSwECFAAUAAAACACHTuJAu+0AnP4BAADqAwAADgAAAAAAAAABACAAAAApAQAAZHJz&#10;L2Uyb0RvYy54bWxQSwUGAAAAAAYABgBZAQAAmQUAAAAA&#10;">
                      <v:fill on="f" focussize="0,0"/>
                      <v:stroke color="#000000" joinstyle="round" endarrow="block"/>
                      <v:imagedata o:title=""/>
                      <o:lock v:ext="edit" aspectratio="f"/>
                    </v:shape>
                  </w:pict>
                </mc:Fallback>
              </mc:AlternateContent>
            </w:r>
          </w:p>
          <w:p w14:paraId="0A2ADD3E">
            <w:pPr>
              <w:pStyle w:val="113"/>
              <w:spacing w:line="400" w:lineRule="exact"/>
              <w:ind w:firstLine="0" w:firstLineChars="0"/>
              <w:rPr>
                <w:color w:val="auto"/>
              </w:rPr>
            </w:pPr>
          </w:p>
          <w:p w14:paraId="1EAD4653">
            <w:pPr>
              <w:pStyle w:val="113"/>
              <w:adjustRightInd w:val="0"/>
              <w:snapToGrid w:val="0"/>
              <w:spacing w:line="360" w:lineRule="auto"/>
              <w:ind w:firstLine="422"/>
              <w:jc w:val="center"/>
              <w:rPr>
                <w:b/>
                <w:bCs/>
                <w:color w:val="auto"/>
                <w:sz w:val="21"/>
                <w:szCs w:val="21"/>
              </w:rPr>
            </w:pPr>
            <w:bookmarkStart w:id="64" w:name="OLE_LINK3"/>
            <w:bookmarkStart w:id="65" w:name="OLE_LINK4"/>
            <w:r>
              <w:rPr>
                <w:b/>
                <w:bCs/>
                <w:color w:val="auto"/>
                <w:sz w:val="21"/>
                <w:szCs w:val="21"/>
              </w:rPr>
              <w:t>图2-</w:t>
            </w:r>
            <w:r>
              <w:rPr>
                <w:rFonts w:hint="eastAsia"/>
                <w:b/>
                <w:bCs/>
                <w:color w:val="auto"/>
                <w:sz w:val="21"/>
                <w:szCs w:val="21"/>
              </w:rPr>
              <w:t>5</w:t>
            </w:r>
            <w:r>
              <w:rPr>
                <w:b/>
                <w:bCs/>
                <w:color w:val="auto"/>
                <w:sz w:val="21"/>
                <w:szCs w:val="21"/>
              </w:rPr>
              <w:t xml:space="preserve"> 软化水制备</w:t>
            </w:r>
            <w:r>
              <w:rPr>
                <w:rFonts w:hint="eastAsia"/>
                <w:b/>
                <w:bCs/>
                <w:color w:val="auto"/>
                <w:sz w:val="21"/>
                <w:szCs w:val="21"/>
              </w:rPr>
              <w:t>生产</w:t>
            </w:r>
            <w:r>
              <w:rPr>
                <w:b/>
                <w:bCs/>
                <w:color w:val="auto"/>
                <w:sz w:val="21"/>
                <w:szCs w:val="21"/>
              </w:rPr>
              <w:t>工</w:t>
            </w:r>
            <w:r>
              <w:rPr>
                <w:rFonts w:hint="eastAsia"/>
                <w:b/>
                <w:bCs/>
                <w:color w:val="auto"/>
                <w:sz w:val="21"/>
                <w:szCs w:val="21"/>
              </w:rPr>
              <w:t>艺</w:t>
            </w:r>
            <w:r>
              <w:rPr>
                <w:b/>
                <w:bCs/>
                <w:color w:val="auto"/>
                <w:sz w:val="21"/>
                <w:szCs w:val="21"/>
              </w:rPr>
              <w:t>及</w:t>
            </w:r>
            <w:r>
              <w:rPr>
                <w:rFonts w:hint="eastAsia"/>
                <w:b/>
                <w:bCs/>
                <w:color w:val="auto"/>
                <w:sz w:val="21"/>
                <w:szCs w:val="21"/>
              </w:rPr>
              <w:t>产</w:t>
            </w:r>
            <w:r>
              <w:rPr>
                <w:b/>
                <w:bCs/>
                <w:color w:val="auto"/>
                <w:sz w:val="21"/>
                <w:szCs w:val="21"/>
              </w:rPr>
              <w:t>排污节点图</w:t>
            </w:r>
            <w:bookmarkEnd w:id="64"/>
            <w:bookmarkEnd w:id="65"/>
          </w:p>
          <w:p w14:paraId="4A441ECC">
            <w:pPr>
              <w:adjustRightInd w:val="0"/>
              <w:snapToGrid w:val="0"/>
              <w:ind w:firstLine="420"/>
              <w:rPr>
                <w:szCs w:val="21"/>
              </w:rPr>
            </w:pPr>
            <w:r>
              <w:rPr>
                <w:rFonts w:hint="eastAsia"/>
                <w:szCs w:val="21"/>
              </w:rPr>
              <w:t>4）污水处理站</w:t>
            </w:r>
            <w:r>
              <w:rPr>
                <w:szCs w:val="21"/>
              </w:rPr>
              <w:t>工艺流程</w:t>
            </w:r>
            <w:r>
              <w:rPr>
                <w:rFonts w:hint="eastAsia"/>
                <w:szCs w:val="21"/>
              </w:rPr>
              <w:t>及产排污节点</w:t>
            </w:r>
          </w:p>
          <w:p w14:paraId="73DAA420">
            <w:pPr>
              <w:pStyle w:val="18"/>
              <w:adjustRightInd w:val="0"/>
              <w:ind w:firstLine="420"/>
              <w:rPr>
                <w:kern w:val="2"/>
                <w:sz w:val="21"/>
                <w:szCs w:val="21"/>
              </w:rPr>
            </w:pPr>
            <w:r>
              <w:rPr>
                <w:rFonts w:hint="eastAsia"/>
                <w:kern w:val="2"/>
                <w:sz w:val="21"/>
                <w:szCs w:val="21"/>
              </w:rPr>
              <w:t>本项目废水处理工艺采用“AC 厌氧塔＋气浮＋地埋式一体化污水处理装置（厌氧+二级接触氧化＋沉淀）＋过滤”工艺。</w:t>
            </w:r>
          </w:p>
          <w:p w14:paraId="06BECCE9">
            <w:pPr>
              <w:pStyle w:val="18"/>
              <w:adjustRightInd w:val="0"/>
              <w:ind w:firstLine="420"/>
              <w:rPr>
                <w:kern w:val="2"/>
                <w:sz w:val="21"/>
                <w:szCs w:val="21"/>
              </w:rPr>
            </w:pPr>
            <w:r>
              <w:rPr>
                <w:rFonts w:hint="eastAsia"/>
                <w:kern w:val="2"/>
                <w:sz w:val="21"/>
                <w:szCs w:val="21"/>
              </w:rPr>
              <w:t>工艺流程简述：生产废水首先经格栅去除大块杂质后，进入调节池调节水量及水质，然后进入 AC 厌氧塔进行厌氧处理，厌氧塔由混合区、污泥床、精处理区三个部分组成。厌氧塔也可以看成是由两层 UASB 叠加而成，底层为高负荷区，上层为低负荷区。进水由厌氧塔底部进入第一反应室与厌氧颗粒污泥均匀混合，大部分有机物要这里被降解，分离的泥水混合液将沿着回流管返回至第一反应室底部，并与底部的颗粒污泥和进水充分混合，实现混合液的内部循环。</w:t>
            </w:r>
          </w:p>
          <w:p w14:paraId="3D4443F4">
            <w:pPr>
              <w:pStyle w:val="18"/>
              <w:adjustRightInd w:val="0"/>
              <w:ind w:firstLine="420"/>
              <w:rPr>
                <w:kern w:val="2"/>
                <w:sz w:val="21"/>
                <w:szCs w:val="21"/>
              </w:rPr>
            </w:pPr>
            <w:r>
              <w:rPr>
                <w:rFonts w:hint="eastAsia"/>
                <w:kern w:val="2"/>
                <w:sz w:val="21"/>
                <w:szCs w:val="21"/>
              </w:rPr>
              <w:t>厌氧塔出水进入缓冲池调节水量，然后进气浮机处理。在气浮机内废水加入氢氧化钙和极性化合物络合剂进行搅拌，氢氧化钙与废水中的油酸、脂肪酸发生皂化反应，形成油酸钙、脂肪酸钙等不溶性化合物，而溶解于水中的极性化合物与加入的络合剂反应，生成不溶于水的络合物，然后加入絮凝剂，充分反应，再加入助凝剂聚丙烯酰胺，反应生成不溶性悬浮物。生成的不凝性悬浮物采用气浮系统分离，上浮杂质经刮板机刮除，清液则由底部排出，进入后续处理系统。</w:t>
            </w:r>
          </w:p>
          <w:p w14:paraId="2C8DCCB0">
            <w:pPr>
              <w:pStyle w:val="18"/>
              <w:adjustRightInd w:val="0"/>
              <w:ind w:firstLine="420"/>
              <w:rPr>
                <w:kern w:val="2"/>
                <w:sz w:val="21"/>
                <w:szCs w:val="21"/>
              </w:rPr>
            </w:pPr>
            <w:r>
              <w:rPr>
                <w:rFonts w:hint="eastAsia"/>
                <w:kern w:val="2"/>
                <w:sz w:val="21"/>
                <w:szCs w:val="21"/>
              </w:rPr>
              <w:t>气浮机出水进入地埋式一体化污水处理装置进一步处理，一体化装置内设置厌氧池、二级生物接触氧化池及沉淀池。废水中的污染物经厌氧池对有机物进行进步降解，提高污水可生化性，然后废水进入二级生物接触氧化池，二级生物接触氧化池采用推流式生物接触氧化，池内鼓风充氧，利用微生物代谢作用去除有机污染物。池内设高效曝气器供氧，设好氧生化填料保持生物量。填料支架采用角钢固定尼龙绳悬挂。接触氧化池出水进入沉淀池沉淀后出水进入石英砂过滤机进一步过滤深度处理后出水进入清水池暂存，清水池内废水定期抽走外运至秦皇岛市抚宁区中冶水务有限公司。</w:t>
            </w:r>
          </w:p>
          <w:p w14:paraId="245880B8">
            <w:pPr>
              <w:pStyle w:val="113"/>
              <w:adjustRightInd w:val="0"/>
              <w:snapToGrid w:val="0"/>
              <w:spacing w:line="360" w:lineRule="auto"/>
              <w:ind w:firstLine="420"/>
              <w:jc w:val="left"/>
              <w:rPr>
                <w:b/>
                <w:bCs/>
                <w:color w:val="auto"/>
                <w:sz w:val="21"/>
                <w:szCs w:val="21"/>
              </w:rPr>
            </w:pPr>
            <w:r>
              <w:rPr>
                <w:rFonts w:hint="eastAsia"/>
                <w:color w:val="auto"/>
                <w:kern w:val="2"/>
                <w:sz w:val="21"/>
                <w:szCs w:val="21"/>
              </w:rPr>
              <w:t>主要排污节点为：</w:t>
            </w:r>
            <w:r>
              <w:rPr>
                <w:color w:val="auto"/>
                <w:kern w:val="2"/>
                <w:sz w:val="21"/>
                <w:szCs w:val="21"/>
              </w:rPr>
              <w:t>废水、</w:t>
            </w:r>
            <w:r>
              <w:rPr>
                <w:rFonts w:hint="eastAsia"/>
                <w:color w:val="auto"/>
                <w:kern w:val="2"/>
                <w:sz w:val="21"/>
                <w:szCs w:val="21"/>
              </w:rPr>
              <w:t>污泥等</w:t>
            </w:r>
            <w:r>
              <w:rPr>
                <w:color w:val="auto"/>
                <w:kern w:val="2"/>
                <w:sz w:val="21"/>
                <w:szCs w:val="21"/>
              </w:rPr>
              <w:t>。</w:t>
            </w:r>
          </w:p>
          <w:p w14:paraId="29DE0EA5">
            <w:pPr>
              <w:adjustRightInd w:val="0"/>
              <w:snapToGrid w:val="0"/>
              <w:spacing w:line="240" w:lineRule="auto"/>
              <w:ind w:firstLine="422"/>
              <w:rPr>
                <w:bCs/>
                <w:szCs w:val="21"/>
              </w:rPr>
            </w:pPr>
            <w:r>
              <w:rPr>
                <w:b/>
                <w:szCs w:val="21"/>
              </w:rPr>
              <mc:AlternateContent>
                <mc:Choice Requires="wps">
                  <w:drawing>
                    <wp:anchor distT="0" distB="0" distL="114300" distR="114300" simplePos="0" relativeHeight="251759616" behindDoc="0" locked="0" layoutInCell="1" allowOverlap="1">
                      <wp:simplePos x="0" y="0"/>
                      <wp:positionH relativeFrom="column">
                        <wp:posOffset>1170305</wp:posOffset>
                      </wp:positionH>
                      <wp:positionV relativeFrom="paragraph">
                        <wp:posOffset>1623695</wp:posOffset>
                      </wp:positionV>
                      <wp:extent cx="771525" cy="342900"/>
                      <wp:effectExtent l="0" t="0" r="0" b="0"/>
                      <wp:wrapNone/>
                      <wp:docPr id="102" name="矩形 1124"/>
                      <wp:cNvGraphicFramePr/>
                      <a:graphic xmlns:a="http://schemas.openxmlformats.org/drawingml/2006/main">
                        <a:graphicData uri="http://schemas.microsoft.com/office/word/2010/wordprocessingShape">
                          <wps:wsp>
                            <wps:cNvSpPr/>
                            <wps:spPr>
                              <a:xfrm>
                                <a:off x="0" y="0"/>
                                <a:ext cx="771525" cy="342900"/>
                              </a:xfrm>
                              <a:prstGeom prst="rect">
                                <a:avLst/>
                              </a:prstGeom>
                              <a:noFill/>
                              <a:ln w="19050">
                                <a:noFill/>
                              </a:ln>
                            </wps:spPr>
                            <wps:txbx>
                              <w:txbxContent>
                                <w:p w14:paraId="1CEF0236">
                                  <w:pPr>
                                    <w:ind w:firstLine="0" w:firstLineChars="0"/>
                                  </w:pPr>
                                  <w:r>
                                    <w:rPr>
                                      <w:rFonts w:hint="eastAsia"/>
                                    </w:rPr>
                                    <w:t>委托处置</w:t>
                                  </w:r>
                                </w:p>
                              </w:txbxContent>
                            </wps:txbx>
                            <wps:bodyPr upright="1"/>
                          </wps:wsp>
                        </a:graphicData>
                      </a:graphic>
                    </wp:anchor>
                  </w:drawing>
                </mc:Choice>
                <mc:Fallback>
                  <w:pict>
                    <v:rect id="矩形 1124" o:spid="_x0000_s1026" o:spt="1" style="position:absolute;left:0pt;margin-left:92.15pt;margin-top:127.85pt;height:27pt;width:60.75pt;z-index:251759616;mso-width-relative:page;mso-height-relative:page;" filled="f" stroked="f" coordsize="21600,21600" o:gfxdata="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N5C&#10;xYzaAAAACwEAAA8AAAAAAAAAAQAgAAAAIgAAAGRycy9kb3ducmV2LnhtbFBLAQIUABQAAAAIAIdO&#10;4kCvobXerwEAAE8DAAAOAAAAAAAAAAEAIAAAACkBAABkcnMvZTJvRG9jLnhtbFBLBQYAAAAABgAG&#10;AFkBAABKBQAAAAA=&#10;">
                      <v:fill on="f" focussize="0,0"/>
                      <v:stroke on="f" weight="1.5pt"/>
                      <v:imagedata o:title=""/>
                      <o:lock v:ext="edit" aspectratio="f"/>
                      <v:textbox>
                        <w:txbxContent>
                          <w:p w14:paraId="1CEF0236">
                            <w:pPr>
                              <w:ind w:firstLine="0" w:firstLineChars="0"/>
                            </w:pPr>
                            <w:r>
                              <w:rPr>
                                <w:rFonts w:hint="eastAsia"/>
                              </w:rPr>
                              <w:t>委托处置</w:t>
                            </w:r>
                          </w:p>
                        </w:txbxContent>
                      </v:textbox>
                    </v:rect>
                  </w:pict>
                </mc:Fallback>
              </mc:AlternateContent>
            </w:r>
            <w:r>
              <w:rPr>
                <w:b/>
                <w:szCs w:val="21"/>
              </w:rPr>
              <mc:AlternateContent>
                <mc:Choice Requires="wps">
                  <w:drawing>
                    <wp:anchor distT="0" distB="0" distL="114300" distR="114300" simplePos="0" relativeHeight="251758592" behindDoc="0" locked="0" layoutInCell="1" allowOverlap="1">
                      <wp:simplePos x="0" y="0"/>
                      <wp:positionH relativeFrom="column">
                        <wp:posOffset>245745</wp:posOffset>
                      </wp:positionH>
                      <wp:positionV relativeFrom="paragraph">
                        <wp:posOffset>2564765</wp:posOffset>
                      </wp:positionV>
                      <wp:extent cx="1696085" cy="523875"/>
                      <wp:effectExtent l="0" t="0" r="0" b="0"/>
                      <wp:wrapNone/>
                      <wp:docPr id="101" name="文本框 1122"/>
                      <wp:cNvGraphicFramePr/>
                      <a:graphic xmlns:a="http://schemas.openxmlformats.org/drawingml/2006/main">
                        <a:graphicData uri="http://schemas.microsoft.com/office/word/2010/wordprocessingShape">
                          <wps:wsp>
                            <wps:cNvSpPr txBox="1"/>
                            <wps:spPr>
                              <a:xfrm>
                                <a:off x="0" y="0"/>
                                <a:ext cx="1696085" cy="523875"/>
                              </a:xfrm>
                              <a:prstGeom prst="rect">
                                <a:avLst/>
                              </a:prstGeom>
                              <a:noFill/>
                              <a:ln>
                                <a:noFill/>
                              </a:ln>
                            </wps:spPr>
                            <wps:txbx>
                              <w:txbxContent>
                                <w:p w14:paraId="597D5D43">
                                  <w:pPr>
                                    <w:spacing w:line="240" w:lineRule="auto"/>
                                    <w:ind w:firstLine="0" w:firstLineChars="0"/>
                                  </w:pPr>
                                  <w:r>
                                    <w:rPr>
                                      <w:rFonts w:hint="eastAsia"/>
                                    </w:rPr>
                                    <w:t>外运至秦皇岛市抚宁区中冶水务有限公司</w:t>
                                  </w:r>
                                </w:p>
                              </w:txbxContent>
                            </wps:txbx>
                            <wps:bodyPr upright="1"/>
                          </wps:wsp>
                        </a:graphicData>
                      </a:graphic>
                    </wp:anchor>
                  </w:drawing>
                </mc:Choice>
                <mc:Fallback>
                  <w:pict>
                    <v:shape id="文本框 1122" o:spid="_x0000_s1026" o:spt="202" type="#_x0000_t202" style="position:absolute;left:0pt;margin-left:19.35pt;margin-top:201.95pt;height:41.25pt;width:133.55pt;z-index:251758592;mso-width-relative:page;mso-height-relative:page;" filled="f" stroked="f" coordsize="21600,21600" o:gfxdata="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IoIV&#10;6NcAAAAKAQAADwAAAAAAAAABACAAAAAiAAAAZHJzL2Rvd25yZXYueG1sUEsBAhQAFAAAAAgAh07i&#10;QLcJ9MKxAQAAUwMAAA4AAAAAAAAAAQAgAAAAJgEAAGRycy9lMm9Eb2MueG1sUEsFBgAAAAAGAAYA&#10;WQEAAEkFAAAAAA==&#10;">
                      <v:fill on="f" focussize="0,0"/>
                      <v:stroke on="f"/>
                      <v:imagedata o:title=""/>
                      <o:lock v:ext="edit" aspectratio="f"/>
                      <v:textbox>
                        <w:txbxContent>
                          <w:p w14:paraId="597D5D43">
                            <w:pPr>
                              <w:spacing w:line="240" w:lineRule="auto"/>
                              <w:ind w:firstLine="0" w:firstLineChars="0"/>
                            </w:pPr>
                            <w:r>
                              <w:rPr>
                                <w:rFonts w:hint="eastAsia"/>
                              </w:rPr>
                              <w:t>外运至秦皇岛市抚宁区中冶水务有限公司</w:t>
                            </w:r>
                          </w:p>
                        </w:txbxContent>
                      </v:textbox>
                    </v:shape>
                  </w:pict>
                </mc:Fallback>
              </mc:AlternateContent>
            </w:r>
            <w:r>
              <w:rPr>
                <w:bCs/>
                <w:szCs w:val="21"/>
              </w:rPr>
              <w:drawing>
                <wp:inline distT="0" distB="0" distL="0" distR="0">
                  <wp:extent cx="4859655" cy="2809875"/>
                  <wp:effectExtent l="19050" t="0" r="0" b="0"/>
                  <wp:docPr id="1" name="图片 1" descr="E:\赵阳项目\环评\10天马食品厂\生产扩建项目初稿\7e84cc714e5fe9ff67ed9b41277d4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赵阳项目\环评\10天马食品厂\生产扩建项目初稿\7e84cc714e5fe9ff67ed9b41277d490.jpg"/>
                          <pic:cNvPicPr>
                            <a:picLocks noChangeAspect="1" noChangeArrowheads="1"/>
                          </pic:cNvPicPr>
                        </pic:nvPicPr>
                        <pic:blipFill>
                          <a:blip r:embed="rId17" cstate="print"/>
                          <a:srcRect/>
                          <a:stretch>
                            <a:fillRect/>
                          </a:stretch>
                        </pic:blipFill>
                        <pic:spPr>
                          <a:xfrm>
                            <a:off x="0" y="0"/>
                            <a:ext cx="4866732" cy="2813940"/>
                          </a:xfrm>
                          <a:prstGeom prst="rect">
                            <a:avLst/>
                          </a:prstGeom>
                          <a:noFill/>
                          <a:ln w="9525">
                            <a:noFill/>
                            <a:miter lim="800000"/>
                            <a:headEnd/>
                            <a:tailEnd/>
                          </a:ln>
                        </pic:spPr>
                      </pic:pic>
                    </a:graphicData>
                  </a:graphic>
                </wp:inline>
              </w:drawing>
            </w:r>
          </w:p>
          <w:p w14:paraId="321A80A7">
            <w:pPr>
              <w:adjustRightInd w:val="0"/>
              <w:snapToGrid w:val="0"/>
              <w:spacing w:line="400" w:lineRule="exact"/>
              <w:ind w:firstLine="420"/>
              <w:rPr>
                <w:bCs/>
                <w:szCs w:val="21"/>
              </w:rPr>
            </w:pPr>
          </w:p>
          <w:p w14:paraId="6F8D386D">
            <w:pPr>
              <w:adjustRightInd w:val="0"/>
              <w:snapToGrid w:val="0"/>
              <w:spacing w:line="400" w:lineRule="exact"/>
              <w:ind w:firstLine="422"/>
              <w:jc w:val="center"/>
              <w:rPr>
                <w:bCs/>
                <w:szCs w:val="21"/>
              </w:rPr>
            </w:pPr>
            <w:r>
              <w:rPr>
                <w:b/>
                <w:bCs/>
                <w:szCs w:val="21"/>
              </w:rPr>
              <w:t>图2-</w:t>
            </w:r>
            <w:r>
              <w:rPr>
                <w:rFonts w:hint="eastAsia"/>
                <w:b/>
                <w:bCs/>
                <w:szCs w:val="21"/>
              </w:rPr>
              <w:t>6</w:t>
            </w:r>
            <w:r>
              <w:rPr>
                <w:b/>
                <w:bCs/>
                <w:szCs w:val="21"/>
              </w:rPr>
              <w:t xml:space="preserve"> </w:t>
            </w:r>
            <w:r>
              <w:rPr>
                <w:rFonts w:hint="eastAsia"/>
                <w:b/>
                <w:bCs/>
                <w:szCs w:val="21"/>
              </w:rPr>
              <w:t>污水处理站</w:t>
            </w:r>
            <w:r>
              <w:rPr>
                <w:b/>
                <w:bCs/>
                <w:szCs w:val="21"/>
              </w:rPr>
              <w:t>工</w:t>
            </w:r>
            <w:r>
              <w:rPr>
                <w:rFonts w:hint="eastAsia"/>
                <w:b/>
                <w:bCs/>
                <w:szCs w:val="21"/>
              </w:rPr>
              <w:t>艺</w:t>
            </w:r>
            <w:r>
              <w:rPr>
                <w:b/>
                <w:bCs/>
                <w:szCs w:val="21"/>
              </w:rPr>
              <w:t>及</w:t>
            </w:r>
            <w:r>
              <w:rPr>
                <w:rFonts w:hint="eastAsia"/>
                <w:b/>
                <w:bCs/>
                <w:szCs w:val="21"/>
              </w:rPr>
              <w:t>产</w:t>
            </w:r>
            <w:r>
              <w:rPr>
                <w:b/>
                <w:bCs/>
                <w:szCs w:val="21"/>
              </w:rPr>
              <w:t>排污节点图</w:t>
            </w:r>
          </w:p>
          <w:p w14:paraId="5D3DE107">
            <w:pPr>
              <w:adjustRightInd w:val="0"/>
              <w:snapToGrid w:val="0"/>
              <w:spacing w:line="400" w:lineRule="exact"/>
              <w:ind w:firstLine="420"/>
              <w:rPr>
                <w:bCs/>
                <w:szCs w:val="21"/>
              </w:rPr>
            </w:pPr>
            <w:r>
              <w:rPr>
                <w:rFonts w:hint="eastAsia"/>
                <w:bCs/>
                <w:szCs w:val="21"/>
              </w:rPr>
              <w:t>产污环节及防治措施：</w:t>
            </w:r>
          </w:p>
          <w:p w14:paraId="3BC24C66">
            <w:pPr>
              <w:pStyle w:val="73"/>
            </w:pPr>
            <w:r>
              <w:rPr>
                <w:rFonts w:hint="eastAsia"/>
                <w:bCs w:val="0"/>
              </w:rPr>
              <w:t xml:space="preserve">表2-15 </w:t>
            </w:r>
            <w:r>
              <w:rPr>
                <w:rFonts w:hint="eastAsia"/>
              </w:rPr>
              <w:t>产污环节一览表</w:t>
            </w:r>
          </w:p>
          <w:tbl>
            <w:tblPr>
              <w:tblStyle w:val="25"/>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50"/>
              <w:gridCol w:w="1223"/>
              <w:gridCol w:w="1247"/>
              <w:gridCol w:w="5030"/>
            </w:tblGrid>
            <w:tr w14:paraId="3C870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2" w:hRule="atLeast"/>
                <w:jc w:val="center"/>
              </w:trPr>
              <w:tc>
                <w:tcPr>
                  <w:tcW w:w="399" w:type="pct"/>
                  <w:vAlign w:val="center"/>
                </w:tcPr>
                <w:p w14:paraId="0F02CF47">
                  <w:pPr>
                    <w:pStyle w:val="40"/>
                  </w:pPr>
                  <w:r>
                    <w:t>类别</w:t>
                  </w:r>
                </w:p>
              </w:tc>
              <w:tc>
                <w:tcPr>
                  <w:tcW w:w="750" w:type="pct"/>
                  <w:vAlign w:val="center"/>
                </w:tcPr>
                <w:p w14:paraId="31E4D99F">
                  <w:pPr>
                    <w:pStyle w:val="40"/>
                  </w:pPr>
                  <w:r>
                    <w:t>污染源</w:t>
                  </w:r>
                </w:p>
              </w:tc>
              <w:tc>
                <w:tcPr>
                  <w:tcW w:w="765" w:type="pct"/>
                  <w:vAlign w:val="center"/>
                </w:tcPr>
                <w:p w14:paraId="0EA2BFA1">
                  <w:pPr>
                    <w:pStyle w:val="40"/>
                  </w:pPr>
                  <w:r>
                    <w:t>污染物</w:t>
                  </w:r>
                </w:p>
              </w:tc>
              <w:tc>
                <w:tcPr>
                  <w:tcW w:w="3086" w:type="pct"/>
                  <w:vAlign w:val="center"/>
                </w:tcPr>
                <w:p w14:paraId="6AE0EAB9">
                  <w:pPr>
                    <w:pStyle w:val="40"/>
                  </w:pPr>
                  <w:r>
                    <w:t>防治措施</w:t>
                  </w:r>
                </w:p>
              </w:tc>
            </w:tr>
            <w:tr w14:paraId="49F90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restart"/>
                  <w:vAlign w:val="center"/>
                </w:tcPr>
                <w:p w14:paraId="3EDFDF2A">
                  <w:pPr>
                    <w:pStyle w:val="40"/>
                  </w:pPr>
                  <w:r>
                    <w:t>废气</w:t>
                  </w:r>
                </w:p>
              </w:tc>
              <w:tc>
                <w:tcPr>
                  <w:tcW w:w="750" w:type="pct"/>
                  <w:vAlign w:val="center"/>
                </w:tcPr>
                <w:p w14:paraId="644494FD">
                  <w:pPr>
                    <w:pStyle w:val="40"/>
                  </w:pPr>
                  <w:r>
                    <w:rPr>
                      <w:rFonts w:hint="eastAsia"/>
                    </w:rPr>
                    <w:t>调节池、一体化污水处理装置、污泥池、设备间</w:t>
                  </w:r>
                </w:p>
              </w:tc>
              <w:tc>
                <w:tcPr>
                  <w:tcW w:w="765" w:type="pct"/>
                  <w:vAlign w:val="center"/>
                </w:tcPr>
                <w:p w14:paraId="516B71A3">
                  <w:pPr>
                    <w:pStyle w:val="40"/>
                  </w:pPr>
                  <w:r>
                    <w:rPr>
                      <w:rFonts w:hint="eastAsia"/>
                    </w:rPr>
                    <w:tab/>
                  </w:r>
                  <w:r>
                    <w:rPr>
                      <w:rFonts w:hint="eastAsia"/>
                    </w:rPr>
                    <w:t>氨</w:t>
                  </w:r>
                </w:p>
                <w:p w14:paraId="59979456">
                  <w:pPr>
                    <w:pStyle w:val="40"/>
                  </w:pPr>
                  <w:r>
                    <w:rPr>
                      <w:rFonts w:hint="eastAsia"/>
                    </w:rPr>
                    <w:t>硫化氢</w:t>
                  </w:r>
                </w:p>
                <w:p w14:paraId="748652E5">
                  <w:pPr>
                    <w:pStyle w:val="40"/>
                  </w:pPr>
                  <w:r>
                    <w:rPr>
                      <w:rFonts w:hint="eastAsia"/>
                    </w:rPr>
                    <w:t>臭气浓度</w:t>
                  </w:r>
                </w:p>
              </w:tc>
              <w:tc>
                <w:tcPr>
                  <w:tcW w:w="3086" w:type="pct"/>
                  <w:vAlign w:val="center"/>
                </w:tcPr>
                <w:p w14:paraId="08E64187">
                  <w:pPr>
                    <w:pStyle w:val="40"/>
                  </w:pPr>
                  <w:r>
                    <w:rPr>
                      <w:rFonts w:hint="eastAsia"/>
                    </w:rPr>
                    <w:t>调节池、污泥池加盖密闭，一体化污水处理装置位于地下，气浮机、压滤机位于设备间内，调节池、污泥池、一体化污水处理装置、设备间产生的臭气经管道收集后通过1套活性炭除臭装置处理后经1根15m高排气筒排放</w:t>
                  </w:r>
                </w:p>
              </w:tc>
            </w:tr>
            <w:tr w14:paraId="4906B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34F376E7">
                  <w:pPr>
                    <w:pStyle w:val="40"/>
                  </w:pPr>
                </w:p>
              </w:tc>
              <w:tc>
                <w:tcPr>
                  <w:tcW w:w="750" w:type="pct"/>
                  <w:vMerge w:val="restart"/>
                  <w:vAlign w:val="center"/>
                </w:tcPr>
                <w:p w14:paraId="1554BF00">
                  <w:pPr>
                    <w:pStyle w:val="40"/>
                  </w:pPr>
                  <w:r>
                    <w:rPr>
                      <w:rFonts w:hint="eastAsia"/>
                    </w:rPr>
                    <w:t>生物质锅炉</w:t>
                  </w:r>
                </w:p>
              </w:tc>
              <w:tc>
                <w:tcPr>
                  <w:tcW w:w="765" w:type="pct"/>
                  <w:vAlign w:val="center"/>
                </w:tcPr>
                <w:p w14:paraId="7503D33A">
                  <w:pPr>
                    <w:pStyle w:val="40"/>
                  </w:pPr>
                  <w:r>
                    <w:rPr>
                      <w:rFonts w:hint="eastAsia"/>
                    </w:rPr>
                    <w:t>颗粒物</w:t>
                  </w:r>
                </w:p>
                <w:p w14:paraId="34146876">
                  <w:pPr>
                    <w:pStyle w:val="40"/>
                  </w:pPr>
                  <w:r>
                    <w:rPr>
                      <w:rFonts w:hint="eastAsia"/>
                    </w:rPr>
                    <w:t>二氧化硫、</w:t>
                  </w:r>
                </w:p>
                <w:p w14:paraId="7A13596C">
                  <w:pPr>
                    <w:pStyle w:val="40"/>
                  </w:pPr>
                  <w:r>
                    <w:rPr>
                      <w:rFonts w:hint="eastAsia"/>
                    </w:rPr>
                    <w:t>氮氧化物、</w:t>
                  </w:r>
                </w:p>
                <w:p w14:paraId="48C4C539">
                  <w:pPr>
                    <w:pStyle w:val="40"/>
                  </w:pPr>
                  <w:r>
                    <w:rPr>
                      <w:rFonts w:hint="eastAsia"/>
                    </w:rPr>
                    <w:t>烟气黑度</w:t>
                  </w:r>
                </w:p>
              </w:tc>
              <w:tc>
                <w:tcPr>
                  <w:tcW w:w="3086" w:type="pct"/>
                  <w:vAlign w:val="center"/>
                </w:tcPr>
                <w:p w14:paraId="412BD1AC">
                  <w:pPr>
                    <w:pStyle w:val="40"/>
                  </w:pPr>
                  <w:r>
                    <w:rPr>
                      <w:rFonts w:hint="eastAsia"/>
                      <w:kern w:val="2"/>
                    </w:rPr>
                    <w:t>生物质锅炉烟气经1套旋风+布袋除尘器+</w:t>
                  </w:r>
                  <w:r>
                    <w:rPr>
                      <w:rFonts w:hint="eastAsia"/>
                    </w:rPr>
                    <w:t>湿式玻璃钢脱硝（SNCR）</w:t>
                  </w:r>
                  <w:r>
                    <w:rPr>
                      <w:rFonts w:hint="eastAsia"/>
                      <w:kern w:val="2"/>
                    </w:rPr>
                    <w:t>处理后经1根35m高排气筒排放</w:t>
                  </w:r>
                </w:p>
              </w:tc>
            </w:tr>
            <w:tr w14:paraId="78A34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5F85F0D6">
                  <w:pPr>
                    <w:pStyle w:val="40"/>
                  </w:pPr>
                </w:p>
              </w:tc>
              <w:tc>
                <w:tcPr>
                  <w:tcW w:w="750" w:type="pct"/>
                  <w:vMerge w:val="continue"/>
                  <w:vAlign w:val="center"/>
                </w:tcPr>
                <w:p w14:paraId="2F61C5A2">
                  <w:pPr>
                    <w:pStyle w:val="40"/>
                  </w:pPr>
                </w:p>
              </w:tc>
              <w:tc>
                <w:tcPr>
                  <w:tcW w:w="765" w:type="pct"/>
                  <w:vAlign w:val="center"/>
                </w:tcPr>
                <w:p w14:paraId="79480BEE">
                  <w:pPr>
                    <w:pStyle w:val="40"/>
                  </w:pPr>
                  <w:r>
                    <w:rPr>
                      <w:rFonts w:hint="eastAsia"/>
                    </w:rPr>
                    <w:t>颗粒物</w:t>
                  </w:r>
                </w:p>
              </w:tc>
              <w:tc>
                <w:tcPr>
                  <w:tcW w:w="3086" w:type="pct"/>
                  <w:vAlign w:val="center"/>
                </w:tcPr>
                <w:p w14:paraId="4BBB92A2">
                  <w:pPr>
                    <w:pStyle w:val="40"/>
                    <w:rPr>
                      <w:kern w:val="2"/>
                    </w:rPr>
                  </w:pPr>
                  <w:r>
                    <w:rPr>
                      <w:rFonts w:hint="eastAsia"/>
                    </w:rPr>
                    <w:t>生物质燃料在装卸、贮存、输送过程中会产生颗粒物，产生量较少，无组织排放，在装卸、贮存、输送阶段采取密闭措施</w:t>
                  </w:r>
                </w:p>
              </w:tc>
            </w:tr>
            <w:tr w14:paraId="38921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399" w:type="pct"/>
                  <w:vMerge w:val="restart"/>
                  <w:vAlign w:val="center"/>
                </w:tcPr>
                <w:p w14:paraId="1A745EF8">
                  <w:pPr>
                    <w:pStyle w:val="40"/>
                  </w:pPr>
                  <w:r>
                    <w:t>废水</w:t>
                  </w:r>
                </w:p>
              </w:tc>
              <w:tc>
                <w:tcPr>
                  <w:tcW w:w="750" w:type="pct"/>
                  <w:vAlign w:val="center"/>
                </w:tcPr>
                <w:p w14:paraId="7079966B">
                  <w:pPr>
                    <w:pStyle w:val="40"/>
                  </w:pPr>
                  <w:r>
                    <w:rPr>
                      <w:rFonts w:hint="eastAsia"/>
                    </w:rPr>
                    <w:t>生产废水</w:t>
                  </w:r>
                </w:p>
              </w:tc>
              <w:tc>
                <w:tcPr>
                  <w:tcW w:w="765" w:type="pct"/>
                  <w:vAlign w:val="center"/>
                </w:tcPr>
                <w:p w14:paraId="785DC98E">
                  <w:pPr>
                    <w:spacing w:line="240" w:lineRule="auto"/>
                    <w:ind w:firstLine="0" w:firstLineChars="0"/>
                    <w:jc w:val="center"/>
                  </w:pPr>
                  <w:r>
                    <w:rPr>
                      <w:rFonts w:hint="eastAsia"/>
                    </w:rPr>
                    <w:t>pH、COD、SS、NH</w:t>
                  </w:r>
                  <w:r>
                    <w:rPr>
                      <w:rFonts w:hint="eastAsia"/>
                      <w:vertAlign w:val="subscript"/>
                    </w:rPr>
                    <w:t>3</w:t>
                  </w:r>
                  <w:r>
                    <w:rPr>
                      <w:rFonts w:hint="eastAsia"/>
                    </w:rPr>
                    <w:t>-N、BOD</w:t>
                  </w:r>
                  <w:r>
                    <w:rPr>
                      <w:rFonts w:hint="eastAsia"/>
                      <w:vertAlign w:val="subscript"/>
                    </w:rPr>
                    <w:t>5</w:t>
                  </w:r>
                  <w:r>
                    <w:rPr>
                      <w:rFonts w:hint="eastAsia"/>
                    </w:rPr>
                    <w:t>、总P</w:t>
                  </w:r>
                </w:p>
              </w:tc>
              <w:tc>
                <w:tcPr>
                  <w:tcW w:w="3086" w:type="pct"/>
                  <w:vAlign w:val="center"/>
                </w:tcPr>
                <w:p w14:paraId="2AD9CB48">
                  <w:pPr>
                    <w:spacing w:line="240" w:lineRule="auto"/>
                    <w:ind w:firstLine="0" w:firstLineChars="0"/>
                    <w:jc w:val="center"/>
                  </w:pPr>
                  <w:r>
                    <w:rPr>
                      <w:rFonts w:hint="eastAsia"/>
                    </w:rPr>
                    <w:t>进入污水处理站，处理达标后外运至秦皇岛市抚宁区中冶水务有限公司</w:t>
                  </w:r>
                </w:p>
              </w:tc>
            </w:tr>
            <w:tr w14:paraId="33297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399" w:type="pct"/>
                  <w:vMerge w:val="continue"/>
                  <w:vAlign w:val="center"/>
                </w:tcPr>
                <w:p w14:paraId="0B3B3907">
                  <w:pPr>
                    <w:pStyle w:val="40"/>
                  </w:pPr>
                </w:p>
              </w:tc>
              <w:tc>
                <w:tcPr>
                  <w:tcW w:w="750" w:type="pct"/>
                  <w:vAlign w:val="center"/>
                </w:tcPr>
                <w:p w14:paraId="51E1B850">
                  <w:pPr>
                    <w:pStyle w:val="40"/>
                  </w:pPr>
                  <w:r>
                    <w:rPr>
                      <w:rFonts w:hint="eastAsia"/>
                    </w:rPr>
                    <w:t>锅炉排污水</w:t>
                  </w:r>
                </w:p>
              </w:tc>
              <w:tc>
                <w:tcPr>
                  <w:tcW w:w="765" w:type="pct"/>
                  <w:vAlign w:val="center"/>
                </w:tcPr>
                <w:p w14:paraId="714FE281">
                  <w:pPr>
                    <w:spacing w:line="240" w:lineRule="auto"/>
                    <w:ind w:firstLine="0" w:firstLineChars="0"/>
                    <w:jc w:val="center"/>
                    <w:rPr>
                      <w:highlight w:val="yellow"/>
                    </w:rPr>
                  </w:pPr>
                  <w:r>
                    <w:rPr>
                      <w:rFonts w:hint="eastAsia"/>
                    </w:rPr>
                    <w:t>pH、COD、溶解性总固体</w:t>
                  </w:r>
                </w:p>
              </w:tc>
              <w:tc>
                <w:tcPr>
                  <w:tcW w:w="3086" w:type="pct"/>
                  <w:vAlign w:val="center"/>
                </w:tcPr>
                <w:p w14:paraId="1BDB96FB">
                  <w:pPr>
                    <w:spacing w:line="240" w:lineRule="auto"/>
                    <w:ind w:firstLine="0" w:firstLineChars="0"/>
                    <w:jc w:val="center"/>
                  </w:pPr>
                  <w:r>
                    <w:rPr>
                      <w:rFonts w:hint="eastAsia"/>
                    </w:rPr>
                    <w:t>洒水抑尘</w:t>
                  </w:r>
                </w:p>
              </w:tc>
            </w:tr>
            <w:tr w14:paraId="3D04E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Align w:val="center"/>
                </w:tcPr>
                <w:p w14:paraId="0FBBBD24">
                  <w:pPr>
                    <w:pStyle w:val="40"/>
                  </w:pPr>
                  <w:r>
                    <w:t>噪声</w:t>
                  </w:r>
                </w:p>
              </w:tc>
              <w:tc>
                <w:tcPr>
                  <w:tcW w:w="750" w:type="pct"/>
                  <w:vAlign w:val="center"/>
                </w:tcPr>
                <w:p w14:paraId="6EEA763C">
                  <w:pPr>
                    <w:pStyle w:val="40"/>
                  </w:pPr>
                  <w:r>
                    <w:rPr>
                      <w:rFonts w:hint="eastAsia"/>
                      <w:snapToGrid w:val="0"/>
                    </w:rPr>
                    <w:t>生产设备、风机、泵类</w:t>
                  </w:r>
                  <w:r>
                    <w:rPr>
                      <w:snapToGrid w:val="0"/>
                    </w:rPr>
                    <w:t>等</w:t>
                  </w:r>
                </w:p>
              </w:tc>
              <w:tc>
                <w:tcPr>
                  <w:tcW w:w="765" w:type="pct"/>
                  <w:vAlign w:val="center"/>
                </w:tcPr>
                <w:p w14:paraId="095526CE">
                  <w:pPr>
                    <w:pStyle w:val="40"/>
                  </w:pPr>
                  <w:r>
                    <w:rPr>
                      <w:rFonts w:hint="eastAsia"/>
                    </w:rPr>
                    <w:t>噪声</w:t>
                  </w:r>
                </w:p>
              </w:tc>
              <w:tc>
                <w:tcPr>
                  <w:tcW w:w="3086" w:type="pct"/>
                  <w:vAlign w:val="center"/>
                </w:tcPr>
                <w:p w14:paraId="4DCCCEC1">
                  <w:pPr>
                    <w:pStyle w:val="40"/>
                  </w:pPr>
                  <w:r>
                    <w:rPr>
                      <w:snapToGrid w:val="0"/>
                    </w:rPr>
                    <w:t>选用低噪声设备，并配备减振基础，</w:t>
                  </w:r>
                  <w:r>
                    <w:rPr>
                      <w:rFonts w:hint="eastAsia"/>
                      <w:snapToGrid w:val="0"/>
                    </w:rPr>
                    <w:t>采取</w:t>
                  </w:r>
                  <w:r>
                    <w:rPr>
                      <w:snapToGrid w:val="0"/>
                    </w:rPr>
                    <w:t>建筑隔声</w:t>
                  </w:r>
                  <w:r>
                    <w:rPr>
                      <w:rFonts w:hint="eastAsia"/>
                      <w:snapToGrid w:val="0"/>
                    </w:rPr>
                    <w:t>，距离衰减措施</w:t>
                  </w:r>
                </w:p>
              </w:tc>
            </w:tr>
            <w:tr w14:paraId="02061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restart"/>
                  <w:vAlign w:val="center"/>
                </w:tcPr>
                <w:p w14:paraId="09E42B7B">
                  <w:pPr>
                    <w:pStyle w:val="40"/>
                  </w:pPr>
                  <w:r>
                    <w:t>固废</w:t>
                  </w:r>
                </w:p>
              </w:tc>
              <w:tc>
                <w:tcPr>
                  <w:tcW w:w="750" w:type="pct"/>
                  <w:vAlign w:val="center"/>
                </w:tcPr>
                <w:p w14:paraId="074AD91C">
                  <w:pPr>
                    <w:pStyle w:val="59"/>
                    <w:spacing w:line="240" w:lineRule="auto"/>
                    <w:ind w:firstLine="0" w:firstLineChars="0"/>
                    <w:jc w:val="center"/>
                    <w:rPr>
                      <w:snapToGrid w:val="0"/>
                    </w:rPr>
                  </w:pPr>
                  <w:r>
                    <w:rPr>
                      <w:rFonts w:hint="eastAsia"/>
                      <w:snapToGrid w:val="0"/>
                    </w:rPr>
                    <w:t>生产</w:t>
                  </w:r>
                </w:p>
              </w:tc>
              <w:tc>
                <w:tcPr>
                  <w:tcW w:w="765" w:type="pct"/>
                  <w:vAlign w:val="center"/>
                </w:tcPr>
                <w:p w14:paraId="6CC828EB">
                  <w:pPr>
                    <w:pStyle w:val="59"/>
                    <w:spacing w:line="240" w:lineRule="auto"/>
                    <w:ind w:firstLine="0" w:firstLineChars="0"/>
                    <w:jc w:val="center"/>
                  </w:pPr>
                  <w:r>
                    <w:rPr>
                      <w:rFonts w:hint="eastAsia"/>
                    </w:rPr>
                    <w:t>不合格水果、果皮、果核、软烂果块、不合格品</w:t>
                  </w:r>
                </w:p>
              </w:tc>
              <w:tc>
                <w:tcPr>
                  <w:tcW w:w="3086" w:type="pct"/>
                  <w:vAlign w:val="center"/>
                </w:tcPr>
                <w:p w14:paraId="3EA1F9BE">
                  <w:pPr>
                    <w:pStyle w:val="40"/>
                  </w:pPr>
                  <w:r>
                    <w:rPr>
                      <w:rFonts w:hint="eastAsia"/>
                    </w:rPr>
                    <w:t>外售农民综合利用</w:t>
                  </w:r>
                </w:p>
              </w:tc>
            </w:tr>
            <w:tr w14:paraId="5D11C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45E89468">
                  <w:pPr>
                    <w:pStyle w:val="40"/>
                  </w:pPr>
                </w:p>
              </w:tc>
              <w:tc>
                <w:tcPr>
                  <w:tcW w:w="750" w:type="pct"/>
                  <w:vAlign w:val="center"/>
                </w:tcPr>
                <w:p w14:paraId="10A59DF9">
                  <w:pPr>
                    <w:pStyle w:val="59"/>
                    <w:spacing w:line="240" w:lineRule="auto"/>
                    <w:ind w:firstLine="0" w:firstLineChars="0"/>
                    <w:jc w:val="center"/>
                    <w:rPr>
                      <w:snapToGrid w:val="0"/>
                    </w:rPr>
                  </w:pPr>
                  <w:r>
                    <w:rPr>
                      <w:rFonts w:hint="eastAsia"/>
                      <w:snapToGrid w:val="0"/>
                    </w:rPr>
                    <w:t>锅炉</w:t>
                  </w:r>
                </w:p>
              </w:tc>
              <w:tc>
                <w:tcPr>
                  <w:tcW w:w="765" w:type="pct"/>
                  <w:vAlign w:val="center"/>
                </w:tcPr>
                <w:p w14:paraId="7AC49402">
                  <w:pPr>
                    <w:pStyle w:val="59"/>
                    <w:spacing w:line="240" w:lineRule="auto"/>
                    <w:ind w:firstLine="0" w:firstLineChars="0"/>
                    <w:jc w:val="center"/>
                    <w:rPr>
                      <w:snapToGrid w:val="0"/>
                    </w:rPr>
                  </w:pPr>
                  <w:r>
                    <w:t>布袋收尘灰</w:t>
                  </w:r>
                </w:p>
              </w:tc>
              <w:tc>
                <w:tcPr>
                  <w:tcW w:w="3086" w:type="pct"/>
                  <w:vAlign w:val="center"/>
                </w:tcPr>
                <w:p w14:paraId="0A5F32FB">
                  <w:pPr>
                    <w:pStyle w:val="40"/>
                  </w:pPr>
                  <w:r>
                    <w:rPr>
                      <w:rFonts w:hint="eastAsia"/>
                    </w:rPr>
                    <w:t>统一收集外售做建材</w:t>
                  </w:r>
                </w:p>
              </w:tc>
            </w:tr>
            <w:tr w14:paraId="52DC7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6F40680D">
                  <w:pPr>
                    <w:pStyle w:val="40"/>
                  </w:pPr>
                </w:p>
              </w:tc>
              <w:tc>
                <w:tcPr>
                  <w:tcW w:w="750" w:type="pct"/>
                  <w:vAlign w:val="center"/>
                </w:tcPr>
                <w:p w14:paraId="4C59D4A0">
                  <w:pPr>
                    <w:pStyle w:val="59"/>
                    <w:spacing w:line="240" w:lineRule="auto"/>
                    <w:ind w:firstLine="0" w:firstLineChars="0"/>
                    <w:jc w:val="center"/>
                    <w:rPr>
                      <w:snapToGrid w:val="0"/>
                    </w:rPr>
                  </w:pPr>
                  <w:r>
                    <w:rPr>
                      <w:rFonts w:hint="eastAsia"/>
                      <w:snapToGrid w:val="0"/>
                    </w:rPr>
                    <w:t>锅炉</w:t>
                  </w:r>
                </w:p>
              </w:tc>
              <w:tc>
                <w:tcPr>
                  <w:tcW w:w="765" w:type="pct"/>
                  <w:vAlign w:val="center"/>
                </w:tcPr>
                <w:p w14:paraId="1703ED07">
                  <w:pPr>
                    <w:pStyle w:val="59"/>
                    <w:spacing w:line="240" w:lineRule="auto"/>
                    <w:ind w:firstLine="0" w:firstLineChars="0"/>
                    <w:jc w:val="center"/>
                    <w:rPr>
                      <w:snapToGrid w:val="0"/>
                    </w:rPr>
                  </w:pPr>
                  <w:r>
                    <w:rPr>
                      <w:rFonts w:hint="eastAsia"/>
                      <w:kern w:val="0"/>
                    </w:rPr>
                    <w:t>锅炉灰渣</w:t>
                  </w:r>
                </w:p>
              </w:tc>
              <w:tc>
                <w:tcPr>
                  <w:tcW w:w="3086" w:type="pct"/>
                  <w:vAlign w:val="center"/>
                </w:tcPr>
                <w:p w14:paraId="46621048">
                  <w:pPr>
                    <w:pStyle w:val="40"/>
                  </w:pPr>
                  <w:r>
                    <w:rPr>
                      <w:rFonts w:hint="eastAsia"/>
                    </w:rPr>
                    <w:t>统一收集外售做建材</w:t>
                  </w:r>
                </w:p>
              </w:tc>
            </w:tr>
            <w:tr w14:paraId="0E9DE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650C4695">
                  <w:pPr>
                    <w:pStyle w:val="40"/>
                  </w:pPr>
                </w:p>
              </w:tc>
              <w:tc>
                <w:tcPr>
                  <w:tcW w:w="750" w:type="pct"/>
                  <w:vAlign w:val="center"/>
                </w:tcPr>
                <w:p w14:paraId="2314261C">
                  <w:pPr>
                    <w:pStyle w:val="59"/>
                    <w:spacing w:line="240" w:lineRule="auto"/>
                    <w:ind w:firstLine="0" w:firstLineChars="0"/>
                    <w:jc w:val="center"/>
                    <w:rPr>
                      <w:snapToGrid w:val="0"/>
                    </w:rPr>
                  </w:pPr>
                  <w:r>
                    <w:rPr>
                      <w:rFonts w:hint="eastAsia"/>
                      <w:snapToGrid w:val="0"/>
                    </w:rPr>
                    <w:t>软化水设备</w:t>
                  </w:r>
                </w:p>
              </w:tc>
              <w:tc>
                <w:tcPr>
                  <w:tcW w:w="765" w:type="pct"/>
                  <w:vAlign w:val="center"/>
                </w:tcPr>
                <w:p w14:paraId="638F5A22">
                  <w:pPr>
                    <w:pStyle w:val="59"/>
                    <w:spacing w:line="240" w:lineRule="auto"/>
                    <w:ind w:firstLine="0" w:firstLineChars="0"/>
                    <w:jc w:val="center"/>
                    <w:rPr>
                      <w:kern w:val="0"/>
                    </w:rPr>
                  </w:pPr>
                  <w:r>
                    <w:rPr>
                      <w:rFonts w:hint="eastAsia"/>
                      <w:kern w:val="0"/>
                    </w:rPr>
                    <w:t>废离子树脂</w:t>
                  </w:r>
                </w:p>
              </w:tc>
              <w:tc>
                <w:tcPr>
                  <w:tcW w:w="3086" w:type="pct"/>
                  <w:vAlign w:val="center"/>
                </w:tcPr>
                <w:p w14:paraId="3D518009">
                  <w:pPr>
                    <w:pStyle w:val="40"/>
                  </w:pPr>
                  <w:r>
                    <w:rPr>
                      <w:rFonts w:hint="eastAsia"/>
                    </w:rPr>
                    <w:t>由厂家回收</w:t>
                  </w:r>
                </w:p>
              </w:tc>
            </w:tr>
            <w:tr w14:paraId="76213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56D347B8">
                  <w:pPr>
                    <w:pStyle w:val="40"/>
                  </w:pPr>
                </w:p>
              </w:tc>
              <w:tc>
                <w:tcPr>
                  <w:tcW w:w="750" w:type="pct"/>
                  <w:vAlign w:val="center"/>
                </w:tcPr>
                <w:p w14:paraId="7363517B">
                  <w:pPr>
                    <w:pStyle w:val="59"/>
                    <w:spacing w:line="240" w:lineRule="auto"/>
                    <w:ind w:firstLine="0" w:firstLineChars="0"/>
                    <w:jc w:val="center"/>
                    <w:rPr>
                      <w:snapToGrid w:val="0"/>
                    </w:rPr>
                  </w:pPr>
                  <w:r>
                    <w:rPr>
                      <w:rFonts w:hint="eastAsia"/>
                      <w:snapToGrid w:val="0"/>
                    </w:rPr>
                    <w:t>废气治理</w:t>
                  </w:r>
                </w:p>
              </w:tc>
              <w:tc>
                <w:tcPr>
                  <w:tcW w:w="765" w:type="pct"/>
                  <w:vAlign w:val="center"/>
                </w:tcPr>
                <w:p w14:paraId="5637A0BB">
                  <w:pPr>
                    <w:pStyle w:val="59"/>
                    <w:spacing w:line="240" w:lineRule="auto"/>
                    <w:ind w:firstLine="0" w:firstLineChars="0"/>
                    <w:jc w:val="center"/>
                    <w:rPr>
                      <w:kern w:val="0"/>
                    </w:rPr>
                  </w:pPr>
                  <w:r>
                    <w:rPr>
                      <w:rFonts w:hint="eastAsia"/>
                      <w:kern w:val="0"/>
                    </w:rPr>
                    <w:t>废活性炭</w:t>
                  </w:r>
                </w:p>
              </w:tc>
              <w:tc>
                <w:tcPr>
                  <w:tcW w:w="3086" w:type="pct"/>
                  <w:vAlign w:val="center"/>
                </w:tcPr>
                <w:p w14:paraId="59DBD715">
                  <w:pPr>
                    <w:pStyle w:val="40"/>
                  </w:pPr>
                  <w:r>
                    <w:rPr>
                      <w:rFonts w:hint="eastAsia"/>
                    </w:rPr>
                    <w:t>由厂家回收</w:t>
                  </w:r>
                </w:p>
              </w:tc>
            </w:tr>
            <w:tr w14:paraId="78764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3CD53B3F">
                  <w:pPr>
                    <w:pStyle w:val="40"/>
                  </w:pPr>
                </w:p>
              </w:tc>
              <w:tc>
                <w:tcPr>
                  <w:tcW w:w="750" w:type="pct"/>
                  <w:vAlign w:val="center"/>
                </w:tcPr>
                <w:p w14:paraId="1C7345B7">
                  <w:pPr>
                    <w:pStyle w:val="59"/>
                    <w:spacing w:line="240" w:lineRule="auto"/>
                    <w:ind w:firstLine="0" w:firstLineChars="0"/>
                    <w:jc w:val="center"/>
                    <w:rPr>
                      <w:snapToGrid w:val="0"/>
                    </w:rPr>
                  </w:pPr>
                  <w:r>
                    <w:rPr>
                      <w:rFonts w:hint="eastAsia"/>
                      <w:snapToGrid w:val="0"/>
                    </w:rPr>
                    <w:t>污水处理站</w:t>
                  </w:r>
                </w:p>
              </w:tc>
              <w:tc>
                <w:tcPr>
                  <w:tcW w:w="765" w:type="pct"/>
                  <w:vAlign w:val="center"/>
                </w:tcPr>
                <w:p w14:paraId="76304DD2">
                  <w:pPr>
                    <w:pStyle w:val="59"/>
                    <w:spacing w:line="240" w:lineRule="auto"/>
                    <w:ind w:firstLine="0" w:firstLineChars="0"/>
                    <w:jc w:val="center"/>
                    <w:rPr>
                      <w:kern w:val="0"/>
                    </w:rPr>
                  </w:pPr>
                  <w:r>
                    <w:rPr>
                      <w:rFonts w:hint="eastAsia"/>
                    </w:rPr>
                    <w:t>污泥</w:t>
                  </w:r>
                </w:p>
              </w:tc>
              <w:tc>
                <w:tcPr>
                  <w:tcW w:w="3086" w:type="pct"/>
                  <w:vAlign w:val="center"/>
                </w:tcPr>
                <w:p w14:paraId="462A794A">
                  <w:pPr>
                    <w:pStyle w:val="40"/>
                  </w:pPr>
                  <w:r>
                    <w:rPr>
                      <w:rFonts w:hint="eastAsia"/>
                    </w:rPr>
                    <w:t>委托环保手续齐全，具备污泥处理主体资格和技术能力的单位进行处置</w:t>
                  </w:r>
                </w:p>
              </w:tc>
            </w:tr>
          </w:tbl>
          <w:p w14:paraId="72E5D728">
            <w:pPr>
              <w:adjustRightInd w:val="0"/>
              <w:snapToGrid w:val="0"/>
              <w:spacing w:line="240" w:lineRule="atLeast"/>
              <w:ind w:firstLine="420"/>
              <w:rPr>
                <w:rFonts w:ascii="宋体" w:hAnsi="宋体"/>
                <w:bCs/>
                <w:szCs w:val="21"/>
              </w:rPr>
            </w:pPr>
          </w:p>
        </w:tc>
      </w:tr>
      <w:tr w14:paraId="5A850E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373" w:type="pct"/>
            <w:vAlign w:val="center"/>
          </w:tcPr>
          <w:p w14:paraId="00223D85">
            <w:pPr>
              <w:pStyle w:val="40"/>
            </w:pPr>
            <w:r>
              <w:rPr>
                <w:rFonts w:hint="eastAsia"/>
              </w:rPr>
              <w:t>与项目有关的原有环境污染问题</w:t>
            </w:r>
          </w:p>
        </w:tc>
        <w:tc>
          <w:tcPr>
            <w:tcW w:w="4627" w:type="pct"/>
            <w:vAlign w:val="center"/>
          </w:tcPr>
          <w:p w14:paraId="7F08EDE5">
            <w:pPr>
              <w:adjustRightInd w:val="0"/>
              <w:snapToGrid w:val="0"/>
              <w:spacing w:beforeLines="50"/>
              <w:ind w:firstLine="420"/>
            </w:pPr>
            <w:r>
              <w:rPr>
                <w:rFonts w:hint="eastAsia"/>
              </w:rPr>
              <w:t>一、现有工程履行环境影响评价、竣工环境保护验收、排污许可手续等情况</w:t>
            </w:r>
          </w:p>
          <w:p w14:paraId="2773C857">
            <w:pPr>
              <w:ind w:firstLine="420"/>
            </w:pPr>
            <w:r>
              <w:rPr>
                <w:rFonts w:hint="eastAsia"/>
              </w:rPr>
              <w:t>企业现有工程履行环境影响评价、竣工环境保护验收情况见下表。</w:t>
            </w:r>
          </w:p>
          <w:p w14:paraId="1056B992">
            <w:pPr>
              <w:pStyle w:val="73"/>
            </w:pPr>
            <w:r>
              <w:rPr>
                <w:rFonts w:hint="eastAsia"/>
                <w:bCs w:val="0"/>
              </w:rPr>
              <w:t xml:space="preserve">表2-16 </w:t>
            </w:r>
            <w:r>
              <w:rPr>
                <w:rFonts w:hint="eastAsia"/>
              </w:rPr>
              <w:t>企业环评审批及验收情况</w:t>
            </w:r>
          </w:p>
          <w:tbl>
            <w:tblPr>
              <w:tblStyle w:val="25"/>
              <w:tblW w:w="498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5"/>
              <w:gridCol w:w="690"/>
              <w:gridCol w:w="1727"/>
              <w:gridCol w:w="1128"/>
              <w:gridCol w:w="990"/>
              <w:gridCol w:w="849"/>
              <w:gridCol w:w="845"/>
              <w:gridCol w:w="849"/>
              <w:gridCol w:w="756"/>
            </w:tblGrid>
            <w:tr w14:paraId="115A4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81" w:type="pct"/>
                  <w:vMerge w:val="restart"/>
                  <w:shd w:val="clear" w:color="auto" w:fill="auto"/>
                  <w:noWrap/>
                  <w:tcMar>
                    <w:left w:w="28" w:type="dxa"/>
                    <w:right w:w="28" w:type="dxa"/>
                  </w:tcMar>
                  <w:vAlign w:val="center"/>
                </w:tcPr>
                <w:p w14:paraId="7533543C">
                  <w:pPr>
                    <w:pStyle w:val="40"/>
                  </w:pPr>
                  <w:r>
                    <w:rPr>
                      <w:rFonts w:hint="eastAsia"/>
                    </w:rPr>
                    <w:t>序号</w:t>
                  </w:r>
                </w:p>
              </w:tc>
              <w:tc>
                <w:tcPr>
                  <w:tcW w:w="424" w:type="pct"/>
                  <w:vMerge w:val="restart"/>
                  <w:shd w:val="clear" w:color="auto" w:fill="auto"/>
                  <w:noWrap/>
                  <w:tcMar>
                    <w:left w:w="28" w:type="dxa"/>
                    <w:right w:w="28" w:type="dxa"/>
                  </w:tcMar>
                  <w:vAlign w:val="center"/>
                </w:tcPr>
                <w:p w14:paraId="301754BA">
                  <w:pPr>
                    <w:pStyle w:val="40"/>
                  </w:pPr>
                  <w:r>
                    <w:rPr>
                      <w:rFonts w:hint="eastAsia"/>
                    </w:rPr>
                    <w:t>文件类别</w:t>
                  </w:r>
                </w:p>
              </w:tc>
              <w:tc>
                <w:tcPr>
                  <w:tcW w:w="1062" w:type="pct"/>
                  <w:vMerge w:val="restart"/>
                  <w:shd w:val="clear" w:color="auto" w:fill="auto"/>
                  <w:noWrap/>
                  <w:tcMar>
                    <w:left w:w="28" w:type="dxa"/>
                    <w:right w:w="28" w:type="dxa"/>
                  </w:tcMar>
                  <w:vAlign w:val="center"/>
                </w:tcPr>
                <w:p w14:paraId="7DCED33B">
                  <w:pPr>
                    <w:pStyle w:val="40"/>
                  </w:pPr>
                  <w:r>
                    <w:rPr>
                      <w:rFonts w:hint="eastAsia"/>
                    </w:rPr>
                    <w:t>项目名称</w:t>
                  </w:r>
                </w:p>
              </w:tc>
              <w:tc>
                <w:tcPr>
                  <w:tcW w:w="1825" w:type="pct"/>
                  <w:gridSpan w:val="3"/>
                  <w:shd w:val="clear" w:color="auto" w:fill="auto"/>
                  <w:noWrap/>
                  <w:tcMar>
                    <w:left w:w="28" w:type="dxa"/>
                    <w:right w:w="28" w:type="dxa"/>
                  </w:tcMar>
                  <w:vAlign w:val="center"/>
                </w:tcPr>
                <w:p w14:paraId="54F0CDC1">
                  <w:pPr>
                    <w:pStyle w:val="40"/>
                  </w:pPr>
                  <w:r>
                    <w:rPr>
                      <w:rFonts w:hint="eastAsia"/>
                    </w:rPr>
                    <w:t>环评文件</w:t>
                  </w:r>
                </w:p>
              </w:tc>
              <w:tc>
                <w:tcPr>
                  <w:tcW w:w="1507" w:type="pct"/>
                  <w:gridSpan w:val="3"/>
                  <w:shd w:val="clear" w:color="auto" w:fill="auto"/>
                  <w:noWrap/>
                  <w:tcMar>
                    <w:left w:w="28" w:type="dxa"/>
                    <w:right w:w="28" w:type="dxa"/>
                  </w:tcMar>
                  <w:vAlign w:val="center"/>
                </w:tcPr>
                <w:p w14:paraId="148A8622">
                  <w:pPr>
                    <w:pStyle w:val="40"/>
                  </w:pPr>
                  <w:r>
                    <w:rPr>
                      <w:rFonts w:hint="eastAsia"/>
                    </w:rPr>
                    <w:t>验收文件</w:t>
                  </w:r>
                </w:p>
              </w:tc>
            </w:tr>
            <w:tr w14:paraId="1ECD3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181" w:type="pct"/>
                  <w:vMerge w:val="continue"/>
                  <w:shd w:val="clear" w:color="auto" w:fill="auto"/>
                  <w:noWrap/>
                  <w:tcMar>
                    <w:left w:w="28" w:type="dxa"/>
                    <w:right w:w="28" w:type="dxa"/>
                  </w:tcMar>
                  <w:vAlign w:val="center"/>
                </w:tcPr>
                <w:p w14:paraId="7822EC1E">
                  <w:pPr>
                    <w:pStyle w:val="40"/>
                  </w:pPr>
                </w:p>
              </w:tc>
              <w:tc>
                <w:tcPr>
                  <w:tcW w:w="424" w:type="pct"/>
                  <w:vMerge w:val="continue"/>
                  <w:shd w:val="clear" w:color="auto" w:fill="auto"/>
                  <w:noWrap/>
                  <w:tcMar>
                    <w:left w:w="28" w:type="dxa"/>
                    <w:right w:w="28" w:type="dxa"/>
                  </w:tcMar>
                  <w:vAlign w:val="center"/>
                </w:tcPr>
                <w:p w14:paraId="08E3C9DA">
                  <w:pPr>
                    <w:pStyle w:val="40"/>
                  </w:pPr>
                </w:p>
              </w:tc>
              <w:tc>
                <w:tcPr>
                  <w:tcW w:w="1062" w:type="pct"/>
                  <w:vMerge w:val="continue"/>
                  <w:shd w:val="clear" w:color="auto" w:fill="auto"/>
                  <w:noWrap/>
                  <w:tcMar>
                    <w:left w:w="28" w:type="dxa"/>
                    <w:right w:w="28" w:type="dxa"/>
                  </w:tcMar>
                  <w:vAlign w:val="center"/>
                </w:tcPr>
                <w:p w14:paraId="2FA41061">
                  <w:pPr>
                    <w:pStyle w:val="40"/>
                  </w:pPr>
                </w:p>
              </w:tc>
              <w:tc>
                <w:tcPr>
                  <w:tcW w:w="694" w:type="pct"/>
                  <w:shd w:val="clear" w:color="auto" w:fill="auto"/>
                  <w:noWrap/>
                  <w:tcMar>
                    <w:left w:w="28" w:type="dxa"/>
                    <w:right w:w="28" w:type="dxa"/>
                  </w:tcMar>
                  <w:vAlign w:val="center"/>
                </w:tcPr>
                <w:p w14:paraId="14E4D64D">
                  <w:pPr>
                    <w:pStyle w:val="40"/>
                  </w:pPr>
                  <w:r>
                    <w:rPr>
                      <w:rFonts w:hint="eastAsia"/>
                    </w:rPr>
                    <w:t>审批</w:t>
                  </w:r>
                </w:p>
                <w:p w14:paraId="534A59E9">
                  <w:pPr>
                    <w:pStyle w:val="40"/>
                  </w:pPr>
                  <w:r>
                    <w:rPr>
                      <w:rFonts w:hint="eastAsia"/>
                    </w:rPr>
                    <w:t>单位</w:t>
                  </w:r>
                </w:p>
              </w:tc>
              <w:tc>
                <w:tcPr>
                  <w:tcW w:w="609" w:type="pct"/>
                  <w:shd w:val="clear" w:color="auto" w:fill="auto"/>
                  <w:noWrap/>
                  <w:tcMar>
                    <w:left w:w="28" w:type="dxa"/>
                    <w:right w:w="28" w:type="dxa"/>
                  </w:tcMar>
                  <w:vAlign w:val="center"/>
                </w:tcPr>
                <w:p w14:paraId="274B7E56">
                  <w:pPr>
                    <w:pStyle w:val="40"/>
                  </w:pPr>
                  <w:r>
                    <w:rPr>
                      <w:rFonts w:hint="eastAsia"/>
                    </w:rPr>
                    <w:t>批准</w:t>
                  </w:r>
                </w:p>
                <w:p w14:paraId="3A494F2D">
                  <w:pPr>
                    <w:pStyle w:val="40"/>
                  </w:pPr>
                  <w:r>
                    <w:rPr>
                      <w:rFonts w:hint="eastAsia"/>
                    </w:rPr>
                    <w:t>文号</w:t>
                  </w:r>
                </w:p>
              </w:tc>
              <w:tc>
                <w:tcPr>
                  <w:tcW w:w="522" w:type="pct"/>
                  <w:shd w:val="clear" w:color="auto" w:fill="auto"/>
                  <w:noWrap/>
                  <w:tcMar>
                    <w:left w:w="28" w:type="dxa"/>
                    <w:right w:w="28" w:type="dxa"/>
                  </w:tcMar>
                  <w:vAlign w:val="center"/>
                </w:tcPr>
                <w:p w14:paraId="755494B3">
                  <w:pPr>
                    <w:pStyle w:val="40"/>
                  </w:pPr>
                  <w:r>
                    <w:rPr>
                      <w:rFonts w:hint="eastAsia"/>
                    </w:rPr>
                    <w:t>批准</w:t>
                  </w:r>
                </w:p>
                <w:p w14:paraId="2A9A695B">
                  <w:pPr>
                    <w:pStyle w:val="40"/>
                  </w:pPr>
                  <w:r>
                    <w:rPr>
                      <w:rFonts w:hint="eastAsia"/>
                    </w:rPr>
                    <w:t>时间</w:t>
                  </w:r>
                </w:p>
              </w:tc>
              <w:tc>
                <w:tcPr>
                  <w:tcW w:w="520" w:type="pct"/>
                  <w:shd w:val="clear" w:color="auto" w:fill="auto"/>
                  <w:noWrap/>
                  <w:tcMar>
                    <w:left w:w="28" w:type="dxa"/>
                    <w:right w:w="28" w:type="dxa"/>
                  </w:tcMar>
                  <w:vAlign w:val="center"/>
                </w:tcPr>
                <w:p w14:paraId="44DBD821">
                  <w:pPr>
                    <w:pStyle w:val="40"/>
                  </w:pPr>
                  <w:r>
                    <w:rPr>
                      <w:rFonts w:hint="eastAsia"/>
                    </w:rPr>
                    <w:t>审批</w:t>
                  </w:r>
                </w:p>
                <w:p w14:paraId="7641E92C">
                  <w:pPr>
                    <w:pStyle w:val="40"/>
                  </w:pPr>
                  <w:r>
                    <w:rPr>
                      <w:rFonts w:hint="eastAsia"/>
                    </w:rPr>
                    <w:t>单位</w:t>
                  </w:r>
                </w:p>
              </w:tc>
              <w:tc>
                <w:tcPr>
                  <w:tcW w:w="522" w:type="pct"/>
                  <w:shd w:val="clear" w:color="auto" w:fill="auto"/>
                  <w:noWrap/>
                  <w:tcMar>
                    <w:left w:w="28" w:type="dxa"/>
                    <w:right w:w="28" w:type="dxa"/>
                  </w:tcMar>
                  <w:vAlign w:val="center"/>
                </w:tcPr>
                <w:p w14:paraId="2495AD03">
                  <w:pPr>
                    <w:pStyle w:val="40"/>
                  </w:pPr>
                  <w:r>
                    <w:rPr>
                      <w:rFonts w:hint="eastAsia"/>
                    </w:rPr>
                    <w:t>批准</w:t>
                  </w:r>
                </w:p>
                <w:p w14:paraId="486D271E">
                  <w:pPr>
                    <w:pStyle w:val="40"/>
                  </w:pPr>
                  <w:r>
                    <w:rPr>
                      <w:rFonts w:hint="eastAsia"/>
                    </w:rPr>
                    <w:t>文号</w:t>
                  </w:r>
                </w:p>
              </w:tc>
              <w:tc>
                <w:tcPr>
                  <w:tcW w:w="465" w:type="pct"/>
                  <w:shd w:val="clear" w:color="auto" w:fill="auto"/>
                  <w:noWrap/>
                  <w:tcMar>
                    <w:left w:w="28" w:type="dxa"/>
                    <w:right w:w="28" w:type="dxa"/>
                  </w:tcMar>
                  <w:vAlign w:val="center"/>
                </w:tcPr>
                <w:p w14:paraId="54431CD1">
                  <w:pPr>
                    <w:pStyle w:val="40"/>
                  </w:pPr>
                  <w:r>
                    <w:rPr>
                      <w:rFonts w:hint="eastAsia"/>
                    </w:rPr>
                    <w:t>批准</w:t>
                  </w:r>
                </w:p>
                <w:p w14:paraId="24F517DD">
                  <w:pPr>
                    <w:pStyle w:val="40"/>
                  </w:pPr>
                  <w:r>
                    <w:rPr>
                      <w:rFonts w:hint="eastAsia"/>
                    </w:rPr>
                    <w:t>时间</w:t>
                  </w:r>
                </w:p>
              </w:tc>
            </w:tr>
            <w:tr w14:paraId="16088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 w:hRule="atLeast"/>
                <w:jc w:val="center"/>
              </w:trPr>
              <w:tc>
                <w:tcPr>
                  <w:tcW w:w="181" w:type="pct"/>
                  <w:shd w:val="clear" w:color="auto" w:fill="auto"/>
                  <w:noWrap/>
                  <w:tcMar>
                    <w:left w:w="28" w:type="dxa"/>
                    <w:right w:w="28" w:type="dxa"/>
                  </w:tcMar>
                  <w:vAlign w:val="center"/>
                </w:tcPr>
                <w:p w14:paraId="5EFAB59B">
                  <w:pPr>
                    <w:pStyle w:val="40"/>
                  </w:pPr>
                  <w:r>
                    <w:rPr>
                      <w:rFonts w:hint="eastAsia"/>
                    </w:rPr>
                    <w:t>1</w:t>
                  </w:r>
                </w:p>
              </w:tc>
              <w:tc>
                <w:tcPr>
                  <w:tcW w:w="424" w:type="pct"/>
                  <w:shd w:val="clear" w:color="auto" w:fill="auto"/>
                  <w:noWrap/>
                  <w:tcMar>
                    <w:left w:w="28" w:type="dxa"/>
                    <w:right w:w="28" w:type="dxa"/>
                  </w:tcMar>
                  <w:vAlign w:val="center"/>
                </w:tcPr>
                <w:p w14:paraId="18A9F009">
                  <w:pPr>
                    <w:pStyle w:val="40"/>
                  </w:pPr>
                  <w:r>
                    <w:rPr>
                      <w:rFonts w:hint="eastAsia"/>
                    </w:rPr>
                    <w:t>环境影响报告表</w:t>
                  </w:r>
                </w:p>
              </w:tc>
              <w:tc>
                <w:tcPr>
                  <w:tcW w:w="1062" w:type="pct"/>
                  <w:shd w:val="clear" w:color="auto" w:fill="auto"/>
                  <w:noWrap/>
                  <w:tcMar>
                    <w:left w:w="28" w:type="dxa"/>
                    <w:right w:w="28" w:type="dxa"/>
                  </w:tcMar>
                  <w:vAlign w:val="center"/>
                </w:tcPr>
                <w:p w14:paraId="2866E32B">
                  <w:pPr>
                    <w:pStyle w:val="40"/>
                  </w:pPr>
                  <w:r>
                    <w:rPr>
                      <w:rFonts w:hint="eastAsia"/>
                    </w:rPr>
                    <w:t>《秦皇岛市天马食品厂》</w:t>
                  </w:r>
                </w:p>
              </w:tc>
              <w:tc>
                <w:tcPr>
                  <w:tcW w:w="694" w:type="pct"/>
                  <w:shd w:val="clear" w:color="auto" w:fill="auto"/>
                  <w:noWrap/>
                  <w:tcMar>
                    <w:left w:w="28" w:type="dxa"/>
                    <w:right w:w="28" w:type="dxa"/>
                  </w:tcMar>
                  <w:vAlign w:val="center"/>
                </w:tcPr>
                <w:p w14:paraId="3E99FF7A">
                  <w:pPr>
                    <w:pStyle w:val="40"/>
                  </w:pPr>
                  <w:r>
                    <w:rPr>
                      <w:rFonts w:hint="eastAsia"/>
                    </w:rPr>
                    <w:t>原抚宁县环境保护局</w:t>
                  </w:r>
                </w:p>
              </w:tc>
              <w:tc>
                <w:tcPr>
                  <w:tcW w:w="609" w:type="pct"/>
                  <w:shd w:val="clear" w:color="auto" w:fill="auto"/>
                  <w:noWrap/>
                  <w:tcMar>
                    <w:left w:w="28" w:type="dxa"/>
                    <w:right w:w="28" w:type="dxa"/>
                  </w:tcMar>
                  <w:vAlign w:val="center"/>
                </w:tcPr>
                <w:p w14:paraId="11D0ACB5">
                  <w:pPr>
                    <w:pStyle w:val="40"/>
                  </w:pPr>
                  <w:r>
                    <w:rPr>
                      <w:rFonts w:hint="eastAsia"/>
                    </w:rPr>
                    <w:t>抚环批</w:t>
                  </w:r>
                </w:p>
                <w:p w14:paraId="5C20CA63">
                  <w:pPr>
                    <w:pStyle w:val="40"/>
                  </w:pPr>
                  <w:r>
                    <w:rPr>
                      <w:rFonts w:hint="eastAsia"/>
                    </w:rPr>
                    <w:t>[2011]155号</w:t>
                  </w:r>
                </w:p>
              </w:tc>
              <w:tc>
                <w:tcPr>
                  <w:tcW w:w="522" w:type="pct"/>
                  <w:shd w:val="clear" w:color="auto" w:fill="auto"/>
                  <w:noWrap/>
                  <w:tcMar>
                    <w:left w:w="28" w:type="dxa"/>
                    <w:right w:w="28" w:type="dxa"/>
                  </w:tcMar>
                  <w:vAlign w:val="center"/>
                </w:tcPr>
                <w:p w14:paraId="0E2AFF4E">
                  <w:pPr>
                    <w:pStyle w:val="40"/>
                  </w:pPr>
                  <w:r>
                    <w:rPr>
                      <w:rFonts w:hint="eastAsia"/>
                    </w:rPr>
                    <w:t>2020 年 10 月</w:t>
                  </w:r>
                </w:p>
                <w:p w14:paraId="7EC5CEFF">
                  <w:pPr>
                    <w:pStyle w:val="40"/>
                  </w:pPr>
                  <w:r>
                    <w:rPr>
                      <w:rFonts w:hint="eastAsia"/>
                    </w:rPr>
                    <w:t>29 日</w:t>
                  </w:r>
                </w:p>
              </w:tc>
              <w:tc>
                <w:tcPr>
                  <w:tcW w:w="520" w:type="pct"/>
                  <w:shd w:val="clear" w:color="auto" w:fill="auto"/>
                  <w:noWrap/>
                  <w:tcMar>
                    <w:left w:w="28" w:type="dxa"/>
                    <w:right w:w="28" w:type="dxa"/>
                  </w:tcMar>
                  <w:vAlign w:val="center"/>
                </w:tcPr>
                <w:p w14:paraId="49DEF1D1">
                  <w:pPr>
                    <w:pStyle w:val="40"/>
                  </w:pPr>
                  <w:r>
                    <w:rPr>
                      <w:rFonts w:hint="eastAsia"/>
                    </w:rPr>
                    <w:t>原抚宁县环境保护局</w:t>
                  </w:r>
                </w:p>
              </w:tc>
              <w:tc>
                <w:tcPr>
                  <w:tcW w:w="522" w:type="pct"/>
                  <w:shd w:val="clear" w:color="auto" w:fill="auto"/>
                  <w:vAlign w:val="center"/>
                </w:tcPr>
                <w:p w14:paraId="49A71630">
                  <w:pPr>
                    <w:pStyle w:val="40"/>
                  </w:pPr>
                  <w:r>
                    <w:rPr>
                      <w:rFonts w:hint="eastAsia"/>
                    </w:rPr>
                    <w:t>抚环验【2012】042号</w:t>
                  </w:r>
                </w:p>
              </w:tc>
              <w:tc>
                <w:tcPr>
                  <w:tcW w:w="465" w:type="pct"/>
                  <w:shd w:val="clear" w:color="auto" w:fill="auto"/>
                  <w:vAlign w:val="center"/>
                </w:tcPr>
                <w:p w14:paraId="53F949BA">
                  <w:pPr>
                    <w:pStyle w:val="40"/>
                  </w:pPr>
                  <w:r>
                    <w:rPr>
                      <w:rFonts w:hint="eastAsia"/>
                    </w:rPr>
                    <w:t>2012年7月11</w:t>
                  </w:r>
                </w:p>
                <w:p w14:paraId="37E432FC">
                  <w:pPr>
                    <w:pStyle w:val="40"/>
                  </w:pPr>
                  <w:r>
                    <w:rPr>
                      <w:rFonts w:hint="eastAsia"/>
                    </w:rPr>
                    <w:t>日</w:t>
                  </w:r>
                </w:p>
              </w:tc>
            </w:tr>
            <w:tr w14:paraId="5583A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1" w:hRule="atLeast"/>
                <w:jc w:val="center"/>
              </w:trPr>
              <w:tc>
                <w:tcPr>
                  <w:tcW w:w="181" w:type="pct"/>
                  <w:shd w:val="clear" w:color="auto" w:fill="auto"/>
                  <w:noWrap/>
                  <w:tcMar>
                    <w:left w:w="28" w:type="dxa"/>
                    <w:right w:w="28" w:type="dxa"/>
                  </w:tcMar>
                  <w:vAlign w:val="center"/>
                </w:tcPr>
                <w:p w14:paraId="226B4C54">
                  <w:pPr>
                    <w:pStyle w:val="40"/>
                  </w:pPr>
                  <w:r>
                    <w:rPr>
                      <w:rFonts w:hint="eastAsia"/>
                    </w:rPr>
                    <w:t>2</w:t>
                  </w:r>
                </w:p>
              </w:tc>
              <w:tc>
                <w:tcPr>
                  <w:tcW w:w="424" w:type="pct"/>
                  <w:shd w:val="clear" w:color="auto" w:fill="auto"/>
                  <w:noWrap/>
                  <w:tcMar>
                    <w:left w:w="28" w:type="dxa"/>
                    <w:right w:w="28" w:type="dxa"/>
                  </w:tcMar>
                  <w:vAlign w:val="center"/>
                </w:tcPr>
                <w:p w14:paraId="1D692D54">
                  <w:pPr>
                    <w:pStyle w:val="40"/>
                  </w:pPr>
                  <w:r>
                    <w:rPr>
                      <w:rFonts w:hint="eastAsia"/>
                    </w:rPr>
                    <w:t>环境影响报告表</w:t>
                  </w:r>
                </w:p>
              </w:tc>
              <w:tc>
                <w:tcPr>
                  <w:tcW w:w="1062" w:type="pct"/>
                  <w:shd w:val="clear" w:color="auto" w:fill="auto"/>
                  <w:noWrap/>
                  <w:tcMar>
                    <w:left w:w="28" w:type="dxa"/>
                    <w:right w:w="28" w:type="dxa"/>
                  </w:tcMar>
                  <w:vAlign w:val="center"/>
                </w:tcPr>
                <w:p w14:paraId="0B23B7AF">
                  <w:pPr>
                    <w:pStyle w:val="40"/>
                  </w:pPr>
                  <w:r>
                    <w:rPr>
                      <w:rFonts w:hint="eastAsia"/>
                    </w:rPr>
                    <w:t>《秦皇岛市天马食品厂食品废水处理提升改造工程技术改造项目》</w:t>
                  </w:r>
                </w:p>
              </w:tc>
              <w:tc>
                <w:tcPr>
                  <w:tcW w:w="694" w:type="pct"/>
                  <w:shd w:val="clear" w:color="auto" w:fill="auto"/>
                  <w:noWrap/>
                  <w:tcMar>
                    <w:left w:w="28" w:type="dxa"/>
                    <w:right w:w="28" w:type="dxa"/>
                  </w:tcMar>
                  <w:vAlign w:val="center"/>
                </w:tcPr>
                <w:p w14:paraId="48133E3C">
                  <w:pPr>
                    <w:pStyle w:val="40"/>
                  </w:pPr>
                  <w:r>
                    <w:rPr>
                      <w:rFonts w:hint="eastAsia"/>
                    </w:rPr>
                    <w:t>原</w:t>
                  </w:r>
                  <w:r>
                    <w:t>秦皇岛市抚宁区</w:t>
                  </w:r>
                  <w:r>
                    <w:rPr>
                      <w:rFonts w:hint="eastAsia"/>
                    </w:rPr>
                    <w:t>环境保护</w:t>
                  </w:r>
                  <w:r>
                    <w:t>局</w:t>
                  </w:r>
                </w:p>
              </w:tc>
              <w:tc>
                <w:tcPr>
                  <w:tcW w:w="609" w:type="pct"/>
                  <w:shd w:val="clear" w:color="auto" w:fill="auto"/>
                  <w:noWrap/>
                  <w:tcMar>
                    <w:left w:w="28" w:type="dxa"/>
                    <w:right w:w="28" w:type="dxa"/>
                  </w:tcMar>
                  <w:vAlign w:val="center"/>
                </w:tcPr>
                <w:p w14:paraId="2C4EDD86">
                  <w:pPr>
                    <w:pStyle w:val="40"/>
                  </w:pPr>
                  <w:r>
                    <w:rPr>
                      <w:rFonts w:hint="eastAsia"/>
                    </w:rPr>
                    <w:t>抚环审表</w:t>
                  </w:r>
                </w:p>
                <w:p w14:paraId="28BAAC29">
                  <w:pPr>
                    <w:pStyle w:val="40"/>
                  </w:pPr>
                  <w:r>
                    <w:rPr>
                      <w:rFonts w:hint="eastAsia"/>
                    </w:rPr>
                    <w:t>[2017]-12-13号</w:t>
                  </w:r>
                </w:p>
              </w:tc>
              <w:tc>
                <w:tcPr>
                  <w:tcW w:w="522" w:type="pct"/>
                  <w:shd w:val="clear" w:color="auto" w:fill="auto"/>
                  <w:noWrap/>
                  <w:tcMar>
                    <w:left w:w="28" w:type="dxa"/>
                    <w:right w:w="28" w:type="dxa"/>
                  </w:tcMar>
                  <w:vAlign w:val="center"/>
                </w:tcPr>
                <w:p w14:paraId="5C29411B">
                  <w:pPr>
                    <w:pStyle w:val="40"/>
                  </w:pPr>
                  <w:r>
                    <w:rPr>
                      <w:rFonts w:hint="eastAsia"/>
                    </w:rPr>
                    <w:t>2017年 12月</w:t>
                  </w:r>
                </w:p>
                <w:p w14:paraId="77BA3B81">
                  <w:pPr>
                    <w:pStyle w:val="40"/>
                  </w:pPr>
                  <w:r>
                    <w:rPr>
                      <w:rFonts w:hint="eastAsia"/>
                    </w:rPr>
                    <w:t>28日</w:t>
                  </w:r>
                </w:p>
              </w:tc>
              <w:tc>
                <w:tcPr>
                  <w:tcW w:w="1507" w:type="pct"/>
                  <w:gridSpan w:val="3"/>
                  <w:shd w:val="clear" w:color="auto" w:fill="auto"/>
                  <w:noWrap/>
                  <w:tcMar>
                    <w:left w:w="28" w:type="dxa"/>
                    <w:right w:w="28" w:type="dxa"/>
                  </w:tcMar>
                  <w:vAlign w:val="center"/>
                </w:tcPr>
                <w:p w14:paraId="28AB8C2E">
                  <w:pPr>
                    <w:pStyle w:val="40"/>
                  </w:pPr>
                  <w:r>
                    <w:rPr>
                      <w:rFonts w:hint="eastAsia"/>
                    </w:rPr>
                    <w:t>2018年4月3日进行了自主验收</w:t>
                  </w:r>
                </w:p>
              </w:tc>
            </w:tr>
            <w:tr w14:paraId="38221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 w:hRule="atLeast"/>
                <w:jc w:val="center"/>
              </w:trPr>
              <w:tc>
                <w:tcPr>
                  <w:tcW w:w="181" w:type="pct"/>
                  <w:shd w:val="clear" w:color="auto" w:fill="auto"/>
                  <w:noWrap/>
                  <w:tcMar>
                    <w:left w:w="28" w:type="dxa"/>
                    <w:right w:w="28" w:type="dxa"/>
                  </w:tcMar>
                  <w:vAlign w:val="center"/>
                </w:tcPr>
                <w:p w14:paraId="403E91D3">
                  <w:pPr>
                    <w:pStyle w:val="40"/>
                  </w:pPr>
                  <w:r>
                    <w:rPr>
                      <w:rFonts w:hint="eastAsia"/>
                    </w:rPr>
                    <w:t>3</w:t>
                  </w:r>
                </w:p>
              </w:tc>
              <w:tc>
                <w:tcPr>
                  <w:tcW w:w="424" w:type="pct"/>
                  <w:shd w:val="clear" w:color="auto" w:fill="auto"/>
                  <w:noWrap/>
                  <w:tcMar>
                    <w:left w:w="28" w:type="dxa"/>
                    <w:right w:w="28" w:type="dxa"/>
                  </w:tcMar>
                  <w:vAlign w:val="center"/>
                </w:tcPr>
                <w:p w14:paraId="2B27402F">
                  <w:pPr>
                    <w:pStyle w:val="40"/>
                  </w:pPr>
                  <w:r>
                    <w:rPr>
                      <w:rFonts w:hint="eastAsia"/>
                    </w:rPr>
                    <w:t>环境影响报告表</w:t>
                  </w:r>
                </w:p>
              </w:tc>
              <w:tc>
                <w:tcPr>
                  <w:tcW w:w="1062" w:type="pct"/>
                  <w:shd w:val="clear" w:color="auto" w:fill="auto"/>
                  <w:noWrap/>
                  <w:tcMar>
                    <w:left w:w="28" w:type="dxa"/>
                    <w:right w:w="28" w:type="dxa"/>
                  </w:tcMar>
                  <w:vAlign w:val="center"/>
                </w:tcPr>
                <w:p w14:paraId="1A51CBB7">
                  <w:pPr>
                    <w:pStyle w:val="40"/>
                  </w:pPr>
                  <w:r>
                    <w:rPr>
                      <w:rFonts w:hint="eastAsia"/>
                    </w:rPr>
                    <w:t>《秦皇岛市天马食品厂新上1台2t/h生物质锅炉项目》</w:t>
                  </w:r>
                </w:p>
              </w:tc>
              <w:tc>
                <w:tcPr>
                  <w:tcW w:w="694" w:type="pct"/>
                  <w:shd w:val="clear" w:color="auto" w:fill="auto"/>
                  <w:noWrap/>
                  <w:tcMar>
                    <w:left w:w="28" w:type="dxa"/>
                    <w:right w:w="28" w:type="dxa"/>
                  </w:tcMar>
                  <w:vAlign w:val="center"/>
                </w:tcPr>
                <w:p w14:paraId="3572AC54">
                  <w:pPr>
                    <w:pStyle w:val="40"/>
                  </w:pPr>
                  <w:r>
                    <w:rPr>
                      <w:rFonts w:hint="eastAsia"/>
                    </w:rPr>
                    <w:t>原秦皇岛市环境保护局抚宁区分局</w:t>
                  </w:r>
                </w:p>
              </w:tc>
              <w:tc>
                <w:tcPr>
                  <w:tcW w:w="609" w:type="pct"/>
                  <w:shd w:val="clear" w:color="auto" w:fill="auto"/>
                  <w:noWrap/>
                  <w:tcMar>
                    <w:left w:w="28" w:type="dxa"/>
                    <w:right w:w="28" w:type="dxa"/>
                  </w:tcMar>
                  <w:vAlign w:val="center"/>
                </w:tcPr>
                <w:p w14:paraId="22DFDAD7">
                  <w:pPr>
                    <w:pStyle w:val="40"/>
                  </w:pPr>
                  <w:r>
                    <w:rPr>
                      <w:rFonts w:hint="eastAsia"/>
                    </w:rPr>
                    <w:t>抚环审表</w:t>
                  </w:r>
                </w:p>
                <w:p w14:paraId="6D30C172">
                  <w:pPr>
                    <w:pStyle w:val="40"/>
                  </w:pPr>
                  <w:r>
                    <w:rPr>
                      <w:rFonts w:hint="eastAsia"/>
                    </w:rPr>
                    <w:t>[2018]-7-6 号</w:t>
                  </w:r>
                </w:p>
              </w:tc>
              <w:tc>
                <w:tcPr>
                  <w:tcW w:w="522" w:type="pct"/>
                  <w:shd w:val="clear" w:color="auto" w:fill="auto"/>
                  <w:noWrap/>
                  <w:tcMar>
                    <w:left w:w="28" w:type="dxa"/>
                    <w:right w:w="28" w:type="dxa"/>
                  </w:tcMar>
                  <w:vAlign w:val="center"/>
                </w:tcPr>
                <w:p w14:paraId="1473AA37">
                  <w:pPr>
                    <w:pStyle w:val="40"/>
                  </w:pPr>
                  <w:r>
                    <w:rPr>
                      <w:rFonts w:hint="eastAsia"/>
                    </w:rPr>
                    <w:t>2018年 7月</w:t>
                  </w:r>
                </w:p>
                <w:p w14:paraId="0FB493CB">
                  <w:pPr>
                    <w:pStyle w:val="40"/>
                  </w:pPr>
                  <w:r>
                    <w:rPr>
                      <w:rFonts w:hint="eastAsia"/>
                    </w:rPr>
                    <w:t>4日</w:t>
                  </w:r>
                </w:p>
              </w:tc>
              <w:tc>
                <w:tcPr>
                  <w:tcW w:w="1507" w:type="pct"/>
                  <w:gridSpan w:val="3"/>
                  <w:shd w:val="clear" w:color="auto" w:fill="auto"/>
                  <w:noWrap/>
                  <w:tcMar>
                    <w:left w:w="28" w:type="dxa"/>
                    <w:right w:w="28" w:type="dxa"/>
                  </w:tcMar>
                  <w:vAlign w:val="center"/>
                </w:tcPr>
                <w:p w14:paraId="543E06F2">
                  <w:pPr>
                    <w:pStyle w:val="40"/>
                  </w:pPr>
                  <w:r>
                    <w:rPr>
                      <w:rFonts w:hint="eastAsia"/>
                    </w:rPr>
                    <w:t>2018年12月15日进行了自主验收</w:t>
                  </w:r>
                </w:p>
              </w:tc>
            </w:tr>
          </w:tbl>
          <w:p w14:paraId="32C44D53">
            <w:pPr>
              <w:spacing w:line="400" w:lineRule="exact"/>
              <w:ind w:firstLine="420"/>
            </w:pPr>
            <w:r>
              <w:rPr>
                <w:rFonts w:hint="eastAsia"/>
              </w:rPr>
              <w:t>公司已于2024年12月6日取得了排污登记回执，登记编号为：</w:t>
            </w:r>
            <w:r>
              <w:t>911303231054624638002X</w:t>
            </w:r>
            <w:r>
              <w:rPr>
                <w:rFonts w:hint="eastAsia"/>
              </w:rPr>
              <w:t>，有效期至 2029年12月5日。</w:t>
            </w:r>
          </w:p>
          <w:p w14:paraId="1A80A832">
            <w:pPr>
              <w:spacing w:line="400" w:lineRule="exact"/>
              <w:ind w:firstLine="420"/>
            </w:pPr>
            <w:r>
              <w:rPr>
                <w:rFonts w:hint="eastAsia"/>
              </w:rPr>
              <w:t>二、现有工程污染物治理措施及实际排放量</w:t>
            </w:r>
          </w:p>
          <w:p w14:paraId="419995DE">
            <w:pPr>
              <w:spacing w:line="400" w:lineRule="exact"/>
              <w:ind w:firstLine="420"/>
            </w:pPr>
            <w:r>
              <w:rPr>
                <w:rFonts w:hint="eastAsia"/>
              </w:rPr>
              <w:t>企业现有污染源及污染防治措施情况来源于企业环评报告及其批复、验收文件，企业现有工程实际污染物排放浓度、排放量数据采用2024年企业自行检测报告（新丰（检）字HJ2024-092602）数据及</w:t>
            </w:r>
            <w:r>
              <w:rPr>
                <w:rFonts w:hint="eastAsia"/>
                <w:bCs/>
              </w:rPr>
              <w:t>企业验收检测报告数据</w:t>
            </w:r>
            <w:r>
              <w:rPr>
                <w:rFonts w:hint="eastAsia"/>
              </w:rPr>
              <w:t>计算。</w:t>
            </w:r>
          </w:p>
          <w:p w14:paraId="05E79BE4">
            <w:pPr>
              <w:spacing w:line="400" w:lineRule="exact"/>
              <w:ind w:firstLine="420"/>
            </w:pPr>
            <w:r>
              <w:rPr>
                <w:rFonts w:hint="eastAsia"/>
              </w:rPr>
              <w:t>1、废气</w:t>
            </w:r>
          </w:p>
          <w:p w14:paraId="2422A488">
            <w:pPr>
              <w:spacing w:beforeLines="50"/>
              <w:ind w:firstLine="420"/>
            </w:pPr>
            <w:r>
              <w:rPr>
                <w:rFonts w:hint="eastAsia"/>
              </w:rPr>
              <w:t>企业现有工程废气污染物排放达标情况见下表。</w:t>
            </w:r>
          </w:p>
          <w:p w14:paraId="1BDA7CCA">
            <w:pPr>
              <w:pStyle w:val="73"/>
              <w:rPr>
                <w:kern w:val="2"/>
              </w:rPr>
            </w:pPr>
            <w:r>
              <w:rPr>
                <w:rFonts w:hint="eastAsia"/>
                <w:bCs w:val="0"/>
              </w:rPr>
              <w:t xml:space="preserve">表2-17 </w:t>
            </w:r>
            <w:r>
              <w:rPr>
                <w:rFonts w:hint="eastAsia"/>
              </w:rPr>
              <w:t>企业现有工程废气污染物达标情况一览表</w:t>
            </w:r>
          </w:p>
          <w:tbl>
            <w:tblPr>
              <w:tblStyle w:val="25"/>
              <w:tblW w:w="4739"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369"/>
              <w:gridCol w:w="703"/>
              <w:gridCol w:w="709"/>
              <w:gridCol w:w="1136"/>
              <w:gridCol w:w="1275"/>
              <w:gridCol w:w="851"/>
              <w:gridCol w:w="851"/>
              <w:gridCol w:w="709"/>
              <w:gridCol w:w="1133"/>
            </w:tblGrid>
            <w:tr w14:paraId="3DD6A2E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38" w:type="pct"/>
                  <w:noWrap/>
                  <w:tcMar>
                    <w:left w:w="28" w:type="dxa"/>
                    <w:right w:w="28" w:type="dxa"/>
                  </w:tcMar>
                  <w:vAlign w:val="center"/>
                </w:tcPr>
                <w:p w14:paraId="35DD8CEE">
                  <w:pPr>
                    <w:pStyle w:val="40"/>
                  </w:pPr>
                  <w:r>
                    <w:rPr>
                      <w:rFonts w:hint="eastAsia"/>
                    </w:rPr>
                    <w:t>序号</w:t>
                  </w:r>
                </w:p>
              </w:tc>
              <w:tc>
                <w:tcPr>
                  <w:tcW w:w="454" w:type="pct"/>
                  <w:noWrap/>
                  <w:tcMar>
                    <w:left w:w="28" w:type="dxa"/>
                    <w:right w:w="28" w:type="dxa"/>
                  </w:tcMar>
                  <w:vAlign w:val="center"/>
                </w:tcPr>
                <w:p w14:paraId="1B4A29EA">
                  <w:pPr>
                    <w:pStyle w:val="40"/>
                  </w:pPr>
                  <w:r>
                    <w:t>污染源</w:t>
                  </w:r>
                  <w:r>
                    <w:rPr>
                      <w:rFonts w:hint="eastAsia"/>
                    </w:rPr>
                    <w:t>名称</w:t>
                  </w:r>
                </w:p>
              </w:tc>
              <w:tc>
                <w:tcPr>
                  <w:tcW w:w="458" w:type="pct"/>
                  <w:noWrap/>
                  <w:tcMar>
                    <w:left w:w="28" w:type="dxa"/>
                    <w:right w:w="28" w:type="dxa"/>
                  </w:tcMar>
                  <w:vAlign w:val="center"/>
                </w:tcPr>
                <w:p w14:paraId="0AF24150">
                  <w:pPr>
                    <w:pStyle w:val="40"/>
                  </w:pPr>
                  <w:r>
                    <w:rPr>
                      <w:rFonts w:hint="eastAsia"/>
                    </w:rPr>
                    <w:t>排气筒编号</w:t>
                  </w:r>
                </w:p>
              </w:tc>
              <w:tc>
                <w:tcPr>
                  <w:tcW w:w="734" w:type="pct"/>
                  <w:noWrap/>
                  <w:tcMar>
                    <w:left w:w="28" w:type="dxa"/>
                    <w:right w:w="28" w:type="dxa"/>
                  </w:tcMar>
                  <w:vAlign w:val="center"/>
                </w:tcPr>
                <w:p w14:paraId="4EA19F28">
                  <w:pPr>
                    <w:pStyle w:val="40"/>
                  </w:pPr>
                  <w:r>
                    <w:rPr>
                      <w:rFonts w:hint="eastAsia"/>
                    </w:rPr>
                    <w:t>污染因子</w:t>
                  </w:r>
                </w:p>
              </w:tc>
              <w:tc>
                <w:tcPr>
                  <w:tcW w:w="824" w:type="pct"/>
                  <w:noWrap/>
                  <w:tcMar>
                    <w:left w:w="28" w:type="dxa"/>
                    <w:right w:w="28" w:type="dxa"/>
                  </w:tcMar>
                  <w:vAlign w:val="center"/>
                </w:tcPr>
                <w:p w14:paraId="52EEAE81">
                  <w:pPr>
                    <w:pStyle w:val="40"/>
                  </w:pPr>
                  <w:r>
                    <w:rPr>
                      <w:rFonts w:hint="eastAsia"/>
                    </w:rPr>
                    <w:t>实测最大排放浓度 mg/m</w:t>
                  </w:r>
                  <w:r>
                    <w:rPr>
                      <w:rFonts w:hint="eastAsia"/>
                      <w:vertAlign w:val="superscript"/>
                    </w:rPr>
                    <w:t>3</w:t>
                  </w:r>
                </w:p>
              </w:tc>
              <w:tc>
                <w:tcPr>
                  <w:tcW w:w="550" w:type="pct"/>
                  <w:tcMar>
                    <w:left w:w="28" w:type="dxa"/>
                    <w:right w:w="28" w:type="dxa"/>
                  </w:tcMar>
                  <w:vAlign w:val="center"/>
                </w:tcPr>
                <w:p w14:paraId="098F7A52">
                  <w:pPr>
                    <w:pStyle w:val="40"/>
                  </w:pPr>
                  <w:r>
                    <w:rPr>
                      <w:rFonts w:hint="eastAsia"/>
                    </w:rPr>
                    <w:t>排放速率 kg/h</w:t>
                  </w:r>
                </w:p>
              </w:tc>
              <w:tc>
                <w:tcPr>
                  <w:tcW w:w="550" w:type="pct"/>
                  <w:noWrap/>
                  <w:tcMar>
                    <w:left w:w="28" w:type="dxa"/>
                    <w:right w:w="28" w:type="dxa"/>
                  </w:tcMar>
                  <w:vAlign w:val="center"/>
                </w:tcPr>
                <w:p w14:paraId="293AF1F4">
                  <w:pPr>
                    <w:pStyle w:val="40"/>
                  </w:pPr>
                  <w:r>
                    <w:rPr>
                      <w:rFonts w:hint="eastAsia"/>
                    </w:rPr>
                    <w:t>标准值mg/m</w:t>
                  </w:r>
                  <w:r>
                    <w:rPr>
                      <w:rFonts w:hint="eastAsia"/>
                      <w:vertAlign w:val="superscript"/>
                    </w:rPr>
                    <w:t>3</w:t>
                  </w:r>
                </w:p>
              </w:tc>
              <w:tc>
                <w:tcPr>
                  <w:tcW w:w="458" w:type="pct"/>
                  <w:noWrap/>
                  <w:tcMar>
                    <w:left w:w="28" w:type="dxa"/>
                    <w:right w:w="28" w:type="dxa"/>
                  </w:tcMar>
                  <w:vAlign w:val="center"/>
                </w:tcPr>
                <w:p w14:paraId="51B560D8">
                  <w:pPr>
                    <w:pStyle w:val="40"/>
                  </w:pPr>
                  <w:r>
                    <w:rPr>
                      <w:rFonts w:hint="eastAsia"/>
                    </w:rPr>
                    <w:t>是否达标</w:t>
                  </w:r>
                </w:p>
              </w:tc>
              <w:tc>
                <w:tcPr>
                  <w:tcW w:w="732" w:type="pct"/>
                  <w:noWrap/>
                  <w:tcMar>
                    <w:left w:w="28" w:type="dxa"/>
                    <w:right w:w="28" w:type="dxa"/>
                  </w:tcMar>
                  <w:vAlign w:val="center"/>
                </w:tcPr>
                <w:p w14:paraId="553D7DAD">
                  <w:pPr>
                    <w:pStyle w:val="40"/>
                  </w:pPr>
                  <w:r>
                    <w:rPr>
                      <w:rFonts w:hint="eastAsia"/>
                    </w:rPr>
                    <w:t>标准名称</w:t>
                  </w:r>
                </w:p>
              </w:tc>
            </w:tr>
            <w:tr w14:paraId="5E7E08C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32" w:hRule="atLeast"/>
                <w:tblHeader/>
                <w:jc w:val="center"/>
              </w:trPr>
              <w:tc>
                <w:tcPr>
                  <w:tcW w:w="238" w:type="pct"/>
                  <w:vMerge w:val="restart"/>
                  <w:noWrap/>
                  <w:tcMar>
                    <w:left w:w="28" w:type="dxa"/>
                    <w:right w:w="28" w:type="dxa"/>
                  </w:tcMar>
                  <w:vAlign w:val="center"/>
                </w:tcPr>
                <w:p w14:paraId="2998DCEF">
                  <w:pPr>
                    <w:pStyle w:val="40"/>
                  </w:pPr>
                  <w:r>
                    <w:rPr>
                      <w:rFonts w:hint="eastAsia"/>
                    </w:rPr>
                    <w:t>1</w:t>
                  </w:r>
                </w:p>
              </w:tc>
              <w:tc>
                <w:tcPr>
                  <w:tcW w:w="454" w:type="pct"/>
                  <w:vMerge w:val="restart"/>
                  <w:noWrap/>
                  <w:tcMar>
                    <w:left w:w="28" w:type="dxa"/>
                    <w:right w:w="28" w:type="dxa"/>
                  </w:tcMar>
                  <w:vAlign w:val="center"/>
                </w:tcPr>
                <w:p w14:paraId="743DC49F">
                  <w:pPr>
                    <w:pStyle w:val="40"/>
                  </w:pPr>
                  <w:r>
                    <w:rPr>
                      <w:rFonts w:hint="eastAsia"/>
                    </w:rPr>
                    <w:t>生物质锅炉废气</w:t>
                  </w:r>
                </w:p>
              </w:tc>
              <w:tc>
                <w:tcPr>
                  <w:tcW w:w="458" w:type="pct"/>
                  <w:vMerge w:val="restart"/>
                  <w:noWrap/>
                  <w:tcMar>
                    <w:left w:w="28" w:type="dxa"/>
                    <w:right w:w="28" w:type="dxa"/>
                  </w:tcMar>
                  <w:vAlign w:val="center"/>
                </w:tcPr>
                <w:p w14:paraId="42865FCA">
                  <w:pPr>
                    <w:pStyle w:val="40"/>
                  </w:pPr>
                  <w:r>
                    <w:rPr>
                      <w:rFonts w:hint="eastAsia"/>
                    </w:rPr>
                    <w:t>DA001</w:t>
                  </w:r>
                </w:p>
              </w:tc>
              <w:tc>
                <w:tcPr>
                  <w:tcW w:w="734" w:type="pct"/>
                  <w:noWrap/>
                  <w:tcMar>
                    <w:left w:w="28" w:type="dxa"/>
                    <w:right w:w="28" w:type="dxa"/>
                  </w:tcMar>
                  <w:vAlign w:val="center"/>
                </w:tcPr>
                <w:p w14:paraId="2816FEEC">
                  <w:pPr>
                    <w:pStyle w:val="40"/>
                  </w:pPr>
                  <w:r>
                    <w:rPr>
                      <w:rFonts w:hint="eastAsia"/>
                    </w:rPr>
                    <w:t>颗粒物</w:t>
                  </w:r>
                </w:p>
              </w:tc>
              <w:tc>
                <w:tcPr>
                  <w:tcW w:w="824" w:type="pct"/>
                  <w:noWrap/>
                  <w:tcMar>
                    <w:left w:w="28" w:type="dxa"/>
                    <w:right w:w="28" w:type="dxa"/>
                  </w:tcMar>
                  <w:vAlign w:val="center"/>
                </w:tcPr>
                <w:p w14:paraId="241C4237">
                  <w:pPr>
                    <w:pStyle w:val="40"/>
                  </w:pPr>
                  <w:r>
                    <w:rPr>
                      <w:rFonts w:hint="eastAsia"/>
                    </w:rPr>
                    <w:t>1.8</w:t>
                  </w:r>
                </w:p>
              </w:tc>
              <w:tc>
                <w:tcPr>
                  <w:tcW w:w="550" w:type="pct"/>
                  <w:tcMar>
                    <w:left w:w="28" w:type="dxa"/>
                    <w:right w:w="28" w:type="dxa"/>
                  </w:tcMar>
                  <w:vAlign w:val="center"/>
                </w:tcPr>
                <w:p w14:paraId="319B4DF6">
                  <w:pPr>
                    <w:pStyle w:val="40"/>
                  </w:pPr>
                  <w:r>
                    <w:rPr>
                      <w:rFonts w:hint="eastAsia"/>
                      <w:kern w:val="2"/>
                    </w:rPr>
                    <w:t>0.00796</w:t>
                  </w:r>
                </w:p>
              </w:tc>
              <w:tc>
                <w:tcPr>
                  <w:tcW w:w="550" w:type="pct"/>
                  <w:noWrap/>
                  <w:tcMar>
                    <w:left w:w="28" w:type="dxa"/>
                    <w:right w:w="28" w:type="dxa"/>
                  </w:tcMar>
                  <w:vAlign w:val="center"/>
                </w:tcPr>
                <w:p w14:paraId="36DB2357">
                  <w:pPr>
                    <w:pStyle w:val="40"/>
                  </w:pPr>
                  <w:r>
                    <w:rPr>
                      <w:rFonts w:hint="eastAsia"/>
                    </w:rPr>
                    <w:t>20</w:t>
                  </w:r>
                </w:p>
              </w:tc>
              <w:tc>
                <w:tcPr>
                  <w:tcW w:w="458" w:type="pct"/>
                  <w:noWrap/>
                  <w:tcMar>
                    <w:left w:w="28" w:type="dxa"/>
                    <w:right w:w="28" w:type="dxa"/>
                  </w:tcMar>
                  <w:vAlign w:val="center"/>
                </w:tcPr>
                <w:p w14:paraId="518EB6A9">
                  <w:pPr>
                    <w:pStyle w:val="40"/>
                  </w:pPr>
                  <w:r>
                    <w:rPr>
                      <w:rFonts w:hint="eastAsia"/>
                    </w:rPr>
                    <w:t>达标</w:t>
                  </w:r>
                </w:p>
              </w:tc>
              <w:tc>
                <w:tcPr>
                  <w:tcW w:w="732" w:type="pct"/>
                  <w:vMerge w:val="restart"/>
                  <w:noWrap/>
                  <w:tcMar>
                    <w:left w:w="28" w:type="dxa"/>
                    <w:right w:w="28" w:type="dxa"/>
                  </w:tcMar>
                  <w:vAlign w:val="center"/>
                </w:tcPr>
                <w:p w14:paraId="3E75FECF">
                  <w:pPr>
                    <w:pStyle w:val="40"/>
                  </w:pPr>
                  <w:r>
                    <w:rPr>
                      <w:rFonts w:hint="eastAsia"/>
                    </w:rPr>
                    <w:t>《锅炉大气污染物排放标准》（DB13/5161-2020）</w:t>
                  </w:r>
                </w:p>
              </w:tc>
            </w:tr>
            <w:tr w14:paraId="17154DF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38" w:hRule="atLeast"/>
                <w:tblHeader/>
                <w:jc w:val="center"/>
              </w:trPr>
              <w:tc>
                <w:tcPr>
                  <w:tcW w:w="238" w:type="pct"/>
                  <w:vMerge w:val="continue"/>
                  <w:noWrap/>
                  <w:tcMar>
                    <w:left w:w="28" w:type="dxa"/>
                    <w:right w:w="28" w:type="dxa"/>
                  </w:tcMar>
                  <w:vAlign w:val="center"/>
                </w:tcPr>
                <w:p w14:paraId="748B32A2">
                  <w:pPr>
                    <w:pStyle w:val="40"/>
                  </w:pPr>
                </w:p>
              </w:tc>
              <w:tc>
                <w:tcPr>
                  <w:tcW w:w="454" w:type="pct"/>
                  <w:vMerge w:val="continue"/>
                  <w:noWrap/>
                  <w:tcMar>
                    <w:left w:w="28" w:type="dxa"/>
                    <w:right w:w="28" w:type="dxa"/>
                  </w:tcMar>
                  <w:vAlign w:val="center"/>
                </w:tcPr>
                <w:p w14:paraId="23DDC464">
                  <w:pPr>
                    <w:pStyle w:val="40"/>
                  </w:pPr>
                </w:p>
              </w:tc>
              <w:tc>
                <w:tcPr>
                  <w:tcW w:w="458" w:type="pct"/>
                  <w:vMerge w:val="continue"/>
                  <w:noWrap/>
                  <w:tcMar>
                    <w:left w:w="28" w:type="dxa"/>
                    <w:right w:w="28" w:type="dxa"/>
                  </w:tcMar>
                  <w:vAlign w:val="center"/>
                </w:tcPr>
                <w:p w14:paraId="5ED5556A">
                  <w:pPr>
                    <w:pStyle w:val="40"/>
                  </w:pPr>
                </w:p>
              </w:tc>
              <w:tc>
                <w:tcPr>
                  <w:tcW w:w="734" w:type="pct"/>
                  <w:noWrap/>
                  <w:tcMar>
                    <w:left w:w="28" w:type="dxa"/>
                    <w:right w:w="28" w:type="dxa"/>
                  </w:tcMar>
                  <w:vAlign w:val="center"/>
                </w:tcPr>
                <w:p w14:paraId="2EA4C983">
                  <w:pPr>
                    <w:pStyle w:val="40"/>
                  </w:pPr>
                  <w:r>
                    <w:rPr>
                      <w:rFonts w:hint="eastAsia"/>
                    </w:rPr>
                    <w:t>二氧化硫</w:t>
                  </w:r>
                </w:p>
              </w:tc>
              <w:tc>
                <w:tcPr>
                  <w:tcW w:w="824" w:type="pct"/>
                  <w:noWrap/>
                  <w:tcMar>
                    <w:left w:w="28" w:type="dxa"/>
                    <w:right w:w="28" w:type="dxa"/>
                  </w:tcMar>
                  <w:vAlign w:val="center"/>
                </w:tcPr>
                <w:p w14:paraId="1A2F6254">
                  <w:pPr>
                    <w:pStyle w:val="40"/>
                  </w:pPr>
                  <w:r>
                    <w:rPr>
                      <w:rFonts w:hint="eastAsia"/>
                    </w:rPr>
                    <w:t>15</w:t>
                  </w:r>
                </w:p>
              </w:tc>
              <w:tc>
                <w:tcPr>
                  <w:tcW w:w="550" w:type="pct"/>
                  <w:tcMar>
                    <w:left w:w="28" w:type="dxa"/>
                    <w:right w:w="28" w:type="dxa"/>
                  </w:tcMar>
                  <w:vAlign w:val="center"/>
                </w:tcPr>
                <w:p w14:paraId="008E6268">
                  <w:pPr>
                    <w:pStyle w:val="40"/>
                  </w:pPr>
                  <w:r>
                    <w:rPr>
                      <w:rFonts w:hint="eastAsia"/>
                      <w:kern w:val="2"/>
                    </w:rPr>
                    <w:t>0.0647</w:t>
                  </w:r>
                </w:p>
              </w:tc>
              <w:tc>
                <w:tcPr>
                  <w:tcW w:w="550" w:type="pct"/>
                  <w:noWrap/>
                  <w:tcMar>
                    <w:left w:w="28" w:type="dxa"/>
                    <w:right w:w="28" w:type="dxa"/>
                  </w:tcMar>
                  <w:vAlign w:val="center"/>
                </w:tcPr>
                <w:p w14:paraId="6F972F22">
                  <w:pPr>
                    <w:pStyle w:val="40"/>
                  </w:pPr>
                  <w:r>
                    <w:rPr>
                      <w:rFonts w:hint="eastAsia"/>
                    </w:rPr>
                    <w:t>30</w:t>
                  </w:r>
                </w:p>
              </w:tc>
              <w:tc>
                <w:tcPr>
                  <w:tcW w:w="458" w:type="pct"/>
                  <w:noWrap/>
                  <w:tcMar>
                    <w:left w:w="28" w:type="dxa"/>
                    <w:right w:w="28" w:type="dxa"/>
                  </w:tcMar>
                  <w:vAlign w:val="center"/>
                </w:tcPr>
                <w:p w14:paraId="7F3EDB2A">
                  <w:pPr>
                    <w:pStyle w:val="40"/>
                  </w:pPr>
                  <w:r>
                    <w:rPr>
                      <w:rFonts w:hint="eastAsia"/>
                    </w:rPr>
                    <w:t>达标</w:t>
                  </w:r>
                </w:p>
              </w:tc>
              <w:tc>
                <w:tcPr>
                  <w:tcW w:w="732" w:type="pct"/>
                  <w:vMerge w:val="continue"/>
                  <w:noWrap/>
                  <w:tcMar>
                    <w:left w:w="28" w:type="dxa"/>
                    <w:right w:w="28" w:type="dxa"/>
                  </w:tcMar>
                  <w:vAlign w:val="center"/>
                </w:tcPr>
                <w:p w14:paraId="59B4C543">
                  <w:pPr>
                    <w:pStyle w:val="40"/>
                  </w:pPr>
                </w:p>
              </w:tc>
            </w:tr>
            <w:tr w14:paraId="6D2DE61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30" w:hRule="atLeast"/>
                <w:tblHeader/>
                <w:jc w:val="center"/>
              </w:trPr>
              <w:tc>
                <w:tcPr>
                  <w:tcW w:w="238" w:type="pct"/>
                  <w:vMerge w:val="continue"/>
                  <w:noWrap/>
                  <w:tcMar>
                    <w:left w:w="28" w:type="dxa"/>
                    <w:right w:w="28" w:type="dxa"/>
                  </w:tcMar>
                  <w:vAlign w:val="center"/>
                </w:tcPr>
                <w:p w14:paraId="55CA228C">
                  <w:pPr>
                    <w:pStyle w:val="40"/>
                  </w:pPr>
                </w:p>
              </w:tc>
              <w:tc>
                <w:tcPr>
                  <w:tcW w:w="454" w:type="pct"/>
                  <w:vMerge w:val="continue"/>
                  <w:noWrap/>
                  <w:tcMar>
                    <w:left w:w="28" w:type="dxa"/>
                    <w:right w:w="28" w:type="dxa"/>
                  </w:tcMar>
                  <w:vAlign w:val="center"/>
                </w:tcPr>
                <w:p w14:paraId="17A4629E">
                  <w:pPr>
                    <w:pStyle w:val="40"/>
                  </w:pPr>
                </w:p>
              </w:tc>
              <w:tc>
                <w:tcPr>
                  <w:tcW w:w="458" w:type="pct"/>
                  <w:vMerge w:val="continue"/>
                  <w:noWrap/>
                  <w:tcMar>
                    <w:left w:w="28" w:type="dxa"/>
                    <w:right w:w="28" w:type="dxa"/>
                  </w:tcMar>
                  <w:vAlign w:val="center"/>
                </w:tcPr>
                <w:p w14:paraId="4F805E78">
                  <w:pPr>
                    <w:pStyle w:val="40"/>
                  </w:pPr>
                </w:p>
              </w:tc>
              <w:tc>
                <w:tcPr>
                  <w:tcW w:w="734" w:type="pct"/>
                  <w:noWrap/>
                  <w:tcMar>
                    <w:left w:w="28" w:type="dxa"/>
                    <w:right w:w="28" w:type="dxa"/>
                  </w:tcMar>
                  <w:vAlign w:val="center"/>
                </w:tcPr>
                <w:p w14:paraId="75D19ABE">
                  <w:pPr>
                    <w:pStyle w:val="40"/>
                  </w:pPr>
                  <w:r>
                    <w:rPr>
                      <w:rFonts w:hint="eastAsia"/>
                    </w:rPr>
                    <w:t>氮氧化物</w:t>
                  </w:r>
                </w:p>
              </w:tc>
              <w:tc>
                <w:tcPr>
                  <w:tcW w:w="824" w:type="pct"/>
                  <w:noWrap/>
                  <w:tcMar>
                    <w:left w:w="28" w:type="dxa"/>
                    <w:right w:w="28" w:type="dxa"/>
                  </w:tcMar>
                  <w:vAlign w:val="center"/>
                </w:tcPr>
                <w:p w14:paraId="5BBC9BA0">
                  <w:pPr>
                    <w:pStyle w:val="40"/>
                  </w:pPr>
                  <w:r>
                    <w:rPr>
                      <w:rFonts w:hint="eastAsia"/>
                    </w:rPr>
                    <w:t>34</w:t>
                  </w:r>
                </w:p>
              </w:tc>
              <w:tc>
                <w:tcPr>
                  <w:tcW w:w="550" w:type="pct"/>
                  <w:tcMar>
                    <w:left w:w="28" w:type="dxa"/>
                    <w:right w:w="28" w:type="dxa"/>
                  </w:tcMar>
                  <w:vAlign w:val="center"/>
                </w:tcPr>
                <w:p w14:paraId="444A948C">
                  <w:pPr>
                    <w:pStyle w:val="40"/>
                  </w:pPr>
                  <w:r>
                    <w:rPr>
                      <w:rFonts w:hint="eastAsia"/>
                      <w:kern w:val="2"/>
                    </w:rPr>
                    <w:t>0.15</w:t>
                  </w:r>
                </w:p>
              </w:tc>
              <w:tc>
                <w:tcPr>
                  <w:tcW w:w="550" w:type="pct"/>
                  <w:noWrap/>
                  <w:tcMar>
                    <w:left w:w="28" w:type="dxa"/>
                    <w:right w:w="28" w:type="dxa"/>
                  </w:tcMar>
                  <w:vAlign w:val="center"/>
                </w:tcPr>
                <w:p w14:paraId="23D43ED6">
                  <w:pPr>
                    <w:pStyle w:val="40"/>
                  </w:pPr>
                  <w:r>
                    <w:rPr>
                      <w:rFonts w:hint="eastAsia"/>
                    </w:rPr>
                    <w:t>150</w:t>
                  </w:r>
                </w:p>
              </w:tc>
              <w:tc>
                <w:tcPr>
                  <w:tcW w:w="458" w:type="pct"/>
                  <w:noWrap/>
                  <w:tcMar>
                    <w:left w:w="28" w:type="dxa"/>
                    <w:right w:w="28" w:type="dxa"/>
                  </w:tcMar>
                  <w:vAlign w:val="center"/>
                </w:tcPr>
                <w:p w14:paraId="01CD3D9F">
                  <w:pPr>
                    <w:pStyle w:val="40"/>
                  </w:pPr>
                  <w:r>
                    <w:rPr>
                      <w:rFonts w:hint="eastAsia"/>
                    </w:rPr>
                    <w:t>达标</w:t>
                  </w:r>
                </w:p>
              </w:tc>
              <w:tc>
                <w:tcPr>
                  <w:tcW w:w="732" w:type="pct"/>
                  <w:vMerge w:val="continue"/>
                  <w:noWrap/>
                  <w:tcMar>
                    <w:left w:w="28" w:type="dxa"/>
                    <w:right w:w="28" w:type="dxa"/>
                  </w:tcMar>
                  <w:vAlign w:val="center"/>
                </w:tcPr>
                <w:p w14:paraId="220ED21C">
                  <w:pPr>
                    <w:pStyle w:val="40"/>
                  </w:pPr>
                </w:p>
              </w:tc>
            </w:tr>
            <w:tr w14:paraId="510CD06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08" w:hRule="atLeast"/>
                <w:tblHeader/>
                <w:jc w:val="center"/>
              </w:trPr>
              <w:tc>
                <w:tcPr>
                  <w:tcW w:w="238" w:type="pct"/>
                  <w:vMerge w:val="continue"/>
                  <w:noWrap/>
                  <w:tcMar>
                    <w:left w:w="28" w:type="dxa"/>
                    <w:right w:w="28" w:type="dxa"/>
                  </w:tcMar>
                  <w:vAlign w:val="center"/>
                </w:tcPr>
                <w:p w14:paraId="1A670834">
                  <w:pPr>
                    <w:pStyle w:val="40"/>
                  </w:pPr>
                </w:p>
              </w:tc>
              <w:tc>
                <w:tcPr>
                  <w:tcW w:w="454" w:type="pct"/>
                  <w:vMerge w:val="continue"/>
                  <w:noWrap/>
                  <w:tcMar>
                    <w:left w:w="28" w:type="dxa"/>
                    <w:right w:w="28" w:type="dxa"/>
                  </w:tcMar>
                  <w:vAlign w:val="center"/>
                </w:tcPr>
                <w:p w14:paraId="63B49BF7">
                  <w:pPr>
                    <w:pStyle w:val="40"/>
                  </w:pPr>
                </w:p>
              </w:tc>
              <w:tc>
                <w:tcPr>
                  <w:tcW w:w="458" w:type="pct"/>
                  <w:vMerge w:val="continue"/>
                  <w:noWrap/>
                  <w:tcMar>
                    <w:left w:w="28" w:type="dxa"/>
                    <w:right w:w="28" w:type="dxa"/>
                  </w:tcMar>
                  <w:vAlign w:val="center"/>
                </w:tcPr>
                <w:p w14:paraId="313F2D65">
                  <w:pPr>
                    <w:pStyle w:val="40"/>
                  </w:pPr>
                </w:p>
              </w:tc>
              <w:tc>
                <w:tcPr>
                  <w:tcW w:w="734" w:type="pct"/>
                  <w:noWrap/>
                  <w:tcMar>
                    <w:left w:w="28" w:type="dxa"/>
                    <w:right w:w="28" w:type="dxa"/>
                  </w:tcMar>
                  <w:vAlign w:val="center"/>
                </w:tcPr>
                <w:p w14:paraId="4D70185B">
                  <w:pPr>
                    <w:pStyle w:val="40"/>
                  </w:pPr>
                  <w:r>
                    <w:rPr>
                      <w:rFonts w:hint="eastAsia"/>
                    </w:rPr>
                    <w:t>烟气黑度</w:t>
                  </w:r>
                </w:p>
              </w:tc>
              <w:tc>
                <w:tcPr>
                  <w:tcW w:w="824" w:type="pct"/>
                  <w:noWrap/>
                  <w:tcMar>
                    <w:left w:w="28" w:type="dxa"/>
                    <w:right w:w="28" w:type="dxa"/>
                  </w:tcMar>
                  <w:vAlign w:val="center"/>
                </w:tcPr>
                <w:p w14:paraId="3A5888A5">
                  <w:pPr>
                    <w:pStyle w:val="40"/>
                  </w:pPr>
                  <w:bookmarkStart w:id="66" w:name="OLE_LINK74"/>
                  <w:bookmarkStart w:id="67" w:name="OLE_LINK75"/>
                  <w:r>
                    <w:rPr>
                      <w:rFonts w:hint="eastAsia"/>
                    </w:rPr>
                    <w:t>＜1</w:t>
                  </w:r>
                  <w:bookmarkEnd w:id="66"/>
                  <w:bookmarkEnd w:id="67"/>
                </w:p>
              </w:tc>
              <w:tc>
                <w:tcPr>
                  <w:tcW w:w="550" w:type="pct"/>
                  <w:tcMar>
                    <w:left w:w="28" w:type="dxa"/>
                    <w:right w:w="28" w:type="dxa"/>
                  </w:tcMar>
                  <w:vAlign w:val="center"/>
                </w:tcPr>
                <w:p w14:paraId="4A7E1EA5">
                  <w:pPr>
                    <w:pStyle w:val="40"/>
                  </w:pPr>
                  <w:r>
                    <w:rPr>
                      <w:rFonts w:hint="eastAsia"/>
                    </w:rPr>
                    <w:t>/</w:t>
                  </w:r>
                </w:p>
              </w:tc>
              <w:tc>
                <w:tcPr>
                  <w:tcW w:w="550" w:type="pct"/>
                  <w:noWrap/>
                  <w:tcMar>
                    <w:left w:w="28" w:type="dxa"/>
                    <w:right w:w="28" w:type="dxa"/>
                  </w:tcMar>
                  <w:vAlign w:val="center"/>
                </w:tcPr>
                <w:p w14:paraId="0AFE0DA5">
                  <w:pPr>
                    <w:pStyle w:val="40"/>
                  </w:pPr>
                  <w:r>
                    <w:rPr>
                      <w:rFonts w:hint="eastAsia"/>
                    </w:rPr>
                    <w:t>≤1</w:t>
                  </w:r>
                </w:p>
              </w:tc>
              <w:tc>
                <w:tcPr>
                  <w:tcW w:w="458" w:type="pct"/>
                  <w:noWrap/>
                  <w:tcMar>
                    <w:left w:w="28" w:type="dxa"/>
                    <w:right w:w="28" w:type="dxa"/>
                  </w:tcMar>
                  <w:vAlign w:val="center"/>
                </w:tcPr>
                <w:p w14:paraId="55D272AB">
                  <w:pPr>
                    <w:pStyle w:val="40"/>
                  </w:pPr>
                  <w:r>
                    <w:rPr>
                      <w:rFonts w:hint="eastAsia"/>
                    </w:rPr>
                    <w:t>达标</w:t>
                  </w:r>
                </w:p>
              </w:tc>
              <w:tc>
                <w:tcPr>
                  <w:tcW w:w="732" w:type="pct"/>
                  <w:vMerge w:val="continue"/>
                  <w:noWrap/>
                  <w:tcMar>
                    <w:left w:w="28" w:type="dxa"/>
                    <w:right w:w="28" w:type="dxa"/>
                  </w:tcMar>
                  <w:vAlign w:val="center"/>
                </w:tcPr>
                <w:p w14:paraId="157168D3">
                  <w:pPr>
                    <w:pStyle w:val="40"/>
                  </w:pPr>
                </w:p>
              </w:tc>
            </w:tr>
            <w:tr w14:paraId="12E99A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49" w:hRule="atLeast"/>
                <w:tblHeader/>
                <w:jc w:val="center"/>
              </w:trPr>
              <w:tc>
                <w:tcPr>
                  <w:tcW w:w="238" w:type="pct"/>
                  <w:vMerge w:val="restart"/>
                  <w:noWrap/>
                  <w:tcMar>
                    <w:left w:w="28" w:type="dxa"/>
                    <w:right w:w="28" w:type="dxa"/>
                  </w:tcMar>
                  <w:vAlign w:val="center"/>
                </w:tcPr>
                <w:p w14:paraId="2826BB9F">
                  <w:pPr>
                    <w:pStyle w:val="40"/>
                  </w:pPr>
                  <w:r>
                    <w:rPr>
                      <w:rFonts w:hint="eastAsia"/>
                    </w:rPr>
                    <w:t>2</w:t>
                  </w:r>
                </w:p>
              </w:tc>
              <w:tc>
                <w:tcPr>
                  <w:tcW w:w="454" w:type="pct"/>
                  <w:vMerge w:val="restart"/>
                  <w:noWrap/>
                  <w:tcMar>
                    <w:left w:w="28" w:type="dxa"/>
                    <w:right w:w="28" w:type="dxa"/>
                  </w:tcMar>
                  <w:vAlign w:val="center"/>
                </w:tcPr>
                <w:p w14:paraId="09AB7585">
                  <w:pPr>
                    <w:pStyle w:val="40"/>
                  </w:pPr>
                  <w:r>
                    <w:rPr>
                      <w:rFonts w:hint="eastAsia"/>
                    </w:rPr>
                    <w:t>厌氧塔废气</w:t>
                  </w:r>
                </w:p>
              </w:tc>
              <w:tc>
                <w:tcPr>
                  <w:tcW w:w="458" w:type="pct"/>
                  <w:vMerge w:val="restart"/>
                  <w:noWrap/>
                  <w:tcMar>
                    <w:left w:w="28" w:type="dxa"/>
                    <w:right w:w="28" w:type="dxa"/>
                  </w:tcMar>
                  <w:vAlign w:val="center"/>
                </w:tcPr>
                <w:p w14:paraId="5BE3DC8E">
                  <w:pPr>
                    <w:pStyle w:val="40"/>
                  </w:pPr>
                  <w:r>
                    <w:rPr>
                      <w:rFonts w:hint="eastAsia"/>
                    </w:rPr>
                    <w:t>DA002</w:t>
                  </w:r>
                </w:p>
              </w:tc>
              <w:tc>
                <w:tcPr>
                  <w:tcW w:w="734" w:type="pct"/>
                  <w:noWrap/>
                  <w:tcMar>
                    <w:left w:w="28" w:type="dxa"/>
                    <w:right w:w="28" w:type="dxa"/>
                  </w:tcMar>
                  <w:vAlign w:val="center"/>
                </w:tcPr>
                <w:p w14:paraId="01D2D01C">
                  <w:pPr>
                    <w:spacing w:line="240" w:lineRule="auto"/>
                    <w:ind w:firstLine="0" w:firstLineChars="0"/>
                    <w:jc w:val="center"/>
                  </w:pPr>
                  <w:r>
                    <w:rPr>
                      <w:rFonts w:hint="eastAsia"/>
                    </w:rPr>
                    <w:t>氨</w:t>
                  </w:r>
                </w:p>
              </w:tc>
              <w:tc>
                <w:tcPr>
                  <w:tcW w:w="824" w:type="pct"/>
                  <w:noWrap/>
                  <w:tcMar>
                    <w:left w:w="28" w:type="dxa"/>
                    <w:right w:w="28" w:type="dxa"/>
                  </w:tcMar>
                  <w:vAlign w:val="center"/>
                </w:tcPr>
                <w:p w14:paraId="2CA4802F">
                  <w:pPr>
                    <w:spacing w:line="240" w:lineRule="auto"/>
                    <w:ind w:firstLine="0" w:firstLineChars="0"/>
                    <w:jc w:val="center"/>
                  </w:pPr>
                  <w:r>
                    <w:rPr>
                      <w:rFonts w:hint="eastAsia"/>
                    </w:rPr>
                    <w:t>0.97</w:t>
                  </w:r>
                </w:p>
              </w:tc>
              <w:tc>
                <w:tcPr>
                  <w:tcW w:w="550" w:type="pct"/>
                  <w:tcMar>
                    <w:left w:w="28" w:type="dxa"/>
                    <w:right w:w="28" w:type="dxa"/>
                  </w:tcMar>
                  <w:vAlign w:val="center"/>
                </w:tcPr>
                <w:p w14:paraId="73B50EFE">
                  <w:pPr>
                    <w:spacing w:line="240" w:lineRule="auto"/>
                    <w:ind w:firstLine="0" w:firstLineChars="0"/>
                    <w:jc w:val="center"/>
                  </w:pPr>
                  <w:r>
                    <w:rPr>
                      <w:rFonts w:hint="eastAsia"/>
                    </w:rPr>
                    <w:t>0.0009</w:t>
                  </w:r>
                </w:p>
              </w:tc>
              <w:tc>
                <w:tcPr>
                  <w:tcW w:w="550" w:type="pct"/>
                  <w:noWrap/>
                  <w:tcMar>
                    <w:left w:w="28" w:type="dxa"/>
                    <w:right w:w="28" w:type="dxa"/>
                  </w:tcMar>
                  <w:vAlign w:val="center"/>
                </w:tcPr>
                <w:p w14:paraId="144F79FE">
                  <w:pPr>
                    <w:spacing w:line="240" w:lineRule="auto"/>
                    <w:ind w:firstLine="0" w:firstLineChars="0"/>
                    <w:jc w:val="center"/>
                  </w:pPr>
                  <w:r>
                    <w:rPr>
                      <w:rFonts w:hint="eastAsia"/>
                    </w:rPr>
                    <w:t>4.9 kg/h</w:t>
                  </w:r>
                </w:p>
              </w:tc>
              <w:tc>
                <w:tcPr>
                  <w:tcW w:w="458" w:type="pct"/>
                  <w:noWrap/>
                  <w:tcMar>
                    <w:left w:w="28" w:type="dxa"/>
                    <w:right w:w="28" w:type="dxa"/>
                  </w:tcMar>
                  <w:vAlign w:val="center"/>
                </w:tcPr>
                <w:p w14:paraId="3B7C2D2C">
                  <w:pPr>
                    <w:spacing w:line="240" w:lineRule="auto"/>
                    <w:ind w:firstLine="0" w:firstLineChars="0"/>
                    <w:jc w:val="center"/>
                  </w:pPr>
                  <w:r>
                    <w:rPr>
                      <w:rFonts w:hint="eastAsia"/>
                    </w:rPr>
                    <w:t>达标</w:t>
                  </w:r>
                </w:p>
              </w:tc>
              <w:tc>
                <w:tcPr>
                  <w:tcW w:w="732" w:type="pct"/>
                  <w:vMerge w:val="restart"/>
                  <w:noWrap/>
                  <w:tcMar>
                    <w:left w:w="28" w:type="dxa"/>
                    <w:right w:w="28" w:type="dxa"/>
                  </w:tcMar>
                  <w:vAlign w:val="center"/>
                </w:tcPr>
                <w:p w14:paraId="3D0AF49D">
                  <w:pPr>
                    <w:pStyle w:val="40"/>
                  </w:pPr>
                  <w:r>
                    <w:rPr>
                      <w:rFonts w:hint="eastAsia"/>
                    </w:rPr>
                    <w:t>《恶臭污染物排放标准》（GB14554-1993）表2标准</w:t>
                  </w:r>
                </w:p>
              </w:tc>
            </w:tr>
            <w:tr w14:paraId="1455EE7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38" w:type="pct"/>
                  <w:vMerge w:val="continue"/>
                  <w:noWrap/>
                  <w:tcMar>
                    <w:left w:w="28" w:type="dxa"/>
                    <w:right w:w="28" w:type="dxa"/>
                  </w:tcMar>
                  <w:vAlign w:val="center"/>
                </w:tcPr>
                <w:p w14:paraId="5D71B93C">
                  <w:pPr>
                    <w:pStyle w:val="40"/>
                  </w:pPr>
                </w:p>
              </w:tc>
              <w:tc>
                <w:tcPr>
                  <w:tcW w:w="454" w:type="pct"/>
                  <w:vMerge w:val="continue"/>
                  <w:noWrap/>
                  <w:tcMar>
                    <w:left w:w="28" w:type="dxa"/>
                    <w:right w:w="28" w:type="dxa"/>
                  </w:tcMar>
                  <w:vAlign w:val="center"/>
                </w:tcPr>
                <w:p w14:paraId="291620F3">
                  <w:pPr>
                    <w:pStyle w:val="40"/>
                  </w:pPr>
                </w:p>
              </w:tc>
              <w:tc>
                <w:tcPr>
                  <w:tcW w:w="458" w:type="pct"/>
                  <w:vMerge w:val="continue"/>
                  <w:noWrap/>
                  <w:tcMar>
                    <w:left w:w="28" w:type="dxa"/>
                    <w:right w:w="28" w:type="dxa"/>
                  </w:tcMar>
                  <w:vAlign w:val="center"/>
                </w:tcPr>
                <w:p w14:paraId="67C62188">
                  <w:pPr>
                    <w:pStyle w:val="40"/>
                  </w:pPr>
                </w:p>
              </w:tc>
              <w:tc>
                <w:tcPr>
                  <w:tcW w:w="734" w:type="pct"/>
                  <w:noWrap/>
                  <w:tcMar>
                    <w:left w:w="28" w:type="dxa"/>
                    <w:right w:w="28" w:type="dxa"/>
                  </w:tcMar>
                  <w:vAlign w:val="center"/>
                </w:tcPr>
                <w:p w14:paraId="5674BCA2">
                  <w:pPr>
                    <w:spacing w:line="240" w:lineRule="auto"/>
                    <w:ind w:firstLine="0" w:firstLineChars="0"/>
                    <w:jc w:val="center"/>
                  </w:pPr>
                  <w:r>
                    <w:rPr>
                      <w:rFonts w:hint="eastAsia"/>
                    </w:rPr>
                    <w:t>硫化氢</w:t>
                  </w:r>
                </w:p>
              </w:tc>
              <w:tc>
                <w:tcPr>
                  <w:tcW w:w="824" w:type="pct"/>
                  <w:noWrap/>
                  <w:tcMar>
                    <w:left w:w="28" w:type="dxa"/>
                    <w:right w:w="28" w:type="dxa"/>
                  </w:tcMar>
                  <w:vAlign w:val="center"/>
                </w:tcPr>
                <w:p w14:paraId="31A39561">
                  <w:pPr>
                    <w:spacing w:line="240" w:lineRule="auto"/>
                    <w:ind w:firstLine="0" w:firstLineChars="0"/>
                    <w:jc w:val="center"/>
                  </w:pPr>
                  <w:r>
                    <w:rPr>
                      <w:rFonts w:hint="eastAsia"/>
                    </w:rPr>
                    <w:t>0.018</w:t>
                  </w:r>
                </w:p>
              </w:tc>
              <w:tc>
                <w:tcPr>
                  <w:tcW w:w="550" w:type="pct"/>
                  <w:tcMar>
                    <w:left w:w="28" w:type="dxa"/>
                    <w:right w:w="28" w:type="dxa"/>
                  </w:tcMar>
                  <w:vAlign w:val="center"/>
                </w:tcPr>
                <w:p w14:paraId="54054BC5">
                  <w:pPr>
                    <w:spacing w:line="240" w:lineRule="auto"/>
                    <w:ind w:firstLine="0" w:firstLineChars="0"/>
                    <w:jc w:val="center"/>
                  </w:pPr>
                  <w:r>
                    <w:rPr>
                      <w:rFonts w:hint="eastAsia"/>
                    </w:rPr>
                    <w:t>0.000017</w:t>
                  </w:r>
                </w:p>
              </w:tc>
              <w:tc>
                <w:tcPr>
                  <w:tcW w:w="550" w:type="pct"/>
                  <w:noWrap/>
                  <w:tcMar>
                    <w:left w:w="28" w:type="dxa"/>
                    <w:right w:w="28" w:type="dxa"/>
                  </w:tcMar>
                  <w:vAlign w:val="center"/>
                </w:tcPr>
                <w:p w14:paraId="7A481849">
                  <w:pPr>
                    <w:spacing w:line="240" w:lineRule="auto"/>
                    <w:ind w:firstLine="0" w:firstLineChars="0"/>
                    <w:jc w:val="center"/>
                  </w:pPr>
                  <w:r>
                    <w:rPr>
                      <w:rFonts w:hint="eastAsia"/>
                    </w:rPr>
                    <w:t>0.33 kg/h</w:t>
                  </w:r>
                </w:p>
              </w:tc>
              <w:tc>
                <w:tcPr>
                  <w:tcW w:w="458" w:type="pct"/>
                  <w:noWrap/>
                  <w:tcMar>
                    <w:left w:w="28" w:type="dxa"/>
                    <w:right w:w="28" w:type="dxa"/>
                  </w:tcMar>
                  <w:vAlign w:val="center"/>
                </w:tcPr>
                <w:p w14:paraId="3A1C9265">
                  <w:pPr>
                    <w:spacing w:line="240" w:lineRule="auto"/>
                    <w:ind w:firstLine="0" w:firstLineChars="0"/>
                    <w:jc w:val="center"/>
                  </w:pPr>
                  <w:r>
                    <w:rPr>
                      <w:rFonts w:hint="eastAsia"/>
                    </w:rPr>
                    <w:t>达标</w:t>
                  </w:r>
                </w:p>
              </w:tc>
              <w:tc>
                <w:tcPr>
                  <w:tcW w:w="732" w:type="pct"/>
                  <w:vMerge w:val="continue"/>
                  <w:noWrap/>
                  <w:tcMar>
                    <w:left w:w="28" w:type="dxa"/>
                    <w:right w:w="28" w:type="dxa"/>
                  </w:tcMar>
                  <w:vAlign w:val="center"/>
                </w:tcPr>
                <w:p w14:paraId="010756A8">
                  <w:pPr>
                    <w:pStyle w:val="40"/>
                  </w:pPr>
                </w:p>
              </w:tc>
            </w:tr>
          </w:tbl>
          <w:p w14:paraId="06E54597">
            <w:pPr>
              <w:spacing w:beforeLines="50"/>
              <w:ind w:firstLine="420"/>
            </w:pPr>
            <w:r>
              <w:rPr>
                <w:rFonts w:hint="eastAsia"/>
              </w:rPr>
              <w:t>根据上表可知，企业现有工程废气排放达标。</w:t>
            </w:r>
          </w:p>
          <w:p w14:paraId="606EF3D6">
            <w:pPr>
              <w:ind w:firstLine="420"/>
            </w:pPr>
            <w:r>
              <w:rPr>
                <w:rFonts w:hint="eastAsia"/>
              </w:rPr>
              <w:t>企业现有工程主要废气污染源、废气污染物排放量及治理措施见下表。</w:t>
            </w:r>
          </w:p>
          <w:p w14:paraId="68947494">
            <w:pPr>
              <w:pStyle w:val="73"/>
              <w:rPr>
                <w:kern w:val="2"/>
              </w:rPr>
            </w:pPr>
            <w:r>
              <w:rPr>
                <w:rFonts w:hint="eastAsia"/>
                <w:bCs w:val="0"/>
              </w:rPr>
              <w:t xml:space="preserve">表2-18 </w:t>
            </w:r>
            <w:r>
              <w:rPr>
                <w:rFonts w:hint="eastAsia"/>
              </w:rPr>
              <w:t>企业现有工程主要废气污染源、废气污染物量及治理措施一览表</w:t>
            </w:r>
          </w:p>
          <w:tbl>
            <w:tblPr>
              <w:tblStyle w:val="25"/>
              <w:tblW w:w="4910"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400"/>
              <w:gridCol w:w="976"/>
              <w:gridCol w:w="851"/>
              <w:gridCol w:w="709"/>
              <w:gridCol w:w="564"/>
              <w:gridCol w:w="992"/>
              <w:gridCol w:w="709"/>
              <w:gridCol w:w="850"/>
              <w:gridCol w:w="1964"/>
            </w:tblGrid>
            <w:tr w14:paraId="1B583B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50" w:type="pct"/>
                  <w:noWrap/>
                  <w:tcMar>
                    <w:left w:w="28" w:type="dxa"/>
                    <w:right w:w="28" w:type="dxa"/>
                  </w:tcMar>
                  <w:vAlign w:val="center"/>
                </w:tcPr>
                <w:p w14:paraId="0061F8B5">
                  <w:pPr>
                    <w:pStyle w:val="40"/>
                  </w:pPr>
                  <w:r>
                    <w:rPr>
                      <w:rFonts w:hint="eastAsia"/>
                    </w:rPr>
                    <w:t>序号</w:t>
                  </w:r>
                </w:p>
              </w:tc>
              <w:tc>
                <w:tcPr>
                  <w:tcW w:w="609" w:type="pct"/>
                  <w:noWrap/>
                  <w:tcMar>
                    <w:left w:w="28" w:type="dxa"/>
                    <w:right w:w="28" w:type="dxa"/>
                  </w:tcMar>
                  <w:vAlign w:val="center"/>
                </w:tcPr>
                <w:p w14:paraId="4CD552FB">
                  <w:pPr>
                    <w:pStyle w:val="40"/>
                  </w:pPr>
                  <w:r>
                    <w:t>污染源</w:t>
                  </w:r>
                  <w:r>
                    <w:rPr>
                      <w:rFonts w:hint="eastAsia"/>
                    </w:rPr>
                    <w:t>名称</w:t>
                  </w:r>
                </w:p>
              </w:tc>
              <w:tc>
                <w:tcPr>
                  <w:tcW w:w="531" w:type="pct"/>
                  <w:noWrap/>
                  <w:tcMar>
                    <w:left w:w="28" w:type="dxa"/>
                    <w:right w:w="28" w:type="dxa"/>
                  </w:tcMar>
                  <w:vAlign w:val="center"/>
                </w:tcPr>
                <w:p w14:paraId="28D37C38">
                  <w:pPr>
                    <w:pStyle w:val="40"/>
                  </w:pPr>
                  <w:r>
                    <w:rPr>
                      <w:rFonts w:hint="eastAsia"/>
                    </w:rPr>
                    <w:t>排气筒</w:t>
                  </w:r>
                </w:p>
                <w:p w14:paraId="23FA6F78">
                  <w:pPr>
                    <w:pStyle w:val="40"/>
                  </w:pPr>
                  <w:r>
                    <w:rPr>
                      <w:rFonts w:hint="eastAsia"/>
                    </w:rPr>
                    <w:t>编号及废气量</w:t>
                  </w:r>
                </w:p>
              </w:tc>
              <w:tc>
                <w:tcPr>
                  <w:tcW w:w="442" w:type="pct"/>
                  <w:noWrap/>
                  <w:tcMar>
                    <w:left w:w="28" w:type="dxa"/>
                    <w:right w:w="28" w:type="dxa"/>
                  </w:tcMar>
                  <w:vAlign w:val="center"/>
                </w:tcPr>
                <w:p w14:paraId="704B6C74">
                  <w:pPr>
                    <w:pStyle w:val="40"/>
                  </w:pPr>
                  <w:r>
                    <w:rPr>
                      <w:rFonts w:hint="eastAsia"/>
                    </w:rPr>
                    <w:t>排气筒</w:t>
                  </w:r>
                </w:p>
                <w:p w14:paraId="002696DC">
                  <w:pPr>
                    <w:pStyle w:val="40"/>
                  </w:pPr>
                  <w:r>
                    <w:rPr>
                      <w:rFonts w:hint="eastAsia"/>
                    </w:rPr>
                    <w:t>高度</w:t>
                  </w:r>
                </w:p>
                <w:p w14:paraId="540DCE00">
                  <w:pPr>
                    <w:pStyle w:val="40"/>
                  </w:pPr>
                  <w:r>
                    <w:rPr>
                      <w:rFonts w:hint="eastAsia"/>
                    </w:rPr>
                    <w:t>m</w:t>
                  </w:r>
                </w:p>
              </w:tc>
              <w:tc>
                <w:tcPr>
                  <w:tcW w:w="352" w:type="pct"/>
                  <w:noWrap/>
                  <w:tcMar>
                    <w:left w:w="28" w:type="dxa"/>
                    <w:right w:w="28" w:type="dxa"/>
                  </w:tcMar>
                  <w:vAlign w:val="center"/>
                </w:tcPr>
                <w:p w14:paraId="33B73D67">
                  <w:pPr>
                    <w:pStyle w:val="40"/>
                  </w:pPr>
                  <w:r>
                    <w:rPr>
                      <w:rFonts w:hint="eastAsia"/>
                    </w:rPr>
                    <w:t>污染</w:t>
                  </w:r>
                </w:p>
                <w:p w14:paraId="321FCB1D">
                  <w:pPr>
                    <w:pStyle w:val="40"/>
                  </w:pPr>
                  <w:r>
                    <w:rPr>
                      <w:rFonts w:hint="eastAsia"/>
                    </w:rPr>
                    <w:t>因子</w:t>
                  </w:r>
                </w:p>
              </w:tc>
              <w:tc>
                <w:tcPr>
                  <w:tcW w:w="619" w:type="pct"/>
                  <w:noWrap/>
                  <w:tcMar>
                    <w:left w:w="28" w:type="dxa"/>
                    <w:right w:w="28" w:type="dxa"/>
                  </w:tcMar>
                  <w:vAlign w:val="center"/>
                </w:tcPr>
                <w:p w14:paraId="2FB8F668">
                  <w:pPr>
                    <w:pStyle w:val="40"/>
                  </w:pPr>
                  <w:r>
                    <w:rPr>
                      <w:rFonts w:hint="eastAsia"/>
                    </w:rPr>
                    <w:t>平均排放浓度（mg/m</w:t>
                  </w:r>
                  <w:r>
                    <w:rPr>
                      <w:rFonts w:hint="eastAsia"/>
                      <w:vertAlign w:val="superscript"/>
                    </w:rPr>
                    <w:t>3</w:t>
                  </w:r>
                  <w:r>
                    <w:rPr>
                      <w:rFonts w:hint="eastAsia"/>
                    </w:rPr>
                    <w:t>）</w:t>
                  </w:r>
                </w:p>
              </w:tc>
              <w:tc>
                <w:tcPr>
                  <w:tcW w:w="442" w:type="pct"/>
                  <w:noWrap/>
                  <w:tcMar>
                    <w:left w:w="28" w:type="dxa"/>
                    <w:right w:w="28" w:type="dxa"/>
                  </w:tcMar>
                  <w:vAlign w:val="center"/>
                </w:tcPr>
                <w:p w14:paraId="2643ADEC">
                  <w:pPr>
                    <w:pStyle w:val="40"/>
                  </w:pPr>
                  <w:r>
                    <w:rPr>
                      <w:rFonts w:hint="eastAsia"/>
                    </w:rPr>
                    <w:t>平均排放速率</w:t>
                  </w:r>
                </w:p>
                <w:p w14:paraId="1E9136ED">
                  <w:pPr>
                    <w:pStyle w:val="40"/>
                  </w:pPr>
                  <w:r>
                    <w:rPr>
                      <w:rFonts w:hint="eastAsia"/>
                    </w:rPr>
                    <w:t>（kg/h）</w:t>
                  </w:r>
                </w:p>
              </w:tc>
              <w:tc>
                <w:tcPr>
                  <w:tcW w:w="530" w:type="pct"/>
                  <w:noWrap/>
                  <w:tcMar>
                    <w:left w:w="28" w:type="dxa"/>
                    <w:right w:w="28" w:type="dxa"/>
                  </w:tcMar>
                  <w:vAlign w:val="center"/>
                </w:tcPr>
                <w:p w14:paraId="4982CB3C">
                  <w:pPr>
                    <w:pStyle w:val="40"/>
                  </w:pPr>
                  <w:r>
                    <w:rPr>
                      <w:rFonts w:hint="eastAsia"/>
                    </w:rPr>
                    <w:t>实际排放量</w:t>
                  </w:r>
                </w:p>
                <w:p w14:paraId="76EDFDCD">
                  <w:pPr>
                    <w:pStyle w:val="40"/>
                  </w:pPr>
                  <w:r>
                    <w:rPr>
                      <w:rFonts w:hint="eastAsia"/>
                    </w:rPr>
                    <w:t>（t/a）</w:t>
                  </w:r>
                </w:p>
              </w:tc>
              <w:tc>
                <w:tcPr>
                  <w:tcW w:w="1225" w:type="pct"/>
                  <w:noWrap/>
                  <w:tcMar>
                    <w:left w:w="28" w:type="dxa"/>
                    <w:right w:w="28" w:type="dxa"/>
                  </w:tcMar>
                  <w:vAlign w:val="center"/>
                </w:tcPr>
                <w:p w14:paraId="424EC23C">
                  <w:pPr>
                    <w:pStyle w:val="40"/>
                  </w:pPr>
                  <w:r>
                    <w:rPr>
                      <w:rFonts w:hint="eastAsia"/>
                    </w:rPr>
                    <w:t>治理措施</w:t>
                  </w:r>
                </w:p>
              </w:tc>
            </w:tr>
            <w:tr w14:paraId="230026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57" w:hRule="atLeast"/>
                <w:tblHeader/>
                <w:jc w:val="center"/>
              </w:trPr>
              <w:tc>
                <w:tcPr>
                  <w:tcW w:w="250" w:type="pct"/>
                  <w:vMerge w:val="restart"/>
                  <w:noWrap/>
                  <w:tcMar>
                    <w:left w:w="28" w:type="dxa"/>
                    <w:right w:w="28" w:type="dxa"/>
                  </w:tcMar>
                  <w:vAlign w:val="center"/>
                </w:tcPr>
                <w:p w14:paraId="2FE0BB5A">
                  <w:pPr>
                    <w:pStyle w:val="40"/>
                  </w:pPr>
                  <w:r>
                    <w:rPr>
                      <w:rFonts w:hint="eastAsia"/>
                    </w:rPr>
                    <w:t>1</w:t>
                  </w:r>
                </w:p>
              </w:tc>
              <w:tc>
                <w:tcPr>
                  <w:tcW w:w="609" w:type="pct"/>
                  <w:vMerge w:val="restart"/>
                  <w:noWrap/>
                  <w:tcMar>
                    <w:left w:w="28" w:type="dxa"/>
                    <w:right w:w="28" w:type="dxa"/>
                  </w:tcMar>
                  <w:vAlign w:val="center"/>
                </w:tcPr>
                <w:p w14:paraId="32EFC696">
                  <w:pPr>
                    <w:pStyle w:val="40"/>
                  </w:pPr>
                  <w:r>
                    <w:rPr>
                      <w:rFonts w:hint="eastAsia"/>
                    </w:rPr>
                    <w:t>生物质锅炉</w:t>
                  </w:r>
                </w:p>
              </w:tc>
              <w:tc>
                <w:tcPr>
                  <w:tcW w:w="531" w:type="pct"/>
                  <w:vMerge w:val="restart"/>
                  <w:noWrap/>
                  <w:tcMar>
                    <w:left w:w="28" w:type="dxa"/>
                    <w:right w:w="28" w:type="dxa"/>
                  </w:tcMar>
                  <w:vAlign w:val="center"/>
                </w:tcPr>
                <w:p w14:paraId="23973015">
                  <w:pPr>
                    <w:pStyle w:val="40"/>
                  </w:pPr>
                  <w:r>
                    <w:rPr>
                      <w:rFonts w:hint="eastAsia"/>
                    </w:rPr>
                    <w:t>DA001</w:t>
                  </w:r>
                </w:p>
                <w:p w14:paraId="7460C8F1">
                  <w:pPr>
                    <w:pStyle w:val="40"/>
                  </w:pPr>
                  <w:r>
                    <w:rPr>
                      <w:rFonts w:hint="eastAsia"/>
                    </w:rPr>
                    <w:t>约4976</w:t>
                  </w:r>
                </w:p>
                <w:p w14:paraId="78FC62DE">
                  <w:pPr>
                    <w:pStyle w:val="40"/>
                  </w:pPr>
                  <w:r>
                    <w:rPr>
                      <w:rFonts w:hint="eastAsia"/>
                    </w:rPr>
                    <w:t>m</w:t>
                  </w:r>
                  <w:r>
                    <w:t>³</w:t>
                  </w:r>
                  <w:r>
                    <w:rPr>
                      <w:rFonts w:hint="eastAsia"/>
                    </w:rPr>
                    <w:t>/h</w:t>
                  </w:r>
                </w:p>
              </w:tc>
              <w:tc>
                <w:tcPr>
                  <w:tcW w:w="442" w:type="pct"/>
                  <w:vMerge w:val="restart"/>
                  <w:noWrap/>
                  <w:tcMar>
                    <w:left w:w="28" w:type="dxa"/>
                    <w:right w:w="28" w:type="dxa"/>
                  </w:tcMar>
                  <w:vAlign w:val="center"/>
                </w:tcPr>
                <w:p w14:paraId="653DF78B">
                  <w:pPr>
                    <w:pStyle w:val="40"/>
                  </w:pPr>
                  <w:r>
                    <w:rPr>
                      <w:rFonts w:hint="eastAsia"/>
                    </w:rPr>
                    <w:t>30</w:t>
                  </w:r>
                </w:p>
              </w:tc>
              <w:tc>
                <w:tcPr>
                  <w:tcW w:w="352" w:type="pct"/>
                  <w:noWrap/>
                  <w:tcMar>
                    <w:left w:w="28" w:type="dxa"/>
                    <w:right w:w="28" w:type="dxa"/>
                  </w:tcMar>
                </w:tcPr>
                <w:p w14:paraId="481B90FC">
                  <w:pPr>
                    <w:pStyle w:val="40"/>
                  </w:pPr>
                  <w:r>
                    <w:rPr>
                      <w:rFonts w:hint="eastAsia"/>
                    </w:rPr>
                    <w:t>颗粒物</w:t>
                  </w:r>
                </w:p>
              </w:tc>
              <w:tc>
                <w:tcPr>
                  <w:tcW w:w="619" w:type="pct"/>
                  <w:noWrap/>
                  <w:tcMar>
                    <w:left w:w="28" w:type="dxa"/>
                    <w:right w:w="28" w:type="dxa"/>
                  </w:tcMar>
                  <w:vAlign w:val="center"/>
                </w:tcPr>
                <w:p w14:paraId="1E94D58E">
                  <w:pPr>
                    <w:pStyle w:val="40"/>
                  </w:pPr>
                  <w:r>
                    <w:rPr>
                      <w:rFonts w:hint="eastAsia"/>
                    </w:rPr>
                    <w:t>1.6</w:t>
                  </w:r>
                </w:p>
              </w:tc>
              <w:tc>
                <w:tcPr>
                  <w:tcW w:w="442" w:type="pct"/>
                  <w:noWrap/>
                  <w:tcMar>
                    <w:left w:w="28" w:type="dxa"/>
                    <w:right w:w="28" w:type="dxa"/>
                  </w:tcMar>
                  <w:vAlign w:val="center"/>
                </w:tcPr>
                <w:p w14:paraId="718845BA">
                  <w:pPr>
                    <w:pStyle w:val="40"/>
                    <w:rPr>
                      <w:kern w:val="2"/>
                    </w:rPr>
                  </w:pPr>
                  <w:r>
                    <w:rPr>
                      <w:rFonts w:hint="eastAsia"/>
                      <w:kern w:val="2"/>
                    </w:rPr>
                    <w:t>0.00796</w:t>
                  </w:r>
                </w:p>
              </w:tc>
              <w:tc>
                <w:tcPr>
                  <w:tcW w:w="530" w:type="pct"/>
                  <w:noWrap/>
                  <w:tcMar>
                    <w:left w:w="28" w:type="dxa"/>
                    <w:right w:w="28" w:type="dxa"/>
                  </w:tcMar>
                  <w:vAlign w:val="center"/>
                </w:tcPr>
                <w:p w14:paraId="5229C53D">
                  <w:pPr>
                    <w:pStyle w:val="40"/>
                    <w:rPr>
                      <w:kern w:val="2"/>
                    </w:rPr>
                  </w:pPr>
                  <w:r>
                    <w:rPr>
                      <w:rFonts w:hint="eastAsia"/>
                      <w:kern w:val="2"/>
                    </w:rPr>
                    <w:t>0.013</w:t>
                  </w:r>
                </w:p>
              </w:tc>
              <w:tc>
                <w:tcPr>
                  <w:tcW w:w="1225" w:type="pct"/>
                  <w:vMerge w:val="restart"/>
                  <w:noWrap/>
                  <w:tcMar>
                    <w:left w:w="28" w:type="dxa"/>
                    <w:right w:w="28" w:type="dxa"/>
                  </w:tcMar>
                  <w:vAlign w:val="center"/>
                </w:tcPr>
                <w:p w14:paraId="202444CB">
                  <w:pPr>
                    <w:pStyle w:val="40"/>
                  </w:pPr>
                  <w:r>
                    <w:rPr>
                      <w:rFonts w:hint="eastAsia"/>
                    </w:rPr>
                    <w:t>布袋除尘器+30m高排气筒</w:t>
                  </w:r>
                </w:p>
              </w:tc>
            </w:tr>
            <w:tr w14:paraId="496FA4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12" w:hRule="atLeast"/>
                <w:tblHeader/>
                <w:jc w:val="center"/>
              </w:trPr>
              <w:tc>
                <w:tcPr>
                  <w:tcW w:w="250" w:type="pct"/>
                  <w:vMerge w:val="continue"/>
                  <w:noWrap/>
                  <w:tcMar>
                    <w:left w:w="28" w:type="dxa"/>
                    <w:right w:w="28" w:type="dxa"/>
                  </w:tcMar>
                  <w:vAlign w:val="center"/>
                </w:tcPr>
                <w:p w14:paraId="26DA4B86">
                  <w:pPr>
                    <w:pStyle w:val="40"/>
                  </w:pPr>
                </w:p>
              </w:tc>
              <w:tc>
                <w:tcPr>
                  <w:tcW w:w="609" w:type="pct"/>
                  <w:vMerge w:val="continue"/>
                  <w:noWrap/>
                  <w:tcMar>
                    <w:left w:w="28" w:type="dxa"/>
                    <w:right w:w="28" w:type="dxa"/>
                  </w:tcMar>
                  <w:vAlign w:val="center"/>
                </w:tcPr>
                <w:p w14:paraId="542CFF88">
                  <w:pPr>
                    <w:pStyle w:val="40"/>
                  </w:pPr>
                </w:p>
              </w:tc>
              <w:tc>
                <w:tcPr>
                  <w:tcW w:w="531" w:type="pct"/>
                  <w:vMerge w:val="continue"/>
                  <w:noWrap/>
                  <w:tcMar>
                    <w:left w:w="28" w:type="dxa"/>
                    <w:right w:w="28" w:type="dxa"/>
                  </w:tcMar>
                  <w:vAlign w:val="center"/>
                </w:tcPr>
                <w:p w14:paraId="3899836D">
                  <w:pPr>
                    <w:pStyle w:val="40"/>
                  </w:pPr>
                </w:p>
              </w:tc>
              <w:tc>
                <w:tcPr>
                  <w:tcW w:w="442" w:type="pct"/>
                  <w:vMerge w:val="continue"/>
                  <w:noWrap/>
                  <w:tcMar>
                    <w:left w:w="28" w:type="dxa"/>
                    <w:right w:w="28" w:type="dxa"/>
                  </w:tcMar>
                  <w:vAlign w:val="center"/>
                </w:tcPr>
                <w:p w14:paraId="5BECCCF0">
                  <w:pPr>
                    <w:pStyle w:val="40"/>
                  </w:pPr>
                </w:p>
              </w:tc>
              <w:tc>
                <w:tcPr>
                  <w:tcW w:w="352" w:type="pct"/>
                  <w:noWrap/>
                  <w:tcMar>
                    <w:left w:w="28" w:type="dxa"/>
                    <w:right w:w="28" w:type="dxa"/>
                  </w:tcMar>
                </w:tcPr>
                <w:p w14:paraId="4E8187C7">
                  <w:pPr>
                    <w:pStyle w:val="40"/>
                  </w:pPr>
                  <w:r>
                    <w:rPr>
                      <w:rFonts w:hint="eastAsia"/>
                    </w:rPr>
                    <w:t>二氧化硫</w:t>
                  </w:r>
                </w:p>
              </w:tc>
              <w:tc>
                <w:tcPr>
                  <w:tcW w:w="619" w:type="pct"/>
                  <w:noWrap/>
                  <w:tcMar>
                    <w:left w:w="28" w:type="dxa"/>
                    <w:right w:w="28" w:type="dxa"/>
                  </w:tcMar>
                  <w:vAlign w:val="center"/>
                </w:tcPr>
                <w:p w14:paraId="259113F4">
                  <w:pPr>
                    <w:pStyle w:val="40"/>
                  </w:pPr>
                  <w:r>
                    <w:rPr>
                      <w:rFonts w:hint="eastAsia"/>
                    </w:rPr>
                    <w:t>13</w:t>
                  </w:r>
                </w:p>
              </w:tc>
              <w:tc>
                <w:tcPr>
                  <w:tcW w:w="442" w:type="pct"/>
                  <w:noWrap/>
                  <w:tcMar>
                    <w:left w:w="28" w:type="dxa"/>
                    <w:right w:w="28" w:type="dxa"/>
                  </w:tcMar>
                  <w:vAlign w:val="center"/>
                </w:tcPr>
                <w:p w14:paraId="26A3178D">
                  <w:pPr>
                    <w:pStyle w:val="40"/>
                    <w:rPr>
                      <w:kern w:val="2"/>
                    </w:rPr>
                  </w:pPr>
                  <w:r>
                    <w:rPr>
                      <w:rFonts w:hint="eastAsia"/>
                      <w:kern w:val="2"/>
                    </w:rPr>
                    <w:t>0.0647</w:t>
                  </w:r>
                </w:p>
              </w:tc>
              <w:tc>
                <w:tcPr>
                  <w:tcW w:w="530" w:type="pct"/>
                  <w:noWrap/>
                  <w:tcMar>
                    <w:left w:w="28" w:type="dxa"/>
                    <w:right w:w="28" w:type="dxa"/>
                  </w:tcMar>
                  <w:vAlign w:val="center"/>
                </w:tcPr>
                <w:p w14:paraId="7C7D9DB5">
                  <w:pPr>
                    <w:pStyle w:val="40"/>
                    <w:rPr>
                      <w:kern w:val="2"/>
                    </w:rPr>
                  </w:pPr>
                  <w:r>
                    <w:rPr>
                      <w:rFonts w:hint="eastAsia"/>
                      <w:kern w:val="2"/>
                    </w:rPr>
                    <w:t>0.109</w:t>
                  </w:r>
                </w:p>
              </w:tc>
              <w:tc>
                <w:tcPr>
                  <w:tcW w:w="1225" w:type="pct"/>
                  <w:vMerge w:val="continue"/>
                  <w:noWrap/>
                  <w:tcMar>
                    <w:left w:w="28" w:type="dxa"/>
                    <w:right w:w="28" w:type="dxa"/>
                  </w:tcMar>
                  <w:vAlign w:val="center"/>
                </w:tcPr>
                <w:p w14:paraId="020BFB47">
                  <w:pPr>
                    <w:pStyle w:val="40"/>
                  </w:pPr>
                </w:p>
              </w:tc>
            </w:tr>
            <w:tr w14:paraId="762EF65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12" w:hRule="atLeast"/>
                <w:tblHeader/>
                <w:jc w:val="center"/>
              </w:trPr>
              <w:tc>
                <w:tcPr>
                  <w:tcW w:w="250" w:type="pct"/>
                  <w:vMerge w:val="continue"/>
                  <w:noWrap/>
                  <w:tcMar>
                    <w:left w:w="28" w:type="dxa"/>
                    <w:right w:w="28" w:type="dxa"/>
                  </w:tcMar>
                  <w:vAlign w:val="center"/>
                </w:tcPr>
                <w:p w14:paraId="3733870E">
                  <w:pPr>
                    <w:pStyle w:val="40"/>
                  </w:pPr>
                </w:p>
              </w:tc>
              <w:tc>
                <w:tcPr>
                  <w:tcW w:w="609" w:type="pct"/>
                  <w:vMerge w:val="continue"/>
                  <w:noWrap/>
                  <w:tcMar>
                    <w:left w:w="28" w:type="dxa"/>
                    <w:right w:w="28" w:type="dxa"/>
                  </w:tcMar>
                  <w:vAlign w:val="center"/>
                </w:tcPr>
                <w:p w14:paraId="25666C90">
                  <w:pPr>
                    <w:pStyle w:val="40"/>
                  </w:pPr>
                </w:p>
              </w:tc>
              <w:tc>
                <w:tcPr>
                  <w:tcW w:w="531" w:type="pct"/>
                  <w:vMerge w:val="continue"/>
                  <w:noWrap/>
                  <w:tcMar>
                    <w:left w:w="28" w:type="dxa"/>
                    <w:right w:w="28" w:type="dxa"/>
                  </w:tcMar>
                  <w:vAlign w:val="center"/>
                </w:tcPr>
                <w:p w14:paraId="2CF575C1">
                  <w:pPr>
                    <w:pStyle w:val="40"/>
                  </w:pPr>
                </w:p>
              </w:tc>
              <w:tc>
                <w:tcPr>
                  <w:tcW w:w="442" w:type="pct"/>
                  <w:vMerge w:val="continue"/>
                  <w:noWrap/>
                  <w:tcMar>
                    <w:left w:w="28" w:type="dxa"/>
                    <w:right w:w="28" w:type="dxa"/>
                  </w:tcMar>
                  <w:vAlign w:val="center"/>
                </w:tcPr>
                <w:p w14:paraId="7097B8D9">
                  <w:pPr>
                    <w:pStyle w:val="40"/>
                  </w:pPr>
                </w:p>
              </w:tc>
              <w:tc>
                <w:tcPr>
                  <w:tcW w:w="352" w:type="pct"/>
                  <w:noWrap/>
                  <w:tcMar>
                    <w:left w:w="28" w:type="dxa"/>
                    <w:right w:w="28" w:type="dxa"/>
                  </w:tcMar>
                </w:tcPr>
                <w:p w14:paraId="460D55DD">
                  <w:pPr>
                    <w:pStyle w:val="40"/>
                  </w:pPr>
                  <w:r>
                    <w:rPr>
                      <w:rFonts w:hint="eastAsia"/>
                    </w:rPr>
                    <w:t>氮氧化物</w:t>
                  </w:r>
                </w:p>
              </w:tc>
              <w:tc>
                <w:tcPr>
                  <w:tcW w:w="619" w:type="pct"/>
                  <w:noWrap/>
                  <w:tcMar>
                    <w:left w:w="28" w:type="dxa"/>
                    <w:right w:w="28" w:type="dxa"/>
                  </w:tcMar>
                  <w:vAlign w:val="center"/>
                </w:tcPr>
                <w:p w14:paraId="7C371B03">
                  <w:pPr>
                    <w:pStyle w:val="40"/>
                  </w:pPr>
                  <w:r>
                    <w:rPr>
                      <w:rFonts w:hint="eastAsia"/>
                    </w:rPr>
                    <w:t>31</w:t>
                  </w:r>
                </w:p>
              </w:tc>
              <w:tc>
                <w:tcPr>
                  <w:tcW w:w="442" w:type="pct"/>
                  <w:noWrap/>
                  <w:tcMar>
                    <w:left w:w="28" w:type="dxa"/>
                    <w:right w:w="28" w:type="dxa"/>
                  </w:tcMar>
                  <w:vAlign w:val="center"/>
                </w:tcPr>
                <w:p w14:paraId="74458B6A">
                  <w:pPr>
                    <w:pStyle w:val="40"/>
                    <w:rPr>
                      <w:kern w:val="2"/>
                    </w:rPr>
                  </w:pPr>
                  <w:r>
                    <w:rPr>
                      <w:rFonts w:hint="eastAsia"/>
                      <w:kern w:val="2"/>
                    </w:rPr>
                    <w:t>0.15</w:t>
                  </w:r>
                </w:p>
              </w:tc>
              <w:tc>
                <w:tcPr>
                  <w:tcW w:w="530" w:type="pct"/>
                  <w:noWrap/>
                  <w:tcMar>
                    <w:left w:w="28" w:type="dxa"/>
                    <w:right w:w="28" w:type="dxa"/>
                  </w:tcMar>
                  <w:vAlign w:val="center"/>
                </w:tcPr>
                <w:p w14:paraId="21E565EA">
                  <w:pPr>
                    <w:pStyle w:val="40"/>
                    <w:rPr>
                      <w:kern w:val="2"/>
                    </w:rPr>
                  </w:pPr>
                  <w:r>
                    <w:rPr>
                      <w:rFonts w:hint="eastAsia"/>
                      <w:kern w:val="2"/>
                    </w:rPr>
                    <w:t>0.252</w:t>
                  </w:r>
                </w:p>
              </w:tc>
              <w:tc>
                <w:tcPr>
                  <w:tcW w:w="1225" w:type="pct"/>
                  <w:vMerge w:val="continue"/>
                  <w:noWrap/>
                  <w:tcMar>
                    <w:left w:w="28" w:type="dxa"/>
                    <w:right w:w="28" w:type="dxa"/>
                  </w:tcMar>
                  <w:vAlign w:val="center"/>
                </w:tcPr>
                <w:p w14:paraId="6DEE3D03">
                  <w:pPr>
                    <w:pStyle w:val="40"/>
                  </w:pPr>
                </w:p>
              </w:tc>
            </w:tr>
            <w:tr w14:paraId="1F4599C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12" w:hRule="atLeast"/>
                <w:tblHeader/>
                <w:jc w:val="center"/>
              </w:trPr>
              <w:tc>
                <w:tcPr>
                  <w:tcW w:w="250" w:type="pct"/>
                  <w:vMerge w:val="continue"/>
                  <w:noWrap/>
                  <w:tcMar>
                    <w:left w:w="28" w:type="dxa"/>
                    <w:right w:w="28" w:type="dxa"/>
                  </w:tcMar>
                  <w:vAlign w:val="center"/>
                </w:tcPr>
                <w:p w14:paraId="0BB42F7B">
                  <w:pPr>
                    <w:pStyle w:val="40"/>
                  </w:pPr>
                </w:p>
              </w:tc>
              <w:tc>
                <w:tcPr>
                  <w:tcW w:w="609" w:type="pct"/>
                  <w:vMerge w:val="continue"/>
                  <w:noWrap/>
                  <w:tcMar>
                    <w:left w:w="28" w:type="dxa"/>
                    <w:right w:w="28" w:type="dxa"/>
                  </w:tcMar>
                  <w:vAlign w:val="center"/>
                </w:tcPr>
                <w:p w14:paraId="0E7BD030">
                  <w:pPr>
                    <w:pStyle w:val="40"/>
                  </w:pPr>
                </w:p>
              </w:tc>
              <w:tc>
                <w:tcPr>
                  <w:tcW w:w="531" w:type="pct"/>
                  <w:vMerge w:val="continue"/>
                  <w:noWrap/>
                  <w:tcMar>
                    <w:left w:w="28" w:type="dxa"/>
                    <w:right w:w="28" w:type="dxa"/>
                  </w:tcMar>
                  <w:vAlign w:val="center"/>
                </w:tcPr>
                <w:p w14:paraId="323DC507">
                  <w:pPr>
                    <w:pStyle w:val="40"/>
                  </w:pPr>
                </w:p>
              </w:tc>
              <w:tc>
                <w:tcPr>
                  <w:tcW w:w="442" w:type="pct"/>
                  <w:vMerge w:val="continue"/>
                  <w:noWrap/>
                  <w:tcMar>
                    <w:left w:w="28" w:type="dxa"/>
                    <w:right w:w="28" w:type="dxa"/>
                  </w:tcMar>
                  <w:vAlign w:val="center"/>
                </w:tcPr>
                <w:p w14:paraId="556EC91C">
                  <w:pPr>
                    <w:pStyle w:val="40"/>
                  </w:pPr>
                </w:p>
              </w:tc>
              <w:tc>
                <w:tcPr>
                  <w:tcW w:w="352" w:type="pct"/>
                  <w:noWrap/>
                  <w:tcMar>
                    <w:left w:w="28" w:type="dxa"/>
                    <w:right w:w="28" w:type="dxa"/>
                  </w:tcMar>
                </w:tcPr>
                <w:p w14:paraId="63F1F421">
                  <w:pPr>
                    <w:pStyle w:val="40"/>
                  </w:pPr>
                  <w:r>
                    <w:rPr>
                      <w:rFonts w:hint="eastAsia"/>
                    </w:rPr>
                    <w:t>烟气黑度</w:t>
                  </w:r>
                </w:p>
              </w:tc>
              <w:tc>
                <w:tcPr>
                  <w:tcW w:w="619" w:type="pct"/>
                  <w:noWrap/>
                  <w:tcMar>
                    <w:left w:w="28" w:type="dxa"/>
                    <w:right w:w="28" w:type="dxa"/>
                  </w:tcMar>
                  <w:vAlign w:val="center"/>
                </w:tcPr>
                <w:p w14:paraId="4ED20498">
                  <w:pPr>
                    <w:pStyle w:val="40"/>
                    <w:rPr>
                      <w:kern w:val="2"/>
                    </w:rPr>
                  </w:pPr>
                  <w:r>
                    <w:rPr>
                      <w:rFonts w:hint="eastAsia"/>
                      <w:kern w:val="2"/>
                    </w:rPr>
                    <w:t>＜1</w:t>
                  </w:r>
                </w:p>
              </w:tc>
              <w:tc>
                <w:tcPr>
                  <w:tcW w:w="442" w:type="pct"/>
                  <w:noWrap/>
                  <w:tcMar>
                    <w:left w:w="28" w:type="dxa"/>
                    <w:right w:w="28" w:type="dxa"/>
                  </w:tcMar>
                  <w:vAlign w:val="center"/>
                </w:tcPr>
                <w:p w14:paraId="5A7A0412">
                  <w:pPr>
                    <w:pStyle w:val="40"/>
                    <w:rPr>
                      <w:kern w:val="2"/>
                    </w:rPr>
                  </w:pPr>
                  <w:r>
                    <w:rPr>
                      <w:rFonts w:hint="eastAsia"/>
                      <w:kern w:val="2"/>
                    </w:rPr>
                    <w:t>＜1</w:t>
                  </w:r>
                </w:p>
              </w:tc>
              <w:tc>
                <w:tcPr>
                  <w:tcW w:w="530" w:type="pct"/>
                  <w:noWrap/>
                  <w:tcMar>
                    <w:left w:w="28" w:type="dxa"/>
                    <w:right w:w="28" w:type="dxa"/>
                  </w:tcMar>
                  <w:vAlign w:val="center"/>
                </w:tcPr>
                <w:p w14:paraId="48A41DB4">
                  <w:pPr>
                    <w:pStyle w:val="40"/>
                    <w:rPr>
                      <w:kern w:val="2"/>
                    </w:rPr>
                  </w:pPr>
                  <w:r>
                    <w:rPr>
                      <w:rFonts w:hint="eastAsia"/>
                      <w:kern w:val="2"/>
                    </w:rPr>
                    <w:t>＜1</w:t>
                  </w:r>
                </w:p>
              </w:tc>
              <w:tc>
                <w:tcPr>
                  <w:tcW w:w="1225" w:type="pct"/>
                  <w:vMerge w:val="continue"/>
                  <w:noWrap/>
                  <w:tcMar>
                    <w:left w:w="28" w:type="dxa"/>
                    <w:right w:w="28" w:type="dxa"/>
                  </w:tcMar>
                  <w:vAlign w:val="center"/>
                </w:tcPr>
                <w:p w14:paraId="5692A353">
                  <w:pPr>
                    <w:pStyle w:val="40"/>
                  </w:pPr>
                </w:p>
              </w:tc>
            </w:tr>
            <w:tr w14:paraId="13E65F6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12" w:hRule="atLeast"/>
                <w:tblHeader/>
                <w:jc w:val="center"/>
              </w:trPr>
              <w:tc>
                <w:tcPr>
                  <w:tcW w:w="250" w:type="pct"/>
                  <w:vMerge w:val="restart"/>
                  <w:noWrap/>
                  <w:tcMar>
                    <w:left w:w="28" w:type="dxa"/>
                    <w:right w:w="28" w:type="dxa"/>
                  </w:tcMar>
                  <w:vAlign w:val="center"/>
                </w:tcPr>
                <w:p w14:paraId="23AC9665">
                  <w:pPr>
                    <w:pStyle w:val="40"/>
                  </w:pPr>
                  <w:r>
                    <w:rPr>
                      <w:rFonts w:hint="eastAsia"/>
                    </w:rPr>
                    <w:t>2</w:t>
                  </w:r>
                </w:p>
              </w:tc>
              <w:tc>
                <w:tcPr>
                  <w:tcW w:w="609" w:type="pct"/>
                  <w:vMerge w:val="restart"/>
                  <w:noWrap/>
                  <w:tcMar>
                    <w:left w:w="28" w:type="dxa"/>
                    <w:right w:w="28" w:type="dxa"/>
                  </w:tcMar>
                  <w:vAlign w:val="center"/>
                </w:tcPr>
                <w:p w14:paraId="1146D1CC">
                  <w:pPr>
                    <w:pStyle w:val="40"/>
                  </w:pPr>
                  <w:r>
                    <w:rPr>
                      <w:rFonts w:hint="eastAsia"/>
                    </w:rPr>
                    <w:t>厌氧塔</w:t>
                  </w:r>
                </w:p>
              </w:tc>
              <w:tc>
                <w:tcPr>
                  <w:tcW w:w="531" w:type="pct"/>
                  <w:vMerge w:val="restart"/>
                  <w:noWrap/>
                  <w:tcMar>
                    <w:left w:w="28" w:type="dxa"/>
                    <w:right w:w="28" w:type="dxa"/>
                  </w:tcMar>
                  <w:vAlign w:val="center"/>
                </w:tcPr>
                <w:p w14:paraId="13B47195">
                  <w:pPr>
                    <w:pStyle w:val="40"/>
                  </w:pPr>
                  <w:r>
                    <w:rPr>
                      <w:rFonts w:hint="eastAsia"/>
                    </w:rPr>
                    <w:t>DA002约1064</w:t>
                  </w:r>
                </w:p>
                <w:p w14:paraId="5F14FC5A">
                  <w:pPr>
                    <w:pStyle w:val="40"/>
                  </w:pPr>
                  <w:r>
                    <w:rPr>
                      <w:rFonts w:hint="eastAsia"/>
                    </w:rPr>
                    <w:t>m</w:t>
                  </w:r>
                  <w:r>
                    <w:t>³</w:t>
                  </w:r>
                  <w:r>
                    <w:rPr>
                      <w:rFonts w:hint="eastAsia"/>
                    </w:rPr>
                    <w:t>/h</w:t>
                  </w:r>
                </w:p>
              </w:tc>
              <w:tc>
                <w:tcPr>
                  <w:tcW w:w="442" w:type="pct"/>
                  <w:vMerge w:val="restart"/>
                  <w:noWrap/>
                  <w:tcMar>
                    <w:left w:w="28" w:type="dxa"/>
                    <w:right w:w="28" w:type="dxa"/>
                  </w:tcMar>
                  <w:vAlign w:val="center"/>
                </w:tcPr>
                <w:p w14:paraId="2942E43B">
                  <w:pPr>
                    <w:pStyle w:val="40"/>
                  </w:pPr>
                  <w:r>
                    <w:rPr>
                      <w:rFonts w:hint="eastAsia"/>
                    </w:rPr>
                    <w:t>20</w:t>
                  </w:r>
                </w:p>
              </w:tc>
              <w:tc>
                <w:tcPr>
                  <w:tcW w:w="352" w:type="pct"/>
                  <w:noWrap/>
                  <w:tcMar>
                    <w:left w:w="28" w:type="dxa"/>
                    <w:right w:w="28" w:type="dxa"/>
                  </w:tcMar>
                  <w:vAlign w:val="center"/>
                </w:tcPr>
                <w:p w14:paraId="44464B77">
                  <w:pPr>
                    <w:spacing w:line="240" w:lineRule="auto"/>
                    <w:ind w:firstLine="0" w:firstLineChars="0"/>
                    <w:jc w:val="center"/>
                  </w:pPr>
                  <w:r>
                    <w:rPr>
                      <w:rFonts w:hint="eastAsia"/>
                    </w:rPr>
                    <w:t>氨</w:t>
                  </w:r>
                </w:p>
              </w:tc>
              <w:tc>
                <w:tcPr>
                  <w:tcW w:w="619" w:type="pct"/>
                  <w:noWrap/>
                  <w:tcMar>
                    <w:left w:w="28" w:type="dxa"/>
                    <w:right w:w="28" w:type="dxa"/>
                  </w:tcMar>
                  <w:vAlign w:val="center"/>
                </w:tcPr>
                <w:p w14:paraId="1B921D46">
                  <w:pPr>
                    <w:spacing w:line="240" w:lineRule="auto"/>
                    <w:ind w:firstLine="0" w:firstLineChars="0"/>
                    <w:jc w:val="center"/>
                  </w:pPr>
                  <w:r>
                    <w:t>0.</w:t>
                  </w:r>
                  <w:r>
                    <w:rPr>
                      <w:rFonts w:hint="eastAsia"/>
                    </w:rPr>
                    <w:t>85</w:t>
                  </w:r>
                </w:p>
              </w:tc>
              <w:tc>
                <w:tcPr>
                  <w:tcW w:w="442" w:type="pct"/>
                  <w:noWrap/>
                  <w:tcMar>
                    <w:left w:w="28" w:type="dxa"/>
                    <w:right w:w="28" w:type="dxa"/>
                  </w:tcMar>
                  <w:vAlign w:val="center"/>
                </w:tcPr>
                <w:p w14:paraId="1EF08956">
                  <w:pPr>
                    <w:spacing w:line="240" w:lineRule="auto"/>
                    <w:ind w:firstLine="0" w:firstLineChars="0"/>
                    <w:jc w:val="center"/>
                  </w:pPr>
                  <w:r>
                    <w:t>0.0009</w:t>
                  </w:r>
                </w:p>
              </w:tc>
              <w:tc>
                <w:tcPr>
                  <w:tcW w:w="530" w:type="pct"/>
                  <w:noWrap/>
                  <w:tcMar>
                    <w:left w:w="28" w:type="dxa"/>
                    <w:right w:w="28" w:type="dxa"/>
                  </w:tcMar>
                  <w:vAlign w:val="center"/>
                </w:tcPr>
                <w:p w14:paraId="71B4DF2D">
                  <w:pPr>
                    <w:spacing w:line="240" w:lineRule="auto"/>
                    <w:ind w:firstLine="0" w:firstLineChars="0"/>
                    <w:jc w:val="center"/>
                  </w:pPr>
                  <w:r>
                    <w:rPr>
                      <w:rFonts w:hint="eastAsia"/>
                    </w:rPr>
                    <w:t>0.0015</w:t>
                  </w:r>
                </w:p>
              </w:tc>
              <w:tc>
                <w:tcPr>
                  <w:tcW w:w="1225" w:type="pct"/>
                  <w:vMerge w:val="restart"/>
                  <w:noWrap/>
                  <w:tcMar>
                    <w:left w:w="28" w:type="dxa"/>
                    <w:right w:w="28" w:type="dxa"/>
                  </w:tcMar>
                  <w:vAlign w:val="center"/>
                </w:tcPr>
                <w:p w14:paraId="5BDFD99B">
                  <w:pPr>
                    <w:pStyle w:val="40"/>
                  </w:pPr>
                  <w:r>
                    <w:rPr>
                      <w:rFonts w:hint="eastAsia"/>
                    </w:rPr>
                    <w:t>通过1套活性炭除臭装置处理后经1根20m高排气筒排放</w:t>
                  </w:r>
                </w:p>
              </w:tc>
            </w:tr>
            <w:tr w14:paraId="7E4F70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12" w:hRule="atLeast"/>
                <w:tblHeader/>
                <w:jc w:val="center"/>
              </w:trPr>
              <w:tc>
                <w:tcPr>
                  <w:tcW w:w="250" w:type="pct"/>
                  <w:vMerge w:val="continue"/>
                  <w:noWrap/>
                  <w:tcMar>
                    <w:left w:w="28" w:type="dxa"/>
                    <w:right w:w="28" w:type="dxa"/>
                  </w:tcMar>
                  <w:vAlign w:val="center"/>
                </w:tcPr>
                <w:p w14:paraId="31B74A5B">
                  <w:pPr>
                    <w:pStyle w:val="40"/>
                  </w:pPr>
                </w:p>
              </w:tc>
              <w:tc>
                <w:tcPr>
                  <w:tcW w:w="609" w:type="pct"/>
                  <w:vMerge w:val="continue"/>
                  <w:noWrap/>
                  <w:tcMar>
                    <w:left w:w="28" w:type="dxa"/>
                    <w:right w:w="28" w:type="dxa"/>
                  </w:tcMar>
                  <w:vAlign w:val="center"/>
                </w:tcPr>
                <w:p w14:paraId="58A00E18">
                  <w:pPr>
                    <w:pStyle w:val="40"/>
                  </w:pPr>
                </w:p>
              </w:tc>
              <w:tc>
                <w:tcPr>
                  <w:tcW w:w="531" w:type="pct"/>
                  <w:vMerge w:val="continue"/>
                  <w:noWrap/>
                  <w:tcMar>
                    <w:left w:w="28" w:type="dxa"/>
                    <w:right w:w="28" w:type="dxa"/>
                  </w:tcMar>
                  <w:vAlign w:val="center"/>
                </w:tcPr>
                <w:p w14:paraId="69BF016B">
                  <w:pPr>
                    <w:pStyle w:val="40"/>
                  </w:pPr>
                </w:p>
              </w:tc>
              <w:tc>
                <w:tcPr>
                  <w:tcW w:w="442" w:type="pct"/>
                  <w:vMerge w:val="continue"/>
                  <w:noWrap/>
                  <w:tcMar>
                    <w:left w:w="28" w:type="dxa"/>
                    <w:right w:w="28" w:type="dxa"/>
                  </w:tcMar>
                  <w:vAlign w:val="center"/>
                </w:tcPr>
                <w:p w14:paraId="29C713D5">
                  <w:pPr>
                    <w:pStyle w:val="40"/>
                  </w:pPr>
                </w:p>
              </w:tc>
              <w:tc>
                <w:tcPr>
                  <w:tcW w:w="352" w:type="pct"/>
                  <w:noWrap/>
                  <w:tcMar>
                    <w:left w:w="28" w:type="dxa"/>
                    <w:right w:w="28" w:type="dxa"/>
                  </w:tcMar>
                  <w:vAlign w:val="center"/>
                </w:tcPr>
                <w:p w14:paraId="18B6F083">
                  <w:pPr>
                    <w:spacing w:line="240" w:lineRule="auto"/>
                    <w:ind w:firstLine="0" w:firstLineChars="0"/>
                    <w:jc w:val="center"/>
                  </w:pPr>
                  <w:r>
                    <w:rPr>
                      <w:rFonts w:hint="eastAsia"/>
                    </w:rPr>
                    <w:t>硫化氢</w:t>
                  </w:r>
                </w:p>
              </w:tc>
              <w:tc>
                <w:tcPr>
                  <w:tcW w:w="619" w:type="pct"/>
                  <w:noWrap/>
                  <w:tcMar>
                    <w:left w:w="28" w:type="dxa"/>
                    <w:right w:w="28" w:type="dxa"/>
                  </w:tcMar>
                  <w:vAlign w:val="center"/>
                </w:tcPr>
                <w:p w14:paraId="622EC5AD">
                  <w:pPr>
                    <w:spacing w:line="240" w:lineRule="auto"/>
                    <w:ind w:firstLine="0" w:firstLineChars="0"/>
                    <w:jc w:val="center"/>
                  </w:pPr>
                  <w:r>
                    <w:t>0.01</w:t>
                  </w:r>
                  <w:r>
                    <w:rPr>
                      <w:rFonts w:hint="eastAsia"/>
                    </w:rPr>
                    <w:t>5</w:t>
                  </w:r>
                </w:p>
              </w:tc>
              <w:tc>
                <w:tcPr>
                  <w:tcW w:w="442" w:type="pct"/>
                  <w:noWrap/>
                  <w:tcMar>
                    <w:left w:w="28" w:type="dxa"/>
                    <w:right w:w="28" w:type="dxa"/>
                  </w:tcMar>
                  <w:vAlign w:val="center"/>
                </w:tcPr>
                <w:p w14:paraId="2B0CCA9C">
                  <w:pPr>
                    <w:spacing w:line="240" w:lineRule="auto"/>
                    <w:ind w:firstLine="0" w:firstLineChars="0"/>
                    <w:jc w:val="center"/>
                  </w:pPr>
                  <w:r>
                    <w:t>0.00001</w:t>
                  </w:r>
                  <w:r>
                    <w:rPr>
                      <w:rFonts w:hint="eastAsia"/>
                    </w:rPr>
                    <w:t>6</w:t>
                  </w:r>
                </w:p>
              </w:tc>
              <w:tc>
                <w:tcPr>
                  <w:tcW w:w="530" w:type="pct"/>
                  <w:noWrap/>
                  <w:tcMar>
                    <w:left w:w="28" w:type="dxa"/>
                    <w:right w:w="28" w:type="dxa"/>
                  </w:tcMar>
                  <w:vAlign w:val="center"/>
                </w:tcPr>
                <w:p w14:paraId="2D573E6A">
                  <w:pPr>
                    <w:spacing w:line="240" w:lineRule="auto"/>
                    <w:ind w:firstLine="0" w:firstLineChars="0"/>
                    <w:jc w:val="center"/>
                  </w:pPr>
                  <w:r>
                    <w:t>0.</w:t>
                  </w:r>
                  <w:r>
                    <w:rPr>
                      <w:rFonts w:hint="eastAsia"/>
                    </w:rPr>
                    <w:t>0000</w:t>
                  </w:r>
                  <w:r>
                    <w:t>3</w:t>
                  </w:r>
                </w:p>
              </w:tc>
              <w:tc>
                <w:tcPr>
                  <w:tcW w:w="1225" w:type="pct"/>
                  <w:vMerge w:val="continue"/>
                  <w:noWrap/>
                  <w:tcMar>
                    <w:left w:w="28" w:type="dxa"/>
                    <w:right w:w="28" w:type="dxa"/>
                  </w:tcMar>
                  <w:vAlign w:val="center"/>
                </w:tcPr>
                <w:p w14:paraId="51A3FBF1">
                  <w:pPr>
                    <w:pStyle w:val="40"/>
                  </w:pPr>
                </w:p>
              </w:tc>
            </w:tr>
          </w:tbl>
          <w:p w14:paraId="1845E296">
            <w:pPr>
              <w:spacing w:line="240" w:lineRule="auto"/>
              <w:ind w:firstLine="420"/>
            </w:pPr>
            <w:r>
              <w:rPr>
                <w:rFonts w:hint="eastAsia"/>
              </w:rPr>
              <w:t>*注：采用检测报告中的检测数据（平均排放速率、平均排放浓度）按全年满负荷生产（生产210天，1班制，每班8小时）计算。</w:t>
            </w:r>
          </w:p>
          <w:p w14:paraId="29CF87E2">
            <w:pPr>
              <w:spacing w:line="400" w:lineRule="exact"/>
              <w:ind w:firstLine="420"/>
            </w:pPr>
            <w:r>
              <w:rPr>
                <w:rFonts w:hint="eastAsia"/>
              </w:rPr>
              <w:t>2、废水</w:t>
            </w:r>
          </w:p>
          <w:p w14:paraId="6F8041C4">
            <w:pPr>
              <w:spacing w:line="400" w:lineRule="exact"/>
              <w:ind w:firstLine="420"/>
              <w:rPr>
                <w:highlight w:val="yellow"/>
              </w:rPr>
            </w:pPr>
            <w:r>
              <w:rPr>
                <w:rFonts w:hint="eastAsia"/>
              </w:rPr>
              <w:t>现有工程生产废水</w:t>
            </w:r>
            <w:r>
              <w:rPr>
                <w:rFonts w:hint="eastAsia"/>
                <w:snapToGrid w:val="0"/>
              </w:rPr>
              <w:t>通过污水处理站处理达标后运至秦皇岛市抚宁区中冶水务有限公司。</w:t>
            </w:r>
          </w:p>
          <w:p w14:paraId="7E34ADCF">
            <w:pPr>
              <w:spacing w:beforeLines="50"/>
              <w:ind w:firstLine="420"/>
            </w:pPr>
            <w:r>
              <w:rPr>
                <w:rFonts w:hint="eastAsia"/>
              </w:rPr>
              <w:t>企业现有工程废水污染物排放达标情况见下表。</w:t>
            </w:r>
          </w:p>
          <w:p w14:paraId="0E22EAC4">
            <w:pPr>
              <w:pStyle w:val="73"/>
            </w:pPr>
            <w:r>
              <w:rPr>
                <w:rFonts w:hint="eastAsia"/>
                <w:bCs w:val="0"/>
              </w:rPr>
              <w:t xml:space="preserve">表2-19 </w:t>
            </w:r>
            <w:r>
              <w:rPr>
                <w:rFonts w:hint="eastAsia"/>
              </w:rPr>
              <w:t>企业现有工程生产废水污染物达标情况一览表</w:t>
            </w:r>
          </w:p>
          <w:tbl>
            <w:tblPr>
              <w:tblStyle w:val="25"/>
              <w:tblW w:w="74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2"/>
              <w:gridCol w:w="1758"/>
              <w:gridCol w:w="1134"/>
              <w:gridCol w:w="992"/>
              <w:gridCol w:w="1821"/>
              <w:gridCol w:w="1140"/>
            </w:tblGrid>
            <w:tr w14:paraId="671D0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jc w:val="center"/>
              </w:trPr>
              <w:tc>
                <w:tcPr>
                  <w:tcW w:w="652" w:type="dxa"/>
                  <w:vAlign w:val="center"/>
                </w:tcPr>
                <w:p w14:paraId="28869461">
                  <w:pPr>
                    <w:pStyle w:val="40"/>
                  </w:pPr>
                  <w:r>
                    <w:rPr>
                      <w:rFonts w:hint="eastAsia"/>
                    </w:rPr>
                    <w:t>序号</w:t>
                  </w:r>
                </w:p>
              </w:tc>
              <w:tc>
                <w:tcPr>
                  <w:tcW w:w="1758" w:type="dxa"/>
                  <w:noWrap/>
                  <w:vAlign w:val="center"/>
                </w:tcPr>
                <w:p w14:paraId="0CE82E5D">
                  <w:pPr>
                    <w:pStyle w:val="40"/>
                  </w:pPr>
                  <w:r>
                    <w:rPr>
                      <w:rFonts w:hint="eastAsia"/>
                    </w:rPr>
                    <w:t>检测项目</w:t>
                  </w:r>
                </w:p>
              </w:tc>
              <w:tc>
                <w:tcPr>
                  <w:tcW w:w="1134" w:type="dxa"/>
                  <w:vAlign w:val="center"/>
                </w:tcPr>
                <w:p w14:paraId="73CBA369">
                  <w:pPr>
                    <w:pStyle w:val="40"/>
                  </w:pPr>
                  <w:r>
                    <w:rPr>
                      <w:rFonts w:hint="eastAsia"/>
                    </w:rPr>
                    <w:t>测量值</w:t>
                  </w:r>
                </w:p>
              </w:tc>
              <w:tc>
                <w:tcPr>
                  <w:tcW w:w="992" w:type="dxa"/>
                  <w:noWrap/>
                  <w:vAlign w:val="center"/>
                </w:tcPr>
                <w:p w14:paraId="53D53FE1">
                  <w:pPr>
                    <w:pStyle w:val="40"/>
                  </w:pPr>
                  <w:r>
                    <w:rPr>
                      <w:rFonts w:hint="eastAsia"/>
                    </w:rPr>
                    <w:t>单位</w:t>
                  </w:r>
                </w:p>
              </w:tc>
              <w:tc>
                <w:tcPr>
                  <w:tcW w:w="1821" w:type="dxa"/>
                  <w:noWrap/>
                  <w:vAlign w:val="center"/>
                </w:tcPr>
                <w:p w14:paraId="7632B5D1">
                  <w:pPr>
                    <w:pStyle w:val="40"/>
                  </w:pPr>
                  <w:r>
                    <w:rPr>
                      <w:rFonts w:hint="eastAsia"/>
                    </w:rPr>
                    <w:t>执行标准及限值</w:t>
                  </w:r>
                </w:p>
              </w:tc>
              <w:tc>
                <w:tcPr>
                  <w:tcW w:w="1140" w:type="dxa"/>
                  <w:noWrap/>
                  <w:vAlign w:val="center"/>
                </w:tcPr>
                <w:p w14:paraId="0C9C6FAD">
                  <w:pPr>
                    <w:pStyle w:val="40"/>
                  </w:pPr>
                  <w:r>
                    <w:rPr>
                      <w:rFonts w:hint="eastAsia"/>
                    </w:rPr>
                    <w:t>是否达标</w:t>
                  </w:r>
                </w:p>
              </w:tc>
            </w:tr>
            <w:tr w14:paraId="6AD75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652" w:type="dxa"/>
                  <w:vAlign w:val="center"/>
                </w:tcPr>
                <w:p w14:paraId="68C09451">
                  <w:pPr>
                    <w:pStyle w:val="40"/>
                  </w:pPr>
                  <w:r>
                    <w:rPr>
                      <w:rFonts w:hint="eastAsia"/>
                    </w:rPr>
                    <w:t>1</w:t>
                  </w:r>
                </w:p>
              </w:tc>
              <w:tc>
                <w:tcPr>
                  <w:tcW w:w="1758" w:type="dxa"/>
                  <w:noWrap/>
                  <w:vAlign w:val="center"/>
                </w:tcPr>
                <w:p w14:paraId="6FFB65A0">
                  <w:pPr>
                    <w:pStyle w:val="40"/>
                  </w:pPr>
                  <w:r>
                    <w:t>化学需氧量</w:t>
                  </w:r>
                </w:p>
              </w:tc>
              <w:tc>
                <w:tcPr>
                  <w:tcW w:w="1134" w:type="dxa"/>
                  <w:noWrap/>
                  <w:vAlign w:val="center"/>
                </w:tcPr>
                <w:p w14:paraId="2F146E50">
                  <w:pPr>
                    <w:pStyle w:val="40"/>
                  </w:pPr>
                  <w:r>
                    <w:rPr>
                      <w:rFonts w:hint="eastAsia"/>
                    </w:rPr>
                    <w:t>22</w:t>
                  </w:r>
                </w:p>
              </w:tc>
              <w:tc>
                <w:tcPr>
                  <w:tcW w:w="992" w:type="dxa"/>
                  <w:noWrap/>
                  <w:vAlign w:val="center"/>
                </w:tcPr>
                <w:p w14:paraId="519251C7">
                  <w:pPr>
                    <w:pStyle w:val="40"/>
                  </w:pPr>
                  <w:r>
                    <w:t>mg/L</w:t>
                  </w:r>
                </w:p>
              </w:tc>
              <w:tc>
                <w:tcPr>
                  <w:tcW w:w="1821" w:type="dxa"/>
                  <w:noWrap/>
                  <w:vAlign w:val="center"/>
                </w:tcPr>
                <w:p w14:paraId="10C51BB1">
                  <w:pPr>
                    <w:pStyle w:val="40"/>
                  </w:pPr>
                  <w:r>
                    <w:rPr>
                      <w:rFonts w:hint="eastAsia"/>
                    </w:rPr>
                    <w:t>50</w:t>
                  </w:r>
                </w:p>
              </w:tc>
              <w:tc>
                <w:tcPr>
                  <w:tcW w:w="1140" w:type="dxa"/>
                  <w:noWrap/>
                  <w:vAlign w:val="center"/>
                </w:tcPr>
                <w:p w14:paraId="6E189607">
                  <w:pPr>
                    <w:pStyle w:val="40"/>
                  </w:pPr>
                  <w:r>
                    <w:rPr>
                      <w:rFonts w:hint="eastAsia"/>
                    </w:rPr>
                    <w:t>达标</w:t>
                  </w:r>
                </w:p>
              </w:tc>
            </w:tr>
            <w:tr w14:paraId="62E98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652" w:type="dxa"/>
                  <w:vAlign w:val="center"/>
                </w:tcPr>
                <w:p w14:paraId="59B8640F">
                  <w:pPr>
                    <w:pStyle w:val="40"/>
                  </w:pPr>
                  <w:r>
                    <w:rPr>
                      <w:rFonts w:hint="eastAsia"/>
                    </w:rPr>
                    <w:t>2</w:t>
                  </w:r>
                </w:p>
              </w:tc>
              <w:tc>
                <w:tcPr>
                  <w:tcW w:w="1758" w:type="dxa"/>
                  <w:noWrap/>
                  <w:vAlign w:val="center"/>
                </w:tcPr>
                <w:p w14:paraId="74AEFAE6">
                  <w:pPr>
                    <w:pStyle w:val="40"/>
                  </w:pPr>
                  <w:r>
                    <w:rPr>
                      <w:rFonts w:hint="eastAsia"/>
                    </w:rPr>
                    <w:t>氨氮</w:t>
                  </w:r>
                </w:p>
              </w:tc>
              <w:tc>
                <w:tcPr>
                  <w:tcW w:w="1134" w:type="dxa"/>
                  <w:noWrap/>
                  <w:vAlign w:val="center"/>
                </w:tcPr>
                <w:p w14:paraId="0F8AC859">
                  <w:pPr>
                    <w:pStyle w:val="40"/>
                  </w:pPr>
                  <w:r>
                    <w:rPr>
                      <w:rFonts w:hint="eastAsia"/>
                    </w:rPr>
                    <w:t>0.163</w:t>
                  </w:r>
                </w:p>
              </w:tc>
              <w:tc>
                <w:tcPr>
                  <w:tcW w:w="992" w:type="dxa"/>
                  <w:noWrap/>
                  <w:vAlign w:val="center"/>
                </w:tcPr>
                <w:p w14:paraId="1D651CD4">
                  <w:pPr>
                    <w:pStyle w:val="40"/>
                  </w:pPr>
                  <w:r>
                    <w:t>mg/L</w:t>
                  </w:r>
                </w:p>
              </w:tc>
              <w:tc>
                <w:tcPr>
                  <w:tcW w:w="1821" w:type="dxa"/>
                  <w:noWrap/>
                  <w:vAlign w:val="center"/>
                </w:tcPr>
                <w:p w14:paraId="43134FB2">
                  <w:pPr>
                    <w:pStyle w:val="40"/>
                  </w:pPr>
                  <w:r>
                    <w:rPr>
                      <w:rFonts w:hint="eastAsia"/>
                    </w:rPr>
                    <w:t>5</w:t>
                  </w:r>
                </w:p>
              </w:tc>
              <w:tc>
                <w:tcPr>
                  <w:tcW w:w="1140" w:type="dxa"/>
                  <w:noWrap/>
                  <w:vAlign w:val="center"/>
                </w:tcPr>
                <w:p w14:paraId="59983300">
                  <w:pPr>
                    <w:pStyle w:val="40"/>
                  </w:pPr>
                  <w:r>
                    <w:rPr>
                      <w:rFonts w:hint="eastAsia"/>
                    </w:rPr>
                    <w:t>达标</w:t>
                  </w:r>
                </w:p>
              </w:tc>
            </w:tr>
            <w:tr w14:paraId="6196A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652" w:type="dxa"/>
                  <w:vAlign w:val="center"/>
                </w:tcPr>
                <w:p w14:paraId="19F1E8E7">
                  <w:pPr>
                    <w:pStyle w:val="40"/>
                  </w:pPr>
                  <w:r>
                    <w:rPr>
                      <w:rFonts w:hint="eastAsia"/>
                    </w:rPr>
                    <w:t>3</w:t>
                  </w:r>
                </w:p>
              </w:tc>
              <w:tc>
                <w:tcPr>
                  <w:tcW w:w="1758" w:type="dxa"/>
                  <w:noWrap/>
                  <w:vAlign w:val="center"/>
                </w:tcPr>
                <w:p w14:paraId="31A5E595">
                  <w:pPr>
                    <w:pStyle w:val="40"/>
                  </w:pPr>
                  <w:r>
                    <w:rPr>
                      <w:rFonts w:hint="eastAsia"/>
                    </w:rPr>
                    <w:t>总氮</w:t>
                  </w:r>
                </w:p>
              </w:tc>
              <w:tc>
                <w:tcPr>
                  <w:tcW w:w="1134" w:type="dxa"/>
                  <w:noWrap/>
                  <w:vAlign w:val="center"/>
                </w:tcPr>
                <w:p w14:paraId="4981A85A">
                  <w:pPr>
                    <w:pStyle w:val="40"/>
                  </w:pPr>
                  <w:r>
                    <w:rPr>
                      <w:rFonts w:hint="eastAsia"/>
                    </w:rPr>
                    <w:t>6.88</w:t>
                  </w:r>
                </w:p>
              </w:tc>
              <w:tc>
                <w:tcPr>
                  <w:tcW w:w="992" w:type="dxa"/>
                  <w:noWrap/>
                  <w:vAlign w:val="center"/>
                </w:tcPr>
                <w:p w14:paraId="45309F65">
                  <w:pPr>
                    <w:pStyle w:val="40"/>
                  </w:pPr>
                  <w:r>
                    <w:t>mg/L</w:t>
                  </w:r>
                </w:p>
              </w:tc>
              <w:tc>
                <w:tcPr>
                  <w:tcW w:w="1821" w:type="dxa"/>
                  <w:noWrap/>
                  <w:vAlign w:val="center"/>
                </w:tcPr>
                <w:p w14:paraId="2D7BE7AC">
                  <w:pPr>
                    <w:pStyle w:val="40"/>
                  </w:pPr>
                  <w:r>
                    <w:rPr>
                      <w:rFonts w:hint="eastAsia"/>
                    </w:rPr>
                    <w:t>15</w:t>
                  </w:r>
                </w:p>
              </w:tc>
              <w:tc>
                <w:tcPr>
                  <w:tcW w:w="1140" w:type="dxa"/>
                  <w:noWrap/>
                  <w:vAlign w:val="center"/>
                </w:tcPr>
                <w:p w14:paraId="495939A5">
                  <w:pPr>
                    <w:pStyle w:val="40"/>
                  </w:pPr>
                  <w:r>
                    <w:rPr>
                      <w:rFonts w:hint="eastAsia"/>
                    </w:rPr>
                    <w:t>达标</w:t>
                  </w:r>
                </w:p>
              </w:tc>
            </w:tr>
            <w:tr w14:paraId="7696F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652" w:type="dxa"/>
                  <w:vAlign w:val="center"/>
                </w:tcPr>
                <w:p w14:paraId="26A0E4E5">
                  <w:pPr>
                    <w:pStyle w:val="40"/>
                  </w:pPr>
                  <w:r>
                    <w:rPr>
                      <w:rFonts w:hint="eastAsia"/>
                    </w:rPr>
                    <w:t>4</w:t>
                  </w:r>
                </w:p>
              </w:tc>
              <w:tc>
                <w:tcPr>
                  <w:tcW w:w="1758" w:type="dxa"/>
                  <w:noWrap/>
                  <w:vAlign w:val="center"/>
                </w:tcPr>
                <w:p w14:paraId="15FCD396">
                  <w:pPr>
                    <w:pStyle w:val="40"/>
                  </w:pPr>
                  <w:r>
                    <w:rPr>
                      <w:rFonts w:hint="eastAsia"/>
                    </w:rPr>
                    <w:t>总磷</w:t>
                  </w:r>
                </w:p>
              </w:tc>
              <w:tc>
                <w:tcPr>
                  <w:tcW w:w="1134" w:type="dxa"/>
                  <w:noWrap/>
                  <w:vAlign w:val="center"/>
                </w:tcPr>
                <w:p w14:paraId="6F28A41C">
                  <w:pPr>
                    <w:pStyle w:val="40"/>
                  </w:pPr>
                  <w:r>
                    <w:rPr>
                      <w:rFonts w:hint="eastAsia"/>
                    </w:rPr>
                    <w:t>0.26</w:t>
                  </w:r>
                </w:p>
              </w:tc>
              <w:tc>
                <w:tcPr>
                  <w:tcW w:w="992" w:type="dxa"/>
                  <w:noWrap/>
                  <w:vAlign w:val="center"/>
                </w:tcPr>
                <w:p w14:paraId="68F96324">
                  <w:pPr>
                    <w:pStyle w:val="40"/>
                  </w:pPr>
                  <w:r>
                    <w:t>mg/L</w:t>
                  </w:r>
                </w:p>
              </w:tc>
              <w:tc>
                <w:tcPr>
                  <w:tcW w:w="1821" w:type="dxa"/>
                  <w:noWrap/>
                  <w:vAlign w:val="center"/>
                </w:tcPr>
                <w:p w14:paraId="4E45F528">
                  <w:pPr>
                    <w:pStyle w:val="40"/>
                  </w:pPr>
                  <w:r>
                    <w:rPr>
                      <w:rFonts w:hint="eastAsia"/>
                    </w:rPr>
                    <w:t>0.5</w:t>
                  </w:r>
                </w:p>
              </w:tc>
              <w:tc>
                <w:tcPr>
                  <w:tcW w:w="1140" w:type="dxa"/>
                  <w:noWrap/>
                  <w:vAlign w:val="center"/>
                </w:tcPr>
                <w:p w14:paraId="40634D05">
                  <w:pPr>
                    <w:pStyle w:val="40"/>
                  </w:pPr>
                  <w:r>
                    <w:rPr>
                      <w:rFonts w:hint="eastAsia"/>
                    </w:rPr>
                    <w:t>达标</w:t>
                  </w:r>
                </w:p>
              </w:tc>
            </w:tr>
            <w:tr w14:paraId="50DE7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652" w:type="dxa"/>
                  <w:vAlign w:val="center"/>
                </w:tcPr>
                <w:p w14:paraId="7DFAF383">
                  <w:pPr>
                    <w:pStyle w:val="40"/>
                  </w:pPr>
                  <w:r>
                    <w:rPr>
                      <w:rFonts w:hint="eastAsia"/>
                    </w:rPr>
                    <w:t>5</w:t>
                  </w:r>
                </w:p>
              </w:tc>
              <w:tc>
                <w:tcPr>
                  <w:tcW w:w="1758" w:type="dxa"/>
                  <w:noWrap/>
                  <w:vAlign w:val="center"/>
                </w:tcPr>
                <w:p w14:paraId="47FBDA4A">
                  <w:pPr>
                    <w:pStyle w:val="40"/>
                  </w:pPr>
                  <w:r>
                    <w:rPr>
                      <w:rFonts w:hint="eastAsia"/>
                    </w:rPr>
                    <w:t>五日生化需氧量</w:t>
                  </w:r>
                </w:p>
              </w:tc>
              <w:tc>
                <w:tcPr>
                  <w:tcW w:w="1134" w:type="dxa"/>
                  <w:noWrap/>
                  <w:vAlign w:val="center"/>
                </w:tcPr>
                <w:p w14:paraId="620854D1">
                  <w:pPr>
                    <w:pStyle w:val="40"/>
                  </w:pPr>
                  <w:r>
                    <w:rPr>
                      <w:rFonts w:hint="eastAsia"/>
                    </w:rPr>
                    <w:t>7.9</w:t>
                  </w:r>
                </w:p>
              </w:tc>
              <w:tc>
                <w:tcPr>
                  <w:tcW w:w="992" w:type="dxa"/>
                  <w:noWrap/>
                  <w:vAlign w:val="center"/>
                </w:tcPr>
                <w:p w14:paraId="0B027E68">
                  <w:pPr>
                    <w:pStyle w:val="40"/>
                  </w:pPr>
                  <w:r>
                    <w:t>mg/L</w:t>
                  </w:r>
                </w:p>
              </w:tc>
              <w:tc>
                <w:tcPr>
                  <w:tcW w:w="1821" w:type="dxa"/>
                  <w:noWrap/>
                  <w:vAlign w:val="center"/>
                </w:tcPr>
                <w:p w14:paraId="47C98910">
                  <w:pPr>
                    <w:pStyle w:val="40"/>
                  </w:pPr>
                  <w:r>
                    <w:rPr>
                      <w:rFonts w:hint="eastAsia"/>
                    </w:rPr>
                    <w:t>10</w:t>
                  </w:r>
                </w:p>
              </w:tc>
              <w:tc>
                <w:tcPr>
                  <w:tcW w:w="1140" w:type="dxa"/>
                  <w:noWrap/>
                  <w:vAlign w:val="center"/>
                </w:tcPr>
                <w:p w14:paraId="0CDA1173">
                  <w:pPr>
                    <w:pStyle w:val="40"/>
                  </w:pPr>
                  <w:r>
                    <w:rPr>
                      <w:rFonts w:hint="eastAsia"/>
                    </w:rPr>
                    <w:t>达标</w:t>
                  </w:r>
                </w:p>
              </w:tc>
            </w:tr>
            <w:tr w14:paraId="29B7F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652" w:type="dxa"/>
                  <w:vAlign w:val="center"/>
                </w:tcPr>
                <w:p w14:paraId="5467F8DA">
                  <w:pPr>
                    <w:pStyle w:val="40"/>
                  </w:pPr>
                  <w:r>
                    <w:rPr>
                      <w:rFonts w:hint="eastAsia"/>
                    </w:rPr>
                    <w:t>6</w:t>
                  </w:r>
                </w:p>
              </w:tc>
              <w:tc>
                <w:tcPr>
                  <w:tcW w:w="1758" w:type="dxa"/>
                  <w:noWrap/>
                  <w:vAlign w:val="center"/>
                </w:tcPr>
                <w:p w14:paraId="24606356">
                  <w:pPr>
                    <w:pStyle w:val="40"/>
                  </w:pPr>
                  <w:r>
                    <w:rPr>
                      <w:rFonts w:hint="eastAsia"/>
                    </w:rPr>
                    <w:t>悬浮物</w:t>
                  </w:r>
                </w:p>
              </w:tc>
              <w:tc>
                <w:tcPr>
                  <w:tcW w:w="1134" w:type="dxa"/>
                  <w:noWrap/>
                  <w:vAlign w:val="center"/>
                </w:tcPr>
                <w:p w14:paraId="2970C409">
                  <w:pPr>
                    <w:pStyle w:val="40"/>
                  </w:pPr>
                  <w:r>
                    <w:rPr>
                      <w:rFonts w:hint="eastAsia"/>
                    </w:rPr>
                    <w:t>8</w:t>
                  </w:r>
                </w:p>
              </w:tc>
              <w:tc>
                <w:tcPr>
                  <w:tcW w:w="992" w:type="dxa"/>
                  <w:noWrap/>
                  <w:vAlign w:val="center"/>
                </w:tcPr>
                <w:p w14:paraId="544896FF">
                  <w:pPr>
                    <w:pStyle w:val="40"/>
                  </w:pPr>
                  <w:r>
                    <w:t>mg/L</w:t>
                  </w:r>
                </w:p>
              </w:tc>
              <w:tc>
                <w:tcPr>
                  <w:tcW w:w="1821" w:type="dxa"/>
                  <w:noWrap/>
                  <w:vAlign w:val="center"/>
                </w:tcPr>
                <w:p w14:paraId="09D14631">
                  <w:pPr>
                    <w:pStyle w:val="40"/>
                  </w:pPr>
                  <w:r>
                    <w:rPr>
                      <w:rFonts w:hint="eastAsia"/>
                    </w:rPr>
                    <w:t>10</w:t>
                  </w:r>
                </w:p>
              </w:tc>
              <w:tc>
                <w:tcPr>
                  <w:tcW w:w="1140" w:type="dxa"/>
                  <w:noWrap/>
                  <w:vAlign w:val="center"/>
                </w:tcPr>
                <w:p w14:paraId="6EFB47C1">
                  <w:pPr>
                    <w:pStyle w:val="40"/>
                  </w:pPr>
                  <w:r>
                    <w:rPr>
                      <w:rFonts w:hint="eastAsia"/>
                    </w:rPr>
                    <w:t>达标</w:t>
                  </w:r>
                </w:p>
              </w:tc>
            </w:tr>
            <w:tr w14:paraId="6DDFB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652" w:type="dxa"/>
                  <w:vAlign w:val="center"/>
                </w:tcPr>
                <w:p w14:paraId="7F97AFF0">
                  <w:pPr>
                    <w:pStyle w:val="40"/>
                  </w:pPr>
                  <w:r>
                    <w:rPr>
                      <w:rFonts w:hint="eastAsia"/>
                    </w:rPr>
                    <w:t>7</w:t>
                  </w:r>
                </w:p>
              </w:tc>
              <w:tc>
                <w:tcPr>
                  <w:tcW w:w="1758" w:type="dxa"/>
                  <w:noWrap/>
                  <w:vAlign w:val="center"/>
                </w:tcPr>
                <w:p w14:paraId="67B1CE82">
                  <w:pPr>
                    <w:pStyle w:val="40"/>
                  </w:pPr>
                  <w:r>
                    <w:t>pH</w:t>
                  </w:r>
                </w:p>
              </w:tc>
              <w:tc>
                <w:tcPr>
                  <w:tcW w:w="1134" w:type="dxa"/>
                  <w:noWrap/>
                  <w:vAlign w:val="center"/>
                </w:tcPr>
                <w:p w14:paraId="71E64D5B">
                  <w:pPr>
                    <w:pStyle w:val="40"/>
                  </w:pPr>
                  <w:r>
                    <w:rPr>
                      <w:rFonts w:hint="eastAsia"/>
                    </w:rPr>
                    <w:t>8.1</w:t>
                  </w:r>
                </w:p>
              </w:tc>
              <w:tc>
                <w:tcPr>
                  <w:tcW w:w="992" w:type="dxa"/>
                  <w:noWrap/>
                  <w:vAlign w:val="center"/>
                </w:tcPr>
                <w:p w14:paraId="7072F014">
                  <w:pPr>
                    <w:pStyle w:val="40"/>
                  </w:pPr>
                  <w:r>
                    <w:rPr>
                      <w:rFonts w:hint="eastAsia"/>
                    </w:rPr>
                    <w:t>无量纲</w:t>
                  </w:r>
                </w:p>
              </w:tc>
              <w:tc>
                <w:tcPr>
                  <w:tcW w:w="1821" w:type="dxa"/>
                  <w:noWrap/>
                  <w:vAlign w:val="center"/>
                </w:tcPr>
                <w:p w14:paraId="2D2ADB78">
                  <w:pPr>
                    <w:pStyle w:val="40"/>
                  </w:pPr>
                  <w:r>
                    <w:rPr>
                      <w:rFonts w:hint="eastAsia"/>
                    </w:rPr>
                    <w:t>6~9</w:t>
                  </w:r>
                </w:p>
              </w:tc>
              <w:tc>
                <w:tcPr>
                  <w:tcW w:w="1140" w:type="dxa"/>
                  <w:noWrap/>
                  <w:vAlign w:val="center"/>
                </w:tcPr>
                <w:p w14:paraId="30053163">
                  <w:pPr>
                    <w:pStyle w:val="40"/>
                  </w:pPr>
                  <w:r>
                    <w:rPr>
                      <w:rFonts w:hint="eastAsia"/>
                    </w:rPr>
                    <w:t>达标</w:t>
                  </w:r>
                </w:p>
              </w:tc>
            </w:tr>
            <w:tr w14:paraId="528EB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652" w:type="dxa"/>
                  <w:vAlign w:val="center"/>
                </w:tcPr>
                <w:p w14:paraId="64B18550">
                  <w:pPr>
                    <w:pStyle w:val="40"/>
                  </w:pPr>
                  <w:r>
                    <w:rPr>
                      <w:rFonts w:hint="eastAsia"/>
                    </w:rPr>
                    <w:t>8</w:t>
                  </w:r>
                </w:p>
              </w:tc>
              <w:tc>
                <w:tcPr>
                  <w:tcW w:w="1758" w:type="dxa"/>
                  <w:noWrap/>
                  <w:vAlign w:val="center"/>
                </w:tcPr>
                <w:p w14:paraId="1F8EA941">
                  <w:pPr>
                    <w:pStyle w:val="40"/>
                  </w:pPr>
                  <w:r>
                    <w:rPr>
                      <w:rFonts w:hint="eastAsia"/>
                    </w:rPr>
                    <w:t>色度</w:t>
                  </w:r>
                </w:p>
              </w:tc>
              <w:tc>
                <w:tcPr>
                  <w:tcW w:w="1134" w:type="dxa"/>
                  <w:noWrap/>
                  <w:vAlign w:val="center"/>
                </w:tcPr>
                <w:p w14:paraId="4B352CA4">
                  <w:pPr>
                    <w:pStyle w:val="40"/>
                  </w:pPr>
                  <w:r>
                    <w:rPr>
                      <w:rFonts w:hint="eastAsia"/>
                    </w:rPr>
                    <w:t>20</w:t>
                  </w:r>
                </w:p>
              </w:tc>
              <w:tc>
                <w:tcPr>
                  <w:tcW w:w="992" w:type="dxa"/>
                  <w:noWrap/>
                  <w:vAlign w:val="center"/>
                </w:tcPr>
                <w:p w14:paraId="7BF381BB">
                  <w:pPr>
                    <w:pStyle w:val="40"/>
                  </w:pPr>
                  <w:r>
                    <w:rPr>
                      <w:rFonts w:hint="eastAsia"/>
                    </w:rPr>
                    <w:t>倍</w:t>
                  </w:r>
                </w:p>
              </w:tc>
              <w:tc>
                <w:tcPr>
                  <w:tcW w:w="1821" w:type="dxa"/>
                  <w:noWrap/>
                  <w:vAlign w:val="center"/>
                </w:tcPr>
                <w:p w14:paraId="006B54F2">
                  <w:pPr>
                    <w:pStyle w:val="40"/>
                  </w:pPr>
                  <w:r>
                    <w:rPr>
                      <w:rFonts w:hint="eastAsia"/>
                    </w:rPr>
                    <w:t>30</w:t>
                  </w:r>
                </w:p>
              </w:tc>
              <w:tc>
                <w:tcPr>
                  <w:tcW w:w="1140" w:type="dxa"/>
                  <w:noWrap/>
                  <w:vAlign w:val="center"/>
                </w:tcPr>
                <w:p w14:paraId="26515357">
                  <w:pPr>
                    <w:pStyle w:val="40"/>
                  </w:pPr>
                  <w:r>
                    <w:rPr>
                      <w:rFonts w:hint="eastAsia"/>
                    </w:rPr>
                    <w:t>达标</w:t>
                  </w:r>
                </w:p>
              </w:tc>
            </w:tr>
          </w:tbl>
          <w:p w14:paraId="0B53A966">
            <w:pPr>
              <w:spacing w:beforeLines="50"/>
              <w:ind w:firstLine="420"/>
            </w:pPr>
            <w:r>
              <w:rPr>
                <w:rFonts w:hint="eastAsia"/>
              </w:rPr>
              <w:t>根据上表可知，企业现有工程废水排放达标。</w:t>
            </w:r>
          </w:p>
          <w:p w14:paraId="157BAB12">
            <w:pPr>
              <w:ind w:firstLine="420"/>
            </w:pPr>
            <w:r>
              <w:rPr>
                <w:rFonts w:hint="eastAsia"/>
              </w:rPr>
              <w:t>3、噪声</w:t>
            </w:r>
          </w:p>
          <w:p w14:paraId="61F066EB">
            <w:pPr>
              <w:ind w:firstLine="420"/>
            </w:pPr>
            <w:r>
              <w:rPr>
                <w:rFonts w:hint="eastAsia"/>
              </w:rPr>
              <w:t>根</w:t>
            </w:r>
            <w:r>
              <w:t>据</w:t>
            </w:r>
            <w:r>
              <w:rPr>
                <w:rFonts w:hint="eastAsia"/>
              </w:rPr>
              <w:t>现有工程验收检测报告</w:t>
            </w:r>
            <w:r>
              <w:t>可知，企业厂界昼间</w:t>
            </w:r>
            <w:r>
              <w:rPr>
                <w:rFonts w:hint="eastAsia"/>
              </w:rPr>
              <w:t>噪声均满足</w:t>
            </w:r>
            <w:r>
              <w:t>《工业企业厂界环境噪声排放标准》(GB12348-2008)</w:t>
            </w:r>
            <w:r>
              <w:rPr>
                <w:rFonts w:hint="eastAsia"/>
              </w:rPr>
              <w:t>2</w:t>
            </w:r>
            <w:r>
              <w:t>类标准要求。</w:t>
            </w:r>
          </w:p>
          <w:p w14:paraId="03CD2643">
            <w:pPr>
              <w:ind w:firstLine="420"/>
            </w:pPr>
            <w:r>
              <w:rPr>
                <w:rFonts w:hint="eastAsia"/>
              </w:rPr>
              <w:t>4、固体废物</w:t>
            </w:r>
          </w:p>
          <w:p w14:paraId="21B245B8">
            <w:pPr>
              <w:ind w:firstLine="420"/>
            </w:pPr>
            <w:r>
              <w:rPr>
                <w:rFonts w:hint="eastAsia"/>
              </w:rPr>
              <w:t>现有工程</w:t>
            </w:r>
            <w:r>
              <w:rPr>
                <w:rFonts w:hint="eastAsia" w:ascii="宋体" w:hAnsi="宋体" w:cs="宋体"/>
                <w:szCs w:val="21"/>
              </w:rPr>
              <w:t>员工生活垃圾收集由环卫部门统一清运；</w:t>
            </w:r>
            <w:r>
              <w:rPr>
                <w:rFonts w:hint="eastAsia"/>
              </w:rPr>
              <w:t>不合格水果、果皮、果核、软烂果块、不合格品外售农民综合利用；</w:t>
            </w:r>
            <w:r>
              <w:t>布袋收尘灰、锅炉灰渣统一收集外售</w:t>
            </w:r>
            <w:r>
              <w:rPr>
                <w:rFonts w:hint="eastAsia"/>
              </w:rPr>
              <w:t>做建材；废活性炭、废离子树脂由厂家回收；污水处理站污泥委托环保手续齐全，具备污泥处理主体资格和技术能力的单位进行处置。</w:t>
            </w:r>
          </w:p>
          <w:p w14:paraId="6F063977">
            <w:pPr>
              <w:adjustRightInd w:val="0"/>
              <w:snapToGrid w:val="0"/>
              <w:ind w:firstLine="420"/>
            </w:pPr>
            <w:r>
              <w:t>5</w:t>
            </w:r>
            <w:r>
              <w:rPr>
                <w:rFonts w:hint="eastAsia"/>
              </w:rPr>
              <w:t>、现有工程污染物总量控制指标</w:t>
            </w:r>
          </w:p>
          <w:p w14:paraId="18C7DAD6">
            <w:pPr>
              <w:ind w:firstLine="420"/>
            </w:pPr>
            <w:r>
              <w:rPr>
                <w:rFonts w:hint="eastAsia"/>
              </w:rPr>
              <w:t>根据</w:t>
            </w:r>
            <w:r>
              <w:t>20</w:t>
            </w:r>
            <w:r>
              <w:rPr>
                <w:rFonts w:hint="eastAsia"/>
              </w:rPr>
              <w:t>18年7月批复的《秦皇岛市天马食品厂新上1台2t/h生物质锅炉项目环境影响报告表》可知，现有工程氮氧化物排放总量为</w:t>
            </w:r>
            <w:r>
              <w:t>0.</w:t>
            </w:r>
            <w:r>
              <w:rPr>
                <w:rFonts w:hint="eastAsia"/>
              </w:rPr>
              <w:t>279</w:t>
            </w:r>
            <w:r>
              <w:t>t/a</w:t>
            </w:r>
            <w:r>
              <w:rPr>
                <w:rFonts w:hint="eastAsia"/>
              </w:rPr>
              <w:t>。</w:t>
            </w:r>
          </w:p>
          <w:p w14:paraId="01D577AE">
            <w:pPr>
              <w:ind w:firstLine="420"/>
            </w:pPr>
            <w:r>
              <w:rPr>
                <w:rFonts w:hint="eastAsia"/>
              </w:rPr>
              <w:t>二、现状存在的问题及整改措施</w:t>
            </w:r>
          </w:p>
          <w:p w14:paraId="58BCD744">
            <w:pPr>
              <w:ind w:firstLine="420"/>
            </w:pPr>
            <w:r>
              <w:rPr>
                <w:rFonts w:hint="eastAsia"/>
              </w:rPr>
              <w:t>问题：调节池、一体化污水处理装置、污泥池、设备间产生的恶臭未采取治理措施。</w:t>
            </w:r>
          </w:p>
          <w:p w14:paraId="1D0CC710">
            <w:pPr>
              <w:ind w:firstLine="420"/>
            </w:pPr>
            <w:r>
              <w:rPr>
                <w:rFonts w:hint="eastAsia"/>
              </w:rPr>
              <w:t>整改措施：调节池、污泥池加盖密闭，一体化污水处理装置位于地下，气浮机、压滤机位于设备间内，调节池、污泥池、一体化污水处理装置、设备间产生的臭气经管道收集后通过1套活性炭除臭装置处理后经1根15m高排气筒排放。</w:t>
            </w:r>
          </w:p>
          <w:p w14:paraId="25B01AEE">
            <w:pPr>
              <w:ind w:firstLine="420"/>
            </w:pPr>
          </w:p>
          <w:p w14:paraId="22418100">
            <w:pPr>
              <w:pStyle w:val="2"/>
              <w:ind w:firstLine="480"/>
            </w:pPr>
          </w:p>
          <w:p w14:paraId="63CED180">
            <w:pPr>
              <w:pStyle w:val="2"/>
              <w:ind w:firstLine="480"/>
            </w:pPr>
          </w:p>
          <w:p w14:paraId="6A17FA1A">
            <w:pPr>
              <w:pStyle w:val="2"/>
              <w:ind w:firstLine="480"/>
            </w:pPr>
          </w:p>
          <w:p w14:paraId="6E7F02BE">
            <w:pPr>
              <w:pStyle w:val="2"/>
              <w:ind w:firstLine="480"/>
            </w:pPr>
          </w:p>
          <w:p w14:paraId="7B313B29">
            <w:pPr>
              <w:pStyle w:val="2"/>
              <w:ind w:firstLine="480"/>
            </w:pPr>
          </w:p>
        </w:tc>
      </w:tr>
    </w:tbl>
    <w:p w14:paraId="00306148">
      <w:pPr>
        <w:pStyle w:val="21"/>
        <w:ind w:firstLine="720"/>
        <w:jc w:val="center"/>
        <w:rPr>
          <w:rFonts w:ascii="黑体" w:hAnsi="黑体" w:eastAsia="黑体"/>
          <w:snapToGrid w:val="0"/>
          <w:sz w:val="36"/>
          <w:szCs w:val="36"/>
        </w:rPr>
        <w:sectPr>
          <w:pgSz w:w="11906" w:h="16838"/>
          <w:pgMar w:top="1701" w:right="1531" w:bottom="1701" w:left="1531" w:header="851" w:footer="851" w:gutter="0"/>
          <w:pgNumType w:fmt="numberInDash"/>
          <w:cols w:space="720" w:num="1"/>
          <w:docGrid w:linePitch="312" w:charSpace="0"/>
        </w:sectPr>
      </w:pPr>
    </w:p>
    <w:p w14:paraId="3AF5C235">
      <w:pPr>
        <w:pStyle w:val="21"/>
        <w:jc w:val="center"/>
        <w:outlineLvl w:val="0"/>
        <w:rPr>
          <w:rFonts w:ascii="黑体" w:hAnsi="黑体" w:eastAsia="黑体"/>
          <w:snapToGrid w:val="0"/>
          <w:sz w:val="30"/>
          <w:szCs w:val="30"/>
        </w:rPr>
      </w:pPr>
      <w:bookmarkStart w:id="68" w:name="_Toc4104"/>
      <w:r>
        <w:rPr>
          <w:rFonts w:hint="eastAsia" w:ascii="黑体" w:hAnsi="黑体" w:eastAsia="黑体"/>
          <w:snapToGrid w:val="0"/>
          <w:sz w:val="30"/>
          <w:szCs w:val="30"/>
        </w:rPr>
        <w:t>三、区域环境质量现状、环境保护目标及评价标准</w:t>
      </w:r>
      <w:bookmarkEnd w:id="68"/>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75"/>
        <w:gridCol w:w="8386"/>
      </w:tblGrid>
      <w:tr w14:paraId="279FC6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675" w:type="dxa"/>
            <w:vAlign w:val="center"/>
          </w:tcPr>
          <w:p w14:paraId="1E9DE2CF">
            <w:pPr>
              <w:pStyle w:val="40"/>
            </w:pPr>
            <w:r>
              <w:rPr>
                <w:rFonts w:hint="eastAsia"/>
              </w:rPr>
              <w:t>区域</w:t>
            </w:r>
          </w:p>
          <w:p w14:paraId="4F6F13D2">
            <w:pPr>
              <w:pStyle w:val="40"/>
            </w:pPr>
            <w:r>
              <w:rPr>
                <w:rFonts w:hint="eastAsia"/>
              </w:rPr>
              <w:t>环境</w:t>
            </w:r>
          </w:p>
          <w:p w14:paraId="0C4C8254">
            <w:pPr>
              <w:pStyle w:val="40"/>
            </w:pPr>
            <w:r>
              <w:rPr>
                <w:rFonts w:hint="eastAsia"/>
              </w:rPr>
              <w:t>质量</w:t>
            </w:r>
          </w:p>
          <w:p w14:paraId="1EC13142">
            <w:pPr>
              <w:pStyle w:val="40"/>
            </w:pPr>
            <w:r>
              <w:rPr>
                <w:rFonts w:hint="eastAsia"/>
              </w:rPr>
              <w:t>现状</w:t>
            </w:r>
          </w:p>
        </w:tc>
        <w:tc>
          <w:tcPr>
            <w:tcW w:w="8386" w:type="dxa"/>
            <w:vAlign w:val="center"/>
          </w:tcPr>
          <w:p w14:paraId="5B3094CA">
            <w:pPr>
              <w:adjustRightInd w:val="0"/>
              <w:snapToGrid w:val="0"/>
              <w:spacing w:line="400" w:lineRule="exact"/>
              <w:ind w:firstLine="422"/>
              <w:rPr>
                <w:b/>
                <w:szCs w:val="21"/>
              </w:rPr>
            </w:pPr>
            <w:r>
              <w:rPr>
                <w:rFonts w:hint="eastAsia"/>
                <w:b/>
                <w:szCs w:val="21"/>
              </w:rPr>
              <w:t>1、大气环境</w:t>
            </w:r>
          </w:p>
          <w:p w14:paraId="505D78E0">
            <w:pPr>
              <w:spacing w:line="400" w:lineRule="exact"/>
              <w:ind w:firstLine="420"/>
            </w:pPr>
            <w:bookmarkStart w:id="69" w:name="_Hlk112147339"/>
            <w:r>
              <w:rPr>
                <w:rFonts w:hint="eastAsia"/>
              </w:rPr>
              <w:t>（1）</w:t>
            </w:r>
            <w:r>
              <w:t>基本污染物</w:t>
            </w:r>
          </w:p>
          <w:p w14:paraId="25DB58B2">
            <w:pPr>
              <w:spacing w:line="400" w:lineRule="exact"/>
              <w:ind w:firstLine="420"/>
            </w:pPr>
            <w:r>
              <w:t>基本污染物环境质量现状数据引用《</w:t>
            </w:r>
            <w:r>
              <w:rPr>
                <w:rFonts w:hint="eastAsia"/>
              </w:rPr>
              <w:t>秦皇岛市大气污染防治行动领导小组办公室关于2023年12月份环境空气质量情况的通报</w:t>
            </w:r>
            <w:r>
              <w:t>》</w:t>
            </w:r>
            <w:r>
              <w:rPr>
                <w:rFonts w:hint="eastAsia"/>
              </w:rPr>
              <w:t>（秦气防领办〔2024〕2号）中的附件2《2023年1-12月份各县区空气质量综合指数排名及各项污染物指标变化情况》</w:t>
            </w:r>
            <w:r>
              <w:t>中的数据，</w:t>
            </w:r>
            <w:r>
              <w:rPr>
                <w:rFonts w:hint="eastAsia"/>
              </w:rPr>
              <w:t>抚宁区</w:t>
            </w:r>
            <w:r>
              <w:t>环境空气质量现状及评价如下：</w:t>
            </w:r>
          </w:p>
          <w:p w14:paraId="66A433D9">
            <w:pPr>
              <w:spacing w:line="400" w:lineRule="exact"/>
              <w:ind w:firstLine="422"/>
              <w:jc w:val="center"/>
              <w:rPr>
                <w:b/>
              </w:rPr>
            </w:pPr>
            <w:r>
              <w:rPr>
                <w:rFonts w:hint="eastAsia"/>
                <w:b/>
                <w:bCs/>
                <w:szCs w:val="21"/>
              </w:rPr>
              <w:t>表3-1</w:t>
            </w:r>
            <w:r>
              <w:rPr>
                <w:rFonts w:hint="eastAsia"/>
                <w:b/>
              </w:rPr>
              <w:t xml:space="preserve">  2023年抚宁区</w:t>
            </w:r>
            <w:r>
              <w:rPr>
                <w:b/>
              </w:rPr>
              <w:t>基本污染物环境质量现状一览表</w:t>
            </w: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3"/>
              <w:gridCol w:w="3122"/>
              <w:gridCol w:w="1335"/>
              <w:gridCol w:w="1335"/>
              <w:gridCol w:w="1335"/>
            </w:tblGrid>
            <w:tr w14:paraId="53C81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3" w:type="pct"/>
                  <w:tcBorders>
                    <w:top w:val="single" w:color="auto" w:sz="4" w:space="0"/>
                    <w:left w:val="single" w:color="auto" w:sz="4" w:space="0"/>
                    <w:bottom w:val="single" w:color="auto" w:sz="4" w:space="0"/>
                    <w:right w:val="single" w:color="auto" w:sz="4" w:space="0"/>
                  </w:tcBorders>
                  <w:vAlign w:val="center"/>
                </w:tcPr>
                <w:p w14:paraId="6008A84B">
                  <w:pPr>
                    <w:pStyle w:val="40"/>
                  </w:pPr>
                  <w:r>
                    <w:t>污染物</w:t>
                  </w:r>
                </w:p>
              </w:tc>
              <w:tc>
                <w:tcPr>
                  <w:tcW w:w="1913" w:type="pct"/>
                  <w:tcBorders>
                    <w:top w:val="single" w:color="auto" w:sz="4" w:space="0"/>
                    <w:left w:val="single" w:color="auto" w:sz="4" w:space="0"/>
                    <w:bottom w:val="single" w:color="auto" w:sz="4" w:space="0"/>
                    <w:right w:val="single" w:color="auto" w:sz="4" w:space="0"/>
                  </w:tcBorders>
                  <w:vAlign w:val="center"/>
                </w:tcPr>
                <w:p w14:paraId="532A29FF">
                  <w:pPr>
                    <w:pStyle w:val="40"/>
                  </w:pPr>
                  <w:r>
                    <w:t>年评价指标</w:t>
                  </w:r>
                </w:p>
              </w:tc>
              <w:tc>
                <w:tcPr>
                  <w:tcW w:w="818" w:type="pct"/>
                  <w:tcBorders>
                    <w:top w:val="single" w:color="auto" w:sz="4" w:space="0"/>
                    <w:left w:val="single" w:color="auto" w:sz="4" w:space="0"/>
                    <w:bottom w:val="single" w:color="auto" w:sz="4" w:space="0"/>
                    <w:right w:val="single" w:color="auto" w:sz="4" w:space="0"/>
                  </w:tcBorders>
                  <w:vAlign w:val="center"/>
                </w:tcPr>
                <w:p w14:paraId="0FB75B6F">
                  <w:pPr>
                    <w:pStyle w:val="50"/>
                    <w:spacing w:line="240" w:lineRule="auto"/>
                    <w:ind w:firstLine="0" w:firstLineChars="0"/>
                    <w:jc w:val="center"/>
                    <w:rPr>
                      <w:bCs/>
                      <w:sz w:val="21"/>
                      <w:szCs w:val="21"/>
                    </w:rPr>
                  </w:pPr>
                  <w:r>
                    <w:rPr>
                      <w:bCs/>
                      <w:sz w:val="21"/>
                      <w:szCs w:val="21"/>
                    </w:rPr>
                    <w:t>现状浓度</w:t>
                  </w:r>
                </w:p>
                <w:p w14:paraId="5ECC1105">
                  <w:pPr>
                    <w:pStyle w:val="50"/>
                    <w:spacing w:line="240" w:lineRule="auto"/>
                    <w:ind w:firstLine="0" w:firstLineChars="0"/>
                    <w:jc w:val="center"/>
                    <w:rPr>
                      <w:bCs/>
                      <w:sz w:val="21"/>
                      <w:szCs w:val="21"/>
                    </w:rPr>
                  </w:pPr>
                  <w:r>
                    <w:rPr>
                      <w:bCs/>
                      <w:sz w:val="21"/>
                      <w:szCs w:val="21"/>
                    </w:rPr>
                    <w:t>μg/m</w:t>
                  </w:r>
                  <w:r>
                    <w:rPr>
                      <w:bCs/>
                      <w:sz w:val="21"/>
                      <w:szCs w:val="21"/>
                      <w:vertAlign w:val="superscript"/>
                    </w:rPr>
                    <w:t>3</w:t>
                  </w:r>
                </w:p>
              </w:tc>
              <w:tc>
                <w:tcPr>
                  <w:tcW w:w="818" w:type="pct"/>
                  <w:tcBorders>
                    <w:top w:val="single" w:color="auto" w:sz="4" w:space="0"/>
                    <w:left w:val="single" w:color="auto" w:sz="4" w:space="0"/>
                    <w:bottom w:val="single" w:color="auto" w:sz="4" w:space="0"/>
                    <w:right w:val="single" w:color="auto" w:sz="4" w:space="0"/>
                  </w:tcBorders>
                  <w:vAlign w:val="center"/>
                </w:tcPr>
                <w:p w14:paraId="2CADDE67">
                  <w:pPr>
                    <w:pStyle w:val="50"/>
                    <w:spacing w:line="240" w:lineRule="auto"/>
                    <w:ind w:firstLine="0" w:firstLineChars="0"/>
                    <w:jc w:val="center"/>
                    <w:rPr>
                      <w:bCs/>
                      <w:sz w:val="21"/>
                      <w:szCs w:val="21"/>
                    </w:rPr>
                  </w:pPr>
                  <w:r>
                    <w:rPr>
                      <w:bCs/>
                      <w:sz w:val="21"/>
                      <w:szCs w:val="21"/>
                    </w:rPr>
                    <w:t>标准值</w:t>
                  </w:r>
                </w:p>
                <w:p w14:paraId="3CD7B419">
                  <w:pPr>
                    <w:pStyle w:val="50"/>
                    <w:spacing w:line="240" w:lineRule="auto"/>
                    <w:ind w:firstLine="0" w:firstLineChars="0"/>
                    <w:jc w:val="center"/>
                    <w:rPr>
                      <w:bCs/>
                      <w:sz w:val="21"/>
                      <w:szCs w:val="21"/>
                    </w:rPr>
                  </w:pPr>
                  <w:r>
                    <w:rPr>
                      <w:bCs/>
                      <w:sz w:val="21"/>
                      <w:szCs w:val="21"/>
                    </w:rPr>
                    <w:t>μg/m</w:t>
                  </w:r>
                  <w:r>
                    <w:rPr>
                      <w:bCs/>
                      <w:sz w:val="21"/>
                      <w:szCs w:val="21"/>
                      <w:vertAlign w:val="superscript"/>
                    </w:rPr>
                    <w:t>3</w:t>
                  </w:r>
                </w:p>
              </w:tc>
              <w:tc>
                <w:tcPr>
                  <w:tcW w:w="818" w:type="pct"/>
                  <w:tcBorders>
                    <w:top w:val="single" w:color="auto" w:sz="4" w:space="0"/>
                    <w:left w:val="single" w:color="auto" w:sz="4" w:space="0"/>
                    <w:bottom w:val="single" w:color="auto" w:sz="4" w:space="0"/>
                    <w:right w:val="single" w:color="auto" w:sz="4" w:space="0"/>
                  </w:tcBorders>
                  <w:vAlign w:val="center"/>
                </w:tcPr>
                <w:p w14:paraId="34046D28">
                  <w:pPr>
                    <w:pStyle w:val="50"/>
                    <w:spacing w:line="240" w:lineRule="auto"/>
                    <w:ind w:firstLine="0" w:firstLineChars="0"/>
                    <w:jc w:val="center"/>
                    <w:rPr>
                      <w:bCs/>
                      <w:sz w:val="21"/>
                      <w:szCs w:val="21"/>
                    </w:rPr>
                  </w:pPr>
                  <w:r>
                    <w:rPr>
                      <w:bCs/>
                      <w:sz w:val="21"/>
                      <w:szCs w:val="21"/>
                    </w:rPr>
                    <w:t>超标倍数</w:t>
                  </w:r>
                </w:p>
              </w:tc>
            </w:tr>
            <w:tr w14:paraId="32650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3" w:type="pct"/>
                  <w:tcBorders>
                    <w:top w:val="single" w:color="auto" w:sz="4" w:space="0"/>
                    <w:left w:val="single" w:color="auto" w:sz="4" w:space="0"/>
                    <w:bottom w:val="single" w:color="auto" w:sz="4" w:space="0"/>
                    <w:right w:val="single" w:color="auto" w:sz="4" w:space="0"/>
                  </w:tcBorders>
                  <w:vAlign w:val="center"/>
                </w:tcPr>
                <w:p w14:paraId="7160483E">
                  <w:pPr>
                    <w:pStyle w:val="40"/>
                  </w:pPr>
                  <w:r>
                    <w:t>SO</w:t>
                  </w:r>
                  <w:r>
                    <w:rPr>
                      <w:vertAlign w:val="subscript"/>
                    </w:rPr>
                    <w:t>2</w:t>
                  </w:r>
                </w:p>
              </w:tc>
              <w:tc>
                <w:tcPr>
                  <w:tcW w:w="1913" w:type="pct"/>
                  <w:tcBorders>
                    <w:top w:val="single" w:color="auto" w:sz="4" w:space="0"/>
                    <w:left w:val="single" w:color="auto" w:sz="4" w:space="0"/>
                    <w:bottom w:val="single" w:color="auto" w:sz="4" w:space="0"/>
                    <w:right w:val="single" w:color="auto" w:sz="4" w:space="0"/>
                  </w:tcBorders>
                  <w:vAlign w:val="center"/>
                </w:tcPr>
                <w:p w14:paraId="25CDB7CD">
                  <w:pPr>
                    <w:pStyle w:val="40"/>
                  </w:pPr>
                  <w: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14:paraId="61DDE661">
                  <w:pPr>
                    <w:pStyle w:val="40"/>
                  </w:pPr>
                  <w:r>
                    <w:t>12</w:t>
                  </w:r>
                </w:p>
              </w:tc>
              <w:tc>
                <w:tcPr>
                  <w:tcW w:w="818" w:type="pct"/>
                  <w:tcBorders>
                    <w:top w:val="single" w:color="auto" w:sz="4" w:space="0"/>
                    <w:left w:val="single" w:color="auto" w:sz="4" w:space="0"/>
                    <w:bottom w:val="single" w:color="auto" w:sz="4" w:space="0"/>
                    <w:right w:val="single" w:color="auto" w:sz="4" w:space="0"/>
                  </w:tcBorders>
                  <w:vAlign w:val="center"/>
                </w:tcPr>
                <w:p w14:paraId="2EEBB91B">
                  <w:pPr>
                    <w:pStyle w:val="40"/>
                  </w:pPr>
                  <w:r>
                    <w:t>60</w:t>
                  </w:r>
                </w:p>
              </w:tc>
              <w:tc>
                <w:tcPr>
                  <w:tcW w:w="818" w:type="pct"/>
                  <w:tcBorders>
                    <w:top w:val="single" w:color="auto" w:sz="4" w:space="0"/>
                    <w:left w:val="single" w:color="auto" w:sz="4" w:space="0"/>
                    <w:bottom w:val="single" w:color="auto" w:sz="4" w:space="0"/>
                    <w:right w:val="single" w:color="auto" w:sz="4" w:space="0"/>
                  </w:tcBorders>
                  <w:vAlign w:val="center"/>
                </w:tcPr>
                <w:p w14:paraId="36EF3951">
                  <w:pPr>
                    <w:pStyle w:val="40"/>
                  </w:pPr>
                  <w:r>
                    <w:t>/</w:t>
                  </w:r>
                </w:p>
              </w:tc>
            </w:tr>
            <w:tr w14:paraId="4766D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3" w:type="pct"/>
                  <w:tcBorders>
                    <w:top w:val="single" w:color="auto" w:sz="4" w:space="0"/>
                    <w:left w:val="single" w:color="auto" w:sz="4" w:space="0"/>
                    <w:bottom w:val="single" w:color="auto" w:sz="4" w:space="0"/>
                    <w:right w:val="single" w:color="auto" w:sz="4" w:space="0"/>
                  </w:tcBorders>
                  <w:vAlign w:val="center"/>
                </w:tcPr>
                <w:p w14:paraId="136A9899">
                  <w:pPr>
                    <w:pStyle w:val="40"/>
                  </w:pPr>
                  <w:r>
                    <w:t>NO</w:t>
                  </w:r>
                  <w:r>
                    <w:rPr>
                      <w:vertAlign w:val="subscript"/>
                    </w:rPr>
                    <w:t>2</w:t>
                  </w:r>
                </w:p>
              </w:tc>
              <w:tc>
                <w:tcPr>
                  <w:tcW w:w="1913" w:type="pct"/>
                  <w:tcBorders>
                    <w:top w:val="single" w:color="auto" w:sz="4" w:space="0"/>
                    <w:left w:val="single" w:color="auto" w:sz="4" w:space="0"/>
                    <w:bottom w:val="single" w:color="auto" w:sz="4" w:space="0"/>
                    <w:right w:val="single" w:color="auto" w:sz="4" w:space="0"/>
                  </w:tcBorders>
                  <w:vAlign w:val="center"/>
                </w:tcPr>
                <w:p w14:paraId="61D63125">
                  <w:pPr>
                    <w:pStyle w:val="40"/>
                  </w:pPr>
                  <w: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14:paraId="22BBFD01">
                  <w:pPr>
                    <w:pStyle w:val="40"/>
                  </w:pPr>
                  <w:r>
                    <w:rPr>
                      <w:rFonts w:hint="eastAsia"/>
                    </w:rPr>
                    <w:t>30</w:t>
                  </w:r>
                </w:p>
              </w:tc>
              <w:tc>
                <w:tcPr>
                  <w:tcW w:w="818" w:type="pct"/>
                  <w:tcBorders>
                    <w:top w:val="single" w:color="auto" w:sz="4" w:space="0"/>
                    <w:left w:val="single" w:color="auto" w:sz="4" w:space="0"/>
                    <w:bottom w:val="single" w:color="auto" w:sz="4" w:space="0"/>
                    <w:right w:val="single" w:color="auto" w:sz="4" w:space="0"/>
                  </w:tcBorders>
                  <w:vAlign w:val="center"/>
                </w:tcPr>
                <w:p w14:paraId="2AD7D0D4">
                  <w:pPr>
                    <w:pStyle w:val="40"/>
                  </w:pPr>
                  <w:r>
                    <w:t>40</w:t>
                  </w:r>
                </w:p>
              </w:tc>
              <w:tc>
                <w:tcPr>
                  <w:tcW w:w="818" w:type="pct"/>
                  <w:tcBorders>
                    <w:top w:val="single" w:color="auto" w:sz="4" w:space="0"/>
                    <w:left w:val="single" w:color="auto" w:sz="4" w:space="0"/>
                    <w:bottom w:val="single" w:color="auto" w:sz="4" w:space="0"/>
                    <w:right w:val="single" w:color="auto" w:sz="4" w:space="0"/>
                  </w:tcBorders>
                  <w:vAlign w:val="center"/>
                </w:tcPr>
                <w:p w14:paraId="1DD3ABD0">
                  <w:pPr>
                    <w:pStyle w:val="40"/>
                  </w:pPr>
                  <w:r>
                    <w:t>/</w:t>
                  </w:r>
                </w:p>
              </w:tc>
            </w:tr>
            <w:tr w14:paraId="5A9FF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3" w:type="pct"/>
                  <w:tcBorders>
                    <w:top w:val="single" w:color="auto" w:sz="4" w:space="0"/>
                    <w:left w:val="single" w:color="auto" w:sz="4" w:space="0"/>
                    <w:bottom w:val="single" w:color="auto" w:sz="4" w:space="0"/>
                    <w:right w:val="single" w:color="auto" w:sz="4" w:space="0"/>
                  </w:tcBorders>
                  <w:vAlign w:val="center"/>
                </w:tcPr>
                <w:p w14:paraId="596231F4">
                  <w:pPr>
                    <w:pStyle w:val="40"/>
                  </w:pPr>
                  <w:r>
                    <w:t>PM</w:t>
                  </w:r>
                  <w:r>
                    <w:rPr>
                      <w:vertAlign w:val="subscript"/>
                    </w:rPr>
                    <w:t>10</w:t>
                  </w:r>
                </w:p>
              </w:tc>
              <w:tc>
                <w:tcPr>
                  <w:tcW w:w="1913" w:type="pct"/>
                  <w:tcBorders>
                    <w:top w:val="single" w:color="auto" w:sz="4" w:space="0"/>
                    <w:left w:val="single" w:color="auto" w:sz="4" w:space="0"/>
                    <w:bottom w:val="single" w:color="auto" w:sz="4" w:space="0"/>
                    <w:right w:val="single" w:color="auto" w:sz="4" w:space="0"/>
                  </w:tcBorders>
                  <w:vAlign w:val="center"/>
                </w:tcPr>
                <w:p w14:paraId="674AAB5B">
                  <w:pPr>
                    <w:pStyle w:val="40"/>
                  </w:pPr>
                  <w: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14:paraId="7D19EC5E">
                  <w:pPr>
                    <w:pStyle w:val="40"/>
                  </w:pPr>
                  <w:r>
                    <w:rPr>
                      <w:rFonts w:hint="eastAsia"/>
                    </w:rPr>
                    <w:t>58</w:t>
                  </w:r>
                </w:p>
              </w:tc>
              <w:tc>
                <w:tcPr>
                  <w:tcW w:w="818" w:type="pct"/>
                  <w:tcBorders>
                    <w:top w:val="single" w:color="auto" w:sz="4" w:space="0"/>
                    <w:left w:val="single" w:color="auto" w:sz="4" w:space="0"/>
                    <w:bottom w:val="single" w:color="auto" w:sz="4" w:space="0"/>
                    <w:right w:val="single" w:color="auto" w:sz="4" w:space="0"/>
                  </w:tcBorders>
                  <w:vAlign w:val="center"/>
                </w:tcPr>
                <w:p w14:paraId="36534C1B">
                  <w:pPr>
                    <w:pStyle w:val="40"/>
                  </w:pPr>
                  <w:r>
                    <w:t>70</w:t>
                  </w:r>
                </w:p>
              </w:tc>
              <w:tc>
                <w:tcPr>
                  <w:tcW w:w="818" w:type="pct"/>
                  <w:tcBorders>
                    <w:top w:val="single" w:color="auto" w:sz="4" w:space="0"/>
                    <w:left w:val="single" w:color="auto" w:sz="4" w:space="0"/>
                    <w:bottom w:val="single" w:color="auto" w:sz="4" w:space="0"/>
                    <w:right w:val="single" w:color="auto" w:sz="4" w:space="0"/>
                  </w:tcBorders>
                  <w:vAlign w:val="center"/>
                </w:tcPr>
                <w:p w14:paraId="1F8ED83D">
                  <w:pPr>
                    <w:pStyle w:val="40"/>
                  </w:pPr>
                  <w:r>
                    <w:t>/</w:t>
                  </w:r>
                </w:p>
              </w:tc>
            </w:tr>
            <w:tr w14:paraId="2025B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3" w:type="pct"/>
                  <w:tcBorders>
                    <w:top w:val="single" w:color="auto" w:sz="4" w:space="0"/>
                    <w:left w:val="single" w:color="auto" w:sz="4" w:space="0"/>
                    <w:bottom w:val="single" w:color="auto" w:sz="4" w:space="0"/>
                    <w:right w:val="single" w:color="auto" w:sz="4" w:space="0"/>
                  </w:tcBorders>
                  <w:vAlign w:val="center"/>
                </w:tcPr>
                <w:p w14:paraId="1EBCB430">
                  <w:pPr>
                    <w:pStyle w:val="40"/>
                  </w:pPr>
                  <w:r>
                    <w:t>PM</w:t>
                  </w:r>
                  <w:r>
                    <w:rPr>
                      <w:vertAlign w:val="subscript"/>
                    </w:rPr>
                    <w:t>2.5</w:t>
                  </w:r>
                </w:p>
              </w:tc>
              <w:tc>
                <w:tcPr>
                  <w:tcW w:w="1913" w:type="pct"/>
                  <w:tcBorders>
                    <w:top w:val="single" w:color="auto" w:sz="4" w:space="0"/>
                    <w:left w:val="single" w:color="auto" w:sz="4" w:space="0"/>
                    <w:bottom w:val="single" w:color="auto" w:sz="4" w:space="0"/>
                    <w:right w:val="single" w:color="auto" w:sz="4" w:space="0"/>
                  </w:tcBorders>
                  <w:vAlign w:val="center"/>
                </w:tcPr>
                <w:p w14:paraId="1AE4AFB8">
                  <w:pPr>
                    <w:pStyle w:val="40"/>
                  </w:pPr>
                  <w: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14:paraId="4E10BBAB">
                  <w:pPr>
                    <w:pStyle w:val="40"/>
                  </w:pPr>
                  <w:r>
                    <w:t>2</w:t>
                  </w:r>
                  <w:r>
                    <w:rPr>
                      <w:rFonts w:hint="eastAsia"/>
                    </w:rPr>
                    <w:t>7</w:t>
                  </w:r>
                </w:p>
              </w:tc>
              <w:tc>
                <w:tcPr>
                  <w:tcW w:w="818" w:type="pct"/>
                  <w:tcBorders>
                    <w:top w:val="single" w:color="auto" w:sz="4" w:space="0"/>
                    <w:left w:val="single" w:color="auto" w:sz="4" w:space="0"/>
                    <w:bottom w:val="single" w:color="auto" w:sz="4" w:space="0"/>
                    <w:right w:val="single" w:color="auto" w:sz="4" w:space="0"/>
                  </w:tcBorders>
                  <w:vAlign w:val="center"/>
                </w:tcPr>
                <w:p w14:paraId="0E04ADF2">
                  <w:pPr>
                    <w:pStyle w:val="40"/>
                  </w:pPr>
                  <w:r>
                    <w:t>35</w:t>
                  </w:r>
                </w:p>
              </w:tc>
              <w:tc>
                <w:tcPr>
                  <w:tcW w:w="818" w:type="pct"/>
                  <w:tcBorders>
                    <w:top w:val="single" w:color="auto" w:sz="4" w:space="0"/>
                    <w:left w:val="single" w:color="auto" w:sz="4" w:space="0"/>
                    <w:bottom w:val="single" w:color="auto" w:sz="4" w:space="0"/>
                    <w:right w:val="single" w:color="auto" w:sz="4" w:space="0"/>
                  </w:tcBorders>
                  <w:vAlign w:val="center"/>
                </w:tcPr>
                <w:p w14:paraId="1A27BBDE">
                  <w:pPr>
                    <w:pStyle w:val="40"/>
                  </w:pPr>
                  <w:r>
                    <w:t>/</w:t>
                  </w:r>
                </w:p>
              </w:tc>
            </w:tr>
            <w:tr w14:paraId="5F517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3" w:type="pct"/>
                  <w:tcBorders>
                    <w:top w:val="single" w:color="auto" w:sz="4" w:space="0"/>
                    <w:left w:val="single" w:color="auto" w:sz="4" w:space="0"/>
                    <w:bottom w:val="single" w:color="auto" w:sz="4" w:space="0"/>
                    <w:right w:val="single" w:color="auto" w:sz="4" w:space="0"/>
                  </w:tcBorders>
                  <w:vAlign w:val="center"/>
                </w:tcPr>
                <w:p w14:paraId="6F7ED2B1">
                  <w:pPr>
                    <w:pStyle w:val="40"/>
                  </w:pPr>
                  <w:r>
                    <w:t>CO</w:t>
                  </w:r>
                </w:p>
              </w:tc>
              <w:tc>
                <w:tcPr>
                  <w:tcW w:w="1913" w:type="pct"/>
                  <w:tcBorders>
                    <w:top w:val="single" w:color="auto" w:sz="4" w:space="0"/>
                    <w:left w:val="single" w:color="auto" w:sz="4" w:space="0"/>
                    <w:bottom w:val="single" w:color="auto" w:sz="4" w:space="0"/>
                    <w:right w:val="single" w:color="auto" w:sz="4" w:space="0"/>
                  </w:tcBorders>
                  <w:vAlign w:val="center"/>
                </w:tcPr>
                <w:p w14:paraId="18CD85FD">
                  <w:pPr>
                    <w:pStyle w:val="40"/>
                  </w:pPr>
                  <w:r>
                    <w:t>24小时平均第95位百分位数</w:t>
                  </w:r>
                </w:p>
              </w:tc>
              <w:tc>
                <w:tcPr>
                  <w:tcW w:w="818" w:type="pct"/>
                  <w:tcBorders>
                    <w:top w:val="single" w:color="auto" w:sz="4" w:space="0"/>
                    <w:left w:val="single" w:color="auto" w:sz="4" w:space="0"/>
                    <w:bottom w:val="single" w:color="auto" w:sz="4" w:space="0"/>
                    <w:right w:val="single" w:color="auto" w:sz="4" w:space="0"/>
                  </w:tcBorders>
                  <w:vAlign w:val="center"/>
                </w:tcPr>
                <w:p w14:paraId="312AFE7B">
                  <w:pPr>
                    <w:pStyle w:val="40"/>
                  </w:pPr>
                  <w:r>
                    <w:t>1</w:t>
                  </w:r>
                  <w:r>
                    <w:rPr>
                      <w:rFonts w:hint="eastAsia"/>
                    </w:rPr>
                    <w:t>500</w:t>
                  </w:r>
                </w:p>
              </w:tc>
              <w:tc>
                <w:tcPr>
                  <w:tcW w:w="818" w:type="pct"/>
                  <w:tcBorders>
                    <w:top w:val="single" w:color="auto" w:sz="4" w:space="0"/>
                    <w:left w:val="single" w:color="auto" w:sz="4" w:space="0"/>
                    <w:bottom w:val="single" w:color="auto" w:sz="4" w:space="0"/>
                    <w:right w:val="single" w:color="auto" w:sz="4" w:space="0"/>
                  </w:tcBorders>
                  <w:vAlign w:val="center"/>
                </w:tcPr>
                <w:p w14:paraId="39EAC33E">
                  <w:pPr>
                    <w:pStyle w:val="40"/>
                  </w:pPr>
                  <w:r>
                    <w:t>40</w:t>
                  </w:r>
                  <w:r>
                    <w:rPr>
                      <w:rFonts w:hint="eastAsia"/>
                    </w:rPr>
                    <w:t>00</w:t>
                  </w:r>
                </w:p>
              </w:tc>
              <w:tc>
                <w:tcPr>
                  <w:tcW w:w="818" w:type="pct"/>
                  <w:tcBorders>
                    <w:top w:val="single" w:color="auto" w:sz="4" w:space="0"/>
                    <w:left w:val="single" w:color="auto" w:sz="4" w:space="0"/>
                    <w:bottom w:val="single" w:color="auto" w:sz="4" w:space="0"/>
                    <w:right w:val="single" w:color="auto" w:sz="4" w:space="0"/>
                  </w:tcBorders>
                  <w:vAlign w:val="center"/>
                </w:tcPr>
                <w:p w14:paraId="37A23F3E">
                  <w:pPr>
                    <w:pStyle w:val="40"/>
                  </w:pPr>
                  <w:r>
                    <w:t>/</w:t>
                  </w:r>
                </w:p>
              </w:tc>
            </w:tr>
            <w:tr w14:paraId="77478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3" w:type="pct"/>
                  <w:tcBorders>
                    <w:top w:val="single" w:color="auto" w:sz="4" w:space="0"/>
                    <w:left w:val="single" w:color="auto" w:sz="4" w:space="0"/>
                    <w:bottom w:val="single" w:color="auto" w:sz="4" w:space="0"/>
                    <w:right w:val="single" w:color="auto" w:sz="4" w:space="0"/>
                  </w:tcBorders>
                  <w:vAlign w:val="center"/>
                </w:tcPr>
                <w:p w14:paraId="3DC3A802">
                  <w:pPr>
                    <w:pStyle w:val="40"/>
                  </w:pPr>
                  <w:r>
                    <w:t>O</w:t>
                  </w:r>
                  <w:r>
                    <w:rPr>
                      <w:vertAlign w:val="subscript"/>
                    </w:rPr>
                    <w:t>3</w:t>
                  </w:r>
                </w:p>
              </w:tc>
              <w:tc>
                <w:tcPr>
                  <w:tcW w:w="1913" w:type="pct"/>
                  <w:tcBorders>
                    <w:top w:val="single" w:color="auto" w:sz="4" w:space="0"/>
                    <w:left w:val="single" w:color="auto" w:sz="4" w:space="0"/>
                    <w:bottom w:val="single" w:color="auto" w:sz="4" w:space="0"/>
                    <w:right w:val="single" w:color="auto" w:sz="4" w:space="0"/>
                  </w:tcBorders>
                  <w:vAlign w:val="center"/>
                </w:tcPr>
                <w:p w14:paraId="6B86157F">
                  <w:pPr>
                    <w:pStyle w:val="40"/>
                  </w:pPr>
                  <w:r>
                    <w:t>8小时平均第90位百分位数</w:t>
                  </w:r>
                </w:p>
              </w:tc>
              <w:tc>
                <w:tcPr>
                  <w:tcW w:w="818" w:type="pct"/>
                  <w:tcBorders>
                    <w:top w:val="single" w:color="auto" w:sz="4" w:space="0"/>
                    <w:left w:val="single" w:color="auto" w:sz="4" w:space="0"/>
                    <w:bottom w:val="single" w:color="auto" w:sz="4" w:space="0"/>
                    <w:right w:val="single" w:color="auto" w:sz="4" w:space="0"/>
                  </w:tcBorders>
                  <w:vAlign w:val="center"/>
                </w:tcPr>
                <w:p w14:paraId="1AF11CB7">
                  <w:pPr>
                    <w:pStyle w:val="40"/>
                  </w:pPr>
                  <w:r>
                    <w:t>17</w:t>
                  </w:r>
                  <w:r>
                    <w:rPr>
                      <w:rFonts w:hint="eastAsia"/>
                    </w:rPr>
                    <w:t>4</w:t>
                  </w:r>
                </w:p>
              </w:tc>
              <w:tc>
                <w:tcPr>
                  <w:tcW w:w="818" w:type="pct"/>
                  <w:tcBorders>
                    <w:top w:val="single" w:color="auto" w:sz="4" w:space="0"/>
                    <w:left w:val="single" w:color="auto" w:sz="4" w:space="0"/>
                    <w:bottom w:val="single" w:color="auto" w:sz="4" w:space="0"/>
                    <w:right w:val="single" w:color="auto" w:sz="4" w:space="0"/>
                  </w:tcBorders>
                  <w:vAlign w:val="center"/>
                </w:tcPr>
                <w:p w14:paraId="679469A3">
                  <w:pPr>
                    <w:pStyle w:val="40"/>
                  </w:pPr>
                  <w:r>
                    <w:t>160</w:t>
                  </w:r>
                </w:p>
              </w:tc>
              <w:tc>
                <w:tcPr>
                  <w:tcW w:w="818" w:type="pct"/>
                  <w:tcBorders>
                    <w:top w:val="single" w:color="auto" w:sz="4" w:space="0"/>
                    <w:left w:val="single" w:color="auto" w:sz="4" w:space="0"/>
                    <w:bottom w:val="single" w:color="auto" w:sz="4" w:space="0"/>
                    <w:right w:val="single" w:color="auto" w:sz="4" w:space="0"/>
                  </w:tcBorders>
                  <w:vAlign w:val="center"/>
                </w:tcPr>
                <w:p w14:paraId="1F2B12D5">
                  <w:pPr>
                    <w:pStyle w:val="40"/>
                  </w:pPr>
                  <w:r>
                    <w:t>0.0</w:t>
                  </w:r>
                  <w:r>
                    <w:rPr>
                      <w:rFonts w:hint="eastAsia"/>
                    </w:rPr>
                    <w:t>8</w:t>
                  </w:r>
                  <w:r>
                    <w:t>75</w:t>
                  </w:r>
                </w:p>
              </w:tc>
            </w:tr>
          </w:tbl>
          <w:p w14:paraId="374D61D2">
            <w:pPr>
              <w:ind w:firstLine="420"/>
            </w:pPr>
            <w:r>
              <w:rPr>
                <w:rFonts w:hint="eastAsia"/>
              </w:rPr>
              <w:t>由上表</w:t>
            </w:r>
            <w:r>
              <w:t>可知，202</w:t>
            </w:r>
            <w:r>
              <w:rPr>
                <w:rFonts w:hint="eastAsia"/>
              </w:rPr>
              <w:t>3</w:t>
            </w:r>
            <w:r>
              <w:t>年抚宁区臭氧（O</w:t>
            </w:r>
            <w:r>
              <w:rPr>
                <w:vertAlign w:val="subscript"/>
              </w:rPr>
              <w:t>3</w:t>
            </w:r>
            <w:r>
              <w:t>）浓度不达标，其他指标均达到《环境空气质量标准》(GB3095-2012)二级标准要求</w:t>
            </w:r>
            <w:r>
              <w:rPr>
                <w:rFonts w:hint="eastAsia"/>
              </w:rPr>
              <w:t>及其修改单，区域为不达标区</w:t>
            </w:r>
            <w:r>
              <w:t>。《秦皇岛市生态环境保护“十四五”规划（2021-2025年）》中指出，实施“协同开展PM</w:t>
            </w:r>
            <w:r>
              <w:rPr>
                <w:vertAlign w:val="subscript"/>
              </w:rPr>
              <w:t>2.5</w:t>
            </w:r>
            <w:r>
              <w:t>与臭氧污染防治、完善PM</w:t>
            </w:r>
            <w:r>
              <w:rPr>
                <w:vertAlign w:val="subscript"/>
              </w:rPr>
              <w:t>2.5</w:t>
            </w:r>
            <w:r>
              <w:t>与臭氧预测预报体系、强化区域大气污染综合治理”等措施，如此区域大气环境将逐步改善。</w:t>
            </w:r>
          </w:p>
          <w:bookmarkEnd w:id="69"/>
          <w:p w14:paraId="29C77349">
            <w:pPr>
              <w:ind w:firstLine="422"/>
              <w:rPr>
                <w:bCs/>
                <w:szCs w:val="21"/>
              </w:rPr>
            </w:pPr>
            <w:r>
              <w:rPr>
                <w:b/>
                <w:szCs w:val="21"/>
              </w:rPr>
              <w:t>2、</w:t>
            </w:r>
            <w:r>
              <w:rPr>
                <w:rFonts w:hint="eastAsia"/>
                <w:b/>
                <w:szCs w:val="21"/>
              </w:rPr>
              <w:t>声环境</w:t>
            </w:r>
          </w:p>
          <w:p w14:paraId="6711F633">
            <w:pPr>
              <w:ind w:firstLine="420"/>
            </w:pPr>
            <w:r>
              <w:rPr>
                <w:rFonts w:hint="eastAsia"/>
              </w:rPr>
              <w:t>本项目周边5</w:t>
            </w:r>
            <w:r>
              <w:t>0m</w:t>
            </w:r>
            <w:r>
              <w:rPr>
                <w:rFonts w:hint="eastAsia"/>
              </w:rPr>
              <w:t>范围内有声环境敏感点分布，需开展噪声现状调查。根据检测报告（新丰（检）字HJ2025-012002），声环境质量情况见表3-2。</w:t>
            </w:r>
          </w:p>
          <w:p w14:paraId="379E4516">
            <w:pPr>
              <w:spacing w:line="400" w:lineRule="exact"/>
              <w:ind w:firstLine="422"/>
              <w:jc w:val="center"/>
              <w:rPr>
                <w:b/>
              </w:rPr>
            </w:pPr>
            <w:r>
              <w:rPr>
                <w:rFonts w:hint="eastAsia"/>
                <w:b/>
                <w:bCs/>
                <w:szCs w:val="21"/>
              </w:rPr>
              <w:t>表3-2</w:t>
            </w:r>
            <w:r>
              <w:rPr>
                <w:rFonts w:hint="eastAsia"/>
                <w:b/>
              </w:rPr>
              <w:t>声环境质量现状监测结果</w:t>
            </w:r>
          </w:p>
          <w:tbl>
            <w:tblPr>
              <w:tblStyle w:val="25"/>
              <w:tblW w:w="7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1"/>
              <w:gridCol w:w="1417"/>
              <w:gridCol w:w="1715"/>
              <w:gridCol w:w="1684"/>
              <w:gridCol w:w="1063"/>
            </w:tblGrid>
            <w:tr w14:paraId="4A6EF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995" w:type="pct"/>
                  <w:tcBorders>
                    <w:top w:val="single" w:color="auto" w:sz="4" w:space="0"/>
                    <w:left w:val="single" w:color="auto" w:sz="4" w:space="0"/>
                    <w:bottom w:val="single" w:color="auto" w:sz="4" w:space="0"/>
                    <w:right w:val="single" w:color="auto" w:sz="4" w:space="0"/>
                  </w:tcBorders>
                  <w:vAlign w:val="center"/>
                </w:tcPr>
                <w:p w14:paraId="2F004C22">
                  <w:pPr>
                    <w:pStyle w:val="40"/>
                  </w:pPr>
                  <w:r>
                    <w:rPr>
                      <w:rFonts w:hint="eastAsia"/>
                    </w:rPr>
                    <w:t>检测点位</w:t>
                  </w:r>
                </w:p>
              </w:tc>
              <w:tc>
                <w:tcPr>
                  <w:tcW w:w="965" w:type="pct"/>
                  <w:tcBorders>
                    <w:top w:val="single" w:color="auto" w:sz="4" w:space="0"/>
                    <w:left w:val="single" w:color="auto" w:sz="4" w:space="0"/>
                    <w:bottom w:val="single" w:color="auto" w:sz="4" w:space="0"/>
                    <w:right w:val="single" w:color="auto" w:sz="4" w:space="0"/>
                  </w:tcBorders>
                  <w:vAlign w:val="center"/>
                </w:tcPr>
                <w:p w14:paraId="41314C61">
                  <w:pPr>
                    <w:pStyle w:val="40"/>
                  </w:pPr>
                  <w:r>
                    <w:rPr>
                      <w:rFonts w:hint="eastAsia"/>
                    </w:rPr>
                    <w:t>检测时段</w:t>
                  </w:r>
                </w:p>
              </w:tc>
              <w:tc>
                <w:tcPr>
                  <w:tcW w:w="1168" w:type="pct"/>
                  <w:tcBorders>
                    <w:top w:val="single" w:color="auto" w:sz="4" w:space="0"/>
                    <w:left w:val="single" w:color="auto" w:sz="4" w:space="0"/>
                    <w:bottom w:val="single" w:color="auto" w:sz="4" w:space="0"/>
                    <w:right w:val="single" w:color="auto" w:sz="4" w:space="0"/>
                  </w:tcBorders>
                  <w:vAlign w:val="center"/>
                </w:tcPr>
                <w:p w14:paraId="4127619A">
                  <w:pPr>
                    <w:pStyle w:val="40"/>
                  </w:pPr>
                  <w:r>
                    <w:rPr>
                      <w:rFonts w:hint="eastAsia"/>
                    </w:rPr>
                    <w:t>检测值</w:t>
                  </w:r>
                </w:p>
              </w:tc>
              <w:tc>
                <w:tcPr>
                  <w:tcW w:w="1147" w:type="pct"/>
                  <w:tcBorders>
                    <w:top w:val="single" w:color="auto" w:sz="4" w:space="0"/>
                    <w:left w:val="single" w:color="auto" w:sz="4" w:space="0"/>
                    <w:bottom w:val="single" w:color="auto" w:sz="4" w:space="0"/>
                    <w:right w:val="single" w:color="auto" w:sz="4" w:space="0"/>
                  </w:tcBorders>
                  <w:vAlign w:val="center"/>
                </w:tcPr>
                <w:p w14:paraId="0A7FFC78">
                  <w:pPr>
                    <w:pStyle w:val="50"/>
                    <w:spacing w:line="240" w:lineRule="auto"/>
                    <w:ind w:firstLine="0" w:firstLineChars="0"/>
                    <w:jc w:val="center"/>
                    <w:rPr>
                      <w:bCs/>
                      <w:sz w:val="21"/>
                      <w:szCs w:val="21"/>
                    </w:rPr>
                  </w:pPr>
                  <w:r>
                    <w:rPr>
                      <w:bCs/>
                      <w:sz w:val="21"/>
                      <w:szCs w:val="21"/>
                    </w:rPr>
                    <w:t>标准</w:t>
                  </w:r>
                  <w:r>
                    <w:rPr>
                      <w:rFonts w:hint="eastAsia"/>
                      <w:bCs/>
                      <w:sz w:val="21"/>
                      <w:szCs w:val="21"/>
                    </w:rPr>
                    <w:t>值</w:t>
                  </w:r>
                </w:p>
              </w:tc>
              <w:tc>
                <w:tcPr>
                  <w:tcW w:w="724" w:type="pct"/>
                  <w:tcBorders>
                    <w:top w:val="single" w:color="auto" w:sz="4" w:space="0"/>
                    <w:left w:val="single" w:color="auto" w:sz="4" w:space="0"/>
                    <w:bottom w:val="single" w:color="auto" w:sz="4" w:space="0"/>
                    <w:right w:val="single" w:color="auto" w:sz="4" w:space="0"/>
                  </w:tcBorders>
                  <w:vAlign w:val="center"/>
                </w:tcPr>
                <w:p w14:paraId="4B35D6CF">
                  <w:pPr>
                    <w:pStyle w:val="50"/>
                    <w:spacing w:line="240" w:lineRule="auto"/>
                    <w:ind w:firstLine="0" w:firstLineChars="0"/>
                    <w:jc w:val="center"/>
                    <w:rPr>
                      <w:bCs/>
                      <w:sz w:val="21"/>
                      <w:szCs w:val="21"/>
                    </w:rPr>
                  </w:pPr>
                  <w:r>
                    <w:rPr>
                      <w:rFonts w:hint="eastAsia"/>
                      <w:bCs/>
                      <w:sz w:val="21"/>
                      <w:szCs w:val="21"/>
                    </w:rPr>
                    <w:t>达标情况</w:t>
                  </w:r>
                </w:p>
              </w:tc>
            </w:tr>
            <w:tr w14:paraId="3E8E4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995" w:type="pct"/>
                  <w:tcBorders>
                    <w:top w:val="single" w:color="auto" w:sz="4" w:space="0"/>
                    <w:left w:val="single" w:color="auto" w:sz="4" w:space="0"/>
                    <w:right w:val="single" w:color="auto" w:sz="4" w:space="0"/>
                  </w:tcBorders>
                  <w:vAlign w:val="center"/>
                </w:tcPr>
                <w:p w14:paraId="2E3C00CC">
                  <w:pPr>
                    <w:pStyle w:val="40"/>
                  </w:pPr>
                  <w:r>
                    <w:rPr>
                      <w:rFonts w:hint="eastAsia"/>
                    </w:rPr>
                    <w:t>西侧小学1#</w:t>
                  </w:r>
                </w:p>
              </w:tc>
              <w:tc>
                <w:tcPr>
                  <w:tcW w:w="965" w:type="pct"/>
                  <w:tcBorders>
                    <w:top w:val="single" w:color="auto" w:sz="4" w:space="0"/>
                    <w:left w:val="single" w:color="auto" w:sz="4" w:space="0"/>
                    <w:bottom w:val="single" w:color="auto" w:sz="4" w:space="0"/>
                    <w:right w:val="single" w:color="auto" w:sz="4" w:space="0"/>
                  </w:tcBorders>
                  <w:vAlign w:val="center"/>
                </w:tcPr>
                <w:p w14:paraId="15ECFFA1">
                  <w:pPr>
                    <w:pStyle w:val="40"/>
                  </w:pPr>
                  <w:r>
                    <w:rPr>
                      <w:rFonts w:hint="eastAsia"/>
                    </w:rPr>
                    <w:t>昼间</w:t>
                  </w:r>
                </w:p>
              </w:tc>
              <w:tc>
                <w:tcPr>
                  <w:tcW w:w="1168" w:type="pct"/>
                  <w:tcBorders>
                    <w:top w:val="single" w:color="auto" w:sz="4" w:space="0"/>
                    <w:left w:val="single" w:color="auto" w:sz="4" w:space="0"/>
                    <w:bottom w:val="single" w:color="auto" w:sz="4" w:space="0"/>
                    <w:right w:val="single" w:color="auto" w:sz="4" w:space="0"/>
                  </w:tcBorders>
                  <w:vAlign w:val="center"/>
                </w:tcPr>
                <w:p w14:paraId="5B149BD0">
                  <w:pPr>
                    <w:pStyle w:val="40"/>
                  </w:pPr>
                  <w:r>
                    <w:rPr>
                      <w:rFonts w:hint="eastAsia"/>
                    </w:rPr>
                    <w:t>51.8</w:t>
                  </w:r>
                </w:p>
              </w:tc>
              <w:tc>
                <w:tcPr>
                  <w:tcW w:w="1147" w:type="pct"/>
                  <w:tcBorders>
                    <w:top w:val="single" w:color="auto" w:sz="4" w:space="0"/>
                    <w:left w:val="single" w:color="auto" w:sz="4" w:space="0"/>
                    <w:bottom w:val="single" w:color="auto" w:sz="4" w:space="0"/>
                    <w:right w:val="single" w:color="auto" w:sz="4" w:space="0"/>
                  </w:tcBorders>
                  <w:vAlign w:val="center"/>
                </w:tcPr>
                <w:p w14:paraId="6AFBAA26">
                  <w:pPr>
                    <w:pStyle w:val="40"/>
                  </w:pPr>
                  <w:r>
                    <w:rPr>
                      <w:rFonts w:hint="eastAsia"/>
                    </w:rPr>
                    <w:t>60</w:t>
                  </w:r>
                </w:p>
              </w:tc>
              <w:tc>
                <w:tcPr>
                  <w:tcW w:w="724" w:type="pct"/>
                  <w:tcBorders>
                    <w:top w:val="single" w:color="auto" w:sz="4" w:space="0"/>
                    <w:left w:val="single" w:color="auto" w:sz="4" w:space="0"/>
                    <w:bottom w:val="single" w:color="auto" w:sz="4" w:space="0"/>
                    <w:right w:val="single" w:color="auto" w:sz="4" w:space="0"/>
                  </w:tcBorders>
                  <w:vAlign w:val="center"/>
                </w:tcPr>
                <w:p w14:paraId="5D944F08">
                  <w:pPr>
                    <w:pStyle w:val="40"/>
                  </w:pPr>
                  <w:r>
                    <w:rPr>
                      <w:rFonts w:hint="eastAsia"/>
                    </w:rPr>
                    <w:t>达标</w:t>
                  </w:r>
                </w:p>
              </w:tc>
            </w:tr>
            <w:tr w14:paraId="7AE8D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995" w:type="pct"/>
                  <w:tcBorders>
                    <w:left w:val="single" w:color="auto" w:sz="4" w:space="0"/>
                    <w:right w:val="single" w:color="auto" w:sz="4" w:space="0"/>
                  </w:tcBorders>
                  <w:vAlign w:val="center"/>
                </w:tcPr>
                <w:p w14:paraId="0AC646ED">
                  <w:pPr>
                    <w:pStyle w:val="40"/>
                  </w:pPr>
                  <w:r>
                    <w:rPr>
                      <w:rFonts w:hint="eastAsia"/>
                    </w:rPr>
                    <w:t>南侧住宅2#</w:t>
                  </w:r>
                </w:p>
              </w:tc>
              <w:tc>
                <w:tcPr>
                  <w:tcW w:w="965" w:type="pct"/>
                  <w:tcBorders>
                    <w:top w:val="single" w:color="auto" w:sz="4" w:space="0"/>
                    <w:left w:val="single" w:color="auto" w:sz="4" w:space="0"/>
                    <w:bottom w:val="single" w:color="auto" w:sz="4" w:space="0"/>
                    <w:right w:val="single" w:color="auto" w:sz="4" w:space="0"/>
                  </w:tcBorders>
                  <w:vAlign w:val="center"/>
                </w:tcPr>
                <w:p w14:paraId="53E135B2">
                  <w:pPr>
                    <w:pStyle w:val="40"/>
                    <w:rPr>
                      <w:kern w:val="2"/>
                    </w:rPr>
                  </w:pPr>
                  <w:r>
                    <w:rPr>
                      <w:rFonts w:hint="eastAsia"/>
                      <w:kern w:val="2"/>
                    </w:rPr>
                    <w:t>昼间</w:t>
                  </w:r>
                </w:p>
              </w:tc>
              <w:tc>
                <w:tcPr>
                  <w:tcW w:w="1168" w:type="pct"/>
                  <w:tcBorders>
                    <w:top w:val="single" w:color="auto" w:sz="4" w:space="0"/>
                    <w:left w:val="single" w:color="auto" w:sz="4" w:space="0"/>
                    <w:bottom w:val="single" w:color="auto" w:sz="4" w:space="0"/>
                    <w:right w:val="single" w:color="auto" w:sz="4" w:space="0"/>
                  </w:tcBorders>
                  <w:vAlign w:val="center"/>
                </w:tcPr>
                <w:p w14:paraId="7C36233C">
                  <w:pPr>
                    <w:pStyle w:val="40"/>
                  </w:pPr>
                  <w:r>
                    <w:rPr>
                      <w:rFonts w:hint="eastAsia"/>
                    </w:rPr>
                    <w:t>52.9</w:t>
                  </w:r>
                </w:p>
              </w:tc>
              <w:tc>
                <w:tcPr>
                  <w:tcW w:w="1147" w:type="pct"/>
                  <w:tcBorders>
                    <w:top w:val="single" w:color="auto" w:sz="4" w:space="0"/>
                    <w:left w:val="single" w:color="auto" w:sz="4" w:space="0"/>
                    <w:bottom w:val="single" w:color="auto" w:sz="4" w:space="0"/>
                    <w:right w:val="single" w:color="auto" w:sz="4" w:space="0"/>
                  </w:tcBorders>
                  <w:vAlign w:val="center"/>
                </w:tcPr>
                <w:p w14:paraId="2B4D749D">
                  <w:pPr>
                    <w:pStyle w:val="40"/>
                  </w:pPr>
                  <w:r>
                    <w:rPr>
                      <w:rFonts w:hint="eastAsia"/>
                    </w:rPr>
                    <w:t>60</w:t>
                  </w:r>
                </w:p>
              </w:tc>
              <w:tc>
                <w:tcPr>
                  <w:tcW w:w="724" w:type="pct"/>
                  <w:tcBorders>
                    <w:top w:val="single" w:color="auto" w:sz="4" w:space="0"/>
                    <w:left w:val="single" w:color="auto" w:sz="4" w:space="0"/>
                    <w:bottom w:val="single" w:color="auto" w:sz="4" w:space="0"/>
                    <w:right w:val="single" w:color="auto" w:sz="4" w:space="0"/>
                  </w:tcBorders>
                  <w:vAlign w:val="center"/>
                </w:tcPr>
                <w:p w14:paraId="450AB586">
                  <w:pPr>
                    <w:pStyle w:val="40"/>
                  </w:pPr>
                  <w:r>
                    <w:rPr>
                      <w:rFonts w:hint="eastAsia"/>
                    </w:rPr>
                    <w:t>达标</w:t>
                  </w:r>
                </w:p>
              </w:tc>
            </w:tr>
            <w:tr w14:paraId="2323E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995" w:type="pct"/>
                  <w:tcBorders>
                    <w:left w:val="single" w:color="auto" w:sz="4" w:space="0"/>
                    <w:right w:val="single" w:color="auto" w:sz="4" w:space="0"/>
                  </w:tcBorders>
                  <w:vAlign w:val="center"/>
                </w:tcPr>
                <w:p w14:paraId="5A12498D">
                  <w:pPr>
                    <w:pStyle w:val="40"/>
                  </w:pPr>
                  <w:r>
                    <w:rPr>
                      <w:rFonts w:hint="eastAsia"/>
                    </w:rPr>
                    <w:t>东侧住宅3#</w:t>
                  </w:r>
                </w:p>
              </w:tc>
              <w:tc>
                <w:tcPr>
                  <w:tcW w:w="965" w:type="pct"/>
                  <w:tcBorders>
                    <w:top w:val="single" w:color="auto" w:sz="4" w:space="0"/>
                    <w:left w:val="single" w:color="auto" w:sz="4" w:space="0"/>
                    <w:bottom w:val="single" w:color="auto" w:sz="4" w:space="0"/>
                    <w:right w:val="single" w:color="auto" w:sz="4" w:space="0"/>
                  </w:tcBorders>
                  <w:vAlign w:val="center"/>
                </w:tcPr>
                <w:p w14:paraId="476D2E24">
                  <w:pPr>
                    <w:pStyle w:val="40"/>
                  </w:pPr>
                  <w:r>
                    <w:rPr>
                      <w:rFonts w:hint="eastAsia"/>
                    </w:rPr>
                    <w:t>昼间</w:t>
                  </w:r>
                </w:p>
              </w:tc>
              <w:tc>
                <w:tcPr>
                  <w:tcW w:w="1168" w:type="pct"/>
                  <w:tcBorders>
                    <w:top w:val="single" w:color="auto" w:sz="4" w:space="0"/>
                    <w:left w:val="single" w:color="auto" w:sz="4" w:space="0"/>
                    <w:bottom w:val="single" w:color="auto" w:sz="4" w:space="0"/>
                    <w:right w:val="single" w:color="auto" w:sz="4" w:space="0"/>
                  </w:tcBorders>
                  <w:vAlign w:val="center"/>
                </w:tcPr>
                <w:p w14:paraId="781D89B4">
                  <w:pPr>
                    <w:pStyle w:val="40"/>
                  </w:pPr>
                  <w:r>
                    <w:rPr>
                      <w:rFonts w:hint="eastAsia"/>
                    </w:rPr>
                    <w:t>53.9</w:t>
                  </w:r>
                </w:p>
              </w:tc>
              <w:tc>
                <w:tcPr>
                  <w:tcW w:w="1147" w:type="pct"/>
                  <w:tcBorders>
                    <w:top w:val="single" w:color="auto" w:sz="4" w:space="0"/>
                    <w:left w:val="single" w:color="auto" w:sz="4" w:space="0"/>
                    <w:bottom w:val="single" w:color="auto" w:sz="4" w:space="0"/>
                    <w:right w:val="single" w:color="auto" w:sz="4" w:space="0"/>
                  </w:tcBorders>
                  <w:vAlign w:val="center"/>
                </w:tcPr>
                <w:p w14:paraId="64E8873F">
                  <w:pPr>
                    <w:pStyle w:val="40"/>
                  </w:pPr>
                  <w:r>
                    <w:rPr>
                      <w:rFonts w:hint="eastAsia"/>
                    </w:rPr>
                    <w:t>60</w:t>
                  </w:r>
                </w:p>
              </w:tc>
              <w:tc>
                <w:tcPr>
                  <w:tcW w:w="724" w:type="pct"/>
                  <w:tcBorders>
                    <w:top w:val="single" w:color="auto" w:sz="4" w:space="0"/>
                    <w:left w:val="single" w:color="auto" w:sz="4" w:space="0"/>
                    <w:bottom w:val="single" w:color="auto" w:sz="4" w:space="0"/>
                    <w:right w:val="single" w:color="auto" w:sz="4" w:space="0"/>
                  </w:tcBorders>
                  <w:vAlign w:val="center"/>
                </w:tcPr>
                <w:p w14:paraId="519747C6">
                  <w:pPr>
                    <w:spacing w:line="240" w:lineRule="auto"/>
                    <w:ind w:firstLine="0" w:firstLineChars="0"/>
                    <w:jc w:val="center"/>
                  </w:pPr>
                  <w:r>
                    <w:rPr>
                      <w:rFonts w:hint="eastAsia"/>
                    </w:rPr>
                    <w:t>达标</w:t>
                  </w:r>
                </w:p>
              </w:tc>
            </w:tr>
            <w:tr w14:paraId="2EE50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995" w:type="pct"/>
                  <w:tcBorders>
                    <w:left w:val="single" w:color="auto" w:sz="4" w:space="0"/>
                    <w:right w:val="single" w:color="auto" w:sz="4" w:space="0"/>
                  </w:tcBorders>
                  <w:vAlign w:val="center"/>
                </w:tcPr>
                <w:p w14:paraId="228C6A92">
                  <w:pPr>
                    <w:pStyle w:val="40"/>
                  </w:pPr>
                  <w:r>
                    <w:rPr>
                      <w:rFonts w:hint="eastAsia"/>
                    </w:rPr>
                    <w:t>北侧住宅4#</w:t>
                  </w:r>
                </w:p>
              </w:tc>
              <w:tc>
                <w:tcPr>
                  <w:tcW w:w="965" w:type="pct"/>
                  <w:tcBorders>
                    <w:top w:val="single" w:color="auto" w:sz="4" w:space="0"/>
                    <w:left w:val="single" w:color="auto" w:sz="4" w:space="0"/>
                    <w:bottom w:val="single" w:color="auto" w:sz="4" w:space="0"/>
                    <w:right w:val="single" w:color="auto" w:sz="4" w:space="0"/>
                  </w:tcBorders>
                  <w:vAlign w:val="center"/>
                </w:tcPr>
                <w:p w14:paraId="16D3D6F2">
                  <w:pPr>
                    <w:spacing w:line="240" w:lineRule="auto"/>
                    <w:ind w:firstLine="0" w:firstLineChars="0"/>
                    <w:jc w:val="center"/>
                  </w:pPr>
                  <w:r>
                    <w:rPr>
                      <w:rFonts w:hint="eastAsia"/>
                    </w:rPr>
                    <w:t>昼间</w:t>
                  </w:r>
                </w:p>
              </w:tc>
              <w:tc>
                <w:tcPr>
                  <w:tcW w:w="1168" w:type="pct"/>
                  <w:tcBorders>
                    <w:top w:val="single" w:color="auto" w:sz="4" w:space="0"/>
                    <w:left w:val="single" w:color="auto" w:sz="4" w:space="0"/>
                    <w:bottom w:val="single" w:color="auto" w:sz="4" w:space="0"/>
                    <w:right w:val="single" w:color="auto" w:sz="4" w:space="0"/>
                  </w:tcBorders>
                  <w:vAlign w:val="center"/>
                </w:tcPr>
                <w:p w14:paraId="6D9F31AF">
                  <w:pPr>
                    <w:pStyle w:val="40"/>
                  </w:pPr>
                  <w:r>
                    <w:rPr>
                      <w:rFonts w:hint="eastAsia"/>
                    </w:rPr>
                    <w:t>52.6</w:t>
                  </w:r>
                </w:p>
              </w:tc>
              <w:tc>
                <w:tcPr>
                  <w:tcW w:w="1147" w:type="pct"/>
                  <w:tcBorders>
                    <w:top w:val="single" w:color="auto" w:sz="4" w:space="0"/>
                    <w:left w:val="single" w:color="auto" w:sz="4" w:space="0"/>
                    <w:bottom w:val="single" w:color="auto" w:sz="4" w:space="0"/>
                    <w:right w:val="single" w:color="auto" w:sz="4" w:space="0"/>
                  </w:tcBorders>
                  <w:vAlign w:val="center"/>
                </w:tcPr>
                <w:p w14:paraId="20D3C0A5">
                  <w:pPr>
                    <w:pStyle w:val="40"/>
                  </w:pPr>
                  <w:r>
                    <w:rPr>
                      <w:rFonts w:hint="eastAsia"/>
                    </w:rPr>
                    <w:t>60</w:t>
                  </w:r>
                </w:p>
              </w:tc>
              <w:tc>
                <w:tcPr>
                  <w:tcW w:w="724" w:type="pct"/>
                  <w:tcBorders>
                    <w:top w:val="single" w:color="auto" w:sz="4" w:space="0"/>
                    <w:left w:val="single" w:color="auto" w:sz="4" w:space="0"/>
                    <w:bottom w:val="single" w:color="auto" w:sz="4" w:space="0"/>
                    <w:right w:val="single" w:color="auto" w:sz="4" w:space="0"/>
                  </w:tcBorders>
                  <w:vAlign w:val="center"/>
                </w:tcPr>
                <w:p w14:paraId="109E6CF3">
                  <w:pPr>
                    <w:spacing w:line="240" w:lineRule="auto"/>
                    <w:ind w:firstLine="0" w:firstLineChars="0"/>
                    <w:jc w:val="center"/>
                  </w:pPr>
                  <w:r>
                    <w:rPr>
                      <w:rFonts w:hint="eastAsia"/>
                    </w:rPr>
                    <w:t>达标</w:t>
                  </w:r>
                </w:p>
              </w:tc>
            </w:tr>
          </w:tbl>
          <w:p w14:paraId="4B76A883">
            <w:pPr>
              <w:ind w:firstLine="420"/>
              <w:rPr>
                <w:bCs/>
                <w:szCs w:val="21"/>
              </w:rPr>
            </w:pPr>
            <w:r>
              <w:rPr>
                <w:rFonts w:hint="eastAsia"/>
                <w:bCs/>
                <w:szCs w:val="21"/>
              </w:rPr>
              <w:t>根据检测结果，项目周边声环境保护目标的声环境质量可满足《声环境质量标准》（GB3096-2008）表1中2类环境噪声限值。</w:t>
            </w:r>
          </w:p>
        </w:tc>
      </w:tr>
      <w:tr w14:paraId="6D66AF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925" w:hRule="atLeast"/>
          <w:jc w:val="center"/>
        </w:trPr>
        <w:tc>
          <w:tcPr>
            <w:tcW w:w="675" w:type="dxa"/>
            <w:vAlign w:val="center"/>
          </w:tcPr>
          <w:p w14:paraId="10194CCC">
            <w:pPr>
              <w:pStyle w:val="40"/>
            </w:pPr>
            <w:r>
              <w:rPr>
                <w:rFonts w:hint="eastAsia"/>
              </w:rPr>
              <w:t>环境</w:t>
            </w:r>
          </w:p>
          <w:p w14:paraId="7EA528E9">
            <w:pPr>
              <w:pStyle w:val="40"/>
            </w:pPr>
            <w:r>
              <w:rPr>
                <w:rFonts w:hint="eastAsia"/>
              </w:rPr>
              <w:t>保护</w:t>
            </w:r>
          </w:p>
          <w:p w14:paraId="7C0D9594">
            <w:pPr>
              <w:pStyle w:val="40"/>
            </w:pPr>
            <w:r>
              <w:rPr>
                <w:rFonts w:hint="eastAsia"/>
              </w:rPr>
              <w:t>目标</w:t>
            </w:r>
          </w:p>
        </w:tc>
        <w:tc>
          <w:tcPr>
            <w:tcW w:w="8386" w:type="dxa"/>
            <w:vAlign w:val="center"/>
          </w:tcPr>
          <w:p w14:paraId="632EEFF7">
            <w:pPr>
              <w:adjustRightInd w:val="0"/>
              <w:snapToGrid w:val="0"/>
              <w:spacing w:line="400" w:lineRule="exact"/>
              <w:ind w:firstLine="420"/>
              <w:rPr>
                <w:bCs/>
                <w:szCs w:val="21"/>
              </w:rPr>
            </w:pPr>
            <w:r>
              <w:rPr>
                <w:rFonts w:hint="eastAsia"/>
                <w:bCs/>
                <w:szCs w:val="21"/>
              </w:rPr>
              <w:t>项目厂界外500m范围内有村庄和行政办公场所，厂界外50m范围内有声环境保护目标，厂界外500m范围内无地下水集中式饮用水水源和热水、矿泉水、温泉等特殊地下水资源，项目不新增占地。本项目涉及的环境保护目标、标准、级别见下表。</w:t>
            </w:r>
          </w:p>
          <w:p w14:paraId="64170276">
            <w:pPr>
              <w:pStyle w:val="74"/>
            </w:pPr>
          </w:p>
          <w:p w14:paraId="070BDC2B">
            <w:pPr>
              <w:pStyle w:val="74"/>
            </w:pPr>
            <w:r>
              <w:rPr>
                <w:rFonts w:hint="eastAsia"/>
              </w:rPr>
              <w:t>表3-3环境保护目标情况一览表</w:t>
            </w:r>
          </w:p>
          <w:tbl>
            <w:tblPr>
              <w:tblStyle w:val="25"/>
              <w:tblW w:w="79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577"/>
              <w:gridCol w:w="578"/>
              <w:gridCol w:w="1173"/>
              <w:gridCol w:w="1559"/>
              <w:gridCol w:w="1559"/>
              <w:gridCol w:w="708"/>
              <w:gridCol w:w="710"/>
              <w:gridCol w:w="568"/>
              <w:gridCol w:w="506"/>
            </w:tblGrid>
            <w:tr w14:paraId="7F3B5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5" w:hRule="atLeast"/>
                <w:jc w:val="center"/>
              </w:trPr>
              <w:tc>
                <w:tcPr>
                  <w:tcW w:w="363" w:type="pct"/>
                  <w:vMerge w:val="restart"/>
                  <w:vAlign w:val="center"/>
                </w:tcPr>
                <w:p w14:paraId="3ED0CE83">
                  <w:pPr>
                    <w:pStyle w:val="40"/>
                  </w:pPr>
                  <w:r>
                    <w:rPr>
                      <w:rFonts w:hint="eastAsia"/>
                    </w:rPr>
                    <w:t>环境要素</w:t>
                  </w:r>
                </w:p>
              </w:tc>
              <w:tc>
                <w:tcPr>
                  <w:tcW w:w="364" w:type="pct"/>
                  <w:vMerge w:val="restart"/>
                  <w:shd w:val="clear" w:color="auto" w:fill="auto"/>
                  <w:noWrap/>
                  <w:tcMar>
                    <w:left w:w="0" w:type="dxa"/>
                    <w:right w:w="0" w:type="dxa"/>
                  </w:tcMar>
                  <w:vAlign w:val="center"/>
                </w:tcPr>
                <w:p w14:paraId="7085E74E">
                  <w:pPr>
                    <w:pStyle w:val="40"/>
                  </w:pPr>
                  <w:r>
                    <w:t>序号</w:t>
                  </w:r>
                </w:p>
              </w:tc>
              <w:tc>
                <w:tcPr>
                  <w:tcW w:w="739" w:type="pct"/>
                  <w:vMerge w:val="restart"/>
                  <w:shd w:val="clear" w:color="auto" w:fill="auto"/>
                  <w:noWrap/>
                  <w:tcMar>
                    <w:left w:w="0" w:type="dxa"/>
                    <w:right w:w="0" w:type="dxa"/>
                  </w:tcMar>
                  <w:vAlign w:val="center"/>
                </w:tcPr>
                <w:p w14:paraId="582CE7C8">
                  <w:pPr>
                    <w:pStyle w:val="40"/>
                  </w:pPr>
                  <w:r>
                    <w:t>名称</w:t>
                  </w:r>
                </w:p>
              </w:tc>
              <w:tc>
                <w:tcPr>
                  <w:tcW w:w="1964" w:type="pct"/>
                  <w:gridSpan w:val="2"/>
                  <w:shd w:val="clear" w:color="auto" w:fill="auto"/>
                  <w:noWrap/>
                  <w:tcMar>
                    <w:left w:w="0" w:type="dxa"/>
                    <w:right w:w="0" w:type="dxa"/>
                  </w:tcMar>
                  <w:vAlign w:val="center"/>
                </w:tcPr>
                <w:p w14:paraId="764CE74D">
                  <w:pPr>
                    <w:pStyle w:val="40"/>
                  </w:pPr>
                  <w:r>
                    <w:t>坐标</w:t>
                  </w:r>
                </w:p>
              </w:tc>
              <w:tc>
                <w:tcPr>
                  <w:tcW w:w="893" w:type="pct"/>
                  <w:gridSpan w:val="2"/>
                  <w:shd w:val="clear" w:color="auto" w:fill="auto"/>
                  <w:noWrap/>
                  <w:tcMar>
                    <w:left w:w="0" w:type="dxa"/>
                    <w:right w:w="0" w:type="dxa"/>
                  </w:tcMar>
                  <w:vAlign w:val="center"/>
                </w:tcPr>
                <w:p w14:paraId="14DC3B18">
                  <w:pPr>
                    <w:pStyle w:val="40"/>
                  </w:pPr>
                  <w:r>
                    <w:t>与项目厂界的位置关系</w:t>
                  </w:r>
                </w:p>
              </w:tc>
              <w:tc>
                <w:tcPr>
                  <w:tcW w:w="358" w:type="pct"/>
                  <w:vMerge w:val="restart"/>
                  <w:vAlign w:val="center"/>
                </w:tcPr>
                <w:p w14:paraId="4F185D9B">
                  <w:pPr>
                    <w:pStyle w:val="40"/>
                  </w:pPr>
                  <w:r>
                    <w:rPr>
                      <w:rFonts w:hint="eastAsia"/>
                    </w:rPr>
                    <w:t>保护内容</w:t>
                  </w:r>
                </w:p>
              </w:tc>
              <w:tc>
                <w:tcPr>
                  <w:tcW w:w="319" w:type="pct"/>
                  <w:vMerge w:val="restart"/>
                  <w:shd w:val="clear" w:color="auto" w:fill="auto"/>
                  <w:noWrap/>
                  <w:tcMar>
                    <w:left w:w="0" w:type="dxa"/>
                    <w:right w:w="0" w:type="dxa"/>
                  </w:tcMar>
                  <w:vAlign w:val="center"/>
                </w:tcPr>
                <w:p w14:paraId="744876CC">
                  <w:pPr>
                    <w:pStyle w:val="40"/>
                  </w:pPr>
                  <w:r>
                    <w:t>保护级别</w:t>
                  </w:r>
                </w:p>
              </w:tc>
            </w:tr>
            <w:tr w14:paraId="33773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3" w:hRule="atLeast"/>
                <w:jc w:val="center"/>
              </w:trPr>
              <w:tc>
                <w:tcPr>
                  <w:tcW w:w="363" w:type="pct"/>
                  <w:vMerge w:val="continue"/>
                </w:tcPr>
                <w:p w14:paraId="1C289A06">
                  <w:pPr>
                    <w:pStyle w:val="40"/>
                  </w:pPr>
                </w:p>
              </w:tc>
              <w:tc>
                <w:tcPr>
                  <w:tcW w:w="364" w:type="pct"/>
                  <w:vMerge w:val="continue"/>
                  <w:shd w:val="clear" w:color="auto" w:fill="auto"/>
                  <w:noWrap/>
                  <w:tcMar>
                    <w:left w:w="0" w:type="dxa"/>
                    <w:right w:w="0" w:type="dxa"/>
                  </w:tcMar>
                  <w:vAlign w:val="center"/>
                </w:tcPr>
                <w:p w14:paraId="115E4193">
                  <w:pPr>
                    <w:pStyle w:val="40"/>
                  </w:pPr>
                </w:p>
              </w:tc>
              <w:tc>
                <w:tcPr>
                  <w:tcW w:w="739" w:type="pct"/>
                  <w:vMerge w:val="continue"/>
                  <w:shd w:val="clear" w:color="auto" w:fill="auto"/>
                  <w:noWrap/>
                  <w:tcMar>
                    <w:left w:w="0" w:type="dxa"/>
                    <w:right w:w="0" w:type="dxa"/>
                  </w:tcMar>
                  <w:vAlign w:val="center"/>
                </w:tcPr>
                <w:p w14:paraId="6C995173">
                  <w:pPr>
                    <w:pStyle w:val="40"/>
                  </w:pPr>
                </w:p>
              </w:tc>
              <w:tc>
                <w:tcPr>
                  <w:tcW w:w="982" w:type="pct"/>
                  <w:shd w:val="clear" w:color="auto" w:fill="auto"/>
                  <w:noWrap/>
                  <w:tcMar>
                    <w:left w:w="0" w:type="dxa"/>
                    <w:right w:w="0" w:type="dxa"/>
                  </w:tcMar>
                  <w:vAlign w:val="center"/>
                </w:tcPr>
                <w:p w14:paraId="3EC5F7F3">
                  <w:pPr>
                    <w:pStyle w:val="40"/>
                  </w:pPr>
                  <w:r>
                    <w:t>经度</w:t>
                  </w:r>
                </w:p>
              </w:tc>
              <w:tc>
                <w:tcPr>
                  <w:tcW w:w="982" w:type="pct"/>
                  <w:shd w:val="clear" w:color="auto" w:fill="auto"/>
                  <w:noWrap/>
                  <w:tcMar>
                    <w:left w:w="0" w:type="dxa"/>
                    <w:right w:w="0" w:type="dxa"/>
                  </w:tcMar>
                  <w:vAlign w:val="center"/>
                </w:tcPr>
                <w:p w14:paraId="6AB3D84B">
                  <w:pPr>
                    <w:pStyle w:val="40"/>
                  </w:pPr>
                  <w:r>
                    <w:t>纬度</w:t>
                  </w:r>
                </w:p>
              </w:tc>
              <w:tc>
                <w:tcPr>
                  <w:tcW w:w="446" w:type="pct"/>
                  <w:shd w:val="clear" w:color="auto" w:fill="auto"/>
                  <w:noWrap/>
                  <w:tcMar>
                    <w:left w:w="0" w:type="dxa"/>
                    <w:right w:w="0" w:type="dxa"/>
                  </w:tcMar>
                  <w:vAlign w:val="center"/>
                </w:tcPr>
                <w:p w14:paraId="10F4E730">
                  <w:pPr>
                    <w:pStyle w:val="40"/>
                  </w:pPr>
                  <w:r>
                    <w:t>方位</w:t>
                  </w:r>
                </w:p>
              </w:tc>
              <w:tc>
                <w:tcPr>
                  <w:tcW w:w="447" w:type="pct"/>
                  <w:shd w:val="clear" w:color="auto" w:fill="auto"/>
                  <w:noWrap/>
                  <w:tcMar>
                    <w:left w:w="0" w:type="dxa"/>
                    <w:right w:w="0" w:type="dxa"/>
                  </w:tcMar>
                  <w:vAlign w:val="center"/>
                </w:tcPr>
                <w:p w14:paraId="68F7F886">
                  <w:pPr>
                    <w:pStyle w:val="40"/>
                  </w:pPr>
                  <w:r>
                    <w:t>距离</w:t>
                  </w:r>
                </w:p>
              </w:tc>
              <w:tc>
                <w:tcPr>
                  <w:tcW w:w="358" w:type="pct"/>
                  <w:vMerge w:val="continue"/>
                </w:tcPr>
                <w:p w14:paraId="56E3B652">
                  <w:pPr>
                    <w:pStyle w:val="40"/>
                  </w:pPr>
                </w:p>
              </w:tc>
              <w:tc>
                <w:tcPr>
                  <w:tcW w:w="319" w:type="pct"/>
                  <w:vMerge w:val="continue"/>
                  <w:shd w:val="clear" w:color="auto" w:fill="auto"/>
                  <w:noWrap/>
                  <w:tcMar>
                    <w:left w:w="0" w:type="dxa"/>
                    <w:right w:w="0" w:type="dxa"/>
                  </w:tcMar>
                  <w:vAlign w:val="center"/>
                </w:tcPr>
                <w:p w14:paraId="3C9A0B5B">
                  <w:pPr>
                    <w:pStyle w:val="40"/>
                  </w:pPr>
                </w:p>
              </w:tc>
            </w:tr>
            <w:tr w14:paraId="1B7AF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9" w:hRule="atLeast"/>
                <w:jc w:val="center"/>
              </w:trPr>
              <w:tc>
                <w:tcPr>
                  <w:tcW w:w="363" w:type="pct"/>
                  <w:vMerge w:val="restart"/>
                  <w:vAlign w:val="center"/>
                </w:tcPr>
                <w:p w14:paraId="2C83ADFB">
                  <w:pPr>
                    <w:pStyle w:val="40"/>
                  </w:pPr>
                  <w:r>
                    <w:rPr>
                      <w:rFonts w:hint="eastAsia"/>
                    </w:rPr>
                    <w:t>环境空气</w:t>
                  </w:r>
                </w:p>
              </w:tc>
              <w:tc>
                <w:tcPr>
                  <w:tcW w:w="364" w:type="pct"/>
                  <w:shd w:val="clear" w:color="auto" w:fill="auto"/>
                  <w:noWrap/>
                  <w:tcMar>
                    <w:left w:w="0" w:type="dxa"/>
                    <w:right w:w="0" w:type="dxa"/>
                  </w:tcMar>
                  <w:vAlign w:val="center"/>
                </w:tcPr>
                <w:p w14:paraId="1B6CEA4A">
                  <w:pPr>
                    <w:pStyle w:val="40"/>
                  </w:pPr>
                  <w:r>
                    <w:t>1</w:t>
                  </w:r>
                </w:p>
              </w:tc>
              <w:tc>
                <w:tcPr>
                  <w:tcW w:w="739" w:type="pct"/>
                  <w:shd w:val="clear" w:color="auto" w:fill="auto"/>
                  <w:noWrap/>
                  <w:tcMar>
                    <w:left w:w="0" w:type="dxa"/>
                    <w:right w:w="0" w:type="dxa"/>
                  </w:tcMar>
                  <w:vAlign w:val="center"/>
                </w:tcPr>
                <w:p w14:paraId="331735D0">
                  <w:pPr>
                    <w:pStyle w:val="40"/>
                  </w:pPr>
                  <w:bookmarkStart w:id="70" w:name="OLE_LINK411"/>
                  <w:bookmarkStart w:id="71" w:name="OLE_LINK410"/>
                  <w:r>
                    <w:rPr>
                      <w:rFonts w:hint="eastAsia"/>
                    </w:rPr>
                    <w:t>东侧坟坨村</w:t>
                  </w:r>
                  <w:bookmarkEnd w:id="70"/>
                  <w:bookmarkEnd w:id="71"/>
                  <w:r>
                    <w:rPr>
                      <w:rFonts w:hint="eastAsia"/>
                    </w:rPr>
                    <w:t>居民住宅</w:t>
                  </w:r>
                </w:p>
              </w:tc>
              <w:tc>
                <w:tcPr>
                  <w:tcW w:w="982" w:type="pct"/>
                  <w:shd w:val="clear" w:color="auto" w:fill="auto"/>
                  <w:noWrap/>
                  <w:tcMar>
                    <w:left w:w="0" w:type="dxa"/>
                    <w:right w:w="0" w:type="dxa"/>
                  </w:tcMar>
                  <w:vAlign w:val="center"/>
                </w:tcPr>
                <w:p w14:paraId="2FB8679F">
                  <w:pPr>
                    <w:pStyle w:val="40"/>
                  </w:pPr>
                  <w:r>
                    <w:t>119°</w:t>
                  </w:r>
                  <w:r>
                    <w:rPr>
                      <w:rFonts w:hint="eastAsia"/>
                    </w:rPr>
                    <w:t>12</w:t>
                  </w:r>
                  <w:r>
                    <w:t>′</w:t>
                  </w:r>
                  <w:r>
                    <w:rPr>
                      <w:rFonts w:hint="eastAsia"/>
                    </w:rPr>
                    <w:t>7.628</w:t>
                  </w:r>
                  <w:r>
                    <w:t>″</w:t>
                  </w:r>
                </w:p>
              </w:tc>
              <w:tc>
                <w:tcPr>
                  <w:tcW w:w="982" w:type="pct"/>
                  <w:shd w:val="clear" w:color="auto" w:fill="auto"/>
                  <w:noWrap/>
                  <w:tcMar>
                    <w:left w:w="0" w:type="dxa"/>
                    <w:right w:w="0" w:type="dxa"/>
                  </w:tcMar>
                  <w:vAlign w:val="center"/>
                </w:tcPr>
                <w:p w14:paraId="62339C52">
                  <w:pPr>
                    <w:pStyle w:val="40"/>
                  </w:pPr>
                  <w:bookmarkStart w:id="72" w:name="OLE_LINK41"/>
                  <w:bookmarkStart w:id="73" w:name="OLE_LINK42"/>
                  <w:bookmarkStart w:id="74" w:name="OLE_LINK43"/>
                  <w:r>
                    <w:rPr>
                      <w:rFonts w:hint="eastAsia"/>
                    </w:rPr>
                    <w:t>39</w:t>
                  </w:r>
                  <w:r>
                    <w:t>°</w:t>
                  </w:r>
                  <w:r>
                    <w:rPr>
                      <w:rFonts w:hint="eastAsia"/>
                    </w:rPr>
                    <w:t>50</w:t>
                  </w:r>
                  <w:r>
                    <w:t>′</w:t>
                  </w:r>
                  <w:r>
                    <w:rPr>
                      <w:rFonts w:hint="eastAsia"/>
                    </w:rPr>
                    <w:t>40.070</w:t>
                  </w:r>
                  <w:r>
                    <w:t>″</w:t>
                  </w:r>
                  <w:bookmarkEnd w:id="72"/>
                  <w:bookmarkEnd w:id="73"/>
                  <w:bookmarkEnd w:id="74"/>
                </w:p>
              </w:tc>
              <w:tc>
                <w:tcPr>
                  <w:tcW w:w="446" w:type="pct"/>
                  <w:shd w:val="clear" w:color="auto" w:fill="auto"/>
                  <w:noWrap/>
                  <w:tcMar>
                    <w:left w:w="0" w:type="dxa"/>
                    <w:right w:w="0" w:type="dxa"/>
                  </w:tcMar>
                  <w:vAlign w:val="center"/>
                </w:tcPr>
                <w:p w14:paraId="4E7AA444">
                  <w:pPr>
                    <w:pStyle w:val="40"/>
                  </w:pPr>
                  <w:r>
                    <w:rPr>
                      <w:rFonts w:hint="eastAsia"/>
                    </w:rPr>
                    <w:t>E</w:t>
                  </w:r>
                </w:p>
              </w:tc>
              <w:tc>
                <w:tcPr>
                  <w:tcW w:w="447" w:type="pct"/>
                  <w:shd w:val="clear" w:color="auto" w:fill="auto"/>
                  <w:noWrap/>
                  <w:tcMar>
                    <w:left w:w="0" w:type="dxa"/>
                    <w:right w:w="0" w:type="dxa"/>
                  </w:tcMar>
                  <w:vAlign w:val="center"/>
                </w:tcPr>
                <w:p w14:paraId="1F88687F">
                  <w:pPr>
                    <w:pStyle w:val="40"/>
                    <w:rPr>
                      <w:highlight w:val="yellow"/>
                    </w:rPr>
                  </w:pPr>
                  <w:r>
                    <w:rPr>
                      <w:rFonts w:hint="eastAsia"/>
                    </w:rPr>
                    <w:t>紧邻</w:t>
                  </w:r>
                </w:p>
              </w:tc>
              <w:tc>
                <w:tcPr>
                  <w:tcW w:w="358" w:type="pct"/>
                  <w:vAlign w:val="center"/>
                </w:tcPr>
                <w:p w14:paraId="11A752EF">
                  <w:pPr>
                    <w:pStyle w:val="40"/>
                  </w:pPr>
                  <w:r>
                    <w:rPr>
                      <w:rFonts w:hint="eastAsia"/>
                    </w:rPr>
                    <w:t>居民</w:t>
                  </w:r>
                </w:p>
              </w:tc>
              <w:tc>
                <w:tcPr>
                  <w:tcW w:w="319" w:type="pct"/>
                  <w:shd w:val="clear" w:color="auto" w:fill="auto"/>
                  <w:noWrap/>
                  <w:tcMar>
                    <w:left w:w="0" w:type="dxa"/>
                    <w:right w:w="0" w:type="dxa"/>
                  </w:tcMar>
                  <w:vAlign w:val="center"/>
                </w:tcPr>
                <w:p w14:paraId="331A9E8E">
                  <w:pPr>
                    <w:pStyle w:val="40"/>
                  </w:pPr>
                  <w:r>
                    <w:t>二类</w:t>
                  </w:r>
                </w:p>
              </w:tc>
            </w:tr>
            <w:tr w14:paraId="5D4C0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9" w:hRule="atLeast"/>
                <w:jc w:val="center"/>
              </w:trPr>
              <w:tc>
                <w:tcPr>
                  <w:tcW w:w="363" w:type="pct"/>
                  <w:vMerge w:val="continue"/>
                  <w:vAlign w:val="center"/>
                </w:tcPr>
                <w:p w14:paraId="725BE860">
                  <w:pPr>
                    <w:pStyle w:val="40"/>
                  </w:pPr>
                </w:p>
              </w:tc>
              <w:tc>
                <w:tcPr>
                  <w:tcW w:w="364" w:type="pct"/>
                  <w:shd w:val="clear" w:color="auto" w:fill="auto"/>
                  <w:noWrap/>
                  <w:tcMar>
                    <w:left w:w="0" w:type="dxa"/>
                    <w:right w:w="0" w:type="dxa"/>
                  </w:tcMar>
                  <w:vAlign w:val="center"/>
                </w:tcPr>
                <w:p w14:paraId="244D68DF">
                  <w:pPr>
                    <w:pStyle w:val="40"/>
                  </w:pPr>
                  <w:r>
                    <w:rPr>
                      <w:rFonts w:hint="eastAsia"/>
                    </w:rPr>
                    <w:t>2</w:t>
                  </w:r>
                </w:p>
              </w:tc>
              <w:tc>
                <w:tcPr>
                  <w:tcW w:w="739" w:type="pct"/>
                  <w:shd w:val="clear" w:color="auto" w:fill="auto"/>
                  <w:noWrap/>
                  <w:tcMar>
                    <w:left w:w="0" w:type="dxa"/>
                    <w:right w:w="0" w:type="dxa"/>
                  </w:tcMar>
                </w:tcPr>
                <w:p w14:paraId="079C6069">
                  <w:pPr>
                    <w:pStyle w:val="40"/>
                  </w:pPr>
                  <w:r>
                    <w:rPr>
                      <w:rFonts w:hint="eastAsia"/>
                    </w:rPr>
                    <w:t>南侧坟坨村居民住宅</w:t>
                  </w:r>
                </w:p>
              </w:tc>
              <w:tc>
                <w:tcPr>
                  <w:tcW w:w="982" w:type="pct"/>
                  <w:shd w:val="clear" w:color="auto" w:fill="auto"/>
                  <w:noWrap/>
                  <w:tcMar>
                    <w:left w:w="0" w:type="dxa"/>
                    <w:right w:w="0" w:type="dxa"/>
                  </w:tcMar>
                  <w:vAlign w:val="center"/>
                </w:tcPr>
                <w:p w14:paraId="15A52C95">
                  <w:pPr>
                    <w:pStyle w:val="40"/>
                  </w:pPr>
                  <w:bookmarkStart w:id="75" w:name="OLE_LINK44"/>
                  <w:bookmarkStart w:id="76" w:name="OLE_LINK45"/>
                  <w:r>
                    <w:t>119°</w:t>
                  </w:r>
                  <w:r>
                    <w:rPr>
                      <w:rFonts w:hint="eastAsia"/>
                    </w:rPr>
                    <w:t>12</w:t>
                  </w:r>
                  <w:r>
                    <w:t>′</w:t>
                  </w:r>
                  <w:r>
                    <w:rPr>
                      <w:rFonts w:hint="eastAsia"/>
                    </w:rPr>
                    <w:t>5.263</w:t>
                  </w:r>
                  <w:r>
                    <w:t>″</w:t>
                  </w:r>
                  <w:bookmarkEnd w:id="75"/>
                  <w:bookmarkEnd w:id="76"/>
                </w:p>
              </w:tc>
              <w:tc>
                <w:tcPr>
                  <w:tcW w:w="982" w:type="pct"/>
                  <w:shd w:val="clear" w:color="auto" w:fill="auto"/>
                  <w:noWrap/>
                  <w:tcMar>
                    <w:left w:w="0" w:type="dxa"/>
                    <w:right w:w="0" w:type="dxa"/>
                  </w:tcMar>
                  <w:vAlign w:val="center"/>
                </w:tcPr>
                <w:p w14:paraId="68F52AEA">
                  <w:pPr>
                    <w:pStyle w:val="40"/>
                  </w:pPr>
                  <w:r>
                    <w:rPr>
                      <w:rFonts w:hint="eastAsia"/>
                    </w:rPr>
                    <w:t>39</w:t>
                  </w:r>
                  <w:r>
                    <w:t>°</w:t>
                  </w:r>
                  <w:r>
                    <w:rPr>
                      <w:rFonts w:hint="eastAsia"/>
                    </w:rPr>
                    <w:t>50</w:t>
                  </w:r>
                  <w:r>
                    <w:t>′</w:t>
                  </w:r>
                  <w:r>
                    <w:rPr>
                      <w:rFonts w:hint="eastAsia"/>
                    </w:rPr>
                    <w:t>37.492</w:t>
                  </w:r>
                  <w:r>
                    <w:t>″</w:t>
                  </w:r>
                </w:p>
              </w:tc>
              <w:tc>
                <w:tcPr>
                  <w:tcW w:w="446" w:type="pct"/>
                  <w:shd w:val="clear" w:color="auto" w:fill="auto"/>
                  <w:noWrap/>
                  <w:tcMar>
                    <w:left w:w="0" w:type="dxa"/>
                    <w:right w:w="0" w:type="dxa"/>
                  </w:tcMar>
                  <w:vAlign w:val="center"/>
                </w:tcPr>
                <w:p w14:paraId="70F42C60">
                  <w:pPr>
                    <w:pStyle w:val="40"/>
                  </w:pPr>
                  <w:r>
                    <w:rPr>
                      <w:rFonts w:hint="eastAsia"/>
                    </w:rPr>
                    <w:t>S</w:t>
                  </w:r>
                </w:p>
              </w:tc>
              <w:tc>
                <w:tcPr>
                  <w:tcW w:w="447" w:type="pct"/>
                  <w:shd w:val="clear" w:color="auto" w:fill="auto"/>
                  <w:noWrap/>
                  <w:tcMar>
                    <w:left w:w="0" w:type="dxa"/>
                    <w:right w:w="0" w:type="dxa"/>
                  </w:tcMar>
                  <w:vAlign w:val="center"/>
                </w:tcPr>
                <w:p w14:paraId="20E9DE9B">
                  <w:pPr>
                    <w:spacing w:line="240" w:lineRule="auto"/>
                    <w:ind w:firstLine="0" w:firstLineChars="0"/>
                    <w:jc w:val="center"/>
                  </w:pPr>
                  <w:r>
                    <w:rPr>
                      <w:rFonts w:hint="eastAsia"/>
                    </w:rPr>
                    <w:t>紧邻</w:t>
                  </w:r>
                </w:p>
              </w:tc>
              <w:tc>
                <w:tcPr>
                  <w:tcW w:w="358" w:type="pct"/>
                  <w:vAlign w:val="center"/>
                </w:tcPr>
                <w:p w14:paraId="1C079751">
                  <w:pPr>
                    <w:pStyle w:val="40"/>
                  </w:pPr>
                  <w:r>
                    <w:rPr>
                      <w:rFonts w:hint="eastAsia"/>
                    </w:rPr>
                    <w:t>居民</w:t>
                  </w:r>
                </w:p>
              </w:tc>
              <w:tc>
                <w:tcPr>
                  <w:tcW w:w="319" w:type="pct"/>
                  <w:shd w:val="clear" w:color="auto" w:fill="auto"/>
                  <w:noWrap/>
                  <w:tcMar>
                    <w:left w:w="0" w:type="dxa"/>
                    <w:right w:w="0" w:type="dxa"/>
                  </w:tcMar>
                  <w:vAlign w:val="center"/>
                </w:tcPr>
                <w:p w14:paraId="1F5292C2">
                  <w:pPr>
                    <w:pStyle w:val="40"/>
                  </w:pPr>
                  <w:r>
                    <w:rPr>
                      <w:rFonts w:hint="eastAsia"/>
                    </w:rPr>
                    <w:t>二类</w:t>
                  </w:r>
                </w:p>
              </w:tc>
            </w:tr>
            <w:tr w14:paraId="5380D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9" w:hRule="atLeast"/>
                <w:jc w:val="center"/>
              </w:trPr>
              <w:tc>
                <w:tcPr>
                  <w:tcW w:w="363" w:type="pct"/>
                  <w:vMerge w:val="continue"/>
                  <w:vAlign w:val="center"/>
                </w:tcPr>
                <w:p w14:paraId="01ABB784">
                  <w:pPr>
                    <w:pStyle w:val="40"/>
                  </w:pPr>
                </w:p>
              </w:tc>
              <w:tc>
                <w:tcPr>
                  <w:tcW w:w="364" w:type="pct"/>
                  <w:shd w:val="clear" w:color="auto" w:fill="auto"/>
                  <w:noWrap/>
                  <w:tcMar>
                    <w:left w:w="0" w:type="dxa"/>
                    <w:right w:w="0" w:type="dxa"/>
                  </w:tcMar>
                  <w:vAlign w:val="center"/>
                </w:tcPr>
                <w:p w14:paraId="1834CAFD">
                  <w:pPr>
                    <w:pStyle w:val="40"/>
                  </w:pPr>
                  <w:r>
                    <w:rPr>
                      <w:rFonts w:hint="eastAsia"/>
                    </w:rPr>
                    <w:t>3</w:t>
                  </w:r>
                </w:p>
              </w:tc>
              <w:tc>
                <w:tcPr>
                  <w:tcW w:w="739" w:type="pct"/>
                  <w:shd w:val="clear" w:color="auto" w:fill="auto"/>
                  <w:noWrap/>
                  <w:tcMar>
                    <w:left w:w="0" w:type="dxa"/>
                    <w:right w:w="0" w:type="dxa"/>
                  </w:tcMar>
                </w:tcPr>
                <w:p w14:paraId="2502F576">
                  <w:pPr>
                    <w:pStyle w:val="40"/>
                  </w:pPr>
                  <w:r>
                    <w:rPr>
                      <w:rFonts w:hint="eastAsia"/>
                    </w:rPr>
                    <w:t>北侧坟坨村居民住宅</w:t>
                  </w:r>
                </w:p>
              </w:tc>
              <w:tc>
                <w:tcPr>
                  <w:tcW w:w="982" w:type="pct"/>
                  <w:shd w:val="clear" w:color="auto" w:fill="auto"/>
                  <w:noWrap/>
                  <w:tcMar>
                    <w:left w:w="0" w:type="dxa"/>
                    <w:right w:w="0" w:type="dxa"/>
                  </w:tcMar>
                  <w:vAlign w:val="center"/>
                </w:tcPr>
                <w:p w14:paraId="200522A1">
                  <w:pPr>
                    <w:adjustRightInd w:val="0"/>
                    <w:snapToGrid w:val="0"/>
                    <w:spacing w:line="240" w:lineRule="auto"/>
                    <w:ind w:firstLine="0" w:firstLineChars="0"/>
                    <w:jc w:val="center"/>
                  </w:pPr>
                  <w:r>
                    <w:t>119°</w:t>
                  </w:r>
                  <w:r>
                    <w:rPr>
                      <w:rFonts w:hint="eastAsia"/>
                    </w:rPr>
                    <w:t>12</w:t>
                  </w:r>
                  <w:r>
                    <w:t>′</w:t>
                  </w:r>
                  <w:r>
                    <w:rPr>
                      <w:rFonts w:hint="eastAsia"/>
                    </w:rPr>
                    <w:t>4.460</w:t>
                  </w:r>
                  <w:r>
                    <w:t>″</w:t>
                  </w:r>
                </w:p>
              </w:tc>
              <w:tc>
                <w:tcPr>
                  <w:tcW w:w="982" w:type="pct"/>
                  <w:shd w:val="clear" w:color="auto" w:fill="auto"/>
                  <w:noWrap/>
                  <w:tcMar>
                    <w:left w:w="0" w:type="dxa"/>
                    <w:right w:w="0" w:type="dxa"/>
                  </w:tcMar>
                  <w:vAlign w:val="center"/>
                </w:tcPr>
                <w:p w14:paraId="73858835">
                  <w:pPr>
                    <w:adjustRightInd w:val="0"/>
                    <w:snapToGrid w:val="0"/>
                    <w:spacing w:line="240" w:lineRule="auto"/>
                    <w:ind w:firstLine="0" w:firstLineChars="0"/>
                    <w:jc w:val="center"/>
                  </w:pPr>
                  <w:r>
                    <w:rPr>
                      <w:rFonts w:hint="eastAsia"/>
                    </w:rPr>
                    <w:t>39</w:t>
                  </w:r>
                  <w:r>
                    <w:t>°</w:t>
                  </w:r>
                  <w:r>
                    <w:rPr>
                      <w:rFonts w:hint="eastAsia"/>
                    </w:rPr>
                    <w:t>50</w:t>
                  </w:r>
                  <w:r>
                    <w:t>′</w:t>
                  </w:r>
                  <w:r>
                    <w:rPr>
                      <w:rFonts w:hint="eastAsia"/>
                    </w:rPr>
                    <w:t>39.213</w:t>
                  </w:r>
                  <w:r>
                    <w:t>″</w:t>
                  </w:r>
                </w:p>
              </w:tc>
              <w:tc>
                <w:tcPr>
                  <w:tcW w:w="446" w:type="pct"/>
                  <w:shd w:val="clear" w:color="auto" w:fill="auto"/>
                  <w:noWrap/>
                  <w:tcMar>
                    <w:left w:w="0" w:type="dxa"/>
                    <w:right w:w="0" w:type="dxa"/>
                  </w:tcMar>
                  <w:vAlign w:val="center"/>
                </w:tcPr>
                <w:p w14:paraId="2CAEAE9C">
                  <w:pPr>
                    <w:pStyle w:val="40"/>
                  </w:pPr>
                  <w:r>
                    <w:rPr>
                      <w:rFonts w:hint="eastAsia"/>
                    </w:rPr>
                    <w:t>N</w:t>
                  </w:r>
                </w:p>
              </w:tc>
              <w:tc>
                <w:tcPr>
                  <w:tcW w:w="447" w:type="pct"/>
                  <w:shd w:val="clear" w:color="auto" w:fill="auto"/>
                  <w:noWrap/>
                  <w:tcMar>
                    <w:left w:w="0" w:type="dxa"/>
                    <w:right w:w="0" w:type="dxa"/>
                  </w:tcMar>
                  <w:vAlign w:val="center"/>
                </w:tcPr>
                <w:p w14:paraId="09E179CE">
                  <w:pPr>
                    <w:spacing w:line="240" w:lineRule="auto"/>
                    <w:ind w:firstLine="0" w:firstLineChars="0"/>
                    <w:jc w:val="center"/>
                  </w:pPr>
                  <w:r>
                    <w:rPr>
                      <w:rFonts w:hint="eastAsia"/>
                    </w:rPr>
                    <w:t>紧邻</w:t>
                  </w:r>
                </w:p>
              </w:tc>
              <w:tc>
                <w:tcPr>
                  <w:tcW w:w="358" w:type="pct"/>
                  <w:vAlign w:val="center"/>
                </w:tcPr>
                <w:p w14:paraId="097F48EF">
                  <w:pPr>
                    <w:pStyle w:val="40"/>
                  </w:pPr>
                  <w:r>
                    <w:rPr>
                      <w:rFonts w:hint="eastAsia"/>
                    </w:rPr>
                    <w:t>居民</w:t>
                  </w:r>
                </w:p>
              </w:tc>
              <w:tc>
                <w:tcPr>
                  <w:tcW w:w="319" w:type="pct"/>
                  <w:shd w:val="clear" w:color="auto" w:fill="auto"/>
                  <w:noWrap/>
                  <w:tcMar>
                    <w:left w:w="0" w:type="dxa"/>
                    <w:right w:w="0" w:type="dxa"/>
                  </w:tcMar>
                  <w:vAlign w:val="center"/>
                </w:tcPr>
                <w:p w14:paraId="10DF7070">
                  <w:pPr>
                    <w:pStyle w:val="40"/>
                  </w:pPr>
                  <w:r>
                    <w:rPr>
                      <w:rFonts w:hint="eastAsia"/>
                    </w:rPr>
                    <w:t>二类</w:t>
                  </w:r>
                </w:p>
              </w:tc>
            </w:tr>
            <w:tr w14:paraId="2E0A3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9" w:hRule="atLeast"/>
                <w:jc w:val="center"/>
              </w:trPr>
              <w:tc>
                <w:tcPr>
                  <w:tcW w:w="363" w:type="pct"/>
                  <w:vMerge w:val="continue"/>
                  <w:vAlign w:val="center"/>
                </w:tcPr>
                <w:p w14:paraId="08991D1F">
                  <w:pPr>
                    <w:pStyle w:val="40"/>
                  </w:pPr>
                </w:p>
              </w:tc>
              <w:tc>
                <w:tcPr>
                  <w:tcW w:w="364" w:type="pct"/>
                  <w:shd w:val="clear" w:color="auto" w:fill="auto"/>
                  <w:noWrap/>
                  <w:tcMar>
                    <w:left w:w="0" w:type="dxa"/>
                    <w:right w:w="0" w:type="dxa"/>
                  </w:tcMar>
                  <w:vAlign w:val="center"/>
                </w:tcPr>
                <w:p w14:paraId="191DE19B">
                  <w:pPr>
                    <w:pStyle w:val="40"/>
                  </w:pPr>
                  <w:r>
                    <w:rPr>
                      <w:rFonts w:hint="eastAsia"/>
                    </w:rPr>
                    <w:t>4</w:t>
                  </w:r>
                </w:p>
              </w:tc>
              <w:tc>
                <w:tcPr>
                  <w:tcW w:w="739" w:type="pct"/>
                  <w:shd w:val="clear" w:color="auto" w:fill="auto"/>
                  <w:noWrap/>
                  <w:tcMar>
                    <w:left w:w="0" w:type="dxa"/>
                    <w:right w:w="0" w:type="dxa"/>
                  </w:tcMar>
                  <w:vAlign w:val="center"/>
                </w:tcPr>
                <w:p w14:paraId="0611817A">
                  <w:pPr>
                    <w:pStyle w:val="40"/>
                  </w:pPr>
                  <w:r>
                    <w:rPr>
                      <w:rFonts w:hint="eastAsia"/>
                    </w:rPr>
                    <w:t>西侧坟坨小学</w:t>
                  </w:r>
                </w:p>
              </w:tc>
              <w:tc>
                <w:tcPr>
                  <w:tcW w:w="982" w:type="pct"/>
                  <w:shd w:val="clear" w:color="auto" w:fill="auto"/>
                  <w:noWrap/>
                  <w:tcMar>
                    <w:left w:w="0" w:type="dxa"/>
                    <w:right w:w="0" w:type="dxa"/>
                  </w:tcMar>
                  <w:vAlign w:val="center"/>
                </w:tcPr>
                <w:p w14:paraId="7FBCB259">
                  <w:pPr>
                    <w:adjustRightInd w:val="0"/>
                    <w:snapToGrid w:val="0"/>
                    <w:spacing w:line="240" w:lineRule="auto"/>
                    <w:ind w:firstLine="0" w:firstLineChars="0"/>
                    <w:jc w:val="center"/>
                  </w:pPr>
                  <w:r>
                    <w:t>119°</w:t>
                  </w:r>
                  <w:r>
                    <w:rPr>
                      <w:rFonts w:hint="eastAsia"/>
                    </w:rPr>
                    <w:t>12</w:t>
                  </w:r>
                  <w:r>
                    <w:t>′</w:t>
                  </w:r>
                  <w:r>
                    <w:rPr>
                      <w:rFonts w:hint="eastAsia"/>
                    </w:rPr>
                    <w:t>6.238</w:t>
                  </w:r>
                  <w:r>
                    <w:t>″</w:t>
                  </w:r>
                </w:p>
              </w:tc>
              <w:tc>
                <w:tcPr>
                  <w:tcW w:w="982" w:type="pct"/>
                  <w:shd w:val="clear" w:color="auto" w:fill="auto"/>
                  <w:noWrap/>
                  <w:tcMar>
                    <w:left w:w="0" w:type="dxa"/>
                    <w:right w:w="0" w:type="dxa"/>
                  </w:tcMar>
                  <w:vAlign w:val="center"/>
                </w:tcPr>
                <w:p w14:paraId="3BBFD650">
                  <w:pPr>
                    <w:adjustRightInd w:val="0"/>
                    <w:snapToGrid w:val="0"/>
                    <w:spacing w:line="240" w:lineRule="auto"/>
                    <w:ind w:firstLine="0" w:firstLineChars="0"/>
                    <w:jc w:val="center"/>
                  </w:pPr>
                  <w:r>
                    <w:rPr>
                      <w:rFonts w:hint="eastAsia"/>
                    </w:rPr>
                    <w:t>39</w:t>
                  </w:r>
                  <w:r>
                    <w:t>°</w:t>
                  </w:r>
                  <w:r>
                    <w:rPr>
                      <w:rFonts w:hint="eastAsia"/>
                    </w:rPr>
                    <w:t>50</w:t>
                  </w:r>
                  <w:r>
                    <w:t>′</w:t>
                  </w:r>
                  <w:r>
                    <w:rPr>
                      <w:rFonts w:hint="eastAsia"/>
                    </w:rPr>
                    <w:t>40.786</w:t>
                  </w:r>
                  <w:r>
                    <w:t>″</w:t>
                  </w:r>
                </w:p>
              </w:tc>
              <w:tc>
                <w:tcPr>
                  <w:tcW w:w="446" w:type="pct"/>
                  <w:shd w:val="clear" w:color="auto" w:fill="auto"/>
                  <w:noWrap/>
                  <w:tcMar>
                    <w:left w:w="0" w:type="dxa"/>
                    <w:right w:w="0" w:type="dxa"/>
                  </w:tcMar>
                  <w:vAlign w:val="center"/>
                </w:tcPr>
                <w:p w14:paraId="2F0A528C">
                  <w:pPr>
                    <w:pStyle w:val="40"/>
                  </w:pPr>
                  <w:r>
                    <w:rPr>
                      <w:rFonts w:hint="eastAsia"/>
                    </w:rPr>
                    <w:t>W</w:t>
                  </w:r>
                </w:p>
              </w:tc>
              <w:tc>
                <w:tcPr>
                  <w:tcW w:w="447" w:type="pct"/>
                  <w:shd w:val="clear" w:color="auto" w:fill="auto"/>
                  <w:noWrap/>
                  <w:tcMar>
                    <w:left w:w="0" w:type="dxa"/>
                    <w:right w:w="0" w:type="dxa"/>
                  </w:tcMar>
                  <w:vAlign w:val="center"/>
                </w:tcPr>
                <w:p w14:paraId="287EE4AF">
                  <w:pPr>
                    <w:spacing w:line="240" w:lineRule="auto"/>
                    <w:ind w:firstLine="0" w:firstLineChars="0"/>
                    <w:jc w:val="center"/>
                  </w:pPr>
                  <w:r>
                    <w:rPr>
                      <w:rFonts w:hint="eastAsia"/>
                    </w:rPr>
                    <w:t>紧邻</w:t>
                  </w:r>
                </w:p>
              </w:tc>
              <w:tc>
                <w:tcPr>
                  <w:tcW w:w="358" w:type="pct"/>
                  <w:vAlign w:val="center"/>
                </w:tcPr>
                <w:p w14:paraId="595F65B3">
                  <w:pPr>
                    <w:pStyle w:val="40"/>
                  </w:pPr>
                  <w:r>
                    <w:rPr>
                      <w:rFonts w:hint="eastAsia"/>
                    </w:rPr>
                    <w:t>居民</w:t>
                  </w:r>
                </w:p>
              </w:tc>
              <w:tc>
                <w:tcPr>
                  <w:tcW w:w="319" w:type="pct"/>
                  <w:shd w:val="clear" w:color="auto" w:fill="auto"/>
                  <w:noWrap/>
                  <w:tcMar>
                    <w:left w:w="0" w:type="dxa"/>
                    <w:right w:w="0" w:type="dxa"/>
                  </w:tcMar>
                  <w:vAlign w:val="center"/>
                </w:tcPr>
                <w:p w14:paraId="15C1A9FC">
                  <w:pPr>
                    <w:pStyle w:val="40"/>
                  </w:pPr>
                  <w:r>
                    <w:rPr>
                      <w:rFonts w:hint="eastAsia"/>
                    </w:rPr>
                    <w:t>二类</w:t>
                  </w:r>
                </w:p>
              </w:tc>
            </w:tr>
            <w:tr w14:paraId="48056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9" w:hRule="atLeast"/>
                <w:jc w:val="center"/>
              </w:trPr>
              <w:tc>
                <w:tcPr>
                  <w:tcW w:w="363" w:type="pct"/>
                  <w:vMerge w:val="restart"/>
                  <w:vAlign w:val="center"/>
                </w:tcPr>
                <w:p w14:paraId="44DE2F93">
                  <w:pPr>
                    <w:pStyle w:val="40"/>
                  </w:pPr>
                  <w:r>
                    <w:rPr>
                      <w:rFonts w:hint="eastAsia"/>
                    </w:rPr>
                    <w:t>声环境</w:t>
                  </w:r>
                </w:p>
              </w:tc>
              <w:tc>
                <w:tcPr>
                  <w:tcW w:w="364" w:type="pct"/>
                  <w:shd w:val="clear" w:color="auto" w:fill="auto"/>
                  <w:noWrap/>
                  <w:tcMar>
                    <w:left w:w="0" w:type="dxa"/>
                    <w:right w:w="0" w:type="dxa"/>
                  </w:tcMar>
                  <w:vAlign w:val="center"/>
                </w:tcPr>
                <w:p w14:paraId="07767214">
                  <w:pPr>
                    <w:pStyle w:val="40"/>
                  </w:pPr>
                  <w:r>
                    <w:rPr>
                      <w:rFonts w:hint="eastAsia"/>
                    </w:rPr>
                    <w:t>1</w:t>
                  </w:r>
                </w:p>
              </w:tc>
              <w:tc>
                <w:tcPr>
                  <w:tcW w:w="739" w:type="pct"/>
                  <w:shd w:val="clear" w:color="auto" w:fill="auto"/>
                  <w:noWrap/>
                  <w:tcMar>
                    <w:left w:w="0" w:type="dxa"/>
                    <w:right w:w="0" w:type="dxa"/>
                  </w:tcMar>
                </w:tcPr>
                <w:p w14:paraId="7FFAD830">
                  <w:pPr>
                    <w:pStyle w:val="40"/>
                  </w:pPr>
                  <w:r>
                    <w:rPr>
                      <w:rFonts w:hint="eastAsia"/>
                    </w:rPr>
                    <w:t>东侧坟坨村居民住宅</w:t>
                  </w:r>
                </w:p>
              </w:tc>
              <w:tc>
                <w:tcPr>
                  <w:tcW w:w="982" w:type="pct"/>
                  <w:shd w:val="clear" w:color="auto" w:fill="auto"/>
                  <w:noWrap/>
                  <w:tcMar>
                    <w:left w:w="0" w:type="dxa"/>
                    <w:right w:w="0" w:type="dxa"/>
                  </w:tcMar>
                  <w:vAlign w:val="center"/>
                </w:tcPr>
                <w:p w14:paraId="018749CC">
                  <w:pPr>
                    <w:spacing w:line="240" w:lineRule="auto"/>
                    <w:ind w:firstLine="0" w:firstLineChars="0"/>
                    <w:jc w:val="center"/>
                  </w:pPr>
                  <w:r>
                    <w:t>119°</w:t>
                  </w:r>
                  <w:r>
                    <w:rPr>
                      <w:rFonts w:hint="eastAsia"/>
                    </w:rPr>
                    <w:t>12</w:t>
                  </w:r>
                  <w:r>
                    <w:t>′</w:t>
                  </w:r>
                  <w:r>
                    <w:rPr>
                      <w:rFonts w:hint="eastAsia"/>
                    </w:rPr>
                    <w:t>7.628</w:t>
                  </w:r>
                  <w:r>
                    <w:t>″</w:t>
                  </w:r>
                </w:p>
              </w:tc>
              <w:tc>
                <w:tcPr>
                  <w:tcW w:w="982" w:type="pct"/>
                  <w:shd w:val="clear" w:color="auto" w:fill="auto"/>
                  <w:noWrap/>
                  <w:tcMar>
                    <w:left w:w="0" w:type="dxa"/>
                    <w:right w:w="0" w:type="dxa"/>
                  </w:tcMar>
                  <w:vAlign w:val="center"/>
                </w:tcPr>
                <w:p w14:paraId="08D0D8F9">
                  <w:pPr>
                    <w:spacing w:line="240" w:lineRule="auto"/>
                    <w:ind w:firstLine="0" w:firstLineChars="0"/>
                    <w:jc w:val="center"/>
                  </w:pPr>
                  <w:r>
                    <w:rPr>
                      <w:rFonts w:hint="eastAsia"/>
                    </w:rPr>
                    <w:t>39</w:t>
                  </w:r>
                  <w:r>
                    <w:t>°</w:t>
                  </w:r>
                  <w:r>
                    <w:rPr>
                      <w:rFonts w:hint="eastAsia"/>
                    </w:rPr>
                    <w:t>50</w:t>
                  </w:r>
                  <w:r>
                    <w:t>′</w:t>
                  </w:r>
                  <w:r>
                    <w:rPr>
                      <w:rFonts w:hint="eastAsia"/>
                    </w:rPr>
                    <w:t>40.070</w:t>
                  </w:r>
                  <w:r>
                    <w:t>″</w:t>
                  </w:r>
                </w:p>
              </w:tc>
              <w:tc>
                <w:tcPr>
                  <w:tcW w:w="446" w:type="pct"/>
                  <w:shd w:val="clear" w:color="auto" w:fill="auto"/>
                  <w:noWrap/>
                  <w:tcMar>
                    <w:left w:w="0" w:type="dxa"/>
                    <w:right w:w="0" w:type="dxa"/>
                  </w:tcMar>
                  <w:vAlign w:val="center"/>
                </w:tcPr>
                <w:p w14:paraId="18DDC99A">
                  <w:pPr>
                    <w:pStyle w:val="40"/>
                  </w:pPr>
                  <w:r>
                    <w:t>E</w:t>
                  </w:r>
                </w:p>
              </w:tc>
              <w:tc>
                <w:tcPr>
                  <w:tcW w:w="447" w:type="pct"/>
                  <w:shd w:val="clear" w:color="auto" w:fill="auto"/>
                  <w:noWrap/>
                  <w:tcMar>
                    <w:left w:w="0" w:type="dxa"/>
                    <w:right w:w="0" w:type="dxa"/>
                  </w:tcMar>
                  <w:vAlign w:val="center"/>
                </w:tcPr>
                <w:p w14:paraId="2E4E2D6F">
                  <w:pPr>
                    <w:spacing w:line="240" w:lineRule="auto"/>
                    <w:ind w:firstLine="0" w:firstLineChars="0"/>
                    <w:jc w:val="center"/>
                  </w:pPr>
                  <w:r>
                    <w:rPr>
                      <w:rFonts w:hint="eastAsia"/>
                    </w:rPr>
                    <w:t>紧邻</w:t>
                  </w:r>
                </w:p>
              </w:tc>
              <w:tc>
                <w:tcPr>
                  <w:tcW w:w="358" w:type="pct"/>
                  <w:vAlign w:val="center"/>
                </w:tcPr>
                <w:p w14:paraId="67E1EABF">
                  <w:pPr>
                    <w:pStyle w:val="40"/>
                  </w:pPr>
                  <w:r>
                    <w:rPr>
                      <w:rFonts w:hint="eastAsia"/>
                    </w:rPr>
                    <w:t>居民</w:t>
                  </w:r>
                </w:p>
              </w:tc>
              <w:tc>
                <w:tcPr>
                  <w:tcW w:w="319" w:type="pct"/>
                  <w:shd w:val="clear" w:color="auto" w:fill="auto"/>
                  <w:noWrap/>
                  <w:tcMar>
                    <w:left w:w="0" w:type="dxa"/>
                    <w:right w:w="0" w:type="dxa"/>
                  </w:tcMar>
                  <w:vAlign w:val="center"/>
                </w:tcPr>
                <w:p w14:paraId="4BE503B6">
                  <w:pPr>
                    <w:pStyle w:val="40"/>
                  </w:pPr>
                  <w:r>
                    <w:rPr>
                      <w:rFonts w:hint="eastAsia"/>
                    </w:rPr>
                    <w:t>2类</w:t>
                  </w:r>
                </w:p>
              </w:tc>
            </w:tr>
            <w:tr w14:paraId="6C8D7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9" w:hRule="atLeast"/>
                <w:jc w:val="center"/>
              </w:trPr>
              <w:tc>
                <w:tcPr>
                  <w:tcW w:w="363" w:type="pct"/>
                  <w:vMerge w:val="continue"/>
                  <w:vAlign w:val="center"/>
                </w:tcPr>
                <w:p w14:paraId="75210866">
                  <w:pPr>
                    <w:pStyle w:val="40"/>
                  </w:pPr>
                </w:p>
              </w:tc>
              <w:tc>
                <w:tcPr>
                  <w:tcW w:w="364" w:type="pct"/>
                  <w:shd w:val="clear" w:color="auto" w:fill="auto"/>
                  <w:noWrap/>
                  <w:tcMar>
                    <w:left w:w="0" w:type="dxa"/>
                    <w:right w:w="0" w:type="dxa"/>
                  </w:tcMar>
                  <w:vAlign w:val="center"/>
                </w:tcPr>
                <w:p w14:paraId="3C3B3DF2">
                  <w:pPr>
                    <w:pStyle w:val="40"/>
                  </w:pPr>
                  <w:r>
                    <w:rPr>
                      <w:rFonts w:hint="eastAsia"/>
                    </w:rPr>
                    <w:t>2</w:t>
                  </w:r>
                </w:p>
              </w:tc>
              <w:tc>
                <w:tcPr>
                  <w:tcW w:w="739" w:type="pct"/>
                  <w:shd w:val="clear" w:color="auto" w:fill="auto"/>
                  <w:noWrap/>
                  <w:tcMar>
                    <w:left w:w="0" w:type="dxa"/>
                    <w:right w:w="0" w:type="dxa"/>
                  </w:tcMar>
                </w:tcPr>
                <w:p w14:paraId="7710084F">
                  <w:pPr>
                    <w:pStyle w:val="40"/>
                  </w:pPr>
                  <w:r>
                    <w:rPr>
                      <w:rFonts w:hint="eastAsia"/>
                    </w:rPr>
                    <w:t>南侧坟坨村居民住宅</w:t>
                  </w:r>
                </w:p>
              </w:tc>
              <w:tc>
                <w:tcPr>
                  <w:tcW w:w="982" w:type="pct"/>
                  <w:shd w:val="clear" w:color="auto" w:fill="auto"/>
                  <w:noWrap/>
                  <w:tcMar>
                    <w:left w:w="0" w:type="dxa"/>
                    <w:right w:w="0" w:type="dxa"/>
                  </w:tcMar>
                  <w:vAlign w:val="center"/>
                </w:tcPr>
                <w:p w14:paraId="0FD49456">
                  <w:pPr>
                    <w:spacing w:line="240" w:lineRule="auto"/>
                    <w:ind w:firstLine="0" w:firstLineChars="0"/>
                    <w:jc w:val="center"/>
                  </w:pPr>
                  <w:r>
                    <w:t>119°</w:t>
                  </w:r>
                  <w:r>
                    <w:rPr>
                      <w:rFonts w:hint="eastAsia"/>
                    </w:rPr>
                    <w:t>12</w:t>
                  </w:r>
                  <w:r>
                    <w:t>′</w:t>
                  </w:r>
                  <w:r>
                    <w:rPr>
                      <w:rFonts w:hint="eastAsia"/>
                    </w:rPr>
                    <w:t>5.263</w:t>
                  </w:r>
                  <w:r>
                    <w:t>″</w:t>
                  </w:r>
                </w:p>
              </w:tc>
              <w:tc>
                <w:tcPr>
                  <w:tcW w:w="982" w:type="pct"/>
                  <w:shd w:val="clear" w:color="auto" w:fill="auto"/>
                  <w:noWrap/>
                  <w:tcMar>
                    <w:left w:w="0" w:type="dxa"/>
                    <w:right w:w="0" w:type="dxa"/>
                  </w:tcMar>
                  <w:vAlign w:val="center"/>
                </w:tcPr>
                <w:p w14:paraId="50493777">
                  <w:pPr>
                    <w:spacing w:line="240" w:lineRule="auto"/>
                    <w:ind w:firstLine="0" w:firstLineChars="0"/>
                    <w:jc w:val="center"/>
                  </w:pPr>
                  <w:r>
                    <w:rPr>
                      <w:rFonts w:hint="eastAsia"/>
                    </w:rPr>
                    <w:t>39</w:t>
                  </w:r>
                  <w:r>
                    <w:t>°</w:t>
                  </w:r>
                  <w:r>
                    <w:rPr>
                      <w:rFonts w:hint="eastAsia"/>
                    </w:rPr>
                    <w:t>50</w:t>
                  </w:r>
                  <w:r>
                    <w:t>′</w:t>
                  </w:r>
                  <w:r>
                    <w:rPr>
                      <w:rFonts w:hint="eastAsia"/>
                    </w:rPr>
                    <w:t>37.492</w:t>
                  </w:r>
                  <w:r>
                    <w:t>″</w:t>
                  </w:r>
                </w:p>
              </w:tc>
              <w:tc>
                <w:tcPr>
                  <w:tcW w:w="446" w:type="pct"/>
                  <w:shd w:val="clear" w:color="auto" w:fill="auto"/>
                  <w:noWrap/>
                  <w:tcMar>
                    <w:left w:w="0" w:type="dxa"/>
                    <w:right w:w="0" w:type="dxa"/>
                  </w:tcMar>
                  <w:vAlign w:val="center"/>
                </w:tcPr>
                <w:p w14:paraId="147B3483">
                  <w:pPr>
                    <w:pStyle w:val="40"/>
                  </w:pPr>
                  <w:r>
                    <w:t>S</w:t>
                  </w:r>
                </w:p>
              </w:tc>
              <w:tc>
                <w:tcPr>
                  <w:tcW w:w="447" w:type="pct"/>
                  <w:shd w:val="clear" w:color="auto" w:fill="auto"/>
                  <w:noWrap/>
                  <w:tcMar>
                    <w:left w:w="0" w:type="dxa"/>
                    <w:right w:w="0" w:type="dxa"/>
                  </w:tcMar>
                  <w:vAlign w:val="center"/>
                </w:tcPr>
                <w:p w14:paraId="6D89E87D">
                  <w:pPr>
                    <w:spacing w:line="240" w:lineRule="auto"/>
                    <w:ind w:firstLine="0" w:firstLineChars="0"/>
                    <w:jc w:val="center"/>
                  </w:pPr>
                  <w:r>
                    <w:rPr>
                      <w:rFonts w:hint="eastAsia"/>
                    </w:rPr>
                    <w:t>紧邻</w:t>
                  </w:r>
                </w:p>
              </w:tc>
              <w:tc>
                <w:tcPr>
                  <w:tcW w:w="358" w:type="pct"/>
                  <w:vAlign w:val="center"/>
                </w:tcPr>
                <w:p w14:paraId="6F0C536F">
                  <w:pPr>
                    <w:pStyle w:val="40"/>
                  </w:pPr>
                  <w:r>
                    <w:rPr>
                      <w:rFonts w:hint="eastAsia"/>
                    </w:rPr>
                    <w:t>居民</w:t>
                  </w:r>
                </w:p>
              </w:tc>
              <w:tc>
                <w:tcPr>
                  <w:tcW w:w="319" w:type="pct"/>
                  <w:shd w:val="clear" w:color="auto" w:fill="auto"/>
                  <w:noWrap/>
                  <w:tcMar>
                    <w:left w:w="0" w:type="dxa"/>
                    <w:right w:w="0" w:type="dxa"/>
                  </w:tcMar>
                  <w:vAlign w:val="center"/>
                </w:tcPr>
                <w:p w14:paraId="42C7DF63">
                  <w:pPr>
                    <w:pStyle w:val="40"/>
                  </w:pPr>
                  <w:r>
                    <w:rPr>
                      <w:rFonts w:hint="eastAsia"/>
                    </w:rPr>
                    <w:t>2类</w:t>
                  </w:r>
                </w:p>
              </w:tc>
            </w:tr>
            <w:tr w14:paraId="2C93A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9" w:hRule="atLeast"/>
                <w:jc w:val="center"/>
              </w:trPr>
              <w:tc>
                <w:tcPr>
                  <w:tcW w:w="363" w:type="pct"/>
                  <w:vMerge w:val="continue"/>
                  <w:vAlign w:val="center"/>
                </w:tcPr>
                <w:p w14:paraId="2D859E9C">
                  <w:pPr>
                    <w:pStyle w:val="40"/>
                  </w:pPr>
                </w:p>
              </w:tc>
              <w:tc>
                <w:tcPr>
                  <w:tcW w:w="364" w:type="pct"/>
                  <w:shd w:val="clear" w:color="auto" w:fill="auto"/>
                  <w:noWrap/>
                  <w:tcMar>
                    <w:left w:w="0" w:type="dxa"/>
                    <w:right w:w="0" w:type="dxa"/>
                  </w:tcMar>
                  <w:vAlign w:val="center"/>
                </w:tcPr>
                <w:p w14:paraId="4363FC55">
                  <w:pPr>
                    <w:pStyle w:val="40"/>
                  </w:pPr>
                  <w:r>
                    <w:rPr>
                      <w:rFonts w:hint="eastAsia"/>
                    </w:rPr>
                    <w:t>3</w:t>
                  </w:r>
                </w:p>
              </w:tc>
              <w:tc>
                <w:tcPr>
                  <w:tcW w:w="739" w:type="pct"/>
                  <w:shd w:val="clear" w:color="auto" w:fill="auto"/>
                  <w:noWrap/>
                  <w:tcMar>
                    <w:left w:w="0" w:type="dxa"/>
                    <w:right w:w="0" w:type="dxa"/>
                  </w:tcMar>
                </w:tcPr>
                <w:p w14:paraId="327EDC70">
                  <w:pPr>
                    <w:pStyle w:val="40"/>
                  </w:pPr>
                  <w:r>
                    <w:rPr>
                      <w:rFonts w:hint="eastAsia"/>
                    </w:rPr>
                    <w:t>北侧坟坨村居民住宅</w:t>
                  </w:r>
                </w:p>
              </w:tc>
              <w:tc>
                <w:tcPr>
                  <w:tcW w:w="982" w:type="pct"/>
                  <w:shd w:val="clear" w:color="auto" w:fill="auto"/>
                  <w:noWrap/>
                  <w:tcMar>
                    <w:left w:w="0" w:type="dxa"/>
                    <w:right w:w="0" w:type="dxa"/>
                  </w:tcMar>
                  <w:vAlign w:val="center"/>
                </w:tcPr>
                <w:p w14:paraId="1FE4EA11">
                  <w:pPr>
                    <w:spacing w:line="240" w:lineRule="auto"/>
                    <w:ind w:firstLine="0" w:firstLineChars="0"/>
                    <w:jc w:val="center"/>
                  </w:pPr>
                  <w:r>
                    <w:t>119°</w:t>
                  </w:r>
                  <w:r>
                    <w:rPr>
                      <w:rFonts w:hint="eastAsia"/>
                    </w:rPr>
                    <w:t>12</w:t>
                  </w:r>
                  <w:r>
                    <w:t>′</w:t>
                  </w:r>
                  <w:r>
                    <w:rPr>
                      <w:rFonts w:hint="eastAsia"/>
                    </w:rPr>
                    <w:t>4.460</w:t>
                  </w:r>
                  <w:r>
                    <w:t>″</w:t>
                  </w:r>
                </w:p>
              </w:tc>
              <w:tc>
                <w:tcPr>
                  <w:tcW w:w="982" w:type="pct"/>
                  <w:shd w:val="clear" w:color="auto" w:fill="auto"/>
                  <w:noWrap/>
                  <w:tcMar>
                    <w:left w:w="0" w:type="dxa"/>
                    <w:right w:w="0" w:type="dxa"/>
                  </w:tcMar>
                  <w:vAlign w:val="center"/>
                </w:tcPr>
                <w:p w14:paraId="41B79186">
                  <w:pPr>
                    <w:spacing w:line="240" w:lineRule="auto"/>
                    <w:ind w:firstLine="0" w:firstLineChars="0"/>
                    <w:jc w:val="center"/>
                  </w:pPr>
                  <w:r>
                    <w:rPr>
                      <w:rFonts w:hint="eastAsia"/>
                    </w:rPr>
                    <w:t>39</w:t>
                  </w:r>
                  <w:r>
                    <w:t>°</w:t>
                  </w:r>
                  <w:r>
                    <w:rPr>
                      <w:rFonts w:hint="eastAsia"/>
                    </w:rPr>
                    <w:t>50</w:t>
                  </w:r>
                  <w:r>
                    <w:t>′</w:t>
                  </w:r>
                  <w:r>
                    <w:rPr>
                      <w:rFonts w:hint="eastAsia"/>
                    </w:rPr>
                    <w:t>39.213</w:t>
                  </w:r>
                  <w:r>
                    <w:t>″</w:t>
                  </w:r>
                </w:p>
              </w:tc>
              <w:tc>
                <w:tcPr>
                  <w:tcW w:w="446" w:type="pct"/>
                  <w:shd w:val="clear" w:color="auto" w:fill="auto"/>
                  <w:noWrap/>
                  <w:tcMar>
                    <w:left w:w="0" w:type="dxa"/>
                    <w:right w:w="0" w:type="dxa"/>
                  </w:tcMar>
                  <w:vAlign w:val="center"/>
                </w:tcPr>
                <w:p w14:paraId="4D4C4D05">
                  <w:pPr>
                    <w:pStyle w:val="40"/>
                  </w:pPr>
                  <w:r>
                    <w:t>N</w:t>
                  </w:r>
                </w:p>
              </w:tc>
              <w:tc>
                <w:tcPr>
                  <w:tcW w:w="447" w:type="pct"/>
                  <w:shd w:val="clear" w:color="auto" w:fill="auto"/>
                  <w:noWrap/>
                  <w:tcMar>
                    <w:left w:w="0" w:type="dxa"/>
                    <w:right w:w="0" w:type="dxa"/>
                  </w:tcMar>
                  <w:vAlign w:val="center"/>
                </w:tcPr>
                <w:p w14:paraId="45786B58">
                  <w:pPr>
                    <w:spacing w:line="240" w:lineRule="auto"/>
                    <w:ind w:firstLine="0" w:firstLineChars="0"/>
                    <w:jc w:val="center"/>
                  </w:pPr>
                  <w:r>
                    <w:rPr>
                      <w:rFonts w:hint="eastAsia"/>
                    </w:rPr>
                    <w:t>紧邻</w:t>
                  </w:r>
                </w:p>
              </w:tc>
              <w:tc>
                <w:tcPr>
                  <w:tcW w:w="358" w:type="pct"/>
                  <w:vAlign w:val="center"/>
                </w:tcPr>
                <w:p w14:paraId="0450BFA0">
                  <w:pPr>
                    <w:pStyle w:val="40"/>
                  </w:pPr>
                  <w:r>
                    <w:rPr>
                      <w:rFonts w:hint="eastAsia"/>
                    </w:rPr>
                    <w:t>居民</w:t>
                  </w:r>
                </w:p>
              </w:tc>
              <w:tc>
                <w:tcPr>
                  <w:tcW w:w="319" w:type="pct"/>
                  <w:shd w:val="clear" w:color="auto" w:fill="auto"/>
                  <w:noWrap/>
                  <w:tcMar>
                    <w:left w:w="0" w:type="dxa"/>
                    <w:right w:w="0" w:type="dxa"/>
                  </w:tcMar>
                  <w:vAlign w:val="center"/>
                </w:tcPr>
                <w:p w14:paraId="1DB3621C">
                  <w:pPr>
                    <w:pStyle w:val="40"/>
                  </w:pPr>
                  <w:r>
                    <w:rPr>
                      <w:rFonts w:hint="eastAsia"/>
                    </w:rPr>
                    <w:t>2类</w:t>
                  </w:r>
                </w:p>
              </w:tc>
            </w:tr>
            <w:tr w14:paraId="29501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9" w:hRule="atLeast"/>
                <w:jc w:val="center"/>
              </w:trPr>
              <w:tc>
                <w:tcPr>
                  <w:tcW w:w="363" w:type="pct"/>
                  <w:vMerge w:val="continue"/>
                  <w:vAlign w:val="center"/>
                </w:tcPr>
                <w:p w14:paraId="5AB6459F">
                  <w:pPr>
                    <w:pStyle w:val="40"/>
                  </w:pPr>
                </w:p>
              </w:tc>
              <w:tc>
                <w:tcPr>
                  <w:tcW w:w="364" w:type="pct"/>
                  <w:shd w:val="clear" w:color="auto" w:fill="auto"/>
                  <w:noWrap/>
                  <w:tcMar>
                    <w:left w:w="0" w:type="dxa"/>
                    <w:right w:w="0" w:type="dxa"/>
                  </w:tcMar>
                  <w:vAlign w:val="center"/>
                </w:tcPr>
                <w:p w14:paraId="754AC911">
                  <w:pPr>
                    <w:pStyle w:val="40"/>
                  </w:pPr>
                  <w:r>
                    <w:rPr>
                      <w:rFonts w:hint="eastAsia"/>
                    </w:rPr>
                    <w:t>4</w:t>
                  </w:r>
                </w:p>
              </w:tc>
              <w:tc>
                <w:tcPr>
                  <w:tcW w:w="739" w:type="pct"/>
                  <w:shd w:val="clear" w:color="auto" w:fill="auto"/>
                  <w:noWrap/>
                  <w:tcMar>
                    <w:left w:w="0" w:type="dxa"/>
                    <w:right w:w="0" w:type="dxa"/>
                  </w:tcMar>
                </w:tcPr>
                <w:p w14:paraId="60A64C82">
                  <w:pPr>
                    <w:pStyle w:val="40"/>
                  </w:pPr>
                  <w:r>
                    <w:rPr>
                      <w:rFonts w:hint="eastAsia"/>
                    </w:rPr>
                    <w:t>西侧坟坨小学</w:t>
                  </w:r>
                </w:p>
              </w:tc>
              <w:tc>
                <w:tcPr>
                  <w:tcW w:w="982" w:type="pct"/>
                  <w:shd w:val="clear" w:color="auto" w:fill="auto"/>
                  <w:noWrap/>
                  <w:tcMar>
                    <w:left w:w="0" w:type="dxa"/>
                    <w:right w:w="0" w:type="dxa"/>
                  </w:tcMar>
                  <w:vAlign w:val="center"/>
                </w:tcPr>
                <w:p w14:paraId="78EB257F">
                  <w:pPr>
                    <w:spacing w:line="240" w:lineRule="auto"/>
                    <w:ind w:firstLine="0" w:firstLineChars="0"/>
                    <w:jc w:val="center"/>
                  </w:pPr>
                  <w:bookmarkStart w:id="77" w:name="OLE_LINK46"/>
                  <w:bookmarkStart w:id="78" w:name="OLE_LINK47"/>
                  <w:r>
                    <w:t>119°</w:t>
                  </w:r>
                  <w:r>
                    <w:rPr>
                      <w:rFonts w:hint="eastAsia"/>
                    </w:rPr>
                    <w:t>12</w:t>
                  </w:r>
                  <w:r>
                    <w:t>′</w:t>
                  </w:r>
                  <w:r>
                    <w:rPr>
                      <w:rFonts w:hint="eastAsia"/>
                    </w:rPr>
                    <w:t>6.238</w:t>
                  </w:r>
                  <w:r>
                    <w:t>″</w:t>
                  </w:r>
                  <w:bookmarkEnd w:id="77"/>
                  <w:bookmarkEnd w:id="78"/>
                </w:p>
              </w:tc>
              <w:tc>
                <w:tcPr>
                  <w:tcW w:w="982" w:type="pct"/>
                  <w:shd w:val="clear" w:color="auto" w:fill="auto"/>
                  <w:noWrap/>
                  <w:tcMar>
                    <w:left w:w="0" w:type="dxa"/>
                    <w:right w:w="0" w:type="dxa"/>
                  </w:tcMar>
                  <w:vAlign w:val="center"/>
                </w:tcPr>
                <w:p w14:paraId="33697FDE">
                  <w:pPr>
                    <w:spacing w:line="240" w:lineRule="auto"/>
                    <w:ind w:firstLine="0" w:firstLineChars="0"/>
                    <w:jc w:val="center"/>
                  </w:pPr>
                  <w:r>
                    <w:rPr>
                      <w:rFonts w:hint="eastAsia"/>
                    </w:rPr>
                    <w:t>39</w:t>
                  </w:r>
                  <w:r>
                    <w:t>°</w:t>
                  </w:r>
                  <w:r>
                    <w:rPr>
                      <w:rFonts w:hint="eastAsia"/>
                    </w:rPr>
                    <w:t>50</w:t>
                  </w:r>
                  <w:r>
                    <w:t>′</w:t>
                  </w:r>
                  <w:r>
                    <w:rPr>
                      <w:rFonts w:hint="eastAsia"/>
                    </w:rPr>
                    <w:t>40.786</w:t>
                  </w:r>
                  <w:r>
                    <w:t>″</w:t>
                  </w:r>
                </w:p>
              </w:tc>
              <w:tc>
                <w:tcPr>
                  <w:tcW w:w="446" w:type="pct"/>
                  <w:shd w:val="clear" w:color="auto" w:fill="auto"/>
                  <w:noWrap/>
                  <w:tcMar>
                    <w:left w:w="0" w:type="dxa"/>
                    <w:right w:w="0" w:type="dxa"/>
                  </w:tcMar>
                  <w:vAlign w:val="center"/>
                </w:tcPr>
                <w:p w14:paraId="390EEA9E">
                  <w:pPr>
                    <w:pStyle w:val="40"/>
                  </w:pPr>
                  <w:r>
                    <w:t>W</w:t>
                  </w:r>
                </w:p>
              </w:tc>
              <w:tc>
                <w:tcPr>
                  <w:tcW w:w="447" w:type="pct"/>
                  <w:shd w:val="clear" w:color="auto" w:fill="auto"/>
                  <w:noWrap/>
                  <w:tcMar>
                    <w:left w:w="0" w:type="dxa"/>
                    <w:right w:w="0" w:type="dxa"/>
                  </w:tcMar>
                  <w:vAlign w:val="center"/>
                </w:tcPr>
                <w:p w14:paraId="721550C4">
                  <w:pPr>
                    <w:spacing w:line="240" w:lineRule="auto"/>
                    <w:ind w:firstLine="0" w:firstLineChars="0"/>
                    <w:jc w:val="center"/>
                  </w:pPr>
                  <w:r>
                    <w:rPr>
                      <w:rFonts w:hint="eastAsia"/>
                    </w:rPr>
                    <w:t>紧邻</w:t>
                  </w:r>
                </w:p>
              </w:tc>
              <w:tc>
                <w:tcPr>
                  <w:tcW w:w="358" w:type="pct"/>
                  <w:vAlign w:val="center"/>
                </w:tcPr>
                <w:p w14:paraId="460A0A14">
                  <w:pPr>
                    <w:pStyle w:val="40"/>
                  </w:pPr>
                  <w:r>
                    <w:rPr>
                      <w:rFonts w:hint="eastAsia"/>
                    </w:rPr>
                    <w:t>居民</w:t>
                  </w:r>
                </w:p>
              </w:tc>
              <w:tc>
                <w:tcPr>
                  <w:tcW w:w="319" w:type="pct"/>
                  <w:shd w:val="clear" w:color="auto" w:fill="auto"/>
                  <w:noWrap/>
                  <w:tcMar>
                    <w:left w:w="0" w:type="dxa"/>
                    <w:right w:w="0" w:type="dxa"/>
                  </w:tcMar>
                  <w:vAlign w:val="center"/>
                </w:tcPr>
                <w:p w14:paraId="3739A6C8">
                  <w:pPr>
                    <w:pStyle w:val="40"/>
                  </w:pPr>
                  <w:r>
                    <w:rPr>
                      <w:rFonts w:hint="eastAsia"/>
                    </w:rPr>
                    <w:t>2类</w:t>
                  </w:r>
                </w:p>
              </w:tc>
            </w:tr>
            <w:tr w14:paraId="38071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9" w:hRule="atLeast"/>
                <w:jc w:val="center"/>
              </w:trPr>
              <w:tc>
                <w:tcPr>
                  <w:tcW w:w="363" w:type="pct"/>
                </w:tcPr>
                <w:p w14:paraId="63F51172">
                  <w:pPr>
                    <w:pStyle w:val="40"/>
                  </w:pPr>
                  <w:r>
                    <w:rPr>
                      <w:rFonts w:hint="eastAsia"/>
                    </w:rPr>
                    <w:t>地下水</w:t>
                  </w:r>
                </w:p>
              </w:tc>
              <w:tc>
                <w:tcPr>
                  <w:tcW w:w="4637" w:type="pct"/>
                  <w:gridSpan w:val="8"/>
                  <w:shd w:val="clear" w:color="auto" w:fill="auto"/>
                  <w:noWrap/>
                  <w:tcMar>
                    <w:left w:w="0" w:type="dxa"/>
                    <w:right w:w="0" w:type="dxa"/>
                  </w:tcMar>
                  <w:vAlign w:val="center"/>
                </w:tcPr>
                <w:p w14:paraId="46DBAB8C">
                  <w:pPr>
                    <w:pStyle w:val="40"/>
                  </w:pPr>
                  <w:r>
                    <w:rPr>
                      <w:rFonts w:hint="eastAsia"/>
                    </w:rPr>
                    <w:t>企业厂界外及技改项目边界外5</w:t>
                  </w:r>
                  <w:r>
                    <w:t>00m</w:t>
                  </w:r>
                  <w:r>
                    <w:rPr>
                      <w:rFonts w:hint="eastAsia"/>
                    </w:rPr>
                    <w:t>范围内无地下水集中式饮用水水源和热水、矿泉水、温泉等特殊地下水资源</w:t>
                  </w:r>
                </w:p>
              </w:tc>
            </w:tr>
            <w:tr w14:paraId="03CCF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9" w:hRule="atLeast"/>
                <w:jc w:val="center"/>
              </w:trPr>
              <w:tc>
                <w:tcPr>
                  <w:tcW w:w="363" w:type="pct"/>
                  <w:vAlign w:val="center"/>
                </w:tcPr>
                <w:p w14:paraId="18D52664">
                  <w:pPr>
                    <w:pStyle w:val="40"/>
                  </w:pPr>
                  <w:r>
                    <w:rPr>
                      <w:rFonts w:hint="eastAsia"/>
                    </w:rPr>
                    <w:t>生态</w:t>
                  </w:r>
                </w:p>
              </w:tc>
              <w:tc>
                <w:tcPr>
                  <w:tcW w:w="4637" w:type="pct"/>
                  <w:gridSpan w:val="8"/>
                  <w:shd w:val="clear" w:color="auto" w:fill="auto"/>
                  <w:noWrap/>
                  <w:tcMar>
                    <w:left w:w="0" w:type="dxa"/>
                    <w:right w:w="0" w:type="dxa"/>
                  </w:tcMar>
                  <w:vAlign w:val="center"/>
                </w:tcPr>
                <w:p w14:paraId="031AD187">
                  <w:pPr>
                    <w:pStyle w:val="40"/>
                  </w:pPr>
                  <w:r>
                    <w:rPr>
                      <w:rFonts w:hint="eastAsia"/>
                    </w:rPr>
                    <w:t>本项目位于抚宁区，且无新增用地，用地范围内无生态环境保护目标</w:t>
                  </w:r>
                </w:p>
              </w:tc>
            </w:tr>
          </w:tbl>
          <w:p w14:paraId="0FF540AF">
            <w:pPr>
              <w:adjustRightInd w:val="0"/>
              <w:snapToGrid w:val="0"/>
              <w:spacing w:line="400" w:lineRule="exact"/>
              <w:ind w:firstLine="420"/>
              <w:rPr>
                <w:bCs/>
                <w:szCs w:val="21"/>
              </w:rPr>
            </w:pPr>
          </w:p>
        </w:tc>
      </w:tr>
      <w:tr w14:paraId="74AE17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Mar>
              <w:left w:w="28" w:type="dxa"/>
              <w:right w:w="28" w:type="dxa"/>
            </w:tcMar>
            <w:vAlign w:val="center"/>
          </w:tcPr>
          <w:p w14:paraId="243C7447">
            <w:pPr>
              <w:pStyle w:val="40"/>
            </w:pPr>
            <w:r>
              <w:rPr>
                <w:rFonts w:hint="eastAsia"/>
              </w:rPr>
              <w:t>污染</w:t>
            </w:r>
          </w:p>
          <w:p w14:paraId="0440CC76">
            <w:pPr>
              <w:pStyle w:val="40"/>
            </w:pPr>
            <w:r>
              <w:rPr>
                <w:rFonts w:hint="eastAsia"/>
              </w:rPr>
              <w:t>物排</w:t>
            </w:r>
          </w:p>
          <w:p w14:paraId="100B1E89">
            <w:pPr>
              <w:pStyle w:val="40"/>
            </w:pPr>
            <w:r>
              <w:rPr>
                <w:rFonts w:hint="eastAsia"/>
              </w:rPr>
              <w:t>放控</w:t>
            </w:r>
          </w:p>
          <w:p w14:paraId="20468A38">
            <w:pPr>
              <w:pStyle w:val="40"/>
            </w:pPr>
            <w:r>
              <w:rPr>
                <w:rFonts w:hint="eastAsia"/>
              </w:rPr>
              <w:t>制标</w:t>
            </w:r>
          </w:p>
          <w:p w14:paraId="367554E1">
            <w:pPr>
              <w:pStyle w:val="40"/>
            </w:pPr>
            <w:r>
              <w:rPr>
                <w:rFonts w:hint="eastAsia"/>
              </w:rPr>
              <w:t>准</w:t>
            </w:r>
          </w:p>
        </w:tc>
        <w:tc>
          <w:tcPr>
            <w:tcW w:w="8386" w:type="dxa"/>
            <w:vAlign w:val="center"/>
          </w:tcPr>
          <w:p w14:paraId="0B960DBF">
            <w:pPr>
              <w:adjustRightInd w:val="0"/>
              <w:snapToGrid w:val="0"/>
              <w:spacing w:line="400" w:lineRule="exact"/>
              <w:ind w:firstLine="422"/>
              <w:rPr>
                <w:b/>
                <w:szCs w:val="21"/>
              </w:rPr>
            </w:pPr>
            <w:r>
              <w:rPr>
                <w:b/>
                <w:szCs w:val="21"/>
              </w:rPr>
              <w:t>施工期</w:t>
            </w:r>
            <w:r>
              <w:rPr>
                <w:rFonts w:hint="eastAsia"/>
                <w:b/>
                <w:szCs w:val="21"/>
              </w:rPr>
              <w:t>：</w:t>
            </w:r>
          </w:p>
          <w:p w14:paraId="0419D748">
            <w:pPr>
              <w:adjustRightInd w:val="0"/>
              <w:snapToGrid w:val="0"/>
              <w:ind w:firstLine="420"/>
              <w:rPr>
                <w:bCs/>
                <w:szCs w:val="21"/>
              </w:rPr>
            </w:pPr>
            <w:r>
              <w:rPr>
                <w:rFonts w:hint="eastAsia"/>
                <w:bCs/>
                <w:szCs w:val="21"/>
              </w:rPr>
              <w:t>（1）</w:t>
            </w:r>
            <w:r>
              <w:rPr>
                <w:bCs/>
                <w:szCs w:val="21"/>
              </w:rPr>
              <w:t>施工扬尘执行《施工场地扬尘排放标准》（DB13/2934-2019）表1中要求：</w:t>
            </w:r>
          </w:p>
          <w:p w14:paraId="585BA4EB">
            <w:pPr>
              <w:spacing w:line="400" w:lineRule="exact"/>
              <w:ind w:firstLine="422"/>
              <w:jc w:val="center"/>
            </w:pPr>
            <w:r>
              <w:rPr>
                <w:rFonts w:hint="eastAsia"/>
                <w:b/>
                <w:bCs/>
                <w:szCs w:val="21"/>
              </w:rPr>
              <w:t>表3-4</w:t>
            </w:r>
            <w:r>
              <w:rPr>
                <w:b/>
              </w:rPr>
              <w:t>施工扬尘排放浓度限值</w:t>
            </w:r>
          </w:p>
          <w:tbl>
            <w:tblPr>
              <w:tblStyle w:val="25"/>
              <w:tblW w:w="493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20"/>
              <w:gridCol w:w="2719"/>
              <w:gridCol w:w="2721"/>
            </w:tblGrid>
            <w:tr w14:paraId="732D1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625" w:type="pct"/>
                  <w:noWrap/>
                  <w:vAlign w:val="center"/>
                </w:tcPr>
                <w:p w14:paraId="2329FB8A">
                  <w:pPr>
                    <w:pStyle w:val="40"/>
                  </w:pPr>
                  <w:r>
                    <w:t>控制项目</w:t>
                  </w:r>
                </w:p>
              </w:tc>
              <w:tc>
                <w:tcPr>
                  <w:tcW w:w="1687" w:type="pct"/>
                  <w:noWrap/>
                  <w:vAlign w:val="center"/>
                </w:tcPr>
                <w:p w14:paraId="3CC9092E">
                  <w:pPr>
                    <w:pStyle w:val="40"/>
                  </w:pPr>
                  <w:r>
                    <w:t>浓度限值</w:t>
                  </w:r>
                </w:p>
              </w:tc>
              <w:tc>
                <w:tcPr>
                  <w:tcW w:w="1689" w:type="pct"/>
                  <w:noWrap/>
                  <w:vAlign w:val="center"/>
                </w:tcPr>
                <w:p w14:paraId="45229904">
                  <w:pPr>
                    <w:pStyle w:val="40"/>
                  </w:pPr>
                  <w:r>
                    <w:t>达标判定依据（次/天）</w:t>
                  </w:r>
                </w:p>
              </w:tc>
            </w:tr>
            <w:tr w14:paraId="5B3CD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625" w:type="pct"/>
                  <w:noWrap/>
                  <w:vAlign w:val="center"/>
                </w:tcPr>
                <w:p w14:paraId="1D8F2E99">
                  <w:pPr>
                    <w:pStyle w:val="40"/>
                  </w:pPr>
                  <w:r>
                    <w:t>PM</w:t>
                  </w:r>
                  <w:r>
                    <w:rPr>
                      <w:vertAlign w:val="subscript"/>
                    </w:rPr>
                    <w:t>10</w:t>
                  </w:r>
                </w:p>
              </w:tc>
              <w:tc>
                <w:tcPr>
                  <w:tcW w:w="1687" w:type="pct"/>
                  <w:noWrap/>
                  <w:vAlign w:val="center"/>
                </w:tcPr>
                <w:p w14:paraId="2400C32F">
                  <w:pPr>
                    <w:pStyle w:val="40"/>
                  </w:pPr>
                  <w:r>
                    <w:t>80</w:t>
                  </w:r>
                </w:p>
              </w:tc>
              <w:tc>
                <w:tcPr>
                  <w:tcW w:w="1689" w:type="pct"/>
                  <w:noWrap/>
                  <w:vAlign w:val="center"/>
                </w:tcPr>
                <w:p w14:paraId="1AA39679">
                  <w:pPr>
                    <w:pStyle w:val="40"/>
                  </w:pPr>
                  <w:r>
                    <w:t>≤2</w:t>
                  </w:r>
                </w:p>
              </w:tc>
            </w:tr>
            <w:tr w14:paraId="73DEB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3"/>
                  <w:noWrap/>
                  <w:vAlign w:val="center"/>
                </w:tcPr>
                <w:p w14:paraId="5C8CA345">
                  <w:pPr>
                    <w:pStyle w:val="40"/>
                  </w:pPr>
                  <w:r>
                    <w:t>浓度限值：指监测点PM</w:t>
                  </w:r>
                  <w:r>
                    <w:rPr>
                      <w:vertAlign w:val="subscript"/>
                    </w:rPr>
                    <w:t>10</w:t>
                  </w:r>
                  <w:r>
                    <w:t>小时平均浓度实测值与同时段所属（市、区）PM</w:t>
                  </w:r>
                  <w:r>
                    <w:rPr>
                      <w:vertAlign w:val="subscript"/>
                    </w:rPr>
                    <w:t>10</w:t>
                  </w:r>
                  <w:r>
                    <w:t>小时平均浓度的差值。当县（市、区）PM</w:t>
                  </w:r>
                  <w:r>
                    <w:rPr>
                      <w:vertAlign w:val="subscript"/>
                    </w:rPr>
                    <w:t>10</w:t>
                  </w:r>
                  <w:r>
                    <w:t>小时平均浓度值大于150μg/m³时，以150μg/m³计。</w:t>
                  </w:r>
                </w:p>
              </w:tc>
            </w:tr>
          </w:tbl>
          <w:p w14:paraId="484B5D45">
            <w:pPr>
              <w:adjustRightInd w:val="0"/>
              <w:snapToGrid w:val="0"/>
              <w:spacing w:line="400" w:lineRule="exact"/>
              <w:ind w:firstLine="420"/>
              <w:rPr>
                <w:bCs/>
                <w:szCs w:val="21"/>
              </w:rPr>
            </w:pPr>
            <w:r>
              <w:rPr>
                <w:rFonts w:hint="eastAsia"/>
                <w:bCs/>
                <w:szCs w:val="21"/>
              </w:rPr>
              <w:t>（2）</w:t>
            </w:r>
            <w:r>
              <w:rPr>
                <w:bCs/>
                <w:szCs w:val="21"/>
              </w:rPr>
              <w:t>噪声排放执行《建筑施工场界环境噪声排放标准》(GB12523-2011)标准：昼间70dB(A)、夜间55dB(A)</w:t>
            </w:r>
            <w:r>
              <w:rPr>
                <w:rFonts w:hint="eastAsia"/>
                <w:bCs/>
                <w:szCs w:val="21"/>
              </w:rPr>
              <w:t>。</w:t>
            </w:r>
          </w:p>
          <w:p w14:paraId="41EC1640">
            <w:pPr>
              <w:adjustRightInd w:val="0"/>
              <w:snapToGrid w:val="0"/>
              <w:spacing w:line="400" w:lineRule="exact"/>
              <w:ind w:firstLine="422"/>
              <w:rPr>
                <w:b/>
                <w:szCs w:val="21"/>
              </w:rPr>
            </w:pPr>
            <w:r>
              <w:rPr>
                <w:rFonts w:hint="eastAsia"/>
                <w:b/>
                <w:szCs w:val="21"/>
              </w:rPr>
              <w:t>运营</w:t>
            </w:r>
            <w:r>
              <w:rPr>
                <w:b/>
                <w:szCs w:val="21"/>
              </w:rPr>
              <w:t>期</w:t>
            </w:r>
            <w:r>
              <w:rPr>
                <w:rFonts w:hint="eastAsia"/>
                <w:b/>
                <w:szCs w:val="21"/>
              </w:rPr>
              <w:t>：</w:t>
            </w:r>
          </w:p>
          <w:p w14:paraId="2FEADE08">
            <w:pPr>
              <w:adjustRightInd w:val="0"/>
              <w:snapToGrid w:val="0"/>
              <w:spacing w:line="400" w:lineRule="exact"/>
              <w:ind w:firstLine="422"/>
              <w:rPr>
                <w:b/>
                <w:szCs w:val="21"/>
              </w:rPr>
            </w:pPr>
            <w:r>
              <w:rPr>
                <w:b/>
                <w:szCs w:val="21"/>
              </w:rPr>
              <w:t>1、</w:t>
            </w:r>
            <w:r>
              <w:rPr>
                <w:rFonts w:hint="eastAsia"/>
                <w:b/>
                <w:szCs w:val="21"/>
              </w:rPr>
              <w:t>废气</w:t>
            </w:r>
            <w:r>
              <w:rPr>
                <w:b/>
                <w:szCs w:val="21"/>
              </w:rPr>
              <w:t>：</w:t>
            </w:r>
          </w:p>
          <w:p w14:paraId="60B47A14">
            <w:pPr>
              <w:spacing w:line="400" w:lineRule="exact"/>
              <w:ind w:firstLine="420"/>
            </w:pPr>
            <w:r>
              <w:t>有组织：</w:t>
            </w:r>
          </w:p>
          <w:p w14:paraId="7DAC4A3D">
            <w:pPr>
              <w:spacing w:line="400" w:lineRule="exact"/>
              <w:ind w:firstLine="420"/>
            </w:pPr>
            <w:r>
              <w:rPr>
                <w:rFonts w:hint="eastAsia"/>
              </w:rPr>
              <w:t>生物质锅炉废气颗粒物、二氧化硫、氮氧化物、烟气黑度、氨逃逸执行《锅炉大气污染物排放标准》（DB13/5161-2020）中表1中燃生物质成型燃料锅炉（&lt;20t/h）排放限值要求，排气筒高度执行《锅炉大气污染物排放标准》（GB13271-2014）中燃煤锅炉排气筒高度要求。</w:t>
            </w:r>
          </w:p>
          <w:p w14:paraId="52100094">
            <w:pPr>
              <w:spacing w:line="400" w:lineRule="exact"/>
              <w:ind w:firstLine="420"/>
            </w:pPr>
            <w:r>
              <w:rPr>
                <w:rFonts w:hint="eastAsia"/>
              </w:rPr>
              <w:t>污水处理站废气中NH</w:t>
            </w:r>
            <w:r>
              <w:rPr>
                <w:rFonts w:hint="eastAsia"/>
                <w:vertAlign w:val="subscript"/>
              </w:rPr>
              <w:t>3</w:t>
            </w:r>
            <w:r>
              <w:rPr>
                <w:rFonts w:hint="eastAsia"/>
              </w:rPr>
              <w:t>、H</w:t>
            </w:r>
            <w:r>
              <w:rPr>
                <w:rFonts w:hint="eastAsia"/>
                <w:vertAlign w:val="subscript"/>
              </w:rPr>
              <w:t>2</w:t>
            </w:r>
            <w:r>
              <w:rPr>
                <w:rFonts w:hint="eastAsia"/>
              </w:rPr>
              <w:t>S和臭气浓度执行《恶臭污染物排放标准》（GB14554-1993）表2标准。</w:t>
            </w:r>
          </w:p>
          <w:p w14:paraId="3B6E3E7B">
            <w:pPr>
              <w:spacing w:line="400" w:lineRule="exact"/>
              <w:ind w:firstLine="420"/>
            </w:pPr>
            <w:r>
              <w:t>无组织：</w:t>
            </w:r>
            <w:r>
              <w:rPr>
                <w:rFonts w:hint="eastAsia"/>
              </w:rPr>
              <w:t>颗粒物执行《大气污染物综合排放标准》（GB16297-1996）表2标准，同时执行</w:t>
            </w:r>
            <w:r>
              <w:t>《秦皇岛市人民政府办公室关于执行钢铁行业大气污染物排放特别要求的通知》</w:t>
            </w:r>
            <w:r>
              <w:rPr>
                <w:rFonts w:hint="eastAsia"/>
              </w:rPr>
              <w:t>中</w:t>
            </w:r>
            <w:r>
              <w:t>颗粒物</w:t>
            </w:r>
            <w:r>
              <w:rPr>
                <w:rFonts w:hint="eastAsia"/>
              </w:rPr>
              <w:t>厂界</w:t>
            </w:r>
            <w:r>
              <w:t>无组织排放浓度限值要求。</w:t>
            </w:r>
          </w:p>
          <w:p w14:paraId="6490425B">
            <w:pPr>
              <w:spacing w:line="400" w:lineRule="exact"/>
              <w:ind w:firstLine="420"/>
            </w:pPr>
            <w:r>
              <w:rPr>
                <w:rFonts w:hint="eastAsia"/>
              </w:rPr>
              <w:t>NH</w:t>
            </w:r>
            <w:r>
              <w:rPr>
                <w:rFonts w:hint="eastAsia"/>
                <w:vertAlign w:val="subscript"/>
              </w:rPr>
              <w:t>3</w:t>
            </w:r>
            <w:r>
              <w:rPr>
                <w:rFonts w:hint="eastAsia"/>
              </w:rPr>
              <w:t>、H</w:t>
            </w:r>
            <w:r>
              <w:rPr>
                <w:rFonts w:hint="eastAsia"/>
                <w:vertAlign w:val="subscript"/>
              </w:rPr>
              <w:t>2</w:t>
            </w:r>
            <w:r>
              <w:rPr>
                <w:rFonts w:hint="eastAsia"/>
              </w:rPr>
              <w:t>S和臭气浓度执行《恶臭污染物排放标准》（GB14554-1993）表1新扩改建二级标准。</w:t>
            </w:r>
          </w:p>
          <w:p w14:paraId="2C75A4ED">
            <w:pPr>
              <w:spacing w:line="400" w:lineRule="exact"/>
              <w:ind w:firstLine="422"/>
              <w:jc w:val="center"/>
              <w:rPr>
                <w:b/>
              </w:rPr>
            </w:pPr>
            <w:r>
              <w:rPr>
                <w:rFonts w:hint="eastAsia"/>
                <w:b/>
                <w:bCs/>
                <w:szCs w:val="21"/>
              </w:rPr>
              <w:t>表3-</w:t>
            </w:r>
            <w:r>
              <w:rPr>
                <w:rFonts w:hint="eastAsia"/>
                <w:b/>
                <w:bCs/>
              </w:rPr>
              <w:t xml:space="preserve">5 </w:t>
            </w:r>
            <w:r>
              <w:rPr>
                <w:rFonts w:hint="eastAsia"/>
                <w:b/>
              </w:rPr>
              <w:t>运营期废</w:t>
            </w:r>
            <w:r>
              <w:rPr>
                <w:b/>
              </w:rPr>
              <w:t>气污染物排放标准</w:t>
            </w:r>
          </w:p>
          <w:tbl>
            <w:tblPr>
              <w:tblStyle w:val="25"/>
              <w:tblW w:w="794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85" w:type="dxa"/>
                <w:bottom w:w="0" w:type="dxa"/>
                <w:right w:w="85" w:type="dxa"/>
              </w:tblCellMar>
            </w:tblPr>
            <w:tblGrid>
              <w:gridCol w:w="921"/>
              <w:gridCol w:w="1410"/>
              <w:gridCol w:w="1133"/>
              <w:gridCol w:w="1560"/>
              <w:gridCol w:w="2918"/>
            </w:tblGrid>
            <w:tr w14:paraId="25F27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4" w:hRule="atLeast"/>
                <w:tblHeader/>
                <w:jc w:val="center"/>
              </w:trPr>
              <w:tc>
                <w:tcPr>
                  <w:tcW w:w="580" w:type="pct"/>
                  <w:tcMar>
                    <w:left w:w="28" w:type="dxa"/>
                    <w:right w:w="28" w:type="dxa"/>
                  </w:tcMar>
                  <w:vAlign w:val="center"/>
                </w:tcPr>
                <w:p w14:paraId="2B619375">
                  <w:pPr>
                    <w:pStyle w:val="40"/>
                  </w:pPr>
                  <w:r>
                    <w:rPr>
                      <w:rFonts w:hint="eastAsia"/>
                    </w:rPr>
                    <w:t>排放形式</w:t>
                  </w:r>
                </w:p>
              </w:tc>
              <w:tc>
                <w:tcPr>
                  <w:tcW w:w="888" w:type="pct"/>
                  <w:tcBorders>
                    <w:right w:val="single" w:color="auto" w:sz="4" w:space="0"/>
                  </w:tcBorders>
                  <w:tcMar>
                    <w:left w:w="28" w:type="dxa"/>
                    <w:right w:w="28" w:type="dxa"/>
                  </w:tcMar>
                  <w:vAlign w:val="center"/>
                </w:tcPr>
                <w:p w14:paraId="58A1201A">
                  <w:pPr>
                    <w:pStyle w:val="40"/>
                  </w:pPr>
                  <w:r>
                    <w:t>污染物</w:t>
                  </w:r>
                </w:p>
              </w:tc>
              <w:tc>
                <w:tcPr>
                  <w:tcW w:w="713" w:type="pct"/>
                </w:tcPr>
                <w:p w14:paraId="13E17D7E">
                  <w:pPr>
                    <w:pStyle w:val="40"/>
                  </w:pPr>
                  <w:r>
                    <w:rPr>
                      <w:rFonts w:hint="eastAsia"/>
                    </w:rPr>
                    <w:t>排气筒高度</w:t>
                  </w:r>
                  <w:r>
                    <w:rPr>
                      <w:rFonts w:hint="eastAsia" w:hAnsi="宋体"/>
                    </w:rPr>
                    <w:t>（m）</w:t>
                  </w:r>
                </w:p>
              </w:tc>
              <w:tc>
                <w:tcPr>
                  <w:tcW w:w="982" w:type="pct"/>
                  <w:tcBorders>
                    <w:right w:val="single" w:color="auto" w:sz="4" w:space="0"/>
                  </w:tcBorders>
                  <w:vAlign w:val="center"/>
                </w:tcPr>
                <w:p w14:paraId="5B596E20">
                  <w:pPr>
                    <w:pStyle w:val="40"/>
                  </w:pPr>
                  <w:r>
                    <w:rPr>
                      <w:rFonts w:hint="eastAsia"/>
                    </w:rPr>
                    <w:t>排放</w:t>
                  </w:r>
                  <w:r>
                    <w:t>限值</w:t>
                  </w:r>
                  <w:r>
                    <w:rPr>
                      <w:rFonts w:hint="eastAsia"/>
                    </w:rPr>
                    <w:t>（mg/</w:t>
                  </w:r>
                  <w:r>
                    <w:t>m</w:t>
                  </w:r>
                  <w:r>
                    <w:rPr>
                      <w:vertAlign w:val="superscript"/>
                    </w:rPr>
                    <w:t>3</w:t>
                  </w:r>
                  <w:r>
                    <w:rPr>
                      <w:rFonts w:hint="eastAsia"/>
                    </w:rPr>
                    <w:t>）</w:t>
                  </w:r>
                </w:p>
              </w:tc>
              <w:tc>
                <w:tcPr>
                  <w:tcW w:w="1837" w:type="pct"/>
                  <w:tcBorders>
                    <w:left w:val="single" w:color="auto" w:sz="4" w:space="0"/>
                    <w:right w:val="single" w:color="auto" w:sz="4" w:space="0"/>
                  </w:tcBorders>
                  <w:vAlign w:val="center"/>
                </w:tcPr>
                <w:p w14:paraId="1D65F988">
                  <w:pPr>
                    <w:pStyle w:val="40"/>
                  </w:pPr>
                  <w:r>
                    <w:t>标准来源</w:t>
                  </w:r>
                </w:p>
              </w:tc>
            </w:tr>
            <w:tr w14:paraId="05C5A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302" w:hRule="atLeast"/>
                <w:tblHeader/>
                <w:jc w:val="center"/>
              </w:trPr>
              <w:tc>
                <w:tcPr>
                  <w:tcW w:w="580" w:type="pct"/>
                  <w:vMerge w:val="restart"/>
                  <w:tcMar>
                    <w:left w:w="28" w:type="dxa"/>
                    <w:right w:w="28" w:type="dxa"/>
                  </w:tcMar>
                  <w:vAlign w:val="center"/>
                </w:tcPr>
                <w:p w14:paraId="7B0DA355">
                  <w:pPr>
                    <w:pStyle w:val="40"/>
                  </w:pPr>
                  <w:r>
                    <w:rPr>
                      <w:rFonts w:hint="eastAsia"/>
                    </w:rPr>
                    <w:t>有组织</w:t>
                  </w:r>
                </w:p>
              </w:tc>
              <w:tc>
                <w:tcPr>
                  <w:tcW w:w="888" w:type="pct"/>
                  <w:tcBorders>
                    <w:right w:val="single" w:color="auto" w:sz="4" w:space="0"/>
                  </w:tcBorders>
                  <w:tcMar>
                    <w:left w:w="28" w:type="dxa"/>
                    <w:right w:w="28" w:type="dxa"/>
                  </w:tcMar>
                </w:tcPr>
                <w:p w14:paraId="527F51C8">
                  <w:pPr>
                    <w:pStyle w:val="40"/>
                  </w:pPr>
                  <w:r>
                    <w:rPr>
                      <w:rFonts w:hint="eastAsia"/>
                    </w:rPr>
                    <w:t>颗粒物</w:t>
                  </w:r>
                </w:p>
              </w:tc>
              <w:tc>
                <w:tcPr>
                  <w:tcW w:w="713" w:type="pct"/>
                  <w:vMerge w:val="restart"/>
                  <w:vAlign w:val="center"/>
                </w:tcPr>
                <w:p w14:paraId="16FF58AF">
                  <w:pPr>
                    <w:pStyle w:val="40"/>
                  </w:pPr>
                  <w:r>
                    <w:rPr>
                      <w:rFonts w:hint="eastAsia"/>
                    </w:rPr>
                    <w:t>35</w:t>
                  </w:r>
                </w:p>
              </w:tc>
              <w:tc>
                <w:tcPr>
                  <w:tcW w:w="982" w:type="pct"/>
                  <w:tcBorders>
                    <w:right w:val="single" w:color="auto" w:sz="4" w:space="0"/>
                  </w:tcBorders>
                  <w:vAlign w:val="center"/>
                </w:tcPr>
                <w:p w14:paraId="0833BC95">
                  <w:pPr>
                    <w:pStyle w:val="40"/>
                  </w:pPr>
                  <w:r>
                    <w:t>20</w:t>
                  </w:r>
                </w:p>
              </w:tc>
              <w:tc>
                <w:tcPr>
                  <w:tcW w:w="1837" w:type="pct"/>
                  <w:vMerge w:val="restart"/>
                  <w:tcBorders>
                    <w:left w:val="single" w:color="auto" w:sz="4" w:space="0"/>
                    <w:right w:val="single" w:color="auto" w:sz="4" w:space="0"/>
                  </w:tcBorders>
                  <w:vAlign w:val="center"/>
                </w:tcPr>
                <w:p w14:paraId="26E3831C">
                  <w:pPr>
                    <w:pStyle w:val="40"/>
                    <w:rPr>
                      <w:szCs w:val="20"/>
                    </w:rPr>
                  </w:pPr>
                  <w:r>
                    <w:rPr>
                      <w:rFonts w:hint="eastAsia"/>
                    </w:rPr>
                    <w:t>《锅炉大气污染物排放标准》（DB13/5161-2020）</w:t>
                  </w:r>
                </w:p>
              </w:tc>
            </w:tr>
            <w:tr w14:paraId="7F41D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4" w:hRule="atLeast"/>
                <w:tblHeader/>
                <w:jc w:val="center"/>
              </w:trPr>
              <w:tc>
                <w:tcPr>
                  <w:tcW w:w="580" w:type="pct"/>
                  <w:vMerge w:val="continue"/>
                  <w:tcMar>
                    <w:left w:w="28" w:type="dxa"/>
                    <w:right w:w="28" w:type="dxa"/>
                  </w:tcMar>
                  <w:vAlign w:val="center"/>
                </w:tcPr>
                <w:p w14:paraId="011527F0">
                  <w:pPr>
                    <w:pStyle w:val="40"/>
                  </w:pPr>
                </w:p>
              </w:tc>
              <w:tc>
                <w:tcPr>
                  <w:tcW w:w="888" w:type="pct"/>
                  <w:tcBorders>
                    <w:right w:val="single" w:color="auto" w:sz="4" w:space="0"/>
                  </w:tcBorders>
                  <w:tcMar>
                    <w:left w:w="28" w:type="dxa"/>
                    <w:right w:w="28" w:type="dxa"/>
                  </w:tcMar>
                </w:tcPr>
                <w:p w14:paraId="25CE3C3F">
                  <w:pPr>
                    <w:pStyle w:val="40"/>
                  </w:pPr>
                  <w:r>
                    <w:rPr>
                      <w:rFonts w:hint="eastAsia"/>
                    </w:rPr>
                    <w:t>二氧化硫</w:t>
                  </w:r>
                </w:p>
              </w:tc>
              <w:tc>
                <w:tcPr>
                  <w:tcW w:w="713" w:type="pct"/>
                  <w:vMerge w:val="continue"/>
                  <w:vAlign w:val="center"/>
                </w:tcPr>
                <w:p w14:paraId="72FAD737">
                  <w:pPr>
                    <w:pStyle w:val="40"/>
                  </w:pPr>
                </w:p>
              </w:tc>
              <w:tc>
                <w:tcPr>
                  <w:tcW w:w="982" w:type="pct"/>
                  <w:tcBorders>
                    <w:right w:val="single" w:color="auto" w:sz="4" w:space="0"/>
                  </w:tcBorders>
                  <w:vAlign w:val="center"/>
                </w:tcPr>
                <w:p w14:paraId="788603A1">
                  <w:pPr>
                    <w:pStyle w:val="40"/>
                  </w:pPr>
                  <w:r>
                    <w:t>30</w:t>
                  </w:r>
                </w:p>
              </w:tc>
              <w:tc>
                <w:tcPr>
                  <w:tcW w:w="1837" w:type="pct"/>
                  <w:vMerge w:val="continue"/>
                  <w:tcBorders>
                    <w:left w:val="single" w:color="auto" w:sz="4" w:space="0"/>
                    <w:right w:val="single" w:color="auto" w:sz="4" w:space="0"/>
                  </w:tcBorders>
                  <w:vAlign w:val="center"/>
                </w:tcPr>
                <w:p w14:paraId="2BA0ED28">
                  <w:pPr>
                    <w:pStyle w:val="40"/>
                  </w:pPr>
                </w:p>
              </w:tc>
            </w:tr>
            <w:tr w14:paraId="3F212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4" w:hRule="atLeast"/>
                <w:tblHeader/>
                <w:jc w:val="center"/>
              </w:trPr>
              <w:tc>
                <w:tcPr>
                  <w:tcW w:w="580" w:type="pct"/>
                  <w:vMerge w:val="continue"/>
                  <w:tcMar>
                    <w:left w:w="28" w:type="dxa"/>
                    <w:right w:w="28" w:type="dxa"/>
                  </w:tcMar>
                  <w:vAlign w:val="center"/>
                </w:tcPr>
                <w:p w14:paraId="552B0089">
                  <w:pPr>
                    <w:pStyle w:val="40"/>
                  </w:pPr>
                </w:p>
              </w:tc>
              <w:tc>
                <w:tcPr>
                  <w:tcW w:w="888" w:type="pct"/>
                  <w:tcBorders>
                    <w:right w:val="single" w:color="auto" w:sz="4" w:space="0"/>
                  </w:tcBorders>
                  <w:tcMar>
                    <w:left w:w="28" w:type="dxa"/>
                    <w:right w:w="28" w:type="dxa"/>
                  </w:tcMar>
                </w:tcPr>
                <w:p w14:paraId="4034A2BB">
                  <w:pPr>
                    <w:pStyle w:val="40"/>
                  </w:pPr>
                  <w:r>
                    <w:rPr>
                      <w:rFonts w:hint="eastAsia"/>
                    </w:rPr>
                    <w:t>氮氧化物</w:t>
                  </w:r>
                </w:p>
              </w:tc>
              <w:tc>
                <w:tcPr>
                  <w:tcW w:w="713" w:type="pct"/>
                  <w:vMerge w:val="continue"/>
                  <w:vAlign w:val="center"/>
                </w:tcPr>
                <w:p w14:paraId="54D4D967">
                  <w:pPr>
                    <w:pStyle w:val="40"/>
                  </w:pPr>
                </w:p>
              </w:tc>
              <w:tc>
                <w:tcPr>
                  <w:tcW w:w="982" w:type="pct"/>
                  <w:tcBorders>
                    <w:right w:val="single" w:color="auto" w:sz="4" w:space="0"/>
                  </w:tcBorders>
                  <w:vAlign w:val="center"/>
                </w:tcPr>
                <w:p w14:paraId="672DE96E">
                  <w:pPr>
                    <w:pStyle w:val="40"/>
                  </w:pPr>
                  <w:r>
                    <w:t>150</w:t>
                  </w:r>
                </w:p>
              </w:tc>
              <w:tc>
                <w:tcPr>
                  <w:tcW w:w="1837" w:type="pct"/>
                  <w:vMerge w:val="continue"/>
                  <w:tcBorders>
                    <w:left w:val="single" w:color="auto" w:sz="4" w:space="0"/>
                    <w:right w:val="single" w:color="auto" w:sz="4" w:space="0"/>
                  </w:tcBorders>
                  <w:vAlign w:val="center"/>
                </w:tcPr>
                <w:p w14:paraId="6FC7DA42">
                  <w:pPr>
                    <w:pStyle w:val="40"/>
                  </w:pPr>
                </w:p>
              </w:tc>
            </w:tr>
            <w:tr w14:paraId="17D0A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4" w:hRule="atLeast"/>
                <w:tblHeader/>
                <w:jc w:val="center"/>
              </w:trPr>
              <w:tc>
                <w:tcPr>
                  <w:tcW w:w="580" w:type="pct"/>
                  <w:vMerge w:val="continue"/>
                  <w:tcMar>
                    <w:left w:w="28" w:type="dxa"/>
                    <w:right w:w="28" w:type="dxa"/>
                  </w:tcMar>
                  <w:vAlign w:val="center"/>
                </w:tcPr>
                <w:p w14:paraId="1C3663E0">
                  <w:pPr>
                    <w:pStyle w:val="40"/>
                  </w:pPr>
                </w:p>
              </w:tc>
              <w:tc>
                <w:tcPr>
                  <w:tcW w:w="888" w:type="pct"/>
                  <w:tcBorders>
                    <w:right w:val="single" w:color="auto" w:sz="4" w:space="0"/>
                  </w:tcBorders>
                  <w:tcMar>
                    <w:left w:w="28" w:type="dxa"/>
                    <w:right w:w="28" w:type="dxa"/>
                  </w:tcMar>
                </w:tcPr>
                <w:p w14:paraId="3BDA6D7E">
                  <w:pPr>
                    <w:pStyle w:val="40"/>
                  </w:pPr>
                  <w:r>
                    <w:rPr>
                      <w:rFonts w:hint="eastAsia"/>
                    </w:rPr>
                    <w:t>烟气黑度</w:t>
                  </w:r>
                </w:p>
              </w:tc>
              <w:tc>
                <w:tcPr>
                  <w:tcW w:w="713" w:type="pct"/>
                  <w:vMerge w:val="continue"/>
                  <w:vAlign w:val="center"/>
                </w:tcPr>
                <w:p w14:paraId="13BE2497">
                  <w:pPr>
                    <w:pStyle w:val="40"/>
                  </w:pPr>
                </w:p>
              </w:tc>
              <w:tc>
                <w:tcPr>
                  <w:tcW w:w="982" w:type="pct"/>
                  <w:tcBorders>
                    <w:right w:val="single" w:color="auto" w:sz="4" w:space="0"/>
                  </w:tcBorders>
                  <w:vAlign w:val="center"/>
                </w:tcPr>
                <w:p w14:paraId="3DC5A7EF">
                  <w:pPr>
                    <w:pStyle w:val="40"/>
                  </w:pPr>
                  <w:r>
                    <w:rPr>
                      <w:rFonts w:hint="eastAsia"/>
                    </w:rPr>
                    <w:t>≤1</w:t>
                  </w:r>
                </w:p>
              </w:tc>
              <w:tc>
                <w:tcPr>
                  <w:tcW w:w="1837" w:type="pct"/>
                  <w:vMerge w:val="continue"/>
                  <w:tcBorders>
                    <w:left w:val="single" w:color="auto" w:sz="4" w:space="0"/>
                    <w:right w:val="single" w:color="auto" w:sz="4" w:space="0"/>
                  </w:tcBorders>
                  <w:vAlign w:val="center"/>
                </w:tcPr>
                <w:p w14:paraId="4CC49F6A">
                  <w:pPr>
                    <w:pStyle w:val="40"/>
                  </w:pPr>
                </w:p>
              </w:tc>
            </w:tr>
            <w:tr w14:paraId="34893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4" w:hRule="atLeast"/>
                <w:tblHeader/>
                <w:jc w:val="center"/>
              </w:trPr>
              <w:tc>
                <w:tcPr>
                  <w:tcW w:w="580" w:type="pct"/>
                  <w:vMerge w:val="continue"/>
                  <w:tcMar>
                    <w:left w:w="28" w:type="dxa"/>
                    <w:right w:w="28" w:type="dxa"/>
                  </w:tcMar>
                  <w:vAlign w:val="center"/>
                </w:tcPr>
                <w:p w14:paraId="697011F8">
                  <w:pPr>
                    <w:pStyle w:val="40"/>
                  </w:pPr>
                </w:p>
              </w:tc>
              <w:tc>
                <w:tcPr>
                  <w:tcW w:w="888" w:type="pct"/>
                  <w:tcBorders>
                    <w:right w:val="single" w:color="auto" w:sz="4" w:space="0"/>
                  </w:tcBorders>
                  <w:tcMar>
                    <w:left w:w="28" w:type="dxa"/>
                    <w:right w:w="28" w:type="dxa"/>
                  </w:tcMar>
                  <w:vAlign w:val="center"/>
                </w:tcPr>
                <w:p w14:paraId="038AC5CB">
                  <w:pPr>
                    <w:pStyle w:val="40"/>
                  </w:pPr>
                  <w:r>
                    <w:rPr>
                      <w:rFonts w:hint="eastAsia"/>
                    </w:rPr>
                    <w:t>氨逃逸</w:t>
                  </w:r>
                </w:p>
              </w:tc>
              <w:tc>
                <w:tcPr>
                  <w:tcW w:w="713" w:type="pct"/>
                  <w:vMerge w:val="continue"/>
                  <w:vAlign w:val="center"/>
                </w:tcPr>
                <w:p w14:paraId="6E63111D">
                  <w:pPr>
                    <w:pStyle w:val="40"/>
                  </w:pPr>
                </w:p>
              </w:tc>
              <w:tc>
                <w:tcPr>
                  <w:tcW w:w="982" w:type="pct"/>
                  <w:tcBorders>
                    <w:right w:val="single" w:color="auto" w:sz="4" w:space="0"/>
                  </w:tcBorders>
                  <w:vAlign w:val="center"/>
                </w:tcPr>
                <w:p w14:paraId="0EAEBE34">
                  <w:pPr>
                    <w:pStyle w:val="40"/>
                  </w:pPr>
                  <w:r>
                    <w:rPr>
                      <w:rFonts w:hint="eastAsia"/>
                    </w:rPr>
                    <w:t>7.6（采用SNCR脱硝工艺）</w:t>
                  </w:r>
                </w:p>
              </w:tc>
              <w:tc>
                <w:tcPr>
                  <w:tcW w:w="1837" w:type="pct"/>
                  <w:vMerge w:val="continue"/>
                  <w:tcBorders>
                    <w:left w:val="single" w:color="auto" w:sz="4" w:space="0"/>
                    <w:right w:val="single" w:color="auto" w:sz="4" w:space="0"/>
                  </w:tcBorders>
                  <w:vAlign w:val="center"/>
                </w:tcPr>
                <w:p w14:paraId="0310FFB8">
                  <w:pPr>
                    <w:pStyle w:val="40"/>
                  </w:pPr>
                </w:p>
              </w:tc>
            </w:tr>
            <w:tr w14:paraId="6751A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4" w:hRule="atLeast"/>
                <w:tblHeader/>
                <w:jc w:val="center"/>
              </w:trPr>
              <w:tc>
                <w:tcPr>
                  <w:tcW w:w="580" w:type="pct"/>
                  <w:vMerge w:val="continue"/>
                  <w:tcMar>
                    <w:left w:w="28" w:type="dxa"/>
                    <w:right w:w="28" w:type="dxa"/>
                  </w:tcMar>
                  <w:vAlign w:val="center"/>
                </w:tcPr>
                <w:p w14:paraId="2AD350C4">
                  <w:pPr>
                    <w:pStyle w:val="40"/>
                  </w:pPr>
                </w:p>
              </w:tc>
              <w:tc>
                <w:tcPr>
                  <w:tcW w:w="888" w:type="pct"/>
                  <w:tcBorders>
                    <w:right w:val="single" w:color="auto" w:sz="4" w:space="0"/>
                  </w:tcBorders>
                  <w:tcMar>
                    <w:left w:w="28" w:type="dxa"/>
                    <w:right w:w="28" w:type="dxa"/>
                  </w:tcMar>
                  <w:vAlign w:val="center"/>
                </w:tcPr>
                <w:p w14:paraId="5BF4E979">
                  <w:pPr>
                    <w:pStyle w:val="40"/>
                  </w:pPr>
                  <w:r>
                    <w:rPr>
                      <w:rFonts w:hint="eastAsia"/>
                    </w:rPr>
                    <w:t>氨</w:t>
                  </w:r>
                </w:p>
              </w:tc>
              <w:tc>
                <w:tcPr>
                  <w:tcW w:w="713" w:type="pct"/>
                  <w:vMerge w:val="restart"/>
                  <w:vAlign w:val="center"/>
                </w:tcPr>
                <w:p w14:paraId="0423D32A">
                  <w:pPr>
                    <w:pStyle w:val="40"/>
                  </w:pPr>
                  <w:r>
                    <w:rPr>
                      <w:rFonts w:hint="eastAsia"/>
                    </w:rPr>
                    <w:t>15</w:t>
                  </w:r>
                </w:p>
              </w:tc>
              <w:tc>
                <w:tcPr>
                  <w:tcW w:w="982" w:type="pct"/>
                  <w:tcBorders>
                    <w:right w:val="single" w:color="auto" w:sz="4" w:space="0"/>
                  </w:tcBorders>
                  <w:vAlign w:val="center"/>
                </w:tcPr>
                <w:p w14:paraId="47481D0B">
                  <w:pPr>
                    <w:pStyle w:val="40"/>
                  </w:pPr>
                  <w:r>
                    <w:rPr>
                      <w:rFonts w:hint="eastAsia"/>
                    </w:rPr>
                    <w:t>4.9</w:t>
                  </w:r>
                  <w:r>
                    <w:t xml:space="preserve"> kg/h</w:t>
                  </w:r>
                </w:p>
              </w:tc>
              <w:tc>
                <w:tcPr>
                  <w:tcW w:w="1837" w:type="pct"/>
                  <w:vMerge w:val="restart"/>
                  <w:tcBorders>
                    <w:left w:val="single" w:color="auto" w:sz="4" w:space="0"/>
                    <w:right w:val="single" w:color="auto" w:sz="4" w:space="0"/>
                  </w:tcBorders>
                  <w:vAlign w:val="center"/>
                </w:tcPr>
                <w:p w14:paraId="54E489CC">
                  <w:pPr>
                    <w:pStyle w:val="40"/>
                  </w:pPr>
                  <w:r>
                    <w:rPr>
                      <w:rFonts w:hint="eastAsia"/>
                    </w:rPr>
                    <w:t>《恶臭污染物排放标准》（GB14554-1993）表2标准</w:t>
                  </w:r>
                </w:p>
              </w:tc>
            </w:tr>
            <w:tr w14:paraId="32F46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4" w:hRule="atLeast"/>
                <w:tblHeader/>
                <w:jc w:val="center"/>
              </w:trPr>
              <w:tc>
                <w:tcPr>
                  <w:tcW w:w="580" w:type="pct"/>
                  <w:vMerge w:val="continue"/>
                  <w:tcMar>
                    <w:left w:w="28" w:type="dxa"/>
                    <w:right w:w="28" w:type="dxa"/>
                  </w:tcMar>
                  <w:vAlign w:val="center"/>
                </w:tcPr>
                <w:p w14:paraId="0F61176C">
                  <w:pPr>
                    <w:pStyle w:val="40"/>
                  </w:pPr>
                </w:p>
              </w:tc>
              <w:tc>
                <w:tcPr>
                  <w:tcW w:w="888" w:type="pct"/>
                  <w:tcBorders>
                    <w:right w:val="single" w:color="auto" w:sz="4" w:space="0"/>
                  </w:tcBorders>
                  <w:tcMar>
                    <w:left w:w="28" w:type="dxa"/>
                    <w:right w:w="28" w:type="dxa"/>
                  </w:tcMar>
                  <w:vAlign w:val="center"/>
                </w:tcPr>
                <w:p w14:paraId="444532E1">
                  <w:pPr>
                    <w:pStyle w:val="40"/>
                  </w:pPr>
                  <w:r>
                    <w:rPr>
                      <w:rFonts w:hint="eastAsia"/>
                    </w:rPr>
                    <w:t>硫化氢</w:t>
                  </w:r>
                </w:p>
              </w:tc>
              <w:tc>
                <w:tcPr>
                  <w:tcW w:w="713" w:type="pct"/>
                  <w:vMerge w:val="continue"/>
                  <w:vAlign w:val="center"/>
                </w:tcPr>
                <w:p w14:paraId="74F00FDF">
                  <w:pPr>
                    <w:pStyle w:val="40"/>
                  </w:pPr>
                </w:p>
              </w:tc>
              <w:tc>
                <w:tcPr>
                  <w:tcW w:w="982" w:type="pct"/>
                  <w:tcBorders>
                    <w:right w:val="single" w:color="auto" w:sz="4" w:space="0"/>
                  </w:tcBorders>
                  <w:vAlign w:val="center"/>
                </w:tcPr>
                <w:p w14:paraId="48A03BA8">
                  <w:pPr>
                    <w:pStyle w:val="40"/>
                  </w:pPr>
                  <w:r>
                    <w:rPr>
                      <w:rFonts w:hint="eastAsia"/>
                    </w:rPr>
                    <w:t>0.33</w:t>
                  </w:r>
                  <w:r>
                    <w:t xml:space="preserve"> kg/h</w:t>
                  </w:r>
                </w:p>
              </w:tc>
              <w:tc>
                <w:tcPr>
                  <w:tcW w:w="1837" w:type="pct"/>
                  <w:vMerge w:val="continue"/>
                  <w:tcBorders>
                    <w:left w:val="single" w:color="auto" w:sz="4" w:space="0"/>
                    <w:right w:val="single" w:color="auto" w:sz="4" w:space="0"/>
                  </w:tcBorders>
                  <w:vAlign w:val="center"/>
                </w:tcPr>
                <w:p w14:paraId="24A79721">
                  <w:pPr>
                    <w:pStyle w:val="40"/>
                  </w:pPr>
                </w:p>
              </w:tc>
            </w:tr>
            <w:tr w14:paraId="47CF1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4" w:hRule="atLeast"/>
                <w:tblHeader/>
                <w:jc w:val="center"/>
              </w:trPr>
              <w:tc>
                <w:tcPr>
                  <w:tcW w:w="580" w:type="pct"/>
                  <w:vMerge w:val="continue"/>
                  <w:tcMar>
                    <w:left w:w="28" w:type="dxa"/>
                    <w:right w:w="28" w:type="dxa"/>
                  </w:tcMar>
                  <w:vAlign w:val="center"/>
                </w:tcPr>
                <w:p w14:paraId="4DA6D6EA">
                  <w:pPr>
                    <w:pStyle w:val="40"/>
                  </w:pPr>
                </w:p>
              </w:tc>
              <w:tc>
                <w:tcPr>
                  <w:tcW w:w="888" w:type="pct"/>
                  <w:tcBorders>
                    <w:right w:val="single" w:color="auto" w:sz="4" w:space="0"/>
                  </w:tcBorders>
                  <w:tcMar>
                    <w:left w:w="28" w:type="dxa"/>
                    <w:right w:w="28" w:type="dxa"/>
                  </w:tcMar>
                  <w:vAlign w:val="center"/>
                </w:tcPr>
                <w:p w14:paraId="34CBDBD8">
                  <w:pPr>
                    <w:pStyle w:val="40"/>
                  </w:pPr>
                  <w:r>
                    <w:rPr>
                      <w:rFonts w:hint="eastAsia"/>
                    </w:rPr>
                    <w:t>臭气浓度</w:t>
                  </w:r>
                </w:p>
              </w:tc>
              <w:tc>
                <w:tcPr>
                  <w:tcW w:w="713" w:type="pct"/>
                  <w:vMerge w:val="continue"/>
                  <w:vAlign w:val="center"/>
                </w:tcPr>
                <w:p w14:paraId="6B88B87F">
                  <w:pPr>
                    <w:pStyle w:val="40"/>
                  </w:pPr>
                </w:p>
              </w:tc>
              <w:tc>
                <w:tcPr>
                  <w:tcW w:w="982" w:type="pct"/>
                  <w:tcBorders>
                    <w:right w:val="single" w:color="auto" w:sz="4" w:space="0"/>
                  </w:tcBorders>
                  <w:vAlign w:val="center"/>
                </w:tcPr>
                <w:p w14:paraId="49FC4159">
                  <w:pPr>
                    <w:pStyle w:val="40"/>
                  </w:pPr>
                  <w:r>
                    <w:rPr>
                      <w:rFonts w:hint="eastAsia"/>
                    </w:rPr>
                    <w:t>2000（无量纲）</w:t>
                  </w:r>
                </w:p>
              </w:tc>
              <w:tc>
                <w:tcPr>
                  <w:tcW w:w="1837" w:type="pct"/>
                  <w:vMerge w:val="continue"/>
                  <w:tcBorders>
                    <w:left w:val="single" w:color="auto" w:sz="4" w:space="0"/>
                    <w:right w:val="single" w:color="auto" w:sz="4" w:space="0"/>
                  </w:tcBorders>
                  <w:vAlign w:val="center"/>
                </w:tcPr>
                <w:p w14:paraId="07DF05B8">
                  <w:pPr>
                    <w:pStyle w:val="40"/>
                  </w:pPr>
                </w:p>
              </w:tc>
            </w:tr>
            <w:tr w14:paraId="31804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4" w:hRule="atLeast"/>
                <w:tblHeader/>
                <w:jc w:val="center"/>
              </w:trPr>
              <w:tc>
                <w:tcPr>
                  <w:tcW w:w="580" w:type="pct"/>
                  <w:vMerge w:val="restart"/>
                  <w:tcMar>
                    <w:left w:w="28" w:type="dxa"/>
                    <w:right w:w="28" w:type="dxa"/>
                  </w:tcMar>
                  <w:vAlign w:val="center"/>
                </w:tcPr>
                <w:p w14:paraId="5FF63A17">
                  <w:pPr>
                    <w:pStyle w:val="40"/>
                  </w:pPr>
                  <w:r>
                    <w:t>无组织</w:t>
                  </w:r>
                </w:p>
              </w:tc>
              <w:tc>
                <w:tcPr>
                  <w:tcW w:w="888" w:type="pct"/>
                  <w:tcBorders>
                    <w:right w:val="single" w:color="auto" w:sz="4" w:space="0"/>
                  </w:tcBorders>
                  <w:tcMar>
                    <w:left w:w="28" w:type="dxa"/>
                    <w:right w:w="28" w:type="dxa"/>
                  </w:tcMar>
                </w:tcPr>
                <w:p w14:paraId="0398BD70">
                  <w:pPr>
                    <w:pStyle w:val="40"/>
                  </w:pPr>
                  <w:r>
                    <w:rPr>
                      <w:rFonts w:hint="eastAsia"/>
                    </w:rPr>
                    <w:t>氨</w:t>
                  </w:r>
                </w:p>
              </w:tc>
              <w:tc>
                <w:tcPr>
                  <w:tcW w:w="713" w:type="pct"/>
                </w:tcPr>
                <w:p w14:paraId="34998F63">
                  <w:pPr>
                    <w:pStyle w:val="40"/>
                  </w:pPr>
                  <w:r>
                    <w:rPr>
                      <w:rFonts w:hint="eastAsia"/>
                    </w:rPr>
                    <w:t>/</w:t>
                  </w:r>
                </w:p>
              </w:tc>
              <w:tc>
                <w:tcPr>
                  <w:tcW w:w="982" w:type="pct"/>
                  <w:tcBorders>
                    <w:right w:val="single" w:color="auto" w:sz="4" w:space="0"/>
                  </w:tcBorders>
                  <w:vAlign w:val="center"/>
                </w:tcPr>
                <w:p w14:paraId="0558BC6F">
                  <w:pPr>
                    <w:pStyle w:val="40"/>
                  </w:pPr>
                  <w:r>
                    <w:rPr>
                      <w:rFonts w:hint="eastAsia"/>
                    </w:rPr>
                    <w:t>1.5</w:t>
                  </w:r>
                </w:p>
              </w:tc>
              <w:tc>
                <w:tcPr>
                  <w:tcW w:w="1837" w:type="pct"/>
                  <w:vMerge w:val="restart"/>
                  <w:tcBorders>
                    <w:left w:val="single" w:color="auto" w:sz="4" w:space="0"/>
                    <w:right w:val="single" w:color="auto" w:sz="4" w:space="0"/>
                  </w:tcBorders>
                  <w:vAlign w:val="center"/>
                </w:tcPr>
                <w:p w14:paraId="7E77311E">
                  <w:pPr>
                    <w:pStyle w:val="40"/>
                  </w:pPr>
                  <w:bookmarkStart w:id="79" w:name="OLE_LINK351"/>
                  <w:bookmarkStart w:id="80" w:name="OLE_LINK350"/>
                  <w:r>
                    <w:rPr>
                      <w:rFonts w:hint="eastAsia"/>
                    </w:rPr>
                    <w:t xml:space="preserve"> 《恶臭污染物排放标准》（GB14554-1993）</w:t>
                  </w:r>
                  <w:bookmarkEnd w:id="79"/>
                  <w:bookmarkEnd w:id="80"/>
                  <w:r>
                    <w:rPr>
                      <w:rFonts w:hint="eastAsia"/>
                    </w:rPr>
                    <w:t>表1新扩改建二级标准</w:t>
                  </w:r>
                </w:p>
              </w:tc>
            </w:tr>
            <w:tr w14:paraId="1DC78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78" w:hRule="atLeast"/>
                <w:tblHeader/>
                <w:jc w:val="center"/>
              </w:trPr>
              <w:tc>
                <w:tcPr>
                  <w:tcW w:w="580" w:type="pct"/>
                  <w:vMerge w:val="continue"/>
                  <w:tcMar>
                    <w:left w:w="28" w:type="dxa"/>
                    <w:right w:w="28" w:type="dxa"/>
                  </w:tcMar>
                  <w:vAlign w:val="center"/>
                </w:tcPr>
                <w:p w14:paraId="54681FE3">
                  <w:pPr>
                    <w:pStyle w:val="40"/>
                  </w:pPr>
                </w:p>
              </w:tc>
              <w:tc>
                <w:tcPr>
                  <w:tcW w:w="888" w:type="pct"/>
                  <w:tcBorders>
                    <w:right w:val="single" w:color="auto" w:sz="4" w:space="0"/>
                  </w:tcBorders>
                  <w:tcMar>
                    <w:left w:w="28" w:type="dxa"/>
                    <w:right w:w="28" w:type="dxa"/>
                  </w:tcMar>
                </w:tcPr>
                <w:p w14:paraId="58EA24BE">
                  <w:pPr>
                    <w:pStyle w:val="40"/>
                  </w:pPr>
                  <w:r>
                    <w:rPr>
                      <w:rFonts w:hint="eastAsia"/>
                    </w:rPr>
                    <w:t>硫化氢</w:t>
                  </w:r>
                </w:p>
              </w:tc>
              <w:tc>
                <w:tcPr>
                  <w:tcW w:w="713" w:type="pct"/>
                </w:tcPr>
                <w:p w14:paraId="1F5D88C4">
                  <w:pPr>
                    <w:pStyle w:val="40"/>
                  </w:pPr>
                  <w:r>
                    <w:rPr>
                      <w:rFonts w:hint="eastAsia"/>
                    </w:rPr>
                    <w:t>/</w:t>
                  </w:r>
                </w:p>
              </w:tc>
              <w:tc>
                <w:tcPr>
                  <w:tcW w:w="982" w:type="pct"/>
                  <w:tcBorders>
                    <w:right w:val="single" w:color="auto" w:sz="4" w:space="0"/>
                  </w:tcBorders>
                  <w:vAlign w:val="center"/>
                </w:tcPr>
                <w:p w14:paraId="7945B21D">
                  <w:pPr>
                    <w:pStyle w:val="40"/>
                  </w:pPr>
                  <w:r>
                    <w:rPr>
                      <w:rFonts w:hint="eastAsia"/>
                    </w:rPr>
                    <w:t>0.06</w:t>
                  </w:r>
                </w:p>
              </w:tc>
              <w:tc>
                <w:tcPr>
                  <w:tcW w:w="1837" w:type="pct"/>
                  <w:vMerge w:val="continue"/>
                  <w:tcBorders>
                    <w:left w:val="single" w:color="auto" w:sz="4" w:space="0"/>
                    <w:right w:val="single" w:color="auto" w:sz="4" w:space="0"/>
                  </w:tcBorders>
                  <w:vAlign w:val="center"/>
                </w:tcPr>
                <w:p w14:paraId="48B76370">
                  <w:pPr>
                    <w:pStyle w:val="40"/>
                  </w:pPr>
                </w:p>
              </w:tc>
            </w:tr>
            <w:tr w14:paraId="41170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78" w:hRule="atLeast"/>
                <w:tblHeader/>
                <w:jc w:val="center"/>
              </w:trPr>
              <w:tc>
                <w:tcPr>
                  <w:tcW w:w="580" w:type="pct"/>
                  <w:vMerge w:val="continue"/>
                  <w:tcMar>
                    <w:left w:w="28" w:type="dxa"/>
                    <w:right w:w="28" w:type="dxa"/>
                  </w:tcMar>
                  <w:vAlign w:val="center"/>
                </w:tcPr>
                <w:p w14:paraId="0063192C">
                  <w:pPr>
                    <w:pStyle w:val="40"/>
                  </w:pPr>
                </w:p>
              </w:tc>
              <w:tc>
                <w:tcPr>
                  <w:tcW w:w="888" w:type="pct"/>
                  <w:tcBorders>
                    <w:right w:val="single" w:color="auto" w:sz="4" w:space="0"/>
                  </w:tcBorders>
                  <w:tcMar>
                    <w:left w:w="28" w:type="dxa"/>
                    <w:right w:w="28" w:type="dxa"/>
                  </w:tcMar>
                </w:tcPr>
                <w:p w14:paraId="74098313">
                  <w:pPr>
                    <w:pStyle w:val="40"/>
                  </w:pPr>
                  <w:r>
                    <w:rPr>
                      <w:rFonts w:hint="eastAsia"/>
                    </w:rPr>
                    <w:t>臭气浓度</w:t>
                  </w:r>
                </w:p>
              </w:tc>
              <w:tc>
                <w:tcPr>
                  <w:tcW w:w="713" w:type="pct"/>
                </w:tcPr>
                <w:p w14:paraId="1D6888B5">
                  <w:pPr>
                    <w:pStyle w:val="40"/>
                  </w:pPr>
                  <w:r>
                    <w:rPr>
                      <w:rFonts w:hint="eastAsia"/>
                    </w:rPr>
                    <w:t>/</w:t>
                  </w:r>
                </w:p>
              </w:tc>
              <w:tc>
                <w:tcPr>
                  <w:tcW w:w="982" w:type="pct"/>
                  <w:tcBorders>
                    <w:right w:val="single" w:color="auto" w:sz="4" w:space="0"/>
                  </w:tcBorders>
                  <w:vAlign w:val="center"/>
                </w:tcPr>
                <w:p w14:paraId="7AFDC69A">
                  <w:pPr>
                    <w:pStyle w:val="40"/>
                  </w:pPr>
                  <w:r>
                    <w:rPr>
                      <w:rFonts w:hint="eastAsia"/>
                    </w:rPr>
                    <w:t>20</w:t>
                  </w:r>
                </w:p>
              </w:tc>
              <w:tc>
                <w:tcPr>
                  <w:tcW w:w="1837" w:type="pct"/>
                  <w:vMerge w:val="continue"/>
                  <w:tcBorders>
                    <w:left w:val="single" w:color="auto" w:sz="4" w:space="0"/>
                    <w:right w:val="single" w:color="auto" w:sz="4" w:space="0"/>
                  </w:tcBorders>
                  <w:vAlign w:val="center"/>
                </w:tcPr>
                <w:p w14:paraId="66B03BA3">
                  <w:pPr>
                    <w:pStyle w:val="40"/>
                  </w:pPr>
                </w:p>
              </w:tc>
            </w:tr>
            <w:tr w14:paraId="3E841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96" w:hRule="atLeast"/>
                <w:tblHeader/>
                <w:jc w:val="center"/>
              </w:trPr>
              <w:tc>
                <w:tcPr>
                  <w:tcW w:w="580" w:type="pct"/>
                  <w:vMerge w:val="continue"/>
                  <w:tcMar>
                    <w:left w:w="28" w:type="dxa"/>
                    <w:right w:w="28" w:type="dxa"/>
                  </w:tcMar>
                  <w:vAlign w:val="center"/>
                </w:tcPr>
                <w:p w14:paraId="0CD343DC">
                  <w:pPr>
                    <w:pStyle w:val="40"/>
                  </w:pPr>
                </w:p>
              </w:tc>
              <w:tc>
                <w:tcPr>
                  <w:tcW w:w="888" w:type="pct"/>
                  <w:vMerge w:val="restart"/>
                  <w:tcBorders>
                    <w:right w:val="single" w:color="auto" w:sz="4" w:space="0"/>
                  </w:tcBorders>
                  <w:tcMar>
                    <w:left w:w="28" w:type="dxa"/>
                    <w:right w:w="28" w:type="dxa"/>
                  </w:tcMar>
                  <w:vAlign w:val="center"/>
                </w:tcPr>
                <w:p w14:paraId="34F01748">
                  <w:pPr>
                    <w:pStyle w:val="40"/>
                  </w:pPr>
                  <w:r>
                    <w:rPr>
                      <w:rFonts w:hint="eastAsia"/>
                    </w:rPr>
                    <w:t>颗粒物</w:t>
                  </w:r>
                </w:p>
              </w:tc>
              <w:tc>
                <w:tcPr>
                  <w:tcW w:w="713" w:type="pct"/>
                  <w:vAlign w:val="center"/>
                </w:tcPr>
                <w:p w14:paraId="4D257093">
                  <w:pPr>
                    <w:pStyle w:val="40"/>
                  </w:pPr>
                  <w:r>
                    <w:rPr>
                      <w:rFonts w:hint="eastAsia"/>
                    </w:rPr>
                    <w:t>/</w:t>
                  </w:r>
                </w:p>
              </w:tc>
              <w:tc>
                <w:tcPr>
                  <w:tcW w:w="982" w:type="pct"/>
                  <w:tcBorders>
                    <w:right w:val="single" w:color="auto" w:sz="4" w:space="0"/>
                  </w:tcBorders>
                  <w:vAlign w:val="center"/>
                </w:tcPr>
                <w:p w14:paraId="45A6F5FE">
                  <w:pPr>
                    <w:pStyle w:val="40"/>
                  </w:pPr>
                  <w:r>
                    <w:rPr>
                      <w:rFonts w:hint="eastAsia"/>
                    </w:rPr>
                    <w:t>1.0</w:t>
                  </w:r>
                </w:p>
              </w:tc>
              <w:tc>
                <w:tcPr>
                  <w:tcW w:w="1837" w:type="pct"/>
                  <w:tcBorders>
                    <w:left w:val="single" w:color="auto" w:sz="4" w:space="0"/>
                    <w:right w:val="single" w:color="auto" w:sz="4" w:space="0"/>
                  </w:tcBorders>
                  <w:vAlign w:val="center"/>
                </w:tcPr>
                <w:p w14:paraId="078D0A5F">
                  <w:pPr>
                    <w:pStyle w:val="40"/>
                  </w:pPr>
                  <w:r>
                    <w:rPr>
                      <w:rFonts w:hint="eastAsia"/>
                    </w:rPr>
                    <w:t>《大气污染物综合排放标准》</w:t>
                  </w:r>
                </w:p>
                <w:p w14:paraId="0C6B33AF">
                  <w:pPr>
                    <w:pStyle w:val="40"/>
                  </w:pPr>
                  <w:r>
                    <w:rPr>
                      <w:rFonts w:hint="eastAsia"/>
                    </w:rPr>
                    <w:t>（GB16297-1996）表2</w:t>
                  </w:r>
                </w:p>
              </w:tc>
            </w:tr>
            <w:tr w14:paraId="5C6D9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96" w:hRule="atLeast"/>
                <w:tblHeader/>
                <w:jc w:val="center"/>
              </w:trPr>
              <w:tc>
                <w:tcPr>
                  <w:tcW w:w="580" w:type="pct"/>
                  <w:vMerge w:val="continue"/>
                  <w:tcMar>
                    <w:left w:w="28" w:type="dxa"/>
                    <w:right w:w="28" w:type="dxa"/>
                  </w:tcMar>
                  <w:vAlign w:val="center"/>
                </w:tcPr>
                <w:p w14:paraId="5458DB56">
                  <w:pPr>
                    <w:pStyle w:val="40"/>
                  </w:pPr>
                </w:p>
              </w:tc>
              <w:tc>
                <w:tcPr>
                  <w:tcW w:w="888" w:type="pct"/>
                  <w:vMerge w:val="continue"/>
                  <w:tcBorders>
                    <w:right w:val="single" w:color="auto" w:sz="4" w:space="0"/>
                  </w:tcBorders>
                  <w:tcMar>
                    <w:left w:w="28" w:type="dxa"/>
                    <w:right w:w="28" w:type="dxa"/>
                  </w:tcMar>
                  <w:vAlign w:val="center"/>
                </w:tcPr>
                <w:p w14:paraId="6E37E3DF">
                  <w:pPr>
                    <w:pStyle w:val="40"/>
                  </w:pPr>
                </w:p>
              </w:tc>
              <w:tc>
                <w:tcPr>
                  <w:tcW w:w="713" w:type="pct"/>
                  <w:vAlign w:val="center"/>
                </w:tcPr>
                <w:p w14:paraId="7BE242BA">
                  <w:pPr>
                    <w:pStyle w:val="40"/>
                  </w:pPr>
                  <w:r>
                    <w:rPr>
                      <w:rFonts w:hint="eastAsia"/>
                    </w:rPr>
                    <w:t>/</w:t>
                  </w:r>
                </w:p>
              </w:tc>
              <w:tc>
                <w:tcPr>
                  <w:tcW w:w="982" w:type="pct"/>
                  <w:tcBorders>
                    <w:right w:val="single" w:color="auto" w:sz="4" w:space="0"/>
                  </w:tcBorders>
                  <w:vAlign w:val="center"/>
                </w:tcPr>
                <w:p w14:paraId="6B32CD36">
                  <w:pPr>
                    <w:pStyle w:val="40"/>
                  </w:pPr>
                  <w:r>
                    <w:rPr>
                      <w:rFonts w:hint="eastAsia"/>
                    </w:rPr>
                    <w:t>0.3</w:t>
                  </w:r>
                </w:p>
              </w:tc>
              <w:tc>
                <w:tcPr>
                  <w:tcW w:w="1837" w:type="pct"/>
                  <w:tcBorders>
                    <w:left w:val="single" w:color="auto" w:sz="4" w:space="0"/>
                    <w:right w:val="single" w:color="auto" w:sz="4" w:space="0"/>
                  </w:tcBorders>
                  <w:vAlign w:val="center"/>
                </w:tcPr>
                <w:p w14:paraId="4EBDEDEF">
                  <w:pPr>
                    <w:pStyle w:val="40"/>
                  </w:pPr>
                  <w:r>
                    <w:t>《秦皇岛市人民政府办公室关于执行钢铁行业大气污染物排放特别要求的通知》</w:t>
                  </w:r>
                  <w:r>
                    <w:rPr>
                      <w:rFonts w:hint="eastAsia"/>
                    </w:rPr>
                    <w:t>中</w:t>
                  </w:r>
                  <w:r>
                    <w:t>颗粒物</w:t>
                  </w:r>
                  <w:r>
                    <w:rPr>
                      <w:rFonts w:hint="eastAsia"/>
                    </w:rPr>
                    <w:t>厂界</w:t>
                  </w:r>
                  <w:r>
                    <w:t>无组织排放浓度限值要求</w:t>
                  </w:r>
                </w:p>
              </w:tc>
            </w:tr>
          </w:tbl>
          <w:p w14:paraId="1E154C07">
            <w:pPr>
              <w:ind w:firstLine="422" w:firstLineChars="0"/>
              <w:rPr>
                <w:b/>
                <w:szCs w:val="21"/>
              </w:rPr>
            </w:pPr>
            <w:r>
              <w:rPr>
                <w:rFonts w:hint="eastAsia"/>
                <w:b/>
                <w:szCs w:val="21"/>
              </w:rPr>
              <w:t>2</w:t>
            </w:r>
            <w:r>
              <w:rPr>
                <w:b/>
                <w:szCs w:val="21"/>
              </w:rPr>
              <w:t>、</w:t>
            </w:r>
            <w:r>
              <w:rPr>
                <w:rFonts w:hint="eastAsia"/>
                <w:b/>
                <w:szCs w:val="21"/>
              </w:rPr>
              <w:t>废水</w:t>
            </w:r>
          </w:p>
          <w:p w14:paraId="10F3653A">
            <w:pPr>
              <w:snapToGrid w:val="0"/>
              <w:ind w:firstLine="420"/>
              <w:contextualSpacing/>
              <w:rPr>
                <w:snapToGrid w:val="0"/>
              </w:rPr>
            </w:pPr>
            <w:r>
              <w:rPr>
                <w:rFonts w:hint="eastAsia"/>
                <w:snapToGrid w:val="0"/>
              </w:rPr>
              <w:t>生产废水经污水处理站处理后，运至秦皇岛市抚宁区中冶水务有限公司。生产废水执行《污水综合排放标准》（GB8978-1996）中</w:t>
            </w:r>
            <w:bookmarkStart w:id="81" w:name="OLE_LINK417"/>
            <w:bookmarkStart w:id="82" w:name="OLE_LINK418"/>
            <w:r>
              <w:rPr>
                <w:rFonts w:hint="eastAsia"/>
                <w:snapToGrid w:val="0"/>
              </w:rPr>
              <w:t>表 4 三级标准</w:t>
            </w:r>
            <w:bookmarkEnd w:id="81"/>
            <w:bookmarkEnd w:id="82"/>
            <w:r>
              <w:rPr>
                <w:rFonts w:hint="eastAsia"/>
                <w:snapToGrid w:val="0"/>
              </w:rPr>
              <w:t>、并满足秦皇岛市抚宁区中冶水务有限公司收水标准。</w:t>
            </w:r>
          </w:p>
          <w:p w14:paraId="1F3385C1">
            <w:pPr>
              <w:pStyle w:val="74"/>
            </w:pPr>
            <w:r>
              <w:rPr>
                <w:rFonts w:hint="eastAsia"/>
              </w:rPr>
              <w:t>表3-6运营期</w:t>
            </w:r>
            <w:r>
              <w:rPr>
                <w:rFonts w:hint="eastAsia"/>
                <w:snapToGrid w:val="0"/>
              </w:rPr>
              <w:t>生产废水</w:t>
            </w:r>
            <w:r>
              <w:t>污染物排放标准</w:t>
            </w:r>
          </w:p>
          <w:tbl>
            <w:tblPr>
              <w:tblStyle w:val="25"/>
              <w:tblW w:w="4802" w:type="pct"/>
              <w:tblInd w:w="1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0"/>
              <w:gridCol w:w="3277"/>
              <w:gridCol w:w="2420"/>
            </w:tblGrid>
            <w:tr w14:paraId="46E7E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trPr>
              <w:tc>
                <w:tcPr>
                  <w:tcW w:w="1365" w:type="pct"/>
                  <w:shd w:val="clear" w:color="auto" w:fill="auto"/>
                  <w:vAlign w:val="center"/>
                </w:tcPr>
                <w:p w14:paraId="59CFC20E">
                  <w:pPr>
                    <w:pStyle w:val="40"/>
                    <w:rPr>
                      <w:highlight w:val="yellow"/>
                    </w:rPr>
                  </w:pPr>
                  <w:r>
                    <w:rPr>
                      <w:rFonts w:hint="eastAsia"/>
                    </w:rPr>
                    <w:t>污染物</w:t>
                  </w:r>
                </w:p>
              </w:tc>
              <w:tc>
                <w:tcPr>
                  <w:tcW w:w="2091" w:type="pct"/>
                  <w:shd w:val="clear" w:color="auto" w:fill="auto"/>
                  <w:vAlign w:val="center"/>
                </w:tcPr>
                <w:p w14:paraId="08132689">
                  <w:pPr>
                    <w:pStyle w:val="40"/>
                    <w:rPr>
                      <w:highlight w:val="yellow"/>
                    </w:rPr>
                  </w:pPr>
                  <w:r>
                    <w:rPr>
                      <w:rFonts w:hint="eastAsia"/>
                    </w:rPr>
                    <w:t>指标</w:t>
                  </w:r>
                  <w:r>
                    <w:t>mg/L</w:t>
                  </w:r>
                </w:p>
              </w:tc>
              <w:tc>
                <w:tcPr>
                  <w:tcW w:w="1544" w:type="pct"/>
                  <w:shd w:val="clear" w:color="auto" w:fill="auto"/>
                  <w:vAlign w:val="center"/>
                </w:tcPr>
                <w:p w14:paraId="1432ABC3">
                  <w:pPr>
                    <w:pStyle w:val="40"/>
                    <w:rPr>
                      <w:highlight w:val="yellow"/>
                    </w:rPr>
                  </w:pPr>
                  <w:r>
                    <w:rPr>
                      <w:rFonts w:hint="eastAsia"/>
                    </w:rPr>
                    <w:t>标准来源</w:t>
                  </w:r>
                </w:p>
              </w:tc>
            </w:tr>
            <w:tr w14:paraId="73604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7D15EB2C">
                  <w:pPr>
                    <w:pStyle w:val="40"/>
                    <w:rPr>
                      <w:highlight w:val="yellow"/>
                    </w:rPr>
                  </w:pPr>
                  <w:r>
                    <w:t>COD</w:t>
                  </w:r>
                </w:p>
              </w:tc>
              <w:tc>
                <w:tcPr>
                  <w:tcW w:w="2091" w:type="pct"/>
                  <w:shd w:val="clear" w:color="auto" w:fill="auto"/>
                  <w:vAlign w:val="center"/>
                </w:tcPr>
                <w:p w14:paraId="1F6950A7">
                  <w:pPr>
                    <w:pStyle w:val="40"/>
                    <w:rPr>
                      <w:highlight w:val="yellow"/>
                    </w:rPr>
                  </w:pPr>
                  <w:r>
                    <w:t>500</w:t>
                  </w:r>
                </w:p>
              </w:tc>
              <w:tc>
                <w:tcPr>
                  <w:tcW w:w="1544" w:type="pct"/>
                  <w:vMerge w:val="restart"/>
                  <w:shd w:val="clear" w:color="auto" w:fill="auto"/>
                  <w:vAlign w:val="center"/>
                </w:tcPr>
                <w:p w14:paraId="64BEF00D">
                  <w:pPr>
                    <w:pStyle w:val="40"/>
                    <w:rPr>
                      <w:highlight w:val="yellow"/>
                    </w:rPr>
                  </w:pPr>
                  <w:r>
                    <w:rPr>
                      <w:rFonts w:hint="eastAsia"/>
                      <w:snapToGrid w:val="0"/>
                      <w:kern w:val="2"/>
                    </w:rPr>
                    <w:t>秦皇岛市抚宁区中冶水务有限公司</w:t>
                  </w:r>
                  <w:r>
                    <w:rPr>
                      <w:rFonts w:hint="eastAsia"/>
                    </w:rPr>
                    <w:t>收水标准</w:t>
                  </w:r>
                </w:p>
              </w:tc>
            </w:tr>
            <w:tr w14:paraId="26E0E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1773E6CF">
                  <w:pPr>
                    <w:pStyle w:val="40"/>
                    <w:rPr>
                      <w:highlight w:val="yellow"/>
                    </w:rPr>
                  </w:pPr>
                  <w:r>
                    <w:t>SS</w:t>
                  </w:r>
                </w:p>
              </w:tc>
              <w:tc>
                <w:tcPr>
                  <w:tcW w:w="2091" w:type="pct"/>
                  <w:shd w:val="clear" w:color="auto" w:fill="auto"/>
                  <w:vAlign w:val="center"/>
                </w:tcPr>
                <w:p w14:paraId="7283D3F9">
                  <w:pPr>
                    <w:pStyle w:val="40"/>
                    <w:rPr>
                      <w:highlight w:val="yellow"/>
                    </w:rPr>
                  </w:pPr>
                  <w:r>
                    <w:rPr>
                      <w:rFonts w:hint="eastAsia"/>
                    </w:rPr>
                    <w:t>300</w:t>
                  </w:r>
                </w:p>
              </w:tc>
              <w:tc>
                <w:tcPr>
                  <w:tcW w:w="1544" w:type="pct"/>
                  <w:vMerge w:val="continue"/>
                  <w:shd w:val="clear" w:color="auto" w:fill="auto"/>
                  <w:vAlign w:val="center"/>
                </w:tcPr>
                <w:p w14:paraId="39303C40">
                  <w:pPr>
                    <w:pStyle w:val="40"/>
                    <w:rPr>
                      <w:highlight w:val="yellow"/>
                    </w:rPr>
                  </w:pPr>
                </w:p>
              </w:tc>
            </w:tr>
            <w:tr w14:paraId="63354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6087CEDC">
                  <w:pPr>
                    <w:pStyle w:val="40"/>
                  </w:pPr>
                  <w:r>
                    <w:t>BOD</w:t>
                  </w:r>
                  <w:r>
                    <w:rPr>
                      <w:vertAlign w:val="subscript"/>
                    </w:rPr>
                    <w:t>5</w:t>
                  </w:r>
                </w:p>
              </w:tc>
              <w:tc>
                <w:tcPr>
                  <w:tcW w:w="2091" w:type="pct"/>
                  <w:shd w:val="clear" w:color="auto" w:fill="auto"/>
                  <w:vAlign w:val="center"/>
                </w:tcPr>
                <w:p w14:paraId="77322FF6">
                  <w:pPr>
                    <w:pStyle w:val="40"/>
                  </w:pPr>
                  <w:r>
                    <w:rPr>
                      <w:rFonts w:hint="eastAsia"/>
                    </w:rPr>
                    <w:t>200</w:t>
                  </w:r>
                </w:p>
              </w:tc>
              <w:tc>
                <w:tcPr>
                  <w:tcW w:w="1544" w:type="pct"/>
                  <w:vMerge w:val="continue"/>
                  <w:shd w:val="clear" w:color="auto" w:fill="auto"/>
                  <w:vAlign w:val="center"/>
                </w:tcPr>
                <w:p w14:paraId="2B1D9F6B">
                  <w:pPr>
                    <w:pStyle w:val="40"/>
                  </w:pPr>
                </w:p>
              </w:tc>
            </w:tr>
            <w:tr w14:paraId="2CF6F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3BC0C7F5">
                  <w:pPr>
                    <w:pStyle w:val="40"/>
                  </w:pPr>
                  <w:r>
                    <w:t>NH</w:t>
                  </w:r>
                  <w:r>
                    <w:rPr>
                      <w:vertAlign w:val="subscript"/>
                    </w:rPr>
                    <w:t>3</w:t>
                  </w:r>
                  <w:r>
                    <w:t>-N</w:t>
                  </w:r>
                </w:p>
              </w:tc>
              <w:tc>
                <w:tcPr>
                  <w:tcW w:w="2091" w:type="pct"/>
                  <w:shd w:val="clear" w:color="auto" w:fill="auto"/>
                  <w:vAlign w:val="center"/>
                </w:tcPr>
                <w:p w14:paraId="26E28BD0">
                  <w:pPr>
                    <w:pStyle w:val="40"/>
                  </w:pPr>
                  <w:r>
                    <w:rPr>
                      <w:rFonts w:hint="eastAsia"/>
                    </w:rPr>
                    <w:t>22</w:t>
                  </w:r>
                </w:p>
              </w:tc>
              <w:tc>
                <w:tcPr>
                  <w:tcW w:w="1544" w:type="pct"/>
                  <w:vMerge w:val="continue"/>
                  <w:shd w:val="clear" w:color="auto" w:fill="auto"/>
                  <w:vAlign w:val="center"/>
                </w:tcPr>
                <w:p w14:paraId="432DA923">
                  <w:pPr>
                    <w:pStyle w:val="40"/>
                  </w:pPr>
                </w:p>
              </w:tc>
            </w:tr>
            <w:tr w14:paraId="36552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7AB358F2">
                  <w:pPr>
                    <w:pStyle w:val="40"/>
                  </w:pPr>
                  <w:r>
                    <w:t>TP</w:t>
                  </w:r>
                </w:p>
              </w:tc>
              <w:tc>
                <w:tcPr>
                  <w:tcW w:w="2091" w:type="pct"/>
                  <w:shd w:val="clear" w:color="auto" w:fill="auto"/>
                  <w:vAlign w:val="center"/>
                </w:tcPr>
                <w:p w14:paraId="4A8C62AF">
                  <w:pPr>
                    <w:pStyle w:val="40"/>
                  </w:pPr>
                  <w:r>
                    <w:rPr>
                      <w:rFonts w:hint="eastAsia"/>
                    </w:rPr>
                    <w:t>4</w:t>
                  </w:r>
                </w:p>
              </w:tc>
              <w:tc>
                <w:tcPr>
                  <w:tcW w:w="1544" w:type="pct"/>
                  <w:vMerge w:val="continue"/>
                  <w:shd w:val="clear" w:color="auto" w:fill="auto"/>
                  <w:vAlign w:val="center"/>
                </w:tcPr>
                <w:p w14:paraId="6FF6CD39">
                  <w:pPr>
                    <w:pStyle w:val="40"/>
                  </w:pPr>
                </w:p>
              </w:tc>
            </w:tr>
            <w:tr w14:paraId="54210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6B5B164B">
                  <w:pPr>
                    <w:pStyle w:val="40"/>
                  </w:pPr>
                  <w:r>
                    <w:t>TN</w:t>
                  </w:r>
                </w:p>
              </w:tc>
              <w:tc>
                <w:tcPr>
                  <w:tcW w:w="2091" w:type="pct"/>
                  <w:shd w:val="clear" w:color="auto" w:fill="auto"/>
                  <w:vAlign w:val="center"/>
                </w:tcPr>
                <w:p w14:paraId="25FB945C">
                  <w:pPr>
                    <w:pStyle w:val="40"/>
                  </w:pPr>
                  <w:r>
                    <w:rPr>
                      <w:rFonts w:hint="eastAsia"/>
                    </w:rPr>
                    <w:t>30</w:t>
                  </w:r>
                </w:p>
              </w:tc>
              <w:tc>
                <w:tcPr>
                  <w:tcW w:w="1544" w:type="pct"/>
                  <w:vMerge w:val="continue"/>
                  <w:shd w:val="clear" w:color="auto" w:fill="auto"/>
                  <w:vAlign w:val="center"/>
                </w:tcPr>
                <w:p w14:paraId="28F71B42">
                  <w:pPr>
                    <w:pStyle w:val="40"/>
                  </w:pPr>
                </w:p>
              </w:tc>
            </w:tr>
            <w:tr w14:paraId="674CD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36D0568B">
                  <w:pPr>
                    <w:pStyle w:val="40"/>
                  </w:pPr>
                  <w:bookmarkStart w:id="83" w:name="_Hlk175760379"/>
                  <w:r>
                    <w:t>pH</w:t>
                  </w:r>
                </w:p>
              </w:tc>
              <w:tc>
                <w:tcPr>
                  <w:tcW w:w="2091" w:type="pct"/>
                  <w:shd w:val="clear" w:color="auto" w:fill="auto"/>
                  <w:vAlign w:val="center"/>
                </w:tcPr>
                <w:p w14:paraId="05042B4B">
                  <w:pPr>
                    <w:pStyle w:val="40"/>
                  </w:pPr>
                  <w:r>
                    <w:rPr>
                      <w:rFonts w:hint="eastAsia"/>
                    </w:rPr>
                    <w:t>6-9</w:t>
                  </w:r>
                </w:p>
              </w:tc>
              <w:tc>
                <w:tcPr>
                  <w:tcW w:w="1544" w:type="pct"/>
                  <w:vMerge w:val="restart"/>
                  <w:shd w:val="clear" w:color="auto" w:fill="auto"/>
                  <w:vAlign w:val="center"/>
                </w:tcPr>
                <w:p w14:paraId="10A37942">
                  <w:pPr>
                    <w:pStyle w:val="40"/>
                  </w:pPr>
                  <w:r>
                    <w:rPr>
                      <w:rFonts w:hint="eastAsia"/>
                    </w:rPr>
                    <w:t>《污水综合排放标准》</w:t>
                  </w:r>
                  <w:bookmarkStart w:id="84" w:name="OLE_LINK415"/>
                  <w:bookmarkStart w:id="85" w:name="OLE_LINK416"/>
                  <w:r>
                    <w:rPr>
                      <w:rFonts w:hint="eastAsia"/>
                    </w:rPr>
                    <w:t>（GB8978-1996）</w:t>
                  </w:r>
                  <w:bookmarkEnd w:id="84"/>
                  <w:bookmarkEnd w:id="85"/>
                </w:p>
                <w:p w14:paraId="39292583">
                  <w:pPr>
                    <w:pStyle w:val="40"/>
                  </w:pPr>
                  <w:r>
                    <w:rPr>
                      <w:rFonts w:hint="eastAsia"/>
                    </w:rPr>
                    <w:t>中表4三级标准</w:t>
                  </w:r>
                </w:p>
              </w:tc>
            </w:tr>
            <w:tr w14:paraId="5DFB5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2168E584">
                  <w:pPr>
                    <w:pStyle w:val="40"/>
                    <w:rPr>
                      <w:highlight w:val="yellow"/>
                    </w:rPr>
                  </w:pPr>
                  <w:r>
                    <w:t>COD</w:t>
                  </w:r>
                </w:p>
              </w:tc>
              <w:tc>
                <w:tcPr>
                  <w:tcW w:w="2091" w:type="pct"/>
                  <w:shd w:val="clear" w:color="auto" w:fill="auto"/>
                  <w:vAlign w:val="center"/>
                </w:tcPr>
                <w:p w14:paraId="5C0A898A">
                  <w:pPr>
                    <w:pStyle w:val="40"/>
                  </w:pPr>
                  <w:r>
                    <w:rPr>
                      <w:rFonts w:hint="eastAsia"/>
                    </w:rPr>
                    <w:t>500</w:t>
                  </w:r>
                </w:p>
              </w:tc>
              <w:tc>
                <w:tcPr>
                  <w:tcW w:w="1544" w:type="pct"/>
                  <w:vMerge w:val="continue"/>
                  <w:shd w:val="clear" w:color="auto" w:fill="auto"/>
                  <w:vAlign w:val="center"/>
                </w:tcPr>
                <w:p w14:paraId="6B34B469">
                  <w:pPr>
                    <w:pStyle w:val="40"/>
                  </w:pPr>
                </w:p>
              </w:tc>
            </w:tr>
            <w:tr w14:paraId="2436F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1886E10B">
                  <w:pPr>
                    <w:pStyle w:val="40"/>
                    <w:rPr>
                      <w:highlight w:val="yellow"/>
                    </w:rPr>
                  </w:pPr>
                  <w:r>
                    <w:t>SS</w:t>
                  </w:r>
                </w:p>
              </w:tc>
              <w:tc>
                <w:tcPr>
                  <w:tcW w:w="2091" w:type="pct"/>
                  <w:shd w:val="clear" w:color="auto" w:fill="auto"/>
                  <w:vAlign w:val="center"/>
                </w:tcPr>
                <w:p w14:paraId="226555F7">
                  <w:pPr>
                    <w:pStyle w:val="40"/>
                  </w:pPr>
                  <w:r>
                    <w:rPr>
                      <w:rFonts w:hint="eastAsia"/>
                    </w:rPr>
                    <w:t>400</w:t>
                  </w:r>
                </w:p>
              </w:tc>
              <w:tc>
                <w:tcPr>
                  <w:tcW w:w="1544" w:type="pct"/>
                  <w:vMerge w:val="continue"/>
                  <w:shd w:val="clear" w:color="auto" w:fill="auto"/>
                  <w:vAlign w:val="center"/>
                </w:tcPr>
                <w:p w14:paraId="5FB13FFF">
                  <w:pPr>
                    <w:pStyle w:val="40"/>
                  </w:pPr>
                </w:p>
              </w:tc>
            </w:tr>
            <w:tr w14:paraId="7676F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5CDBF8DD">
                  <w:pPr>
                    <w:pStyle w:val="40"/>
                  </w:pPr>
                  <w:r>
                    <w:t>BOD</w:t>
                  </w:r>
                  <w:r>
                    <w:rPr>
                      <w:vertAlign w:val="subscript"/>
                    </w:rPr>
                    <w:t>5</w:t>
                  </w:r>
                </w:p>
              </w:tc>
              <w:tc>
                <w:tcPr>
                  <w:tcW w:w="2091" w:type="pct"/>
                  <w:shd w:val="clear" w:color="auto" w:fill="auto"/>
                  <w:vAlign w:val="center"/>
                </w:tcPr>
                <w:p w14:paraId="0B760F70">
                  <w:pPr>
                    <w:pStyle w:val="40"/>
                  </w:pPr>
                  <w:r>
                    <w:rPr>
                      <w:rFonts w:hint="eastAsia"/>
                    </w:rPr>
                    <w:t>300</w:t>
                  </w:r>
                </w:p>
              </w:tc>
              <w:tc>
                <w:tcPr>
                  <w:tcW w:w="1544" w:type="pct"/>
                  <w:vMerge w:val="continue"/>
                  <w:shd w:val="clear" w:color="auto" w:fill="auto"/>
                  <w:vAlign w:val="center"/>
                </w:tcPr>
                <w:p w14:paraId="178425C6">
                  <w:pPr>
                    <w:pStyle w:val="40"/>
                  </w:pPr>
                </w:p>
              </w:tc>
            </w:tr>
            <w:tr w14:paraId="51EBC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230802F5">
                  <w:pPr>
                    <w:pStyle w:val="40"/>
                  </w:pPr>
                  <w:r>
                    <w:t>NH</w:t>
                  </w:r>
                  <w:r>
                    <w:rPr>
                      <w:vertAlign w:val="subscript"/>
                    </w:rPr>
                    <w:t>3</w:t>
                  </w:r>
                  <w:r>
                    <w:t>-N</w:t>
                  </w:r>
                </w:p>
              </w:tc>
              <w:tc>
                <w:tcPr>
                  <w:tcW w:w="2091" w:type="pct"/>
                  <w:shd w:val="clear" w:color="auto" w:fill="auto"/>
                  <w:vAlign w:val="center"/>
                </w:tcPr>
                <w:p w14:paraId="24EB405B">
                  <w:pPr>
                    <w:pStyle w:val="40"/>
                  </w:pPr>
                  <w:r>
                    <w:rPr>
                      <w:rFonts w:hint="eastAsia"/>
                    </w:rPr>
                    <w:t>-</w:t>
                  </w:r>
                </w:p>
              </w:tc>
              <w:tc>
                <w:tcPr>
                  <w:tcW w:w="1544" w:type="pct"/>
                  <w:vMerge w:val="continue"/>
                  <w:shd w:val="clear" w:color="auto" w:fill="auto"/>
                  <w:vAlign w:val="center"/>
                </w:tcPr>
                <w:p w14:paraId="19896CAF">
                  <w:pPr>
                    <w:pStyle w:val="40"/>
                  </w:pPr>
                </w:p>
              </w:tc>
            </w:tr>
            <w:tr w14:paraId="5E751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310556A4">
                  <w:pPr>
                    <w:pStyle w:val="40"/>
                  </w:pPr>
                  <w:r>
                    <w:t>TP</w:t>
                  </w:r>
                </w:p>
              </w:tc>
              <w:tc>
                <w:tcPr>
                  <w:tcW w:w="2091" w:type="pct"/>
                  <w:shd w:val="clear" w:color="auto" w:fill="auto"/>
                  <w:vAlign w:val="center"/>
                </w:tcPr>
                <w:p w14:paraId="0509AC9D">
                  <w:pPr>
                    <w:pStyle w:val="40"/>
                  </w:pPr>
                  <w:r>
                    <w:rPr>
                      <w:rFonts w:hint="eastAsia"/>
                    </w:rPr>
                    <w:t>-</w:t>
                  </w:r>
                </w:p>
              </w:tc>
              <w:tc>
                <w:tcPr>
                  <w:tcW w:w="1544" w:type="pct"/>
                  <w:vMerge w:val="continue"/>
                  <w:shd w:val="clear" w:color="auto" w:fill="auto"/>
                  <w:vAlign w:val="center"/>
                </w:tcPr>
                <w:p w14:paraId="6546EB0A">
                  <w:pPr>
                    <w:pStyle w:val="40"/>
                  </w:pPr>
                </w:p>
              </w:tc>
            </w:tr>
            <w:tr w14:paraId="54D21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2D3E5D3B">
                  <w:pPr>
                    <w:pStyle w:val="40"/>
                  </w:pPr>
                  <w:r>
                    <w:t>TN</w:t>
                  </w:r>
                </w:p>
              </w:tc>
              <w:tc>
                <w:tcPr>
                  <w:tcW w:w="2091" w:type="pct"/>
                  <w:shd w:val="clear" w:color="auto" w:fill="auto"/>
                  <w:vAlign w:val="center"/>
                </w:tcPr>
                <w:p w14:paraId="4EA29A4F">
                  <w:pPr>
                    <w:pStyle w:val="40"/>
                  </w:pPr>
                  <w:r>
                    <w:rPr>
                      <w:rFonts w:hint="eastAsia"/>
                    </w:rPr>
                    <w:t>-</w:t>
                  </w:r>
                </w:p>
              </w:tc>
              <w:tc>
                <w:tcPr>
                  <w:tcW w:w="1544" w:type="pct"/>
                  <w:vMerge w:val="continue"/>
                  <w:shd w:val="clear" w:color="auto" w:fill="auto"/>
                  <w:vAlign w:val="center"/>
                </w:tcPr>
                <w:p w14:paraId="2664E79A">
                  <w:pPr>
                    <w:pStyle w:val="40"/>
                  </w:pPr>
                </w:p>
              </w:tc>
            </w:tr>
            <w:bookmarkEnd w:id="83"/>
          </w:tbl>
          <w:p w14:paraId="6D4935B6">
            <w:pPr>
              <w:pStyle w:val="74"/>
            </w:pPr>
          </w:p>
          <w:p w14:paraId="77979700">
            <w:pPr>
              <w:ind w:firstLine="422" w:firstLineChars="0"/>
              <w:rPr>
                <w:b/>
                <w:szCs w:val="21"/>
              </w:rPr>
            </w:pPr>
            <w:r>
              <w:rPr>
                <w:rFonts w:hint="eastAsia"/>
                <w:b/>
                <w:szCs w:val="21"/>
              </w:rPr>
              <w:t>3</w:t>
            </w:r>
            <w:r>
              <w:rPr>
                <w:b/>
                <w:szCs w:val="21"/>
              </w:rPr>
              <w:t>、噪声</w:t>
            </w:r>
          </w:p>
          <w:p w14:paraId="31ED979D">
            <w:pPr>
              <w:snapToGrid w:val="0"/>
              <w:ind w:firstLine="420"/>
              <w:contextualSpacing/>
              <w:rPr>
                <w:snapToGrid w:val="0"/>
              </w:rPr>
            </w:pPr>
            <w:r>
              <w:t>东侧</w:t>
            </w:r>
            <w:r>
              <w:rPr>
                <w:rFonts w:hint="eastAsia"/>
              </w:rPr>
              <w:t>、</w:t>
            </w:r>
            <w:r>
              <w:rPr>
                <w:snapToGrid w:val="0"/>
              </w:rPr>
              <w:t>南侧、西侧</w:t>
            </w:r>
            <w:r>
              <w:rPr>
                <w:rFonts w:hint="eastAsia"/>
                <w:snapToGrid w:val="0"/>
              </w:rPr>
              <w:t>、</w:t>
            </w:r>
            <w:r>
              <w:rPr>
                <w:snapToGrid w:val="0"/>
              </w:rPr>
              <w:t>北侧厂界噪声执行《工业企业厂界环境噪声排放标准》（GB12348-2008）</w:t>
            </w:r>
            <w:r>
              <w:rPr>
                <w:rFonts w:hint="eastAsia"/>
                <w:snapToGrid w:val="0"/>
              </w:rPr>
              <w:t>2</w:t>
            </w:r>
            <w:r>
              <w:rPr>
                <w:snapToGrid w:val="0"/>
              </w:rPr>
              <w:t>类标准：昼间：</w:t>
            </w:r>
            <w:r>
              <w:rPr>
                <w:rFonts w:hint="eastAsia"/>
                <w:snapToGrid w:val="0"/>
              </w:rPr>
              <w:t>60</w:t>
            </w:r>
            <w:r>
              <w:rPr>
                <w:snapToGrid w:val="0"/>
              </w:rPr>
              <w:t>dB（A）、夜间：</w:t>
            </w:r>
            <w:r>
              <w:rPr>
                <w:rFonts w:hint="eastAsia"/>
                <w:snapToGrid w:val="0"/>
              </w:rPr>
              <w:t>50</w:t>
            </w:r>
            <w:r>
              <w:rPr>
                <w:snapToGrid w:val="0"/>
              </w:rPr>
              <w:t>dB（A）</w:t>
            </w:r>
            <w:r>
              <w:rPr>
                <w:rFonts w:hint="eastAsia"/>
                <w:snapToGrid w:val="0"/>
              </w:rPr>
              <w:t>。</w:t>
            </w:r>
          </w:p>
          <w:p w14:paraId="45237EC5">
            <w:pPr>
              <w:ind w:firstLine="422"/>
              <w:rPr>
                <w:b/>
              </w:rPr>
            </w:pPr>
            <w:r>
              <w:rPr>
                <w:rFonts w:hint="eastAsia"/>
                <w:b/>
              </w:rPr>
              <w:t>4、固体废物</w:t>
            </w:r>
          </w:p>
          <w:p w14:paraId="2F03F21E">
            <w:pPr>
              <w:ind w:firstLine="420"/>
              <w:rPr>
                <w:bCs/>
                <w:szCs w:val="21"/>
              </w:rPr>
            </w:pPr>
            <w:r>
              <w:rPr>
                <w:rFonts w:hint="eastAsia"/>
              </w:rPr>
              <w:t>一般固体废物执行“固体废物污染环境防治法”中“三防”要求，即防扬散、防流失、防渗漏</w:t>
            </w:r>
            <w:r>
              <w:rPr>
                <w:rFonts w:hint="eastAsia"/>
                <w:bCs/>
                <w:szCs w:val="21"/>
              </w:rPr>
              <w:t>。</w:t>
            </w:r>
          </w:p>
        </w:tc>
      </w:tr>
      <w:tr w14:paraId="696047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Mar>
              <w:left w:w="28" w:type="dxa"/>
              <w:right w:w="28" w:type="dxa"/>
            </w:tcMar>
            <w:vAlign w:val="center"/>
          </w:tcPr>
          <w:p w14:paraId="60E9A015">
            <w:pPr>
              <w:pStyle w:val="40"/>
            </w:pPr>
            <w:r>
              <w:rPr>
                <w:rFonts w:hint="eastAsia"/>
              </w:rPr>
              <w:t>总量控制指标</w:t>
            </w:r>
          </w:p>
        </w:tc>
        <w:tc>
          <w:tcPr>
            <w:tcW w:w="8386" w:type="dxa"/>
            <w:vAlign w:val="center"/>
          </w:tcPr>
          <w:p w14:paraId="7CC2B4A2">
            <w:pPr>
              <w:ind w:firstLine="420"/>
            </w:pPr>
          </w:p>
          <w:p w14:paraId="4E372760">
            <w:pPr>
              <w:ind w:firstLine="420"/>
            </w:pPr>
            <w:r>
              <w:rPr>
                <w:rFonts w:hint="eastAsia"/>
              </w:rPr>
              <w:t>1、</w:t>
            </w:r>
            <w:r>
              <w:rPr>
                <w:rFonts w:hint="eastAsia"/>
                <w:bCs/>
              </w:rPr>
              <w:t>废水污染物总量控制指标</w:t>
            </w:r>
          </w:p>
          <w:p w14:paraId="2B5C0A35">
            <w:pPr>
              <w:ind w:firstLine="420"/>
              <w:rPr>
                <w:kern w:val="0"/>
                <w:szCs w:val="21"/>
              </w:rPr>
            </w:pPr>
            <w:bookmarkStart w:id="86" w:name="OLE_LINK355"/>
            <w:bookmarkStart w:id="87" w:name="OLE_LINK356"/>
            <w:bookmarkStart w:id="88" w:name="OLE_LINK354"/>
            <w:r>
              <w:rPr>
                <w:rFonts w:hint="eastAsia"/>
                <w:kern w:val="0"/>
                <w:szCs w:val="21"/>
              </w:rPr>
              <w:t>本项目建成后生产废水排放量为8969.4t/a，产生的废水外运至秦皇岛市抚宁区中冶水务有限公司，因此本项目废水总量控制指标中排放浓度按照《城镇污水处理厂污染物排放标准》（GB18918-2002）中一级标准A标准进行核算，本项目污染物排放环境总量核算如下：</w:t>
            </w:r>
          </w:p>
          <w:p w14:paraId="70C634C6">
            <w:pPr>
              <w:ind w:firstLine="420"/>
              <w:rPr>
                <w:kern w:val="0"/>
                <w:szCs w:val="21"/>
              </w:rPr>
            </w:pPr>
            <w:r>
              <w:rPr>
                <w:kern w:val="0"/>
                <w:szCs w:val="21"/>
              </w:rPr>
              <w:t>COD=50mg/L×</w:t>
            </w:r>
            <w:r>
              <w:rPr>
                <w:rFonts w:hint="eastAsia"/>
                <w:kern w:val="0"/>
                <w:szCs w:val="21"/>
              </w:rPr>
              <w:t>8969.4</w:t>
            </w:r>
            <w:r>
              <w:rPr>
                <w:kern w:val="0"/>
                <w:szCs w:val="21"/>
              </w:rPr>
              <w:t>m</w:t>
            </w:r>
            <w:r>
              <w:rPr>
                <w:kern w:val="0"/>
                <w:szCs w:val="21"/>
                <w:vertAlign w:val="superscript"/>
              </w:rPr>
              <w:t>3</w:t>
            </w:r>
            <w:r>
              <w:rPr>
                <w:kern w:val="0"/>
                <w:szCs w:val="21"/>
              </w:rPr>
              <w:t>/a =0.</w:t>
            </w:r>
            <w:r>
              <w:rPr>
                <w:rFonts w:hint="eastAsia"/>
                <w:kern w:val="0"/>
                <w:szCs w:val="21"/>
              </w:rPr>
              <w:t>448</w:t>
            </w:r>
            <w:r>
              <w:rPr>
                <w:kern w:val="0"/>
                <w:szCs w:val="21"/>
              </w:rPr>
              <w:t>t/a</w:t>
            </w:r>
          </w:p>
          <w:p w14:paraId="5204562C">
            <w:pPr>
              <w:ind w:firstLine="420"/>
              <w:rPr>
                <w:kern w:val="0"/>
                <w:szCs w:val="21"/>
              </w:rPr>
            </w:pPr>
            <w:r>
              <w:rPr>
                <w:kern w:val="0"/>
                <w:szCs w:val="21"/>
              </w:rPr>
              <w:t>NH</w:t>
            </w:r>
            <w:r>
              <w:rPr>
                <w:kern w:val="0"/>
                <w:szCs w:val="21"/>
                <w:vertAlign w:val="subscript"/>
              </w:rPr>
              <w:t>3</w:t>
            </w:r>
            <w:r>
              <w:rPr>
                <w:kern w:val="0"/>
                <w:szCs w:val="21"/>
              </w:rPr>
              <w:t>-N=5mg/L×</w:t>
            </w:r>
            <w:r>
              <w:rPr>
                <w:rFonts w:hint="eastAsia"/>
                <w:kern w:val="0"/>
                <w:szCs w:val="21"/>
              </w:rPr>
              <w:t>8969.4</w:t>
            </w:r>
            <w:r>
              <w:rPr>
                <w:kern w:val="0"/>
                <w:szCs w:val="21"/>
              </w:rPr>
              <w:t>m</w:t>
            </w:r>
            <w:r>
              <w:rPr>
                <w:kern w:val="0"/>
                <w:szCs w:val="21"/>
                <w:vertAlign w:val="superscript"/>
              </w:rPr>
              <w:t>3</w:t>
            </w:r>
            <w:r>
              <w:rPr>
                <w:kern w:val="0"/>
                <w:szCs w:val="21"/>
              </w:rPr>
              <w:t>/a =0.0</w:t>
            </w:r>
            <w:r>
              <w:rPr>
                <w:rFonts w:hint="eastAsia"/>
                <w:kern w:val="0"/>
                <w:szCs w:val="21"/>
              </w:rPr>
              <w:t>45</w:t>
            </w:r>
            <w:r>
              <w:rPr>
                <w:kern w:val="0"/>
                <w:szCs w:val="21"/>
              </w:rPr>
              <w:t>t/a</w:t>
            </w:r>
          </w:p>
          <w:p w14:paraId="66D2174B">
            <w:pPr>
              <w:adjustRightInd w:val="0"/>
              <w:snapToGrid w:val="0"/>
              <w:ind w:firstLine="420"/>
              <w:textAlignment w:val="baseline"/>
              <w:rPr>
                <w:szCs w:val="21"/>
              </w:rPr>
            </w:pPr>
            <w:r>
              <w:rPr>
                <w:rFonts w:hint="eastAsia"/>
                <w:snapToGrid w:val="0"/>
                <w:kern w:val="0"/>
                <w:szCs w:val="21"/>
              </w:rPr>
              <w:t>综合</w:t>
            </w:r>
            <w:r>
              <w:rPr>
                <w:rFonts w:hint="eastAsia"/>
                <w:kern w:val="0"/>
                <w:szCs w:val="21"/>
              </w:rPr>
              <w:t>上述</w:t>
            </w:r>
            <w:r>
              <w:rPr>
                <w:rFonts w:hint="eastAsia"/>
                <w:snapToGrid w:val="0"/>
                <w:kern w:val="0"/>
                <w:szCs w:val="21"/>
              </w:rPr>
              <w:t>分析</w:t>
            </w:r>
            <w:r>
              <w:rPr>
                <w:snapToGrid w:val="0"/>
                <w:kern w:val="0"/>
                <w:szCs w:val="21"/>
              </w:rPr>
              <w:t>，</w:t>
            </w:r>
            <w:r>
              <w:rPr>
                <w:rFonts w:hint="eastAsia"/>
                <w:snapToGrid w:val="0"/>
                <w:kern w:val="0"/>
                <w:szCs w:val="21"/>
              </w:rPr>
              <w:t>本项目废水</w:t>
            </w:r>
            <w:r>
              <w:rPr>
                <w:szCs w:val="21"/>
              </w:rPr>
              <w:t>总量指标</w:t>
            </w:r>
            <w:r>
              <w:rPr>
                <w:snapToGrid w:val="0"/>
                <w:kern w:val="0"/>
                <w:szCs w:val="21"/>
              </w:rPr>
              <w:t>为</w:t>
            </w:r>
            <w:r>
              <w:rPr>
                <w:rFonts w:hint="eastAsia"/>
                <w:bCs/>
                <w:szCs w:val="21"/>
              </w:rPr>
              <w:t>COD：0.448t/a，氨氮：0.045t/a</w:t>
            </w:r>
            <w:r>
              <w:rPr>
                <w:rFonts w:hint="eastAsia"/>
                <w:szCs w:val="21"/>
              </w:rPr>
              <w:t>。</w:t>
            </w:r>
          </w:p>
          <w:bookmarkEnd w:id="86"/>
          <w:bookmarkEnd w:id="87"/>
          <w:bookmarkEnd w:id="88"/>
          <w:p w14:paraId="3772E1BC">
            <w:pPr>
              <w:widowControl/>
              <w:ind w:firstLine="420"/>
              <w:outlineLvl w:val="0"/>
            </w:pPr>
            <w:r>
              <w:rPr>
                <w:rFonts w:hint="eastAsia"/>
              </w:rPr>
              <w:t>2、废气污染物总量控制指标</w:t>
            </w:r>
          </w:p>
          <w:p w14:paraId="0C187C09">
            <w:pPr>
              <w:ind w:firstLine="420"/>
              <w:rPr>
                <w:kern w:val="0"/>
                <w:szCs w:val="21"/>
              </w:rPr>
            </w:pPr>
            <w:r>
              <w:rPr>
                <w:rFonts w:hint="eastAsia"/>
                <w:kern w:val="0"/>
                <w:szCs w:val="21"/>
              </w:rPr>
              <w:t>本项目</w:t>
            </w:r>
            <w:r>
              <w:rPr>
                <w:rFonts w:hint="eastAsia"/>
                <w:bCs/>
                <w:szCs w:val="21"/>
              </w:rPr>
              <w:t>S</w:t>
            </w:r>
            <w:r>
              <w:rPr>
                <w:bCs/>
                <w:szCs w:val="21"/>
              </w:rPr>
              <w:t>O</w:t>
            </w:r>
            <w:r>
              <w:rPr>
                <w:rFonts w:hint="eastAsia"/>
                <w:bCs/>
                <w:szCs w:val="21"/>
                <w:vertAlign w:val="subscript"/>
              </w:rPr>
              <w:t>2</w:t>
            </w:r>
            <w:r>
              <w:rPr>
                <w:rFonts w:hint="eastAsia"/>
                <w:kern w:val="0"/>
                <w:szCs w:val="21"/>
              </w:rPr>
              <w:t>、</w:t>
            </w:r>
            <w:r>
              <w:rPr>
                <w:bCs/>
                <w:szCs w:val="21"/>
              </w:rPr>
              <w:t>NO</w:t>
            </w:r>
            <w:r>
              <w:rPr>
                <w:bCs/>
                <w:szCs w:val="21"/>
                <w:vertAlign w:val="subscript"/>
              </w:rPr>
              <w:t>x</w:t>
            </w:r>
            <w:r>
              <w:rPr>
                <w:rFonts w:hint="eastAsia"/>
                <w:kern w:val="0"/>
                <w:szCs w:val="21"/>
              </w:rPr>
              <w:t>主要来源于生物质锅炉，许可排放量按照技术规范计算如下：</w:t>
            </w:r>
          </w:p>
          <w:p w14:paraId="096CA59E">
            <w:pPr>
              <w:ind w:firstLine="420"/>
              <w:rPr>
                <w:kern w:val="0"/>
                <w:szCs w:val="21"/>
              </w:rPr>
            </w:pPr>
            <w:r>
              <w:rPr>
                <w:kern w:val="0"/>
                <w:szCs w:val="21"/>
              </w:rPr>
              <w:t>根据《</w:t>
            </w:r>
            <w:r>
              <w:rPr>
                <w:rFonts w:hint="eastAsia"/>
                <w:kern w:val="0"/>
                <w:szCs w:val="21"/>
              </w:rPr>
              <w:t>锅炉产排污量核算系数手册</w:t>
            </w:r>
            <w:r>
              <w:rPr>
                <w:kern w:val="0"/>
                <w:szCs w:val="21"/>
              </w:rPr>
              <w:t>》</w:t>
            </w:r>
            <w:r>
              <w:rPr>
                <w:rFonts w:hint="eastAsia"/>
                <w:kern w:val="0"/>
                <w:szCs w:val="21"/>
              </w:rPr>
              <w:t>（2021年），生物质锅炉工业废气量的产污系数为6240</w:t>
            </w:r>
            <w:r>
              <w:rPr>
                <w:rFonts w:hint="eastAsia"/>
                <w:bCs/>
                <w:szCs w:val="21"/>
              </w:rPr>
              <w:t>标立方米</w:t>
            </w:r>
            <w:r>
              <w:rPr>
                <w:kern w:val="0"/>
                <w:szCs w:val="21"/>
              </w:rPr>
              <w:t>/</w:t>
            </w:r>
            <w:r>
              <w:rPr>
                <w:rFonts w:hint="eastAsia"/>
                <w:kern w:val="0"/>
                <w:szCs w:val="21"/>
              </w:rPr>
              <w:t>吨-原料，</w:t>
            </w:r>
            <w:r>
              <w:rPr>
                <w:kern w:val="0"/>
                <w:szCs w:val="21"/>
              </w:rPr>
              <w:t>本项目</w:t>
            </w:r>
            <w:r>
              <w:rPr>
                <w:rFonts w:hint="eastAsia"/>
                <w:kern w:val="0"/>
                <w:szCs w:val="21"/>
              </w:rPr>
              <w:t>锅炉</w:t>
            </w:r>
            <w:r>
              <w:rPr>
                <w:kern w:val="0"/>
                <w:szCs w:val="21"/>
              </w:rPr>
              <w:t>消耗</w:t>
            </w:r>
            <w:r>
              <w:rPr>
                <w:rFonts w:hint="eastAsia"/>
                <w:kern w:val="0"/>
                <w:szCs w:val="21"/>
              </w:rPr>
              <w:t>生物质成型燃料量为800t/a，则废气量为6240</w:t>
            </w:r>
            <w:r>
              <w:rPr>
                <w:kern w:val="0"/>
                <w:szCs w:val="21"/>
              </w:rPr>
              <w:t>×</w:t>
            </w:r>
            <w:r>
              <w:rPr>
                <w:rFonts w:hint="eastAsia"/>
                <w:kern w:val="0"/>
                <w:szCs w:val="21"/>
              </w:rPr>
              <w:t>800=4992000</w:t>
            </w:r>
            <w:r>
              <w:rPr>
                <w:bCs/>
                <w:szCs w:val="21"/>
              </w:rPr>
              <w:t xml:space="preserve"> m</w:t>
            </w:r>
            <w:r>
              <w:rPr>
                <w:bCs/>
                <w:szCs w:val="21"/>
                <w:vertAlign w:val="superscript"/>
              </w:rPr>
              <w:t>3</w:t>
            </w:r>
            <w:r>
              <w:rPr>
                <w:rFonts w:hint="eastAsia"/>
                <w:kern w:val="0"/>
                <w:szCs w:val="21"/>
              </w:rPr>
              <w:t>/a。</w:t>
            </w:r>
          </w:p>
          <w:p w14:paraId="7D4856A6">
            <w:pPr>
              <w:ind w:firstLine="420"/>
              <w:rPr>
                <w:kern w:val="0"/>
                <w:szCs w:val="21"/>
              </w:rPr>
            </w:pPr>
            <w:r>
              <w:rPr>
                <w:kern w:val="0"/>
                <w:szCs w:val="21"/>
              </w:rPr>
              <w:t>本项目</w:t>
            </w:r>
            <w:r>
              <w:rPr>
                <w:rFonts w:hint="eastAsia"/>
                <w:kern w:val="0"/>
                <w:szCs w:val="21"/>
              </w:rPr>
              <w:t>生物质锅炉</w:t>
            </w:r>
            <w:r>
              <w:rPr>
                <w:rFonts w:hint="eastAsia"/>
                <w:bCs/>
                <w:szCs w:val="21"/>
              </w:rPr>
              <w:t>S</w:t>
            </w:r>
            <w:r>
              <w:rPr>
                <w:bCs/>
                <w:szCs w:val="21"/>
              </w:rPr>
              <w:t>O</w:t>
            </w:r>
            <w:r>
              <w:rPr>
                <w:rFonts w:hint="eastAsia"/>
                <w:bCs/>
                <w:szCs w:val="21"/>
                <w:vertAlign w:val="subscript"/>
              </w:rPr>
              <w:t>2</w:t>
            </w:r>
            <w:r>
              <w:rPr>
                <w:rFonts w:hint="eastAsia"/>
                <w:kern w:val="0"/>
                <w:szCs w:val="21"/>
              </w:rPr>
              <w:t>排放标准为30</w:t>
            </w:r>
            <w:r>
              <w:rPr>
                <w:bCs/>
                <w:szCs w:val="21"/>
              </w:rPr>
              <w:t>mg/m</w:t>
            </w:r>
            <w:r>
              <w:rPr>
                <w:bCs/>
                <w:szCs w:val="21"/>
                <w:vertAlign w:val="superscript"/>
              </w:rPr>
              <w:t>3</w:t>
            </w:r>
            <w:r>
              <w:rPr>
                <w:rFonts w:hint="eastAsia"/>
                <w:kern w:val="0"/>
                <w:szCs w:val="21"/>
              </w:rPr>
              <w:t>，则</w:t>
            </w:r>
            <w:r>
              <w:rPr>
                <w:kern w:val="0"/>
                <w:szCs w:val="21"/>
              </w:rPr>
              <w:t>本项目</w:t>
            </w:r>
            <w:r>
              <w:rPr>
                <w:rFonts w:hint="eastAsia"/>
                <w:kern w:val="0"/>
                <w:szCs w:val="21"/>
              </w:rPr>
              <w:t>生物质锅炉</w:t>
            </w:r>
            <w:r>
              <w:rPr>
                <w:bCs/>
                <w:szCs w:val="21"/>
              </w:rPr>
              <w:t>SO</w:t>
            </w:r>
            <w:r>
              <w:rPr>
                <w:bCs/>
                <w:szCs w:val="21"/>
                <w:vertAlign w:val="subscript"/>
              </w:rPr>
              <w:t>2</w:t>
            </w:r>
            <w:r>
              <w:rPr>
                <w:kern w:val="0"/>
                <w:szCs w:val="21"/>
              </w:rPr>
              <w:t>年许可排放量=</w:t>
            </w:r>
            <w:r>
              <w:rPr>
                <w:rFonts w:hint="eastAsia"/>
                <w:kern w:val="0"/>
                <w:szCs w:val="21"/>
              </w:rPr>
              <w:t>4992000</w:t>
            </w:r>
            <w:r>
              <w:rPr>
                <w:kern w:val="0"/>
                <w:szCs w:val="21"/>
              </w:rPr>
              <w:t>×</w:t>
            </w:r>
            <w:r>
              <w:rPr>
                <w:rFonts w:hint="eastAsia"/>
                <w:kern w:val="0"/>
                <w:szCs w:val="21"/>
              </w:rPr>
              <w:t>30</w:t>
            </w:r>
            <w:r>
              <w:rPr>
                <w:kern w:val="0"/>
                <w:szCs w:val="21"/>
              </w:rPr>
              <w:t>/10</w:t>
            </w:r>
            <w:r>
              <w:rPr>
                <w:rFonts w:hint="eastAsia"/>
                <w:kern w:val="0"/>
                <w:szCs w:val="21"/>
                <w:vertAlign w:val="superscript"/>
              </w:rPr>
              <w:t>9</w:t>
            </w:r>
            <w:r>
              <w:rPr>
                <w:kern w:val="0"/>
                <w:szCs w:val="21"/>
              </w:rPr>
              <w:t>=0.</w:t>
            </w:r>
            <w:r>
              <w:rPr>
                <w:rFonts w:hint="eastAsia"/>
                <w:kern w:val="0"/>
                <w:szCs w:val="21"/>
              </w:rPr>
              <w:t>150</w:t>
            </w:r>
            <w:r>
              <w:rPr>
                <w:kern w:val="0"/>
                <w:szCs w:val="21"/>
              </w:rPr>
              <w:t>t/a</w:t>
            </w:r>
          </w:p>
          <w:p w14:paraId="360BD6D4">
            <w:pPr>
              <w:ind w:firstLine="420"/>
              <w:rPr>
                <w:kern w:val="0"/>
                <w:szCs w:val="21"/>
              </w:rPr>
            </w:pPr>
            <w:r>
              <w:rPr>
                <w:kern w:val="0"/>
                <w:szCs w:val="21"/>
              </w:rPr>
              <w:t>本项目</w:t>
            </w:r>
            <w:r>
              <w:rPr>
                <w:rFonts w:hint="eastAsia"/>
                <w:kern w:val="0"/>
                <w:szCs w:val="21"/>
              </w:rPr>
              <w:t>生物质锅炉</w:t>
            </w:r>
            <w:r>
              <w:rPr>
                <w:bCs/>
                <w:szCs w:val="21"/>
              </w:rPr>
              <w:t>NO</w:t>
            </w:r>
            <w:r>
              <w:rPr>
                <w:bCs/>
                <w:szCs w:val="21"/>
                <w:vertAlign w:val="subscript"/>
              </w:rPr>
              <w:t>x</w:t>
            </w:r>
            <w:r>
              <w:rPr>
                <w:rFonts w:hint="eastAsia"/>
                <w:kern w:val="0"/>
                <w:szCs w:val="21"/>
              </w:rPr>
              <w:t>排放标准为150</w:t>
            </w:r>
            <w:r>
              <w:rPr>
                <w:bCs/>
                <w:szCs w:val="21"/>
              </w:rPr>
              <w:t>mg/m</w:t>
            </w:r>
            <w:r>
              <w:rPr>
                <w:bCs/>
                <w:szCs w:val="21"/>
                <w:vertAlign w:val="superscript"/>
              </w:rPr>
              <w:t>3</w:t>
            </w:r>
            <w:r>
              <w:rPr>
                <w:rFonts w:hint="eastAsia"/>
                <w:kern w:val="0"/>
                <w:szCs w:val="21"/>
              </w:rPr>
              <w:t>，则</w:t>
            </w:r>
            <w:r>
              <w:rPr>
                <w:kern w:val="0"/>
                <w:szCs w:val="21"/>
              </w:rPr>
              <w:t>本项目</w:t>
            </w:r>
            <w:r>
              <w:rPr>
                <w:rFonts w:hint="eastAsia"/>
                <w:kern w:val="0"/>
                <w:szCs w:val="21"/>
              </w:rPr>
              <w:t>生物质锅炉</w:t>
            </w:r>
            <w:r>
              <w:rPr>
                <w:bCs/>
                <w:szCs w:val="21"/>
              </w:rPr>
              <w:t>NO</w:t>
            </w:r>
            <w:r>
              <w:rPr>
                <w:bCs/>
                <w:szCs w:val="21"/>
                <w:vertAlign w:val="subscript"/>
              </w:rPr>
              <w:t>x</w:t>
            </w:r>
            <w:r>
              <w:rPr>
                <w:kern w:val="0"/>
                <w:szCs w:val="21"/>
              </w:rPr>
              <w:t>年许可排放量=</w:t>
            </w:r>
            <w:r>
              <w:rPr>
                <w:rFonts w:hint="eastAsia"/>
                <w:kern w:val="0"/>
                <w:szCs w:val="21"/>
              </w:rPr>
              <w:t>4992000</w:t>
            </w:r>
            <w:r>
              <w:rPr>
                <w:kern w:val="0"/>
                <w:szCs w:val="21"/>
              </w:rPr>
              <w:t>×</w:t>
            </w:r>
            <w:r>
              <w:rPr>
                <w:rFonts w:hint="eastAsia"/>
                <w:kern w:val="0"/>
                <w:szCs w:val="21"/>
              </w:rPr>
              <w:t>150</w:t>
            </w:r>
            <w:r>
              <w:rPr>
                <w:kern w:val="0"/>
                <w:szCs w:val="21"/>
              </w:rPr>
              <w:t>/10</w:t>
            </w:r>
            <w:r>
              <w:rPr>
                <w:rFonts w:hint="eastAsia"/>
                <w:kern w:val="0"/>
                <w:szCs w:val="21"/>
                <w:vertAlign w:val="superscript"/>
              </w:rPr>
              <w:t>9</w:t>
            </w:r>
            <w:r>
              <w:rPr>
                <w:kern w:val="0"/>
                <w:szCs w:val="21"/>
              </w:rPr>
              <w:t>=0.</w:t>
            </w:r>
            <w:r>
              <w:rPr>
                <w:rFonts w:hint="eastAsia"/>
                <w:kern w:val="0"/>
                <w:szCs w:val="21"/>
              </w:rPr>
              <w:t>749</w:t>
            </w:r>
            <w:r>
              <w:rPr>
                <w:kern w:val="0"/>
                <w:szCs w:val="21"/>
              </w:rPr>
              <w:t>t/a</w:t>
            </w:r>
          </w:p>
          <w:p w14:paraId="15371850">
            <w:pPr>
              <w:adjustRightInd w:val="0"/>
              <w:snapToGrid w:val="0"/>
              <w:ind w:firstLine="420"/>
              <w:rPr>
                <w:szCs w:val="21"/>
              </w:rPr>
            </w:pPr>
            <w:r>
              <w:rPr>
                <w:rFonts w:hint="eastAsia"/>
                <w:snapToGrid w:val="0"/>
                <w:kern w:val="0"/>
                <w:szCs w:val="21"/>
              </w:rPr>
              <w:t>综合</w:t>
            </w:r>
            <w:r>
              <w:rPr>
                <w:rFonts w:hint="eastAsia"/>
                <w:kern w:val="0"/>
                <w:szCs w:val="21"/>
              </w:rPr>
              <w:t>上述</w:t>
            </w:r>
            <w:r>
              <w:rPr>
                <w:rFonts w:hint="eastAsia"/>
                <w:snapToGrid w:val="0"/>
                <w:kern w:val="0"/>
                <w:szCs w:val="21"/>
              </w:rPr>
              <w:t>分析</w:t>
            </w:r>
            <w:r>
              <w:rPr>
                <w:snapToGrid w:val="0"/>
                <w:kern w:val="0"/>
                <w:szCs w:val="21"/>
              </w:rPr>
              <w:t>，</w:t>
            </w:r>
            <w:r>
              <w:rPr>
                <w:rFonts w:hint="eastAsia"/>
                <w:snapToGrid w:val="0"/>
                <w:kern w:val="0"/>
                <w:szCs w:val="21"/>
              </w:rPr>
              <w:t>本项目废气</w:t>
            </w:r>
            <w:r>
              <w:rPr>
                <w:szCs w:val="21"/>
              </w:rPr>
              <w:t>总量指标</w:t>
            </w:r>
            <w:r>
              <w:rPr>
                <w:snapToGrid w:val="0"/>
                <w:kern w:val="0"/>
                <w:szCs w:val="21"/>
              </w:rPr>
              <w:t>为</w:t>
            </w:r>
            <w:r>
              <w:rPr>
                <w:bCs/>
                <w:szCs w:val="21"/>
              </w:rPr>
              <w:t>SO</w:t>
            </w:r>
            <w:r>
              <w:rPr>
                <w:bCs/>
                <w:szCs w:val="21"/>
                <w:vertAlign w:val="subscript"/>
              </w:rPr>
              <w:t>2</w:t>
            </w:r>
            <w:r>
              <w:rPr>
                <w:rFonts w:hint="eastAsia"/>
                <w:kern w:val="0"/>
                <w:szCs w:val="21"/>
              </w:rPr>
              <w:t>：</w:t>
            </w:r>
            <w:r>
              <w:rPr>
                <w:kern w:val="0"/>
                <w:szCs w:val="21"/>
              </w:rPr>
              <w:t>0.</w:t>
            </w:r>
            <w:r>
              <w:rPr>
                <w:rFonts w:hint="eastAsia"/>
                <w:kern w:val="0"/>
                <w:szCs w:val="21"/>
              </w:rPr>
              <w:t>150</w:t>
            </w:r>
            <w:r>
              <w:rPr>
                <w:kern w:val="0"/>
                <w:szCs w:val="21"/>
              </w:rPr>
              <w:t>t/a</w:t>
            </w:r>
            <w:r>
              <w:rPr>
                <w:rFonts w:hint="eastAsia"/>
                <w:kern w:val="0"/>
                <w:szCs w:val="21"/>
              </w:rPr>
              <w:t>，</w:t>
            </w:r>
            <w:r>
              <w:rPr>
                <w:szCs w:val="21"/>
              </w:rPr>
              <w:t>NO</w:t>
            </w:r>
            <w:r>
              <w:rPr>
                <w:szCs w:val="21"/>
                <w:vertAlign w:val="subscript"/>
              </w:rPr>
              <w:t>x</w:t>
            </w:r>
            <w:r>
              <w:rPr>
                <w:rFonts w:hint="eastAsia"/>
                <w:snapToGrid w:val="0"/>
                <w:kern w:val="0"/>
                <w:szCs w:val="21"/>
              </w:rPr>
              <w:t>：0.749</w:t>
            </w:r>
            <w:r>
              <w:rPr>
                <w:snapToGrid w:val="0"/>
                <w:kern w:val="0"/>
                <w:szCs w:val="21"/>
              </w:rPr>
              <w:t xml:space="preserve"> t/a</w:t>
            </w:r>
            <w:r>
              <w:rPr>
                <w:rFonts w:hint="eastAsia"/>
                <w:snapToGrid w:val="0"/>
                <w:kern w:val="0"/>
                <w:szCs w:val="21"/>
              </w:rPr>
              <w:t>。</w:t>
            </w:r>
          </w:p>
          <w:p w14:paraId="209E798F">
            <w:pPr>
              <w:pStyle w:val="75"/>
              <w:widowControl w:val="0"/>
              <w:numPr>
                <w:ilvl w:val="0"/>
                <w:numId w:val="0"/>
              </w:numPr>
              <w:tabs>
                <w:tab w:val="clear" w:pos="0"/>
              </w:tabs>
              <w:ind w:firstLine="422" w:firstLineChars="200"/>
            </w:pPr>
          </w:p>
          <w:p w14:paraId="14286D77">
            <w:pPr>
              <w:pStyle w:val="75"/>
              <w:widowControl w:val="0"/>
              <w:numPr>
                <w:ilvl w:val="0"/>
                <w:numId w:val="0"/>
              </w:numPr>
              <w:tabs>
                <w:tab w:val="clear" w:pos="0"/>
              </w:tabs>
              <w:ind w:firstLine="422" w:firstLineChars="200"/>
            </w:pPr>
          </w:p>
          <w:p w14:paraId="75DFE365">
            <w:pPr>
              <w:pStyle w:val="75"/>
              <w:widowControl w:val="0"/>
              <w:numPr>
                <w:ilvl w:val="0"/>
                <w:numId w:val="0"/>
              </w:numPr>
              <w:tabs>
                <w:tab w:val="clear" w:pos="0"/>
              </w:tabs>
              <w:ind w:firstLine="422" w:firstLineChars="200"/>
            </w:pPr>
          </w:p>
          <w:p w14:paraId="5DEBBD00">
            <w:pPr>
              <w:pStyle w:val="75"/>
              <w:widowControl w:val="0"/>
              <w:numPr>
                <w:ilvl w:val="0"/>
                <w:numId w:val="0"/>
              </w:numPr>
              <w:tabs>
                <w:tab w:val="clear" w:pos="0"/>
              </w:tabs>
              <w:ind w:firstLine="422" w:firstLineChars="200"/>
            </w:pPr>
          </w:p>
          <w:p w14:paraId="144B7376">
            <w:pPr>
              <w:pStyle w:val="75"/>
              <w:widowControl w:val="0"/>
              <w:numPr>
                <w:ilvl w:val="0"/>
                <w:numId w:val="0"/>
              </w:numPr>
              <w:tabs>
                <w:tab w:val="clear" w:pos="0"/>
              </w:tabs>
              <w:ind w:firstLine="422" w:firstLineChars="200"/>
            </w:pPr>
          </w:p>
          <w:p w14:paraId="46281220">
            <w:pPr>
              <w:pStyle w:val="75"/>
              <w:widowControl w:val="0"/>
              <w:numPr>
                <w:ilvl w:val="0"/>
                <w:numId w:val="0"/>
              </w:numPr>
              <w:tabs>
                <w:tab w:val="clear" w:pos="0"/>
              </w:tabs>
              <w:ind w:firstLine="422" w:firstLineChars="200"/>
            </w:pPr>
          </w:p>
          <w:p w14:paraId="552F914B">
            <w:pPr>
              <w:pStyle w:val="75"/>
              <w:widowControl w:val="0"/>
              <w:numPr>
                <w:ilvl w:val="0"/>
                <w:numId w:val="0"/>
              </w:numPr>
              <w:tabs>
                <w:tab w:val="clear" w:pos="0"/>
              </w:tabs>
              <w:ind w:firstLine="422" w:firstLineChars="200"/>
            </w:pPr>
          </w:p>
          <w:p w14:paraId="019472B6">
            <w:pPr>
              <w:pStyle w:val="75"/>
              <w:widowControl w:val="0"/>
              <w:numPr>
                <w:ilvl w:val="0"/>
                <w:numId w:val="0"/>
              </w:numPr>
              <w:tabs>
                <w:tab w:val="clear" w:pos="0"/>
              </w:tabs>
              <w:ind w:firstLine="422" w:firstLineChars="200"/>
            </w:pPr>
          </w:p>
          <w:p w14:paraId="428D9D1E">
            <w:pPr>
              <w:pStyle w:val="75"/>
              <w:widowControl w:val="0"/>
              <w:numPr>
                <w:ilvl w:val="0"/>
                <w:numId w:val="0"/>
              </w:numPr>
              <w:tabs>
                <w:tab w:val="clear" w:pos="0"/>
              </w:tabs>
              <w:ind w:firstLine="422" w:firstLineChars="200"/>
            </w:pPr>
          </w:p>
          <w:p w14:paraId="009E14F8">
            <w:pPr>
              <w:pStyle w:val="75"/>
              <w:widowControl w:val="0"/>
              <w:numPr>
                <w:ilvl w:val="0"/>
                <w:numId w:val="0"/>
              </w:numPr>
              <w:tabs>
                <w:tab w:val="clear" w:pos="0"/>
              </w:tabs>
              <w:ind w:firstLine="422" w:firstLineChars="200"/>
            </w:pPr>
          </w:p>
          <w:p w14:paraId="2ABD5FAF">
            <w:pPr>
              <w:pStyle w:val="75"/>
              <w:widowControl w:val="0"/>
              <w:numPr>
                <w:ilvl w:val="0"/>
                <w:numId w:val="0"/>
              </w:numPr>
              <w:tabs>
                <w:tab w:val="clear" w:pos="0"/>
              </w:tabs>
              <w:ind w:firstLine="422" w:firstLineChars="200"/>
            </w:pPr>
          </w:p>
          <w:p w14:paraId="5868F75F">
            <w:pPr>
              <w:pStyle w:val="75"/>
              <w:widowControl w:val="0"/>
              <w:numPr>
                <w:ilvl w:val="0"/>
                <w:numId w:val="0"/>
              </w:numPr>
              <w:tabs>
                <w:tab w:val="clear" w:pos="0"/>
              </w:tabs>
              <w:ind w:firstLine="422" w:firstLineChars="200"/>
            </w:pPr>
          </w:p>
          <w:p w14:paraId="05BAF9B9">
            <w:pPr>
              <w:pStyle w:val="75"/>
              <w:widowControl w:val="0"/>
              <w:numPr>
                <w:ilvl w:val="0"/>
                <w:numId w:val="0"/>
              </w:numPr>
              <w:tabs>
                <w:tab w:val="clear" w:pos="0"/>
              </w:tabs>
              <w:ind w:firstLine="422" w:firstLineChars="200"/>
            </w:pPr>
          </w:p>
          <w:p w14:paraId="438F1FAA">
            <w:pPr>
              <w:pStyle w:val="75"/>
              <w:widowControl w:val="0"/>
              <w:numPr>
                <w:ilvl w:val="0"/>
                <w:numId w:val="0"/>
              </w:numPr>
              <w:tabs>
                <w:tab w:val="clear" w:pos="0"/>
              </w:tabs>
              <w:ind w:firstLine="422" w:firstLineChars="200"/>
            </w:pPr>
          </w:p>
          <w:p w14:paraId="04ED6C72">
            <w:pPr>
              <w:pStyle w:val="75"/>
              <w:widowControl w:val="0"/>
              <w:numPr>
                <w:ilvl w:val="0"/>
                <w:numId w:val="0"/>
              </w:numPr>
              <w:tabs>
                <w:tab w:val="clear" w:pos="0"/>
              </w:tabs>
              <w:ind w:firstLine="422" w:firstLineChars="200"/>
            </w:pPr>
          </w:p>
          <w:p w14:paraId="697DA245">
            <w:pPr>
              <w:pStyle w:val="75"/>
              <w:widowControl w:val="0"/>
              <w:numPr>
                <w:ilvl w:val="0"/>
                <w:numId w:val="0"/>
              </w:numPr>
              <w:tabs>
                <w:tab w:val="clear" w:pos="0"/>
              </w:tabs>
              <w:ind w:firstLine="422" w:firstLineChars="200"/>
            </w:pPr>
          </w:p>
          <w:p w14:paraId="5E67A0C7">
            <w:pPr>
              <w:pStyle w:val="75"/>
              <w:widowControl w:val="0"/>
              <w:numPr>
                <w:ilvl w:val="0"/>
                <w:numId w:val="0"/>
              </w:numPr>
              <w:tabs>
                <w:tab w:val="clear" w:pos="0"/>
              </w:tabs>
              <w:ind w:firstLine="422" w:firstLineChars="200"/>
            </w:pPr>
          </w:p>
          <w:p w14:paraId="42541F22">
            <w:pPr>
              <w:pStyle w:val="75"/>
              <w:widowControl w:val="0"/>
              <w:numPr>
                <w:ilvl w:val="0"/>
                <w:numId w:val="0"/>
              </w:numPr>
              <w:tabs>
                <w:tab w:val="clear" w:pos="0"/>
              </w:tabs>
              <w:ind w:firstLine="422" w:firstLineChars="200"/>
            </w:pPr>
          </w:p>
          <w:p w14:paraId="205DF5BD">
            <w:pPr>
              <w:pStyle w:val="75"/>
              <w:widowControl w:val="0"/>
              <w:numPr>
                <w:ilvl w:val="0"/>
                <w:numId w:val="0"/>
              </w:numPr>
              <w:tabs>
                <w:tab w:val="clear" w:pos="0"/>
              </w:tabs>
              <w:ind w:firstLine="422" w:firstLineChars="200"/>
            </w:pPr>
          </w:p>
          <w:p w14:paraId="28AAD8DF">
            <w:pPr>
              <w:pStyle w:val="75"/>
              <w:widowControl w:val="0"/>
              <w:numPr>
                <w:ilvl w:val="0"/>
                <w:numId w:val="0"/>
              </w:numPr>
              <w:tabs>
                <w:tab w:val="clear" w:pos="0"/>
              </w:tabs>
              <w:ind w:firstLine="422" w:firstLineChars="200"/>
            </w:pPr>
          </w:p>
          <w:p w14:paraId="56C66F16">
            <w:pPr>
              <w:pStyle w:val="75"/>
              <w:widowControl w:val="0"/>
              <w:numPr>
                <w:ilvl w:val="0"/>
                <w:numId w:val="0"/>
              </w:numPr>
              <w:tabs>
                <w:tab w:val="clear" w:pos="0"/>
              </w:tabs>
              <w:ind w:firstLine="422" w:firstLineChars="200"/>
            </w:pPr>
          </w:p>
          <w:p w14:paraId="0204FE22">
            <w:pPr>
              <w:pStyle w:val="75"/>
              <w:widowControl w:val="0"/>
              <w:numPr>
                <w:ilvl w:val="0"/>
                <w:numId w:val="0"/>
              </w:numPr>
              <w:tabs>
                <w:tab w:val="clear" w:pos="0"/>
              </w:tabs>
              <w:ind w:firstLine="422" w:firstLineChars="200"/>
            </w:pPr>
          </w:p>
          <w:p w14:paraId="7CB04F91">
            <w:pPr>
              <w:pStyle w:val="75"/>
              <w:widowControl w:val="0"/>
              <w:numPr>
                <w:ilvl w:val="0"/>
                <w:numId w:val="0"/>
              </w:numPr>
              <w:tabs>
                <w:tab w:val="clear" w:pos="0"/>
              </w:tabs>
              <w:ind w:firstLine="422" w:firstLineChars="200"/>
            </w:pPr>
          </w:p>
          <w:p w14:paraId="36789FA0">
            <w:pPr>
              <w:pStyle w:val="75"/>
              <w:widowControl w:val="0"/>
              <w:numPr>
                <w:ilvl w:val="0"/>
                <w:numId w:val="0"/>
              </w:numPr>
              <w:tabs>
                <w:tab w:val="clear" w:pos="0"/>
              </w:tabs>
              <w:ind w:firstLine="422" w:firstLineChars="200"/>
            </w:pPr>
          </w:p>
          <w:p w14:paraId="75D86EA2">
            <w:pPr>
              <w:pStyle w:val="75"/>
              <w:widowControl w:val="0"/>
              <w:numPr>
                <w:ilvl w:val="0"/>
                <w:numId w:val="0"/>
              </w:numPr>
              <w:tabs>
                <w:tab w:val="clear" w:pos="0"/>
              </w:tabs>
              <w:ind w:firstLine="422" w:firstLineChars="200"/>
            </w:pPr>
          </w:p>
          <w:p w14:paraId="2F6CDBFD">
            <w:pPr>
              <w:pStyle w:val="75"/>
              <w:widowControl w:val="0"/>
              <w:numPr>
                <w:ilvl w:val="0"/>
                <w:numId w:val="0"/>
              </w:numPr>
              <w:tabs>
                <w:tab w:val="clear" w:pos="0"/>
              </w:tabs>
              <w:ind w:firstLine="422" w:firstLineChars="200"/>
            </w:pPr>
          </w:p>
          <w:p w14:paraId="74AE5B51">
            <w:pPr>
              <w:pStyle w:val="75"/>
              <w:widowControl w:val="0"/>
              <w:numPr>
                <w:ilvl w:val="0"/>
                <w:numId w:val="0"/>
              </w:numPr>
              <w:tabs>
                <w:tab w:val="clear" w:pos="0"/>
              </w:tabs>
              <w:ind w:firstLine="422" w:firstLineChars="200"/>
            </w:pPr>
          </w:p>
          <w:p w14:paraId="43DC0544">
            <w:pPr>
              <w:pStyle w:val="75"/>
              <w:widowControl w:val="0"/>
              <w:numPr>
                <w:ilvl w:val="0"/>
                <w:numId w:val="0"/>
              </w:numPr>
              <w:tabs>
                <w:tab w:val="clear" w:pos="0"/>
              </w:tabs>
              <w:ind w:firstLine="422" w:firstLineChars="200"/>
            </w:pPr>
          </w:p>
          <w:p w14:paraId="30E53844">
            <w:pPr>
              <w:pStyle w:val="75"/>
              <w:widowControl w:val="0"/>
              <w:numPr>
                <w:ilvl w:val="0"/>
                <w:numId w:val="0"/>
              </w:numPr>
              <w:tabs>
                <w:tab w:val="clear" w:pos="0"/>
              </w:tabs>
              <w:ind w:firstLine="422" w:firstLineChars="200"/>
            </w:pPr>
          </w:p>
          <w:p w14:paraId="37EA4502">
            <w:pPr>
              <w:pStyle w:val="75"/>
              <w:widowControl w:val="0"/>
              <w:numPr>
                <w:ilvl w:val="0"/>
                <w:numId w:val="0"/>
              </w:numPr>
              <w:tabs>
                <w:tab w:val="clear" w:pos="0"/>
              </w:tabs>
              <w:ind w:firstLine="422" w:firstLineChars="200"/>
            </w:pPr>
          </w:p>
          <w:p w14:paraId="19E2CA58">
            <w:pPr>
              <w:pStyle w:val="75"/>
              <w:widowControl w:val="0"/>
              <w:numPr>
                <w:ilvl w:val="0"/>
                <w:numId w:val="0"/>
              </w:numPr>
              <w:tabs>
                <w:tab w:val="clear" w:pos="0"/>
              </w:tabs>
              <w:ind w:firstLine="422" w:firstLineChars="200"/>
            </w:pPr>
          </w:p>
          <w:p w14:paraId="4F9FDE8F">
            <w:pPr>
              <w:pStyle w:val="75"/>
              <w:widowControl w:val="0"/>
              <w:numPr>
                <w:ilvl w:val="0"/>
                <w:numId w:val="0"/>
              </w:numPr>
              <w:tabs>
                <w:tab w:val="clear" w:pos="0"/>
              </w:tabs>
              <w:ind w:firstLine="422" w:firstLineChars="200"/>
            </w:pPr>
          </w:p>
          <w:p w14:paraId="0C4DB60D">
            <w:pPr>
              <w:pStyle w:val="75"/>
              <w:widowControl w:val="0"/>
              <w:numPr>
                <w:ilvl w:val="0"/>
                <w:numId w:val="0"/>
              </w:numPr>
              <w:tabs>
                <w:tab w:val="clear" w:pos="0"/>
              </w:tabs>
              <w:ind w:firstLine="422" w:firstLineChars="200"/>
            </w:pPr>
          </w:p>
          <w:p w14:paraId="1587E66E">
            <w:pPr>
              <w:pStyle w:val="75"/>
              <w:widowControl w:val="0"/>
              <w:numPr>
                <w:ilvl w:val="0"/>
                <w:numId w:val="0"/>
              </w:numPr>
              <w:tabs>
                <w:tab w:val="clear" w:pos="0"/>
              </w:tabs>
              <w:ind w:firstLine="422" w:firstLineChars="200"/>
            </w:pPr>
          </w:p>
          <w:p w14:paraId="2B259CA9">
            <w:pPr>
              <w:pStyle w:val="75"/>
              <w:widowControl w:val="0"/>
              <w:numPr>
                <w:ilvl w:val="0"/>
                <w:numId w:val="0"/>
              </w:numPr>
              <w:tabs>
                <w:tab w:val="clear" w:pos="0"/>
              </w:tabs>
              <w:ind w:firstLine="422" w:firstLineChars="200"/>
            </w:pPr>
          </w:p>
          <w:p w14:paraId="544E1173">
            <w:pPr>
              <w:pStyle w:val="75"/>
              <w:widowControl w:val="0"/>
              <w:numPr>
                <w:ilvl w:val="0"/>
                <w:numId w:val="0"/>
              </w:numPr>
              <w:tabs>
                <w:tab w:val="clear" w:pos="0"/>
              </w:tabs>
              <w:ind w:firstLine="422" w:firstLineChars="200"/>
            </w:pPr>
          </w:p>
          <w:p w14:paraId="6C4B59CC">
            <w:pPr>
              <w:pStyle w:val="75"/>
              <w:widowControl w:val="0"/>
              <w:numPr>
                <w:ilvl w:val="0"/>
                <w:numId w:val="0"/>
              </w:numPr>
              <w:tabs>
                <w:tab w:val="clear" w:pos="0"/>
              </w:tabs>
              <w:ind w:firstLine="422" w:firstLineChars="200"/>
            </w:pPr>
          </w:p>
          <w:p w14:paraId="3449264B">
            <w:pPr>
              <w:pStyle w:val="75"/>
              <w:widowControl w:val="0"/>
              <w:numPr>
                <w:ilvl w:val="0"/>
                <w:numId w:val="0"/>
              </w:numPr>
              <w:tabs>
                <w:tab w:val="clear" w:pos="0"/>
              </w:tabs>
              <w:ind w:firstLine="422" w:firstLineChars="200"/>
            </w:pPr>
          </w:p>
          <w:p w14:paraId="5587E8B2">
            <w:pPr>
              <w:pStyle w:val="75"/>
              <w:widowControl w:val="0"/>
              <w:numPr>
                <w:ilvl w:val="0"/>
                <w:numId w:val="0"/>
              </w:numPr>
              <w:tabs>
                <w:tab w:val="clear" w:pos="0"/>
              </w:tabs>
              <w:ind w:firstLine="422" w:firstLineChars="200"/>
            </w:pPr>
          </w:p>
          <w:p w14:paraId="7CF1B9F8">
            <w:pPr>
              <w:pStyle w:val="75"/>
              <w:widowControl w:val="0"/>
              <w:numPr>
                <w:ilvl w:val="0"/>
                <w:numId w:val="0"/>
              </w:numPr>
              <w:tabs>
                <w:tab w:val="clear" w:pos="0"/>
              </w:tabs>
              <w:ind w:firstLine="422" w:firstLineChars="200"/>
            </w:pPr>
          </w:p>
          <w:p w14:paraId="7629D514">
            <w:pPr>
              <w:pStyle w:val="75"/>
              <w:widowControl w:val="0"/>
              <w:numPr>
                <w:ilvl w:val="0"/>
                <w:numId w:val="0"/>
              </w:numPr>
              <w:tabs>
                <w:tab w:val="clear" w:pos="0"/>
              </w:tabs>
              <w:ind w:firstLine="422" w:firstLineChars="200"/>
            </w:pPr>
          </w:p>
          <w:p w14:paraId="3DF5ED1D">
            <w:pPr>
              <w:pStyle w:val="75"/>
              <w:widowControl w:val="0"/>
              <w:numPr>
                <w:ilvl w:val="0"/>
                <w:numId w:val="0"/>
              </w:numPr>
              <w:tabs>
                <w:tab w:val="clear" w:pos="0"/>
              </w:tabs>
              <w:ind w:firstLine="422" w:firstLineChars="200"/>
            </w:pPr>
          </w:p>
          <w:p w14:paraId="53C0CD16">
            <w:pPr>
              <w:pStyle w:val="75"/>
              <w:widowControl w:val="0"/>
              <w:numPr>
                <w:ilvl w:val="0"/>
                <w:numId w:val="0"/>
              </w:numPr>
              <w:tabs>
                <w:tab w:val="clear" w:pos="0"/>
              </w:tabs>
              <w:ind w:firstLine="422" w:firstLineChars="200"/>
            </w:pPr>
          </w:p>
        </w:tc>
      </w:tr>
    </w:tbl>
    <w:p w14:paraId="727B63DD">
      <w:pPr>
        <w:pStyle w:val="21"/>
        <w:ind w:firstLine="720"/>
        <w:jc w:val="center"/>
        <w:outlineLvl w:val="0"/>
        <w:rPr>
          <w:rFonts w:ascii="黑体" w:hAnsi="黑体" w:eastAsia="黑体"/>
          <w:snapToGrid w:val="0"/>
          <w:sz w:val="30"/>
          <w:szCs w:val="30"/>
        </w:rPr>
      </w:pPr>
      <w:r>
        <w:rPr>
          <w:rFonts w:ascii="黑体" w:hAnsi="黑体" w:eastAsia="黑体"/>
          <w:snapToGrid w:val="0"/>
          <w:sz w:val="36"/>
          <w:szCs w:val="36"/>
        </w:rPr>
        <w:br w:type="page"/>
      </w:r>
      <w:bookmarkStart w:id="89" w:name="_Toc13256"/>
      <w:r>
        <w:rPr>
          <w:rFonts w:hint="eastAsia" w:ascii="黑体" w:hAnsi="黑体" w:eastAsia="黑体"/>
          <w:snapToGrid w:val="0"/>
          <w:sz w:val="30"/>
          <w:szCs w:val="30"/>
        </w:rPr>
        <w:t>四、主要环境影响和保护措施</w:t>
      </w:r>
      <w:bookmarkEnd w:id="89"/>
    </w:p>
    <w:tbl>
      <w:tblPr>
        <w:tblStyle w:val="25"/>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52"/>
        <w:gridCol w:w="8629"/>
      </w:tblGrid>
      <w:tr w14:paraId="57C7E4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0" w:hRule="atLeast"/>
          <w:jc w:val="center"/>
        </w:trPr>
        <w:tc>
          <w:tcPr>
            <w:tcW w:w="352" w:type="dxa"/>
            <w:tcMar>
              <w:left w:w="28" w:type="dxa"/>
              <w:right w:w="28" w:type="dxa"/>
            </w:tcMar>
            <w:vAlign w:val="center"/>
          </w:tcPr>
          <w:p w14:paraId="7264AB32">
            <w:pPr>
              <w:pStyle w:val="40"/>
            </w:pPr>
            <w:r>
              <w:rPr>
                <w:rFonts w:hint="eastAsia"/>
              </w:rPr>
              <w:t>施工</w:t>
            </w:r>
          </w:p>
          <w:p w14:paraId="34AD0713">
            <w:pPr>
              <w:pStyle w:val="40"/>
            </w:pPr>
            <w:r>
              <w:rPr>
                <w:rFonts w:hint="eastAsia"/>
              </w:rPr>
              <w:t>期环</w:t>
            </w:r>
          </w:p>
          <w:p w14:paraId="1AAB5677">
            <w:pPr>
              <w:pStyle w:val="40"/>
            </w:pPr>
            <w:r>
              <w:rPr>
                <w:rFonts w:hint="eastAsia"/>
              </w:rPr>
              <w:t>境保</w:t>
            </w:r>
          </w:p>
          <w:p w14:paraId="6E8BE270">
            <w:pPr>
              <w:pStyle w:val="40"/>
            </w:pPr>
            <w:r>
              <w:rPr>
                <w:rFonts w:hint="eastAsia"/>
              </w:rPr>
              <w:t>护措</w:t>
            </w:r>
          </w:p>
          <w:p w14:paraId="7DEF67D1">
            <w:pPr>
              <w:pStyle w:val="40"/>
            </w:pPr>
            <w:r>
              <w:rPr>
                <w:rFonts w:hint="eastAsia"/>
              </w:rPr>
              <w:t>施</w:t>
            </w:r>
          </w:p>
        </w:tc>
        <w:tc>
          <w:tcPr>
            <w:tcW w:w="8629" w:type="dxa"/>
            <w:vAlign w:val="center"/>
          </w:tcPr>
          <w:p w14:paraId="5FF69D44">
            <w:pPr>
              <w:adjustRightInd w:val="0"/>
              <w:snapToGrid w:val="0"/>
              <w:spacing w:line="400" w:lineRule="exact"/>
              <w:ind w:firstLine="422"/>
              <w:rPr>
                <w:bCs/>
                <w:szCs w:val="21"/>
              </w:rPr>
            </w:pPr>
            <w:r>
              <w:rPr>
                <w:rFonts w:hint="eastAsia"/>
                <w:b/>
                <w:bCs/>
                <w:szCs w:val="21"/>
              </w:rPr>
              <w:t>拆除工程</w:t>
            </w:r>
            <w:r>
              <w:rPr>
                <w:rFonts w:hint="eastAsia"/>
                <w:bCs/>
                <w:szCs w:val="21"/>
              </w:rPr>
              <w:t>：</w:t>
            </w:r>
          </w:p>
          <w:p w14:paraId="1DDEAD4C">
            <w:pPr>
              <w:adjustRightInd w:val="0"/>
              <w:snapToGrid w:val="0"/>
              <w:spacing w:line="400" w:lineRule="exact"/>
              <w:ind w:firstLine="420"/>
              <w:rPr>
                <w:bCs/>
                <w:szCs w:val="21"/>
              </w:rPr>
            </w:pPr>
            <w:r>
              <w:rPr>
                <w:rFonts w:hint="eastAsia"/>
                <w:bCs/>
                <w:szCs w:val="21"/>
              </w:rPr>
              <w:t>本项目拆除内容主要为对锅炉房内现有2t/h生物质锅炉进行拆除</w:t>
            </w:r>
            <w:r>
              <w:rPr>
                <w:rFonts w:hint="eastAsia"/>
                <w:snapToGrid w:val="0"/>
                <w:kern w:val="0"/>
                <w:szCs w:val="21"/>
              </w:rPr>
              <w:t>，</w:t>
            </w:r>
            <w:r>
              <w:rPr>
                <w:bCs/>
                <w:szCs w:val="21"/>
              </w:rPr>
              <w:t>施工期</w:t>
            </w:r>
            <w:r>
              <w:rPr>
                <w:rFonts w:hint="eastAsia"/>
              </w:rPr>
              <w:t>产生的污染物</w:t>
            </w:r>
            <w:r>
              <w:rPr>
                <w:bCs/>
                <w:szCs w:val="21"/>
              </w:rPr>
              <w:t>主要为施工噪声</w:t>
            </w:r>
            <w:r>
              <w:rPr>
                <w:rFonts w:hint="eastAsia"/>
                <w:bCs/>
                <w:szCs w:val="21"/>
              </w:rPr>
              <w:t>、</w:t>
            </w:r>
            <w:r>
              <w:rPr>
                <w:bCs/>
                <w:szCs w:val="21"/>
              </w:rPr>
              <w:t>废水和固废等</w:t>
            </w:r>
            <w:r>
              <w:rPr>
                <w:rFonts w:hint="eastAsia"/>
                <w:bCs/>
                <w:spacing w:val="-10"/>
                <w:szCs w:val="21"/>
              </w:rPr>
              <w:t>，</w:t>
            </w:r>
            <w:r>
              <w:rPr>
                <w:rFonts w:hint="eastAsia"/>
              </w:rPr>
              <w:t>施工量极小，施工时间极短</w:t>
            </w:r>
            <w:r>
              <w:rPr>
                <w:rFonts w:hint="eastAsia"/>
                <w:bCs/>
                <w:spacing w:val="-10"/>
                <w:szCs w:val="21"/>
              </w:rPr>
              <w:t>。</w:t>
            </w:r>
          </w:p>
          <w:p w14:paraId="0082709B">
            <w:pPr>
              <w:adjustRightInd w:val="0"/>
              <w:snapToGrid w:val="0"/>
              <w:spacing w:line="400" w:lineRule="exact"/>
              <w:ind w:firstLine="420"/>
              <w:rPr>
                <w:bCs/>
                <w:szCs w:val="21"/>
              </w:rPr>
            </w:pPr>
            <w:r>
              <w:rPr>
                <w:rFonts w:hint="eastAsia"/>
                <w:bCs/>
                <w:szCs w:val="21"/>
              </w:rPr>
              <w:t>本项目</w:t>
            </w:r>
            <w:r>
              <w:rPr>
                <w:rFonts w:hint="eastAsia"/>
              </w:rPr>
              <w:t>拆除过程中</w:t>
            </w:r>
            <w:r>
              <w:rPr>
                <w:rFonts w:hint="eastAsia"/>
                <w:bCs/>
                <w:szCs w:val="21"/>
              </w:rPr>
              <w:t>采用合理布置施工现场，夜间不施工等措施，施工场界</w:t>
            </w:r>
            <w:r>
              <w:rPr>
                <w:bCs/>
                <w:szCs w:val="21"/>
              </w:rPr>
              <w:t>噪声排放</w:t>
            </w:r>
            <w:r>
              <w:rPr>
                <w:rFonts w:hint="eastAsia"/>
                <w:bCs/>
                <w:szCs w:val="21"/>
              </w:rPr>
              <w:t>满足</w:t>
            </w:r>
            <w:r>
              <w:rPr>
                <w:bCs/>
                <w:szCs w:val="21"/>
              </w:rPr>
              <w:t>《建筑施工场界环境噪声排放标准》(GB12523-2011)标准</w:t>
            </w:r>
            <w:r>
              <w:rPr>
                <w:rFonts w:hint="eastAsia"/>
                <w:bCs/>
                <w:szCs w:val="21"/>
              </w:rPr>
              <w:t>要求；</w:t>
            </w:r>
            <w:r>
              <w:rPr>
                <w:rFonts w:hint="eastAsia"/>
              </w:rPr>
              <w:t>拆除过程中不产生废水</w:t>
            </w:r>
            <w:r>
              <w:t>；</w:t>
            </w:r>
            <w:r>
              <w:rPr>
                <w:rFonts w:hint="eastAsia"/>
              </w:rPr>
              <w:t>施工人员如厕利用现有旱厕，不外排</w:t>
            </w:r>
            <w:r>
              <w:rPr>
                <w:rFonts w:hint="eastAsia"/>
                <w:bCs/>
              </w:rPr>
              <w:t>；</w:t>
            </w:r>
            <w:r>
              <w:rPr>
                <w:rFonts w:hint="eastAsia"/>
                <w:bCs/>
                <w:szCs w:val="21"/>
              </w:rPr>
              <w:t>拆除活动中产生的炉筒和炉管可作为废铁外售，拆除产生的耐火砖可作为新锅炉的建设材料重复利用。</w:t>
            </w:r>
            <w:r>
              <w:rPr>
                <w:rFonts w:hint="eastAsia"/>
              </w:rPr>
              <w:t>采取上述措施后，项目施工期</w:t>
            </w:r>
            <w:bookmarkStart w:id="90" w:name="OLE_LINK64"/>
            <w:bookmarkStart w:id="91" w:name="OLE_LINK63"/>
            <w:r>
              <w:rPr>
                <w:rFonts w:hint="eastAsia"/>
                <w:bCs/>
                <w:szCs w:val="21"/>
              </w:rPr>
              <w:t>拆除工程</w:t>
            </w:r>
            <w:bookmarkEnd w:id="90"/>
            <w:bookmarkEnd w:id="91"/>
            <w:r>
              <w:rPr>
                <w:rFonts w:hint="eastAsia"/>
              </w:rPr>
              <w:t>对环境影响较小。</w:t>
            </w:r>
          </w:p>
          <w:p w14:paraId="4C076C7C">
            <w:pPr>
              <w:adjustRightInd w:val="0"/>
              <w:snapToGrid w:val="0"/>
              <w:spacing w:line="400" w:lineRule="exact"/>
              <w:ind w:firstLine="422"/>
              <w:rPr>
                <w:b/>
                <w:bCs/>
                <w:szCs w:val="21"/>
              </w:rPr>
            </w:pPr>
            <w:r>
              <w:rPr>
                <w:rFonts w:hint="eastAsia"/>
                <w:b/>
                <w:bCs/>
                <w:szCs w:val="21"/>
              </w:rPr>
              <w:t>改扩建工程：</w:t>
            </w:r>
          </w:p>
          <w:p w14:paraId="590C8931">
            <w:pPr>
              <w:adjustRightInd w:val="0"/>
              <w:snapToGrid w:val="0"/>
              <w:spacing w:line="400" w:lineRule="exact"/>
              <w:ind w:firstLine="420"/>
              <w:rPr>
                <w:bCs/>
                <w:szCs w:val="21"/>
              </w:rPr>
            </w:pPr>
            <w:r>
              <w:rPr>
                <w:rFonts w:hint="eastAsia"/>
                <w:bCs/>
                <w:szCs w:val="21"/>
              </w:rPr>
              <w:t>本项目</w:t>
            </w:r>
            <w:r>
              <w:rPr>
                <w:rFonts w:hint="eastAsia"/>
              </w:rPr>
              <w:t>利用现有厂房</w:t>
            </w:r>
            <w:r>
              <w:rPr>
                <w:rFonts w:hint="eastAsia"/>
                <w:bCs/>
                <w:szCs w:val="21"/>
              </w:rPr>
              <w:t>，施工期仅为设备安装</w:t>
            </w:r>
            <w:r>
              <w:rPr>
                <w:szCs w:val="21"/>
              </w:rPr>
              <w:t>调试</w:t>
            </w:r>
            <w:r>
              <w:rPr>
                <w:rFonts w:hint="eastAsia"/>
                <w:snapToGrid w:val="0"/>
                <w:kern w:val="0"/>
                <w:szCs w:val="21"/>
              </w:rPr>
              <w:t>，</w:t>
            </w:r>
            <w:bookmarkStart w:id="92" w:name="OLE_LINK59"/>
            <w:bookmarkStart w:id="93" w:name="OLE_LINK60"/>
            <w:r>
              <w:rPr>
                <w:rFonts w:hint="eastAsia"/>
                <w:snapToGrid w:val="0"/>
                <w:kern w:val="0"/>
                <w:szCs w:val="21"/>
              </w:rPr>
              <w:t>不涉及土建工程，</w:t>
            </w:r>
            <w:bookmarkEnd w:id="92"/>
            <w:bookmarkEnd w:id="93"/>
            <w:r>
              <w:rPr>
                <w:bCs/>
                <w:szCs w:val="21"/>
              </w:rPr>
              <w:t>施工期</w:t>
            </w:r>
            <w:r>
              <w:rPr>
                <w:rFonts w:hint="eastAsia"/>
              </w:rPr>
              <w:t>产生的污染物</w:t>
            </w:r>
            <w:r>
              <w:rPr>
                <w:bCs/>
                <w:szCs w:val="21"/>
              </w:rPr>
              <w:t>主要为施工噪声</w:t>
            </w:r>
            <w:r>
              <w:rPr>
                <w:rFonts w:hint="eastAsia"/>
                <w:bCs/>
                <w:szCs w:val="21"/>
              </w:rPr>
              <w:t>、</w:t>
            </w:r>
            <w:r>
              <w:rPr>
                <w:bCs/>
                <w:szCs w:val="21"/>
              </w:rPr>
              <w:t>废水和固废等</w:t>
            </w:r>
            <w:r>
              <w:rPr>
                <w:rFonts w:hint="eastAsia"/>
                <w:bCs/>
                <w:spacing w:val="-10"/>
                <w:szCs w:val="21"/>
              </w:rPr>
              <w:t>，</w:t>
            </w:r>
            <w:r>
              <w:rPr>
                <w:rFonts w:hint="eastAsia"/>
              </w:rPr>
              <w:t>施工量极小，施工时间极短</w:t>
            </w:r>
            <w:r>
              <w:rPr>
                <w:rFonts w:hint="eastAsia"/>
                <w:bCs/>
                <w:spacing w:val="-10"/>
                <w:szCs w:val="21"/>
              </w:rPr>
              <w:t>。</w:t>
            </w:r>
          </w:p>
          <w:p w14:paraId="2B6A953B">
            <w:pPr>
              <w:adjustRightInd w:val="0"/>
              <w:snapToGrid w:val="0"/>
              <w:spacing w:line="400" w:lineRule="exact"/>
              <w:ind w:firstLine="420"/>
              <w:rPr>
                <w:bCs/>
                <w:szCs w:val="21"/>
              </w:rPr>
            </w:pPr>
            <w:r>
              <w:rPr>
                <w:rFonts w:hint="eastAsia"/>
                <w:bCs/>
                <w:szCs w:val="21"/>
              </w:rPr>
              <w:t>本项目施工期采用低噪声设备，合理布置施工现场，夜间不施工等措施，施工场界</w:t>
            </w:r>
            <w:r>
              <w:rPr>
                <w:bCs/>
                <w:szCs w:val="21"/>
              </w:rPr>
              <w:t>噪声排放</w:t>
            </w:r>
            <w:r>
              <w:rPr>
                <w:rFonts w:hint="eastAsia"/>
                <w:bCs/>
                <w:szCs w:val="21"/>
              </w:rPr>
              <w:t>满足</w:t>
            </w:r>
            <w:r>
              <w:rPr>
                <w:bCs/>
                <w:szCs w:val="21"/>
              </w:rPr>
              <w:t>《建筑施工场界环境噪声排放标准》(GB12523-2011)标准</w:t>
            </w:r>
            <w:r>
              <w:rPr>
                <w:rFonts w:hint="eastAsia"/>
                <w:bCs/>
                <w:szCs w:val="21"/>
              </w:rPr>
              <w:t>要求；</w:t>
            </w:r>
            <w:r>
              <w:t>施工期无生产废水产生；</w:t>
            </w:r>
            <w:r>
              <w:rPr>
                <w:rFonts w:hint="eastAsia"/>
              </w:rPr>
              <w:t>施工人员如厕利用现有旱厕，不外排</w:t>
            </w:r>
            <w:r>
              <w:rPr>
                <w:rFonts w:hint="eastAsia"/>
                <w:bCs/>
              </w:rPr>
              <w:t>；施工期</w:t>
            </w:r>
            <w:r>
              <w:rPr>
                <w:rFonts w:hint="eastAsia"/>
              </w:rPr>
              <w:t>废</w:t>
            </w:r>
            <w:r>
              <w:t>包装材料等收集后外售处理</w:t>
            </w:r>
            <w:r>
              <w:rPr>
                <w:rFonts w:hint="eastAsia"/>
              </w:rPr>
              <w:t>。采取上述措施后，项目施工期对环境影响较小。</w:t>
            </w:r>
          </w:p>
          <w:p w14:paraId="00586C02">
            <w:pPr>
              <w:adjustRightInd w:val="0"/>
              <w:snapToGrid w:val="0"/>
              <w:spacing w:line="400" w:lineRule="exact"/>
              <w:ind w:firstLine="420"/>
              <w:rPr>
                <w:bCs/>
                <w:szCs w:val="21"/>
              </w:rPr>
            </w:pPr>
          </w:p>
        </w:tc>
      </w:tr>
      <w:tr w14:paraId="17AA51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352" w:type="dxa"/>
            <w:tcMar>
              <w:left w:w="28" w:type="dxa"/>
              <w:right w:w="28" w:type="dxa"/>
            </w:tcMar>
            <w:vAlign w:val="center"/>
          </w:tcPr>
          <w:p w14:paraId="457FA157">
            <w:pPr>
              <w:pStyle w:val="40"/>
            </w:pPr>
            <w:r>
              <w:rPr>
                <w:rFonts w:hint="eastAsia"/>
              </w:rPr>
              <w:t>运营</w:t>
            </w:r>
          </w:p>
          <w:p w14:paraId="1AA73CDC">
            <w:pPr>
              <w:pStyle w:val="40"/>
            </w:pPr>
            <w:r>
              <w:rPr>
                <w:rFonts w:hint="eastAsia"/>
              </w:rPr>
              <w:t>期环</w:t>
            </w:r>
          </w:p>
          <w:p w14:paraId="2789B955">
            <w:pPr>
              <w:pStyle w:val="40"/>
            </w:pPr>
            <w:r>
              <w:rPr>
                <w:rFonts w:hint="eastAsia"/>
              </w:rPr>
              <w:t>境影</w:t>
            </w:r>
          </w:p>
          <w:p w14:paraId="49C4082C">
            <w:pPr>
              <w:pStyle w:val="40"/>
            </w:pPr>
            <w:r>
              <w:rPr>
                <w:rFonts w:hint="eastAsia"/>
              </w:rPr>
              <w:t>响和</w:t>
            </w:r>
          </w:p>
          <w:p w14:paraId="22C13134">
            <w:pPr>
              <w:pStyle w:val="40"/>
            </w:pPr>
            <w:r>
              <w:rPr>
                <w:rFonts w:hint="eastAsia"/>
              </w:rPr>
              <w:t>保护</w:t>
            </w:r>
          </w:p>
          <w:p w14:paraId="3B14034D">
            <w:pPr>
              <w:pStyle w:val="40"/>
            </w:pPr>
            <w:r>
              <w:rPr>
                <w:rFonts w:hint="eastAsia"/>
              </w:rPr>
              <w:t>措施</w:t>
            </w:r>
          </w:p>
        </w:tc>
        <w:tc>
          <w:tcPr>
            <w:tcW w:w="8629" w:type="dxa"/>
            <w:vAlign w:val="center"/>
          </w:tcPr>
          <w:p w14:paraId="0A0DD1AC">
            <w:pPr>
              <w:adjustRightInd w:val="0"/>
              <w:snapToGrid w:val="0"/>
              <w:spacing w:beforeLines="50"/>
              <w:ind w:firstLine="422"/>
              <w:rPr>
                <w:b/>
              </w:rPr>
            </w:pPr>
            <w:r>
              <w:rPr>
                <w:b/>
              </w:rPr>
              <w:t>1、废气</w:t>
            </w:r>
          </w:p>
          <w:p w14:paraId="511BC3CB">
            <w:pPr>
              <w:adjustRightInd w:val="0"/>
              <w:snapToGrid w:val="0"/>
              <w:ind w:firstLine="420"/>
            </w:pPr>
            <w:r>
              <w:t>本项目废气污染源主要来自</w:t>
            </w:r>
            <w:r>
              <w:rPr>
                <w:rFonts w:hint="eastAsia"/>
              </w:rPr>
              <w:t>生物质锅炉废气、污水处理站恶臭，</w:t>
            </w:r>
            <w:r>
              <w:t>产生的废气污染物主要为颗粒物</w:t>
            </w:r>
            <w:r>
              <w:rPr>
                <w:rFonts w:hint="eastAsia"/>
              </w:rPr>
              <w:t>、SO</w:t>
            </w:r>
            <w:r>
              <w:rPr>
                <w:rFonts w:hint="eastAsia"/>
                <w:vertAlign w:val="subscript"/>
              </w:rPr>
              <w:t>2</w:t>
            </w:r>
            <w:r>
              <w:rPr>
                <w:rFonts w:hint="eastAsia"/>
              </w:rPr>
              <w:t>、NOx、烟气黑度、氨逃逸、氨、硫化氢、臭气浓度</w:t>
            </w:r>
            <w:r>
              <w:t>。</w:t>
            </w:r>
          </w:p>
          <w:p w14:paraId="6167EA51">
            <w:pPr>
              <w:adjustRightInd w:val="0"/>
              <w:snapToGrid w:val="0"/>
              <w:ind w:firstLine="420"/>
              <w:rPr>
                <w:bCs/>
              </w:rPr>
            </w:pPr>
            <w:r>
              <w:rPr>
                <w:bCs/>
              </w:rPr>
              <w:t>1.1大气污染物排放情况</w:t>
            </w:r>
          </w:p>
          <w:p w14:paraId="1D043CCC">
            <w:pPr>
              <w:adjustRightInd w:val="0"/>
              <w:snapToGrid w:val="0"/>
              <w:ind w:firstLine="420"/>
              <w:rPr>
                <w:bCs/>
              </w:rPr>
            </w:pPr>
            <w:r>
              <w:rPr>
                <w:bCs/>
              </w:rPr>
              <w:t>本项目大气污染物排放情况</w:t>
            </w:r>
            <w:r>
              <w:rPr>
                <w:rFonts w:hint="eastAsia"/>
                <w:bCs/>
              </w:rPr>
              <w:t>、</w:t>
            </w:r>
            <w:r>
              <w:rPr>
                <w:bCs/>
              </w:rPr>
              <w:t>大气排放口基本信息见</w:t>
            </w:r>
            <w:r>
              <w:rPr>
                <w:rFonts w:hint="eastAsia"/>
                <w:bCs/>
              </w:rPr>
              <w:t>下列表</w:t>
            </w:r>
            <w:r>
              <w:rPr>
                <w:bCs/>
              </w:rPr>
              <w:t>。</w:t>
            </w:r>
          </w:p>
          <w:p w14:paraId="0F953490">
            <w:pPr>
              <w:pStyle w:val="75"/>
              <w:numPr>
                <w:ilvl w:val="0"/>
                <w:numId w:val="0"/>
              </w:numPr>
              <w:adjustRightInd w:val="0"/>
              <w:snapToGrid w:val="0"/>
              <w:ind w:firstLine="420"/>
            </w:pPr>
            <w:r>
              <w:rPr>
                <w:rFonts w:hint="eastAsia"/>
              </w:rPr>
              <w:t>表4-1 扩建</w:t>
            </w:r>
            <w:r>
              <w:t>项目大气污染物排放情况表</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31"/>
              <w:gridCol w:w="794"/>
              <w:gridCol w:w="588"/>
              <w:gridCol w:w="567"/>
              <w:gridCol w:w="567"/>
              <w:gridCol w:w="709"/>
              <w:gridCol w:w="1641"/>
              <w:gridCol w:w="675"/>
              <w:gridCol w:w="630"/>
              <w:gridCol w:w="585"/>
              <w:gridCol w:w="660"/>
              <w:gridCol w:w="345"/>
            </w:tblGrid>
            <w:tr w14:paraId="4F49C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4" w:hRule="atLeast"/>
              </w:trPr>
              <w:tc>
                <w:tcPr>
                  <w:tcW w:w="631" w:type="dxa"/>
                  <w:vMerge w:val="restart"/>
                  <w:vAlign w:val="center"/>
                </w:tcPr>
                <w:p w14:paraId="3FC25313">
                  <w:pPr>
                    <w:widowControl/>
                    <w:spacing w:line="240" w:lineRule="auto"/>
                    <w:ind w:firstLine="0" w:firstLineChars="0"/>
                    <w:jc w:val="center"/>
                    <w:rPr>
                      <w:kern w:val="0"/>
                      <w:szCs w:val="21"/>
                    </w:rPr>
                  </w:pPr>
                  <w:r>
                    <w:rPr>
                      <w:rFonts w:hAnsi="宋体"/>
                      <w:kern w:val="0"/>
                      <w:szCs w:val="21"/>
                    </w:rPr>
                    <w:t>编号</w:t>
                  </w:r>
                </w:p>
              </w:tc>
              <w:tc>
                <w:tcPr>
                  <w:tcW w:w="794" w:type="dxa"/>
                  <w:vMerge w:val="restart"/>
                  <w:vAlign w:val="center"/>
                </w:tcPr>
                <w:p w14:paraId="0E63BCDA">
                  <w:pPr>
                    <w:widowControl/>
                    <w:spacing w:line="240" w:lineRule="auto"/>
                    <w:ind w:firstLine="0" w:firstLineChars="0"/>
                    <w:jc w:val="center"/>
                    <w:rPr>
                      <w:kern w:val="0"/>
                      <w:szCs w:val="21"/>
                    </w:rPr>
                  </w:pPr>
                  <w:r>
                    <w:rPr>
                      <w:rFonts w:hAnsi="宋体"/>
                      <w:kern w:val="0"/>
                      <w:szCs w:val="21"/>
                    </w:rPr>
                    <w:t>产污环节</w:t>
                  </w:r>
                </w:p>
              </w:tc>
              <w:tc>
                <w:tcPr>
                  <w:tcW w:w="588" w:type="dxa"/>
                  <w:vMerge w:val="restart"/>
                  <w:vAlign w:val="center"/>
                </w:tcPr>
                <w:p w14:paraId="57026D01">
                  <w:pPr>
                    <w:widowControl/>
                    <w:spacing w:line="240" w:lineRule="auto"/>
                    <w:ind w:firstLine="0" w:firstLineChars="0"/>
                    <w:jc w:val="center"/>
                    <w:rPr>
                      <w:kern w:val="0"/>
                      <w:szCs w:val="21"/>
                    </w:rPr>
                  </w:pPr>
                  <w:r>
                    <w:rPr>
                      <w:rFonts w:hAnsi="宋体"/>
                      <w:kern w:val="0"/>
                      <w:szCs w:val="21"/>
                    </w:rPr>
                    <w:t>污染物</w:t>
                  </w:r>
                </w:p>
              </w:tc>
              <w:tc>
                <w:tcPr>
                  <w:tcW w:w="1843" w:type="dxa"/>
                  <w:gridSpan w:val="3"/>
                  <w:vAlign w:val="center"/>
                </w:tcPr>
                <w:p w14:paraId="1F2245B4">
                  <w:pPr>
                    <w:widowControl/>
                    <w:spacing w:line="240" w:lineRule="auto"/>
                    <w:ind w:firstLine="0" w:firstLineChars="0"/>
                    <w:jc w:val="center"/>
                    <w:rPr>
                      <w:kern w:val="0"/>
                      <w:szCs w:val="21"/>
                    </w:rPr>
                  </w:pPr>
                  <w:r>
                    <w:rPr>
                      <w:rFonts w:hAnsi="宋体"/>
                      <w:kern w:val="0"/>
                      <w:szCs w:val="21"/>
                    </w:rPr>
                    <w:t>产生情况</w:t>
                  </w:r>
                </w:p>
              </w:tc>
              <w:tc>
                <w:tcPr>
                  <w:tcW w:w="2316" w:type="dxa"/>
                  <w:gridSpan w:val="2"/>
                  <w:vAlign w:val="center"/>
                </w:tcPr>
                <w:p w14:paraId="13EC0DDF">
                  <w:pPr>
                    <w:widowControl/>
                    <w:spacing w:line="240" w:lineRule="auto"/>
                    <w:ind w:firstLine="0" w:firstLineChars="0"/>
                    <w:jc w:val="center"/>
                    <w:rPr>
                      <w:kern w:val="0"/>
                      <w:szCs w:val="21"/>
                    </w:rPr>
                  </w:pPr>
                  <w:r>
                    <w:rPr>
                      <w:rFonts w:hAnsi="宋体"/>
                      <w:kern w:val="0"/>
                      <w:szCs w:val="21"/>
                    </w:rPr>
                    <w:t>治理设施</w:t>
                  </w:r>
                </w:p>
              </w:tc>
              <w:tc>
                <w:tcPr>
                  <w:tcW w:w="1875" w:type="dxa"/>
                  <w:gridSpan w:val="3"/>
                  <w:vAlign w:val="center"/>
                </w:tcPr>
                <w:p w14:paraId="2BFCCF73">
                  <w:pPr>
                    <w:widowControl/>
                    <w:spacing w:line="240" w:lineRule="auto"/>
                    <w:ind w:firstLine="0" w:firstLineChars="0"/>
                    <w:jc w:val="center"/>
                    <w:rPr>
                      <w:kern w:val="0"/>
                      <w:szCs w:val="21"/>
                    </w:rPr>
                  </w:pPr>
                  <w:r>
                    <w:rPr>
                      <w:rFonts w:hAnsi="宋体"/>
                      <w:kern w:val="0"/>
                      <w:szCs w:val="21"/>
                    </w:rPr>
                    <w:t>排放情况</w:t>
                  </w:r>
                </w:p>
              </w:tc>
              <w:tc>
                <w:tcPr>
                  <w:tcW w:w="345" w:type="dxa"/>
                  <w:vMerge w:val="restart"/>
                  <w:vAlign w:val="center"/>
                </w:tcPr>
                <w:p w14:paraId="6024D49B">
                  <w:pPr>
                    <w:widowControl/>
                    <w:spacing w:line="240" w:lineRule="auto"/>
                    <w:ind w:firstLine="0" w:firstLineChars="0"/>
                    <w:jc w:val="center"/>
                    <w:rPr>
                      <w:kern w:val="0"/>
                      <w:szCs w:val="21"/>
                    </w:rPr>
                  </w:pPr>
                  <w:r>
                    <w:rPr>
                      <w:rFonts w:hAnsi="宋体"/>
                      <w:kern w:val="0"/>
                      <w:szCs w:val="21"/>
                    </w:rPr>
                    <w:t>排放形式</w:t>
                  </w:r>
                </w:p>
              </w:tc>
            </w:tr>
            <w:tr w14:paraId="2C6DC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6CD55EA4">
                  <w:pPr>
                    <w:widowControl/>
                    <w:spacing w:line="240" w:lineRule="auto"/>
                    <w:ind w:firstLine="0" w:firstLineChars="0"/>
                    <w:jc w:val="center"/>
                    <w:rPr>
                      <w:kern w:val="0"/>
                      <w:szCs w:val="21"/>
                    </w:rPr>
                  </w:pPr>
                </w:p>
              </w:tc>
              <w:tc>
                <w:tcPr>
                  <w:tcW w:w="794" w:type="dxa"/>
                  <w:vMerge w:val="continue"/>
                  <w:vAlign w:val="center"/>
                </w:tcPr>
                <w:p w14:paraId="0CC09551">
                  <w:pPr>
                    <w:widowControl/>
                    <w:spacing w:line="240" w:lineRule="auto"/>
                    <w:ind w:firstLine="0" w:firstLineChars="0"/>
                    <w:jc w:val="center"/>
                    <w:rPr>
                      <w:kern w:val="0"/>
                      <w:szCs w:val="21"/>
                    </w:rPr>
                  </w:pPr>
                </w:p>
              </w:tc>
              <w:tc>
                <w:tcPr>
                  <w:tcW w:w="588" w:type="dxa"/>
                  <w:vMerge w:val="continue"/>
                  <w:vAlign w:val="center"/>
                </w:tcPr>
                <w:p w14:paraId="5AC00215">
                  <w:pPr>
                    <w:widowControl/>
                    <w:spacing w:line="240" w:lineRule="auto"/>
                    <w:ind w:firstLine="0" w:firstLineChars="0"/>
                    <w:jc w:val="center"/>
                    <w:rPr>
                      <w:kern w:val="0"/>
                      <w:szCs w:val="21"/>
                    </w:rPr>
                  </w:pPr>
                </w:p>
              </w:tc>
              <w:tc>
                <w:tcPr>
                  <w:tcW w:w="567" w:type="dxa"/>
                  <w:vAlign w:val="center"/>
                </w:tcPr>
                <w:p w14:paraId="17DD0122">
                  <w:pPr>
                    <w:widowControl/>
                    <w:spacing w:line="240" w:lineRule="auto"/>
                    <w:ind w:firstLine="0" w:firstLineChars="0"/>
                    <w:jc w:val="center"/>
                    <w:rPr>
                      <w:kern w:val="0"/>
                      <w:szCs w:val="21"/>
                    </w:rPr>
                  </w:pPr>
                  <w:r>
                    <w:rPr>
                      <w:rFonts w:hint="eastAsia" w:hAnsi="宋体"/>
                      <w:kern w:val="0"/>
                      <w:szCs w:val="21"/>
                    </w:rPr>
                    <w:t>产生</w:t>
                  </w:r>
                  <w:r>
                    <w:rPr>
                      <w:rFonts w:hAnsi="宋体"/>
                      <w:kern w:val="0"/>
                      <w:szCs w:val="21"/>
                    </w:rPr>
                    <w:t>量</w:t>
                  </w:r>
                  <w:r>
                    <w:rPr>
                      <w:kern w:val="0"/>
                      <w:szCs w:val="21"/>
                    </w:rPr>
                    <w:t>t/a</w:t>
                  </w:r>
                </w:p>
              </w:tc>
              <w:tc>
                <w:tcPr>
                  <w:tcW w:w="567" w:type="dxa"/>
                  <w:vAlign w:val="center"/>
                </w:tcPr>
                <w:p w14:paraId="553352C7">
                  <w:pPr>
                    <w:widowControl/>
                    <w:spacing w:line="240" w:lineRule="auto"/>
                    <w:ind w:firstLine="0" w:firstLineChars="0"/>
                    <w:jc w:val="center"/>
                    <w:rPr>
                      <w:kern w:val="0"/>
                      <w:szCs w:val="21"/>
                    </w:rPr>
                  </w:pPr>
                  <w:r>
                    <w:rPr>
                      <w:rFonts w:hAnsi="宋体"/>
                      <w:kern w:val="0"/>
                      <w:szCs w:val="21"/>
                    </w:rPr>
                    <w:t>速率</w:t>
                  </w:r>
                </w:p>
                <w:p w14:paraId="5D47859D">
                  <w:pPr>
                    <w:widowControl/>
                    <w:spacing w:line="240" w:lineRule="auto"/>
                    <w:ind w:firstLine="0" w:firstLineChars="0"/>
                    <w:jc w:val="center"/>
                    <w:rPr>
                      <w:kern w:val="0"/>
                      <w:szCs w:val="21"/>
                    </w:rPr>
                  </w:pPr>
                  <w:r>
                    <w:rPr>
                      <w:kern w:val="0"/>
                      <w:szCs w:val="21"/>
                    </w:rPr>
                    <w:t>kg/h</w:t>
                  </w:r>
                </w:p>
              </w:tc>
              <w:tc>
                <w:tcPr>
                  <w:tcW w:w="709" w:type="dxa"/>
                  <w:vAlign w:val="center"/>
                </w:tcPr>
                <w:p w14:paraId="6053B33C">
                  <w:pPr>
                    <w:widowControl/>
                    <w:spacing w:line="240" w:lineRule="auto"/>
                    <w:ind w:firstLine="0" w:firstLineChars="0"/>
                    <w:jc w:val="center"/>
                    <w:rPr>
                      <w:kern w:val="0"/>
                      <w:szCs w:val="21"/>
                    </w:rPr>
                  </w:pPr>
                  <w:r>
                    <w:rPr>
                      <w:rFonts w:hAnsi="宋体"/>
                      <w:kern w:val="0"/>
                      <w:szCs w:val="21"/>
                    </w:rPr>
                    <w:t>浓度</w:t>
                  </w:r>
                  <w:r>
                    <w:rPr>
                      <w:kern w:val="0"/>
                      <w:szCs w:val="21"/>
                    </w:rPr>
                    <w:t>mg/m</w:t>
                  </w:r>
                  <w:r>
                    <w:rPr>
                      <w:kern w:val="0"/>
                      <w:szCs w:val="21"/>
                      <w:vertAlign w:val="superscript"/>
                    </w:rPr>
                    <w:t>3</w:t>
                  </w:r>
                </w:p>
              </w:tc>
              <w:tc>
                <w:tcPr>
                  <w:tcW w:w="1641" w:type="dxa"/>
                  <w:vAlign w:val="center"/>
                </w:tcPr>
                <w:p w14:paraId="02896BD1">
                  <w:pPr>
                    <w:widowControl/>
                    <w:spacing w:line="240" w:lineRule="auto"/>
                    <w:ind w:firstLine="0" w:firstLineChars="0"/>
                    <w:jc w:val="center"/>
                    <w:rPr>
                      <w:kern w:val="0"/>
                      <w:szCs w:val="21"/>
                    </w:rPr>
                  </w:pPr>
                  <w:r>
                    <w:rPr>
                      <w:rFonts w:hAnsi="宋体"/>
                      <w:kern w:val="0"/>
                      <w:szCs w:val="21"/>
                    </w:rPr>
                    <w:t>名称、效率等</w:t>
                  </w:r>
                </w:p>
              </w:tc>
              <w:tc>
                <w:tcPr>
                  <w:tcW w:w="675" w:type="dxa"/>
                  <w:vAlign w:val="center"/>
                </w:tcPr>
                <w:p w14:paraId="09579770">
                  <w:pPr>
                    <w:widowControl/>
                    <w:spacing w:line="240" w:lineRule="auto"/>
                    <w:ind w:firstLine="0" w:firstLineChars="0"/>
                    <w:jc w:val="center"/>
                    <w:rPr>
                      <w:kern w:val="0"/>
                      <w:szCs w:val="21"/>
                    </w:rPr>
                  </w:pPr>
                  <w:r>
                    <w:rPr>
                      <w:rFonts w:hAnsi="宋体"/>
                      <w:kern w:val="0"/>
                      <w:szCs w:val="21"/>
                    </w:rPr>
                    <w:t>是否为可行技术</w:t>
                  </w:r>
                </w:p>
              </w:tc>
              <w:tc>
                <w:tcPr>
                  <w:tcW w:w="630" w:type="dxa"/>
                  <w:vAlign w:val="center"/>
                </w:tcPr>
                <w:p w14:paraId="79B30C40">
                  <w:pPr>
                    <w:widowControl/>
                    <w:spacing w:line="240" w:lineRule="auto"/>
                    <w:ind w:firstLine="0" w:firstLineChars="0"/>
                    <w:jc w:val="center"/>
                    <w:rPr>
                      <w:kern w:val="0"/>
                      <w:szCs w:val="21"/>
                    </w:rPr>
                  </w:pPr>
                  <w:r>
                    <w:rPr>
                      <w:rFonts w:hAnsi="宋体"/>
                      <w:kern w:val="0"/>
                      <w:szCs w:val="21"/>
                    </w:rPr>
                    <w:t>排放量</w:t>
                  </w:r>
                  <w:r>
                    <w:rPr>
                      <w:kern w:val="0"/>
                      <w:szCs w:val="21"/>
                    </w:rPr>
                    <w:t>t/a</w:t>
                  </w:r>
                </w:p>
              </w:tc>
              <w:tc>
                <w:tcPr>
                  <w:tcW w:w="585" w:type="dxa"/>
                  <w:vAlign w:val="center"/>
                </w:tcPr>
                <w:p w14:paraId="0EBF43A8">
                  <w:pPr>
                    <w:widowControl/>
                    <w:spacing w:line="240" w:lineRule="auto"/>
                    <w:ind w:firstLine="0" w:firstLineChars="0"/>
                    <w:jc w:val="center"/>
                    <w:rPr>
                      <w:kern w:val="0"/>
                      <w:szCs w:val="21"/>
                    </w:rPr>
                  </w:pPr>
                  <w:r>
                    <w:rPr>
                      <w:rFonts w:hAnsi="宋体"/>
                      <w:kern w:val="0"/>
                      <w:szCs w:val="21"/>
                    </w:rPr>
                    <w:t>速率</w:t>
                  </w:r>
                </w:p>
                <w:p w14:paraId="28D4A3A3">
                  <w:pPr>
                    <w:widowControl/>
                    <w:spacing w:line="240" w:lineRule="auto"/>
                    <w:ind w:firstLine="0" w:firstLineChars="0"/>
                    <w:jc w:val="center"/>
                    <w:rPr>
                      <w:kern w:val="0"/>
                      <w:szCs w:val="21"/>
                    </w:rPr>
                  </w:pPr>
                  <w:r>
                    <w:rPr>
                      <w:kern w:val="0"/>
                      <w:szCs w:val="21"/>
                    </w:rPr>
                    <w:t>kg/h</w:t>
                  </w:r>
                </w:p>
              </w:tc>
              <w:tc>
                <w:tcPr>
                  <w:tcW w:w="660" w:type="dxa"/>
                  <w:vAlign w:val="center"/>
                </w:tcPr>
                <w:p w14:paraId="44C41700">
                  <w:pPr>
                    <w:widowControl/>
                    <w:spacing w:line="240" w:lineRule="auto"/>
                    <w:ind w:firstLine="0" w:firstLineChars="0"/>
                    <w:jc w:val="center"/>
                    <w:rPr>
                      <w:kern w:val="0"/>
                      <w:szCs w:val="21"/>
                    </w:rPr>
                  </w:pPr>
                  <w:r>
                    <w:rPr>
                      <w:rFonts w:hAnsi="宋体"/>
                      <w:kern w:val="0"/>
                      <w:szCs w:val="21"/>
                    </w:rPr>
                    <w:t>浓度</w:t>
                  </w:r>
                  <w:r>
                    <w:rPr>
                      <w:kern w:val="0"/>
                      <w:szCs w:val="21"/>
                    </w:rPr>
                    <w:t>mg/m</w:t>
                  </w:r>
                  <w:r>
                    <w:rPr>
                      <w:kern w:val="0"/>
                      <w:szCs w:val="21"/>
                      <w:vertAlign w:val="superscript"/>
                    </w:rPr>
                    <w:t>3</w:t>
                  </w:r>
                </w:p>
              </w:tc>
              <w:tc>
                <w:tcPr>
                  <w:tcW w:w="345" w:type="dxa"/>
                  <w:vMerge w:val="continue"/>
                  <w:vAlign w:val="center"/>
                </w:tcPr>
                <w:p w14:paraId="4E98AC3F">
                  <w:pPr>
                    <w:widowControl/>
                    <w:spacing w:line="240" w:lineRule="auto"/>
                    <w:ind w:firstLine="0" w:firstLineChars="0"/>
                    <w:jc w:val="center"/>
                    <w:rPr>
                      <w:kern w:val="0"/>
                      <w:szCs w:val="21"/>
                    </w:rPr>
                  </w:pPr>
                </w:p>
              </w:tc>
            </w:tr>
            <w:tr w14:paraId="7EE7A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restart"/>
                  <w:vAlign w:val="center"/>
                </w:tcPr>
                <w:p w14:paraId="0D4586F1">
                  <w:pPr>
                    <w:widowControl/>
                    <w:spacing w:line="240" w:lineRule="auto"/>
                    <w:ind w:firstLine="0" w:firstLineChars="0"/>
                    <w:jc w:val="center"/>
                    <w:rPr>
                      <w:kern w:val="0"/>
                      <w:szCs w:val="21"/>
                    </w:rPr>
                  </w:pPr>
                  <w:r>
                    <w:rPr>
                      <w:kern w:val="0"/>
                      <w:szCs w:val="21"/>
                    </w:rPr>
                    <w:t>DA00</w:t>
                  </w:r>
                  <w:r>
                    <w:rPr>
                      <w:rFonts w:hint="eastAsia"/>
                      <w:kern w:val="0"/>
                      <w:szCs w:val="21"/>
                    </w:rPr>
                    <w:t>1</w:t>
                  </w:r>
                </w:p>
              </w:tc>
              <w:tc>
                <w:tcPr>
                  <w:tcW w:w="794" w:type="dxa"/>
                  <w:vMerge w:val="restart"/>
                  <w:vAlign w:val="center"/>
                </w:tcPr>
                <w:p w14:paraId="78E527F9">
                  <w:pPr>
                    <w:widowControl/>
                    <w:spacing w:line="240" w:lineRule="auto"/>
                    <w:ind w:firstLine="0" w:firstLineChars="0"/>
                    <w:jc w:val="center"/>
                    <w:rPr>
                      <w:kern w:val="0"/>
                      <w:szCs w:val="21"/>
                    </w:rPr>
                  </w:pPr>
                  <w:r>
                    <w:rPr>
                      <w:rFonts w:hint="eastAsia"/>
                      <w:kern w:val="0"/>
                      <w:szCs w:val="21"/>
                    </w:rPr>
                    <w:t>生物质锅炉</w:t>
                  </w:r>
                  <w:r>
                    <w:rPr>
                      <w:rFonts w:hint="eastAsia"/>
                    </w:rPr>
                    <w:t>废气</w:t>
                  </w:r>
                </w:p>
              </w:tc>
              <w:tc>
                <w:tcPr>
                  <w:tcW w:w="588" w:type="dxa"/>
                  <w:vAlign w:val="center"/>
                </w:tcPr>
                <w:p w14:paraId="6A434674">
                  <w:pPr>
                    <w:pStyle w:val="40"/>
                    <w:rPr>
                      <w:szCs w:val="20"/>
                    </w:rPr>
                  </w:pPr>
                  <w:r>
                    <w:t>颗粒物</w:t>
                  </w:r>
                </w:p>
              </w:tc>
              <w:tc>
                <w:tcPr>
                  <w:tcW w:w="567" w:type="dxa"/>
                  <w:vAlign w:val="center"/>
                </w:tcPr>
                <w:p w14:paraId="75C555DC">
                  <w:pPr>
                    <w:pStyle w:val="40"/>
                  </w:pPr>
                  <w:r>
                    <w:rPr>
                      <w:rFonts w:hint="eastAsia"/>
                    </w:rPr>
                    <w:t>18.11</w:t>
                  </w:r>
                </w:p>
              </w:tc>
              <w:tc>
                <w:tcPr>
                  <w:tcW w:w="567" w:type="dxa"/>
                  <w:vAlign w:val="center"/>
                </w:tcPr>
                <w:p w14:paraId="139BD189">
                  <w:pPr>
                    <w:pStyle w:val="40"/>
                  </w:pPr>
                  <w:r>
                    <w:rPr>
                      <w:rFonts w:hint="eastAsia"/>
                    </w:rPr>
                    <w:t>10.78</w:t>
                  </w:r>
                </w:p>
              </w:tc>
              <w:tc>
                <w:tcPr>
                  <w:tcW w:w="709" w:type="dxa"/>
                  <w:vAlign w:val="center"/>
                </w:tcPr>
                <w:p w14:paraId="5FFD2409">
                  <w:pPr>
                    <w:widowControl/>
                    <w:spacing w:line="240" w:lineRule="auto"/>
                    <w:ind w:firstLine="0" w:firstLineChars="0"/>
                    <w:jc w:val="center"/>
                    <w:rPr>
                      <w:kern w:val="0"/>
                      <w:szCs w:val="21"/>
                    </w:rPr>
                  </w:pPr>
                  <w:r>
                    <w:rPr>
                      <w:rFonts w:hint="eastAsia"/>
                      <w:kern w:val="0"/>
                      <w:szCs w:val="21"/>
                    </w:rPr>
                    <w:t>3627.88</w:t>
                  </w:r>
                </w:p>
              </w:tc>
              <w:tc>
                <w:tcPr>
                  <w:tcW w:w="1641" w:type="dxa"/>
                  <w:vMerge w:val="restart"/>
                  <w:vAlign w:val="center"/>
                </w:tcPr>
                <w:p w14:paraId="2BFE4FE4">
                  <w:pPr>
                    <w:widowControl/>
                    <w:spacing w:line="240" w:lineRule="auto"/>
                    <w:ind w:firstLine="0" w:firstLineChars="0"/>
                    <w:jc w:val="center"/>
                  </w:pPr>
                  <w:r>
                    <w:rPr>
                      <w:rFonts w:hint="eastAsia"/>
                    </w:rPr>
                    <w:t>锅炉烟气经1套旋风除尘+布袋除尘器+湿式玻璃钢脱硝（SNCR）处理后经1根35m高排气筒</w:t>
                  </w:r>
                </w:p>
                <w:p w14:paraId="364C6776">
                  <w:pPr>
                    <w:widowControl/>
                    <w:spacing w:line="240" w:lineRule="auto"/>
                    <w:ind w:firstLine="0" w:firstLineChars="0"/>
                    <w:jc w:val="center"/>
                  </w:pPr>
                  <w:r>
                    <w:rPr>
                      <w:rFonts w:hint="eastAsia"/>
                    </w:rPr>
                    <w:t>（DA001）排放；</w:t>
                  </w:r>
                  <w:r>
                    <w:rPr>
                      <w:rFonts w:hint="eastAsia"/>
                      <w:bCs/>
                    </w:rPr>
                    <w:t>除尘</w:t>
                  </w:r>
                  <w:r>
                    <w:rPr>
                      <w:bCs/>
                    </w:rPr>
                    <w:t>效率</w:t>
                  </w:r>
                  <w:r>
                    <w:rPr>
                      <w:rFonts w:hint="eastAsia"/>
                      <w:bCs/>
                    </w:rPr>
                    <w:t>99.5</w:t>
                  </w:r>
                  <w:r>
                    <w:rPr>
                      <w:bCs/>
                    </w:rPr>
                    <w:t>%，</w:t>
                  </w:r>
                  <w:r>
                    <w:rPr>
                      <w:rFonts w:hint="eastAsia"/>
                      <w:bCs/>
                    </w:rPr>
                    <w:t>脱硝</w:t>
                  </w:r>
                  <w:r>
                    <w:rPr>
                      <w:bCs/>
                    </w:rPr>
                    <w:t>效率</w:t>
                  </w:r>
                  <w:r>
                    <w:rPr>
                      <w:rFonts w:hint="eastAsia"/>
                      <w:bCs/>
                    </w:rPr>
                    <w:t>49</w:t>
                  </w:r>
                  <w:r>
                    <w:rPr>
                      <w:bCs/>
                    </w:rPr>
                    <w:t>%</w:t>
                  </w:r>
                </w:p>
              </w:tc>
              <w:tc>
                <w:tcPr>
                  <w:tcW w:w="675" w:type="dxa"/>
                  <w:vAlign w:val="center"/>
                </w:tcPr>
                <w:p w14:paraId="53401D46">
                  <w:pPr>
                    <w:widowControl/>
                    <w:spacing w:line="240" w:lineRule="auto"/>
                    <w:ind w:firstLine="0" w:firstLineChars="0"/>
                    <w:jc w:val="center"/>
                    <w:rPr>
                      <w:kern w:val="0"/>
                      <w:szCs w:val="21"/>
                    </w:rPr>
                  </w:pPr>
                  <w:r>
                    <w:rPr>
                      <w:rFonts w:hAnsi="宋体"/>
                      <w:kern w:val="0"/>
                      <w:szCs w:val="21"/>
                    </w:rPr>
                    <w:t>是</w:t>
                  </w:r>
                </w:p>
              </w:tc>
              <w:tc>
                <w:tcPr>
                  <w:tcW w:w="630" w:type="dxa"/>
                  <w:vAlign w:val="center"/>
                </w:tcPr>
                <w:p w14:paraId="519ED588">
                  <w:pPr>
                    <w:widowControl/>
                    <w:spacing w:line="240" w:lineRule="auto"/>
                    <w:ind w:firstLine="0" w:firstLineChars="0"/>
                    <w:jc w:val="center"/>
                    <w:rPr>
                      <w:kern w:val="0"/>
                      <w:szCs w:val="21"/>
                      <w:highlight w:val="yellow"/>
                    </w:rPr>
                  </w:pPr>
                  <w:r>
                    <w:rPr>
                      <w:bCs/>
                    </w:rPr>
                    <w:t>0.</w:t>
                  </w:r>
                  <w:r>
                    <w:rPr>
                      <w:rFonts w:hint="eastAsia"/>
                      <w:bCs/>
                    </w:rPr>
                    <w:t>09</w:t>
                  </w:r>
                </w:p>
              </w:tc>
              <w:tc>
                <w:tcPr>
                  <w:tcW w:w="585" w:type="dxa"/>
                  <w:vAlign w:val="center"/>
                </w:tcPr>
                <w:p w14:paraId="79C9587B">
                  <w:pPr>
                    <w:widowControl/>
                    <w:spacing w:line="240" w:lineRule="auto"/>
                    <w:ind w:firstLine="0" w:firstLineChars="0"/>
                    <w:jc w:val="center"/>
                    <w:rPr>
                      <w:kern w:val="0"/>
                      <w:szCs w:val="21"/>
                      <w:highlight w:val="yellow"/>
                    </w:rPr>
                  </w:pPr>
                  <w:r>
                    <w:rPr>
                      <w:bCs/>
                    </w:rPr>
                    <w:t>0.</w:t>
                  </w:r>
                  <w:r>
                    <w:rPr>
                      <w:rFonts w:hint="eastAsia"/>
                      <w:bCs/>
                    </w:rPr>
                    <w:t>05</w:t>
                  </w:r>
                </w:p>
              </w:tc>
              <w:tc>
                <w:tcPr>
                  <w:tcW w:w="660" w:type="dxa"/>
                  <w:vAlign w:val="center"/>
                </w:tcPr>
                <w:p w14:paraId="5F10D2DE">
                  <w:pPr>
                    <w:widowControl/>
                    <w:spacing w:line="240" w:lineRule="auto"/>
                    <w:ind w:firstLine="0" w:firstLineChars="0"/>
                    <w:jc w:val="center"/>
                    <w:rPr>
                      <w:kern w:val="0"/>
                      <w:szCs w:val="21"/>
                      <w:highlight w:val="yellow"/>
                    </w:rPr>
                  </w:pPr>
                  <w:r>
                    <w:rPr>
                      <w:rFonts w:hint="eastAsia"/>
                      <w:bCs/>
                    </w:rPr>
                    <w:t>16.83</w:t>
                  </w:r>
                </w:p>
              </w:tc>
              <w:tc>
                <w:tcPr>
                  <w:tcW w:w="345" w:type="dxa"/>
                  <w:vAlign w:val="center"/>
                </w:tcPr>
                <w:p w14:paraId="025F7592">
                  <w:pPr>
                    <w:widowControl/>
                    <w:spacing w:line="240" w:lineRule="auto"/>
                    <w:ind w:firstLine="0" w:firstLineChars="0"/>
                    <w:jc w:val="center"/>
                    <w:rPr>
                      <w:kern w:val="0"/>
                      <w:szCs w:val="21"/>
                    </w:rPr>
                  </w:pPr>
                  <w:r>
                    <w:rPr>
                      <w:rFonts w:hAnsi="宋体"/>
                      <w:kern w:val="0"/>
                      <w:szCs w:val="21"/>
                    </w:rPr>
                    <w:t>有组织</w:t>
                  </w:r>
                </w:p>
              </w:tc>
            </w:tr>
            <w:tr w14:paraId="01891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1" w:hRule="atLeast"/>
              </w:trPr>
              <w:tc>
                <w:tcPr>
                  <w:tcW w:w="631" w:type="dxa"/>
                  <w:vMerge w:val="continue"/>
                  <w:vAlign w:val="center"/>
                </w:tcPr>
                <w:p w14:paraId="6F30588F">
                  <w:pPr>
                    <w:widowControl/>
                    <w:spacing w:line="240" w:lineRule="auto"/>
                    <w:ind w:firstLine="0" w:firstLineChars="0"/>
                    <w:jc w:val="center"/>
                    <w:rPr>
                      <w:kern w:val="0"/>
                      <w:szCs w:val="21"/>
                    </w:rPr>
                  </w:pPr>
                </w:p>
              </w:tc>
              <w:tc>
                <w:tcPr>
                  <w:tcW w:w="794" w:type="dxa"/>
                  <w:vMerge w:val="continue"/>
                  <w:vAlign w:val="center"/>
                </w:tcPr>
                <w:p w14:paraId="54A3EDD5">
                  <w:pPr>
                    <w:widowControl/>
                    <w:spacing w:line="240" w:lineRule="auto"/>
                    <w:ind w:firstLine="0" w:firstLineChars="0"/>
                    <w:jc w:val="center"/>
                    <w:rPr>
                      <w:kern w:val="0"/>
                      <w:szCs w:val="21"/>
                    </w:rPr>
                  </w:pPr>
                </w:p>
              </w:tc>
              <w:tc>
                <w:tcPr>
                  <w:tcW w:w="588" w:type="dxa"/>
                  <w:vAlign w:val="center"/>
                </w:tcPr>
                <w:p w14:paraId="51665277">
                  <w:pPr>
                    <w:pStyle w:val="40"/>
                    <w:rPr>
                      <w:szCs w:val="20"/>
                    </w:rPr>
                  </w:pPr>
                  <w:r>
                    <w:rPr>
                      <w:rFonts w:hint="eastAsia"/>
                    </w:rPr>
                    <w:t>SO</w:t>
                  </w:r>
                  <w:r>
                    <w:rPr>
                      <w:rFonts w:hint="eastAsia"/>
                      <w:vertAlign w:val="subscript"/>
                    </w:rPr>
                    <w:t>2</w:t>
                  </w:r>
                </w:p>
              </w:tc>
              <w:tc>
                <w:tcPr>
                  <w:tcW w:w="567" w:type="dxa"/>
                  <w:vAlign w:val="center"/>
                </w:tcPr>
                <w:p w14:paraId="0381802C">
                  <w:pPr>
                    <w:pStyle w:val="40"/>
                  </w:pPr>
                  <w:r>
                    <w:rPr>
                      <w:rFonts w:hint="eastAsia"/>
                    </w:rPr>
                    <w:t>0.12</w:t>
                  </w:r>
                </w:p>
              </w:tc>
              <w:tc>
                <w:tcPr>
                  <w:tcW w:w="567" w:type="dxa"/>
                  <w:vAlign w:val="center"/>
                </w:tcPr>
                <w:p w14:paraId="3A501B61">
                  <w:pPr>
                    <w:pStyle w:val="40"/>
                  </w:pPr>
                  <w:r>
                    <w:rPr>
                      <w:rFonts w:hint="eastAsia"/>
                    </w:rPr>
                    <w:t>0.07</w:t>
                  </w:r>
                </w:p>
              </w:tc>
              <w:tc>
                <w:tcPr>
                  <w:tcW w:w="709" w:type="dxa"/>
                  <w:vAlign w:val="center"/>
                </w:tcPr>
                <w:p w14:paraId="6B04069A">
                  <w:pPr>
                    <w:widowControl/>
                    <w:spacing w:line="240" w:lineRule="auto"/>
                    <w:ind w:firstLine="0" w:firstLineChars="0"/>
                    <w:jc w:val="center"/>
                    <w:rPr>
                      <w:kern w:val="0"/>
                      <w:szCs w:val="21"/>
                    </w:rPr>
                  </w:pPr>
                  <w:r>
                    <w:rPr>
                      <w:rFonts w:hint="eastAsia"/>
                      <w:kern w:val="0"/>
                      <w:szCs w:val="21"/>
                    </w:rPr>
                    <w:t>24.04</w:t>
                  </w:r>
                </w:p>
              </w:tc>
              <w:tc>
                <w:tcPr>
                  <w:tcW w:w="1641" w:type="dxa"/>
                  <w:vMerge w:val="continue"/>
                  <w:vAlign w:val="center"/>
                </w:tcPr>
                <w:p w14:paraId="5737B874">
                  <w:pPr>
                    <w:widowControl/>
                    <w:spacing w:line="240" w:lineRule="auto"/>
                    <w:ind w:firstLine="0" w:firstLineChars="0"/>
                    <w:jc w:val="center"/>
                  </w:pPr>
                </w:p>
              </w:tc>
              <w:tc>
                <w:tcPr>
                  <w:tcW w:w="675" w:type="dxa"/>
                  <w:vAlign w:val="center"/>
                </w:tcPr>
                <w:p w14:paraId="2CB7C9B7">
                  <w:pPr>
                    <w:widowControl/>
                    <w:spacing w:line="240" w:lineRule="auto"/>
                    <w:ind w:firstLine="0" w:firstLineChars="0"/>
                    <w:jc w:val="center"/>
                    <w:rPr>
                      <w:rFonts w:hAnsi="宋体"/>
                      <w:kern w:val="0"/>
                      <w:szCs w:val="21"/>
                    </w:rPr>
                  </w:pPr>
                  <w:r>
                    <w:rPr>
                      <w:rFonts w:hint="eastAsia" w:hAnsi="宋体"/>
                      <w:kern w:val="0"/>
                      <w:szCs w:val="21"/>
                    </w:rPr>
                    <w:t>/</w:t>
                  </w:r>
                </w:p>
              </w:tc>
              <w:tc>
                <w:tcPr>
                  <w:tcW w:w="630" w:type="dxa"/>
                  <w:vAlign w:val="center"/>
                </w:tcPr>
                <w:p w14:paraId="34B17199">
                  <w:pPr>
                    <w:pStyle w:val="40"/>
                    <w:rPr>
                      <w:bCs/>
                    </w:rPr>
                  </w:pPr>
                  <w:r>
                    <w:rPr>
                      <w:rFonts w:hint="eastAsia"/>
                    </w:rPr>
                    <w:t>0.12</w:t>
                  </w:r>
                </w:p>
              </w:tc>
              <w:tc>
                <w:tcPr>
                  <w:tcW w:w="585" w:type="dxa"/>
                  <w:vAlign w:val="center"/>
                </w:tcPr>
                <w:p w14:paraId="20C01DDE">
                  <w:pPr>
                    <w:pStyle w:val="40"/>
                    <w:rPr>
                      <w:bCs/>
                    </w:rPr>
                  </w:pPr>
                  <w:r>
                    <w:rPr>
                      <w:rFonts w:hint="eastAsia"/>
                    </w:rPr>
                    <w:t>0.07</w:t>
                  </w:r>
                </w:p>
              </w:tc>
              <w:tc>
                <w:tcPr>
                  <w:tcW w:w="660" w:type="dxa"/>
                  <w:vAlign w:val="center"/>
                </w:tcPr>
                <w:p w14:paraId="5482A2C3">
                  <w:pPr>
                    <w:widowControl/>
                    <w:spacing w:line="240" w:lineRule="auto"/>
                    <w:ind w:firstLine="0" w:firstLineChars="0"/>
                    <w:jc w:val="center"/>
                    <w:rPr>
                      <w:bCs/>
                    </w:rPr>
                  </w:pPr>
                  <w:r>
                    <w:rPr>
                      <w:rFonts w:hint="eastAsia"/>
                      <w:kern w:val="0"/>
                      <w:szCs w:val="21"/>
                    </w:rPr>
                    <w:t>24.04</w:t>
                  </w:r>
                </w:p>
              </w:tc>
              <w:tc>
                <w:tcPr>
                  <w:tcW w:w="345" w:type="dxa"/>
                  <w:vAlign w:val="center"/>
                </w:tcPr>
                <w:p w14:paraId="3A8A4196">
                  <w:pPr>
                    <w:widowControl/>
                    <w:spacing w:line="240" w:lineRule="auto"/>
                    <w:ind w:firstLine="0" w:firstLineChars="0"/>
                    <w:jc w:val="center"/>
                    <w:rPr>
                      <w:rFonts w:hAnsi="宋体"/>
                      <w:kern w:val="0"/>
                      <w:szCs w:val="21"/>
                    </w:rPr>
                  </w:pPr>
                  <w:r>
                    <w:rPr>
                      <w:rFonts w:hint="eastAsia" w:hAnsi="宋体"/>
                      <w:kern w:val="0"/>
                      <w:szCs w:val="21"/>
                    </w:rPr>
                    <w:t>有组织</w:t>
                  </w:r>
                </w:p>
              </w:tc>
            </w:tr>
            <w:tr w14:paraId="7829F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63771D3F">
                  <w:pPr>
                    <w:widowControl/>
                    <w:spacing w:line="240" w:lineRule="auto"/>
                    <w:ind w:firstLine="0" w:firstLineChars="0"/>
                    <w:jc w:val="center"/>
                    <w:rPr>
                      <w:kern w:val="0"/>
                      <w:szCs w:val="21"/>
                    </w:rPr>
                  </w:pPr>
                </w:p>
              </w:tc>
              <w:tc>
                <w:tcPr>
                  <w:tcW w:w="794" w:type="dxa"/>
                  <w:vMerge w:val="continue"/>
                </w:tcPr>
                <w:p w14:paraId="314EDAD8">
                  <w:pPr>
                    <w:widowControl/>
                    <w:spacing w:line="240" w:lineRule="auto"/>
                    <w:ind w:firstLine="0" w:firstLineChars="0"/>
                    <w:jc w:val="center"/>
                    <w:rPr>
                      <w:kern w:val="0"/>
                      <w:szCs w:val="21"/>
                    </w:rPr>
                  </w:pPr>
                </w:p>
              </w:tc>
              <w:tc>
                <w:tcPr>
                  <w:tcW w:w="588" w:type="dxa"/>
                  <w:vAlign w:val="center"/>
                </w:tcPr>
                <w:p w14:paraId="679AA549">
                  <w:pPr>
                    <w:pStyle w:val="40"/>
                    <w:rPr>
                      <w:szCs w:val="20"/>
                    </w:rPr>
                  </w:pPr>
                  <w:r>
                    <w:t>NOx</w:t>
                  </w:r>
                </w:p>
              </w:tc>
              <w:tc>
                <w:tcPr>
                  <w:tcW w:w="567" w:type="dxa"/>
                  <w:vAlign w:val="center"/>
                </w:tcPr>
                <w:p w14:paraId="6C57143F">
                  <w:pPr>
                    <w:pStyle w:val="40"/>
                  </w:pPr>
                  <w:r>
                    <w:rPr>
                      <w:rFonts w:hint="eastAsia"/>
                    </w:rPr>
                    <w:t>0.816</w:t>
                  </w:r>
                </w:p>
              </w:tc>
              <w:tc>
                <w:tcPr>
                  <w:tcW w:w="567" w:type="dxa"/>
                  <w:vAlign w:val="center"/>
                </w:tcPr>
                <w:p w14:paraId="65DD6ECA">
                  <w:pPr>
                    <w:pStyle w:val="40"/>
                  </w:pPr>
                  <w:r>
                    <w:rPr>
                      <w:rFonts w:hint="eastAsia"/>
                    </w:rPr>
                    <w:t>0.486</w:t>
                  </w:r>
                </w:p>
              </w:tc>
              <w:tc>
                <w:tcPr>
                  <w:tcW w:w="709" w:type="dxa"/>
                  <w:vAlign w:val="center"/>
                </w:tcPr>
                <w:p w14:paraId="3617579F">
                  <w:pPr>
                    <w:widowControl/>
                    <w:spacing w:line="240" w:lineRule="auto"/>
                    <w:ind w:firstLine="0" w:firstLineChars="0"/>
                    <w:jc w:val="center"/>
                    <w:rPr>
                      <w:kern w:val="0"/>
                      <w:szCs w:val="21"/>
                    </w:rPr>
                  </w:pPr>
                  <w:r>
                    <w:rPr>
                      <w:rFonts w:hint="eastAsia"/>
                      <w:kern w:val="0"/>
                      <w:szCs w:val="21"/>
                    </w:rPr>
                    <w:t>163.46</w:t>
                  </w:r>
                </w:p>
              </w:tc>
              <w:tc>
                <w:tcPr>
                  <w:tcW w:w="1641" w:type="dxa"/>
                  <w:vMerge w:val="continue"/>
                  <w:vAlign w:val="center"/>
                </w:tcPr>
                <w:p w14:paraId="5D86F1AD">
                  <w:pPr>
                    <w:widowControl/>
                    <w:spacing w:line="240" w:lineRule="auto"/>
                    <w:ind w:firstLine="0" w:firstLineChars="0"/>
                    <w:jc w:val="center"/>
                  </w:pPr>
                </w:p>
              </w:tc>
              <w:tc>
                <w:tcPr>
                  <w:tcW w:w="675" w:type="dxa"/>
                  <w:vAlign w:val="center"/>
                </w:tcPr>
                <w:p w14:paraId="052F10C3">
                  <w:pPr>
                    <w:widowControl/>
                    <w:spacing w:line="240" w:lineRule="auto"/>
                    <w:ind w:firstLine="0" w:firstLineChars="0"/>
                    <w:jc w:val="center"/>
                    <w:rPr>
                      <w:rFonts w:hAnsi="宋体"/>
                      <w:kern w:val="0"/>
                      <w:szCs w:val="21"/>
                    </w:rPr>
                  </w:pPr>
                  <w:r>
                    <w:rPr>
                      <w:rFonts w:hAnsi="宋体"/>
                      <w:kern w:val="0"/>
                      <w:szCs w:val="21"/>
                    </w:rPr>
                    <w:t>是</w:t>
                  </w:r>
                </w:p>
              </w:tc>
              <w:tc>
                <w:tcPr>
                  <w:tcW w:w="630" w:type="dxa"/>
                  <w:vAlign w:val="center"/>
                </w:tcPr>
                <w:p w14:paraId="59C4E258">
                  <w:pPr>
                    <w:pStyle w:val="40"/>
                    <w:rPr>
                      <w:highlight w:val="yellow"/>
                    </w:rPr>
                  </w:pPr>
                  <w:r>
                    <w:rPr>
                      <w:rFonts w:hint="eastAsia"/>
                    </w:rPr>
                    <w:t>0.416</w:t>
                  </w:r>
                </w:p>
              </w:tc>
              <w:tc>
                <w:tcPr>
                  <w:tcW w:w="585" w:type="dxa"/>
                  <w:vAlign w:val="center"/>
                </w:tcPr>
                <w:p w14:paraId="50479CD1">
                  <w:pPr>
                    <w:pStyle w:val="40"/>
                    <w:rPr>
                      <w:highlight w:val="yellow"/>
                    </w:rPr>
                  </w:pPr>
                  <w:r>
                    <w:rPr>
                      <w:rFonts w:hint="eastAsia"/>
                    </w:rPr>
                    <w:t>0.248</w:t>
                  </w:r>
                </w:p>
              </w:tc>
              <w:tc>
                <w:tcPr>
                  <w:tcW w:w="660" w:type="dxa"/>
                  <w:vAlign w:val="center"/>
                </w:tcPr>
                <w:p w14:paraId="6CAB01AD">
                  <w:pPr>
                    <w:widowControl/>
                    <w:spacing w:line="240" w:lineRule="auto"/>
                    <w:ind w:firstLine="0" w:firstLineChars="0"/>
                    <w:jc w:val="center"/>
                    <w:rPr>
                      <w:kern w:val="0"/>
                      <w:szCs w:val="21"/>
                      <w:highlight w:val="yellow"/>
                    </w:rPr>
                  </w:pPr>
                  <w:r>
                    <w:rPr>
                      <w:rFonts w:hint="eastAsia"/>
                      <w:kern w:val="0"/>
                      <w:szCs w:val="21"/>
                    </w:rPr>
                    <w:t>83.33</w:t>
                  </w:r>
                </w:p>
              </w:tc>
              <w:tc>
                <w:tcPr>
                  <w:tcW w:w="345" w:type="dxa"/>
                  <w:vAlign w:val="center"/>
                </w:tcPr>
                <w:p w14:paraId="66D10116">
                  <w:pPr>
                    <w:widowControl/>
                    <w:spacing w:line="240" w:lineRule="auto"/>
                    <w:ind w:firstLine="0" w:firstLineChars="0"/>
                    <w:jc w:val="center"/>
                    <w:rPr>
                      <w:rFonts w:hAnsi="宋体"/>
                      <w:kern w:val="0"/>
                      <w:szCs w:val="21"/>
                    </w:rPr>
                  </w:pPr>
                  <w:r>
                    <w:rPr>
                      <w:rFonts w:hAnsi="宋体"/>
                      <w:kern w:val="0"/>
                      <w:szCs w:val="21"/>
                    </w:rPr>
                    <w:t>有组织</w:t>
                  </w:r>
                </w:p>
              </w:tc>
            </w:tr>
            <w:tr w14:paraId="5B883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560E4D09">
                  <w:pPr>
                    <w:widowControl/>
                    <w:spacing w:line="240" w:lineRule="auto"/>
                    <w:ind w:firstLine="0" w:firstLineChars="0"/>
                    <w:jc w:val="center"/>
                    <w:rPr>
                      <w:kern w:val="0"/>
                      <w:szCs w:val="21"/>
                    </w:rPr>
                  </w:pPr>
                </w:p>
              </w:tc>
              <w:tc>
                <w:tcPr>
                  <w:tcW w:w="794" w:type="dxa"/>
                  <w:vMerge w:val="continue"/>
                </w:tcPr>
                <w:p w14:paraId="307F8E36">
                  <w:pPr>
                    <w:widowControl/>
                    <w:spacing w:line="240" w:lineRule="auto"/>
                    <w:ind w:firstLine="0" w:firstLineChars="0"/>
                    <w:jc w:val="center"/>
                    <w:rPr>
                      <w:kern w:val="0"/>
                      <w:szCs w:val="21"/>
                    </w:rPr>
                  </w:pPr>
                </w:p>
              </w:tc>
              <w:tc>
                <w:tcPr>
                  <w:tcW w:w="588" w:type="dxa"/>
                  <w:vAlign w:val="center"/>
                </w:tcPr>
                <w:p w14:paraId="0E6068CB">
                  <w:pPr>
                    <w:pStyle w:val="40"/>
                  </w:pPr>
                  <w:r>
                    <w:rPr>
                      <w:rFonts w:hint="eastAsia"/>
                    </w:rPr>
                    <w:t>烟气黑度</w:t>
                  </w:r>
                </w:p>
              </w:tc>
              <w:tc>
                <w:tcPr>
                  <w:tcW w:w="567" w:type="dxa"/>
                  <w:vAlign w:val="center"/>
                </w:tcPr>
                <w:p w14:paraId="2DFF8FE3">
                  <w:pPr>
                    <w:pStyle w:val="40"/>
                  </w:pPr>
                  <w:r>
                    <w:rPr>
                      <w:rFonts w:hint="eastAsia"/>
                    </w:rPr>
                    <w:t>/</w:t>
                  </w:r>
                </w:p>
              </w:tc>
              <w:tc>
                <w:tcPr>
                  <w:tcW w:w="567" w:type="dxa"/>
                  <w:vAlign w:val="center"/>
                </w:tcPr>
                <w:p w14:paraId="3FF86CB8">
                  <w:pPr>
                    <w:pStyle w:val="40"/>
                  </w:pPr>
                  <w:r>
                    <w:rPr>
                      <w:rFonts w:hint="eastAsia"/>
                    </w:rPr>
                    <w:t>/</w:t>
                  </w:r>
                </w:p>
              </w:tc>
              <w:tc>
                <w:tcPr>
                  <w:tcW w:w="709" w:type="dxa"/>
                  <w:vAlign w:val="center"/>
                </w:tcPr>
                <w:p w14:paraId="33CED261">
                  <w:pPr>
                    <w:widowControl/>
                    <w:spacing w:line="240" w:lineRule="auto"/>
                    <w:ind w:firstLine="0" w:firstLineChars="0"/>
                    <w:jc w:val="center"/>
                    <w:rPr>
                      <w:kern w:val="0"/>
                      <w:szCs w:val="21"/>
                    </w:rPr>
                  </w:pPr>
                  <w:r>
                    <w:rPr>
                      <w:rFonts w:hint="eastAsia"/>
                      <w:kern w:val="0"/>
                      <w:szCs w:val="21"/>
                    </w:rPr>
                    <w:t>/</w:t>
                  </w:r>
                </w:p>
              </w:tc>
              <w:tc>
                <w:tcPr>
                  <w:tcW w:w="1641" w:type="dxa"/>
                  <w:vMerge w:val="continue"/>
                  <w:vAlign w:val="center"/>
                </w:tcPr>
                <w:p w14:paraId="00C08859">
                  <w:pPr>
                    <w:widowControl/>
                    <w:spacing w:line="240" w:lineRule="auto"/>
                    <w:ind w:firstLine="0" w:firstLineChars="0"/>
                    <w:jc w:val="center"/>
                  </w:pPr>
                </w:p>
              </w:tc>
              <w:tc>
                <w:tcPr>
                  <w:tcW w:w="675" w:type="dxa"/>
                  <w:vAlign w:val="center"/>
                </w:tcPr>
                <w:p w14:paraId="23F659B2">
                  <w:pPr>
                    <w:widowControl/>
                    <w:spacing w:line="240" w:lineRule="auto"/>
                    <w:ind w:firstLine="0" w:firstLineChars="0"/>
                    <w:jc w:val="center"/>
                    <w:rPr>
                      <w:rFonts w:hAnsi="宋体"/>
                      <w:kern w:val="0"/>
                      <w:szCs w:val="21"/>
                    </w:rPr>
                  </w:pPr>
                  <w:r>
                    <w:rPr>
                      <w:rFonts w:hint="eastAsia" w:hAnsi="宋体"/>
                      <w:kern w:val="0"/>
                      <w:szCs w:val="21"/>
                    </w:rPr>
                    <w:t>/</w:t>
                  </w:r>
                </w:p>
              </w:tc>
              <w:tc>
                <w:tcPr>
                  <w:tcW w:w="630" w:type="dxa"/>
                  <w:vAlign w:val="center"/>
                </w:tcPr>
                <w:p w14:paraId="29DB48CB">
                  <w:pPr>
                    <w:widowControl/>
                    <w:spacing w:line="240" w:lineRule="auto"/>
                    <w:ind w:firstLine="0" w:firstLineChars="0"/>
                    <w:jc w:val="center"/>
                    <w:rPr>
                      <w:bCs/>
                    </w:rPr>
                  </w:pPr>
                  <w:r>
                    <w:rPr>
                      <w:rFonts w:hint="eastAsia"/>
                      <w:bCs/>
                    </w:rPr>
                    <w:t>/</w:t>
                  </w:r>
                </w:p>
              </w:tc>
              <w:tc>
                <w:tcPr>
                  <w:tcW w:w="585" w:type="dxa"/>
                  <w:vAlign w:val="center"/>
                </w:tcPr>
                <w:p w14:paraId="72D1D20F">
                  <w:pPr>
                    <w:widowControl/>
                    <w:spacing w:line="240" w:lineRule="auto"/>
                    <w:ind w:firstLine="0" w:firstLineChars="0"/>
                    <w:jc w:val="center"/>
                    <w:rPr>
                      <w:bCs/>
                    </w:rPr>
                  </w:pPr>
                  <w:r>
                    <w:rPr>
                      <w:rFonts w:hint="eastAsia"/>
                      <w:bCs/>
                    </w:rPr>
                    <w:t>/</w:t>
                  </w:r>
                </w:p>
              </w:tc>
              <w:tc>
                <w:tcPr>
                  <w:tcW w:w="660" w:type="dxa"/>
                  <w:vAlign w:val="center"/>
                </w:tcPr>
                <w:p w14:paraId="7733F79D">
                  <w:pPr>
                    <w:widowControl/>
                    <w:spacing w:line="240" w:lineRule="auto"/>
                    <w:ind w:firstLine="0" w:firstLineChars="0"/>
                    <w:jc w:val="center"/>
                    <w:rPr>
                      <w:bCs/>
                    </w:rPr>
                  </w:pPr>
                  <w:r>
                    <w:rPr>
                      <w:rFonts w:hint="eastAsia"/>
                      <w:bCs/>
                    </w:rPr>
                    <w:t>/</w:t>
                  </w:r>
                </w:p>
              </w:tc>
              <w:tc>
                <w:tcPr>
                  <w:tcW w:w="345" w:type="dxa"/>
                  <w:vAlign w:val="center"/>
                </w:tcPr>
                <w:p w14:paraId="404D4635">
                  <w:pPr>
                    <w:widowControl/>
                    <w:spacing w:line="240" w:lineRule="auto"/>
                    <w:ind w:firstLine="0" w:firstLineChars="0"/>
                    <w:jc w:val="center"/>
                    <w:rPr>
                      <w:rFonts w:hAnsi="宋体"/>
                      <w:kern w:val="0"/>
                      <w:szCs w:val="21"/>
                    </w:rPr>
                  </w:pPr>
                  <w:r>
                    <w:rPr>
                      <w:rFonts w:hint="eastAsia" w:hAnsi="宋体"/>
                      <w:kern w:val="0"/>
                      <w:szCs w:val="21"/>
                    </w:rPr>
                    <w:t>/</w:t>
                  </w:r>
                </w:p>
              </w:tc>
            </w:tr>
            <w:tr w14:paraId="182C0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474FDAD2">
                  <w:pPr>
                    <w:widowControl/>
                    <w:spacing w:line="240" w:lineRule="auto"/>
                    <w:ind w:firstLine="0" w:firstLineChars="0"/>
                    <w:jc w:val="center"/>
                    <w:rPr>
                      <w:kern w:val="0"/>
                      <w:szCs w:val="21"/>
                    </w:rPr>
                  </w:pPr>
                </w:p>
              </w:tc>
              <w:tc>
                <w:tcPr>
                  <w:tcW w:w="794" w:type="dxa"/>
                  <w:vMerge w:val="continue"/>
                </w:tcPr>
                <w:p w14:paraId="2EF8C631">
                  <w:pPr>
                    <w:widowControl/>
                    <w:spacing w:line="240" w:lineRule="auto"/>
                    <w:ind w:firstLine="0" w:firstLineChars="0"/>
                    <w:jc w:val="center"/>
                    <w:rPr>
                      <w:kern w:val="0"/>
                      <w:szCs w:val="21"/>
                    </w:rPr>
                  </w:pPr>
                </w:p>
              </w:tc>
              <w:tc>
                <w:tcPr>
                  <w:tcW w:w="588" w:type="dxa"/>
                  <w:vAlign w:val="center"/>
                </w:tcPr>
                <w:p w14:paraId="396AA061">
                  <w:pPr>
                    <w:pStyle w:val="40"/>
                  </w:pPr>
                  <w:r>
                    <w:rPr>
                      <w:rFonts w:hint="eastAsia"/>
                    </w:rPr>
                    <w:t>氨逃逸</w:t>
                  </w:r>
                </w:p>
              </w:tc>
              <w:tc>
                <w:tcPr>
                  <w:tcW w:w="567" w:type="dxa"/>
                  <w:vAlign w:val="center"/>
                </w:tcPr>
                <w:p w14:paraId="3DA5EE97">
                  <w:pPr>
                    <w:pStyle w:val="40"/>
                  </w:pPr>
                  <w:r>
                    <w:rPr>
                      <w:rFonts w:hint="eastAsia"/>
                    </w:rPr>
                    <w:t>0.002</w:t>
                  </w:r>
                </w:p>
              </w:tc>
              <w:tc>
                <w:tcPr>
                  <w:tcW w:w="567" w:type="dxa"/>
                  <w:vAlign w:val="center"/>
                </w:tcPr>
                <w:p w14:paraId="544EF307">
                  <w:pPr>
                    <w:pStyle w:val="40"/>
                  </w:pPr>
                  <w:r>
                    <w:rPr>
                      <w:rFonts w:hint="eastAsia"/>
                    </w:rPr>
                    <w:t>0.0012</w:t>
                  </w:r>
                </w:p>
              </w:tc>
              <w:tc>
                <w:tcPr>
                  <w:tcW w:w="709" w:type="dxa"/>
                  <w:vAlign w:val="center"/>
                </w:tcPr>
                <w:p w14:paraId="5FDEF1F2">
                  <w:pPr>
                    <w:widowControl/>
                    <w:spacing w:line="240" w:lineRule="auto"/>
                    <w:ind w:firstLine="0" w:firstLineChars="0"/>
                    <w:jc w:val="center"/>
                    <w:rPr>
                      <w:kern w:val="0"/>
                      <w:szCs w:val="21"/>
                    </w:rPr>
                  </w:pPr>
                  <w:r>
                    <w:rPr>
                      <w:rFonts w:hint="eastAsia"/>
                      <w:kern w:val="0"/>
                      <w:szCs w:val="21"/>
                    </w:rPr>
                    <w:t>0.40</w:t>
                  </w:r>
                </w:p>
              </w:tc>
              <w:tc>
                <w:tcPr>
                  <w:tcW w:w="1641" w:type="dxa"/>
                  <w:vMerge w:val="continue"/>
                  <w:vAlign w:val="center"/>
                </w:tcPr>
                <w:p w14:paraId="3C9A434D">
                  <w:pPr>
                    <w:widowControl/>
                    <w:spacing w:line="240" w:lineRule="auto"/>
                    <w:ind w:firstLine="0" w:firstLineChars="0"/>
                    <w:jc w:val="center"/>
                  </w:pPr>
                </w:p>
              </w:tc>
              <w:tc>
                <w:tcPr>
                  <w:tcW w:w="675" w:type="dxa"/>
                  <w:vAlign w:val="center"/>
                </w:tcPr>
                <w:p w14:paraId="6E55644E">
                  <w:pPr>
                    <w:widowControl/>
                    <w:spacing w:line="240" w:lineRule="auto"/>
                    <w:ind w:firstLine="0" w:firstLineChars="0"/>
                    <w:jc w:val="center"/>
                    <w:rPr>
                      <w:rFonts w:hAnsi="宋体"/>
                      <w:kern w:val="0"/>
                      <w:szCs w:val="21"/>
                    </w:rPr>
                  </w:pPr>
                  <w:r>
                    <w:rPr>
                      <w:rFonts w:hint="eastAsia" w:hAnsi="宋体"/>
                      <w:kern w:val="0"/>
                      <w:szCs w:val="21"/>
                    </w:rPr>
                    <w:t>/</w:t>
                  </w:r>
                </w:p>
              </w:tc>
              <w:tc>
                <w:tcPr>
                  <w:tcW w:w="630" w:type="dxa"/>
                  <w:vAlign w:val="center"/>
                </w:tcPr>
                <w:p w14:paraId="7C4851C1">
                  <w:pPr>
                    <w:widowControl/>
                    <w:spacing w:line="240" w:lineRule="auto"/>
                    <w:ind w:firstLine="0" w:firstLineChars="0"/>
                    <w:jc w:val="center"/>
                    <w:rPr>
                      <w:bCs/>
                    </w:rPr>
                  </w:pPr>
                  <w:r>
                    <w:rPr>
                      <w:rFonts w:hint="eastAsia"/>
                      <w:bCs/>
                    </w:rPr>
                    <w:t>0.002</w:t>
                  </w:r>
                </w:p>
              </w:tc>
              <w:tc>
                <w:tcPr>
                  <w:tcW w:w="585" w:type="dxa"/>
                  <w:vAlign w:val="center"/>
                </w:tcPr>
                <w:p w14:paraId="537C08CA">
                  <w:pPr>
                    <w:widowControl/>
                    <w:spacing w:line="240" w:lineRule="auto"/>
                    <w:ind w:firstLine="0" w:firstLineChars="0"/>
                    <w:jc w:val="center"/>
                    <w:rPr>
                      <w:bCs/>
                    </w:rPr>
                  </w:pPr>
                  <w:r>
                    <w:rPr>
                      <w:rFonts w:hint="eastAsia"/>
                      <w:bCs/>
                    </w:rPr>
                    <w:t>0.0012</w:t>
                  </w:r>
                </w:p>
              </w:tc>
              <w:tc>
                <w:tcPr>
                  <w:tcW w:w="660" w:type="dxa"/>
                  <w:vAlign w:val="center"/>
                </w:tcPr>
                <w:p w14:paraId="018D246C">
                  <w:pPr>
                    <w:widowControl/>
                    <w:spacing w:line="240" w:lineRule="auto"/>
                    <w:ind w:firstLine="0" w:firstLineChars="0"/>
                    <w:jc w:val="center"/>
                    <w:rPr>
                      <w:bCs/>
                    </w:rPr>
                  </w:pPr>
                  <w:r>
                    <w:rPr>
                      <w:rFonts w:hint="eastAsia"/>
                      <w:bCs/>
                    </w:rPr>
                    <w:t>0.40</w:t>
                  </w:r>
                </w:p>
              </w:tc>
              <w:tc>
                <w:tcPr>
                  <w:tcW w:w="345" w:type="dxa"/>
                  <w:vAlign w:val="center"/>
                </w:tcPr>
                <w:p w14:paraId="51530D72">
                  <w:pPr>
                    <w:widowControl/>
                    <w:spacing w:line="240" w:lineRule="auto"/>
                    <w:ind w:firstLine="0" w:firstLineChars="0"/>
                    <w:jc w:val="center"/>
                    <w:rPr>
                      <w:rFonts w:hAnsi="宋体"/>
                      <w:kern w:val="0"/>
                      <w:szCs w:val="21"/>
                    </w:rPr>
                  </w:pPr>
                  <w:r>
                    <w:rPr>
                      <w:rFonts w:hAnsi="宋体"/>
                      <w:kern w:val="0"/>
                      <w:szCs w:val="21"/>
                    </w:rPr>
                    <w:t>有组织</w:t>
                  </w:r>
                </w:p>
              </w:tc>
            </w:tr>
            <w:tr w14:paraId="7A439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restart"/>
                  <w:vAlign w:val="center"/>
                </w:tcPr>
                <w:p w14:paraId="091B792E">
                  <w:pPr>
                    <w:widowControl/>
                    <w:spacing w:line="240" w:lineRule="auto"/>
                    <w:ind w:firstLine="0" w:firstLineChars="0"/>
                    <w:jc w:val="center"/>
                    <w:rPr>
                      <w:kern w:val="0"/>
                      <w:szCs w:val="21"/>
                    </w:rPr>
                  </w:pPr>
                  <w:r>
                    <w:rPr>
                      <w:rFonts w:hint="eastAsia"/>
                      <w:kern w:val="0"/>
                      <w:szCs w:val="21"/>
                    </w:rPr>
                    <w:t>DA003</w:t>
                  </w:r>
                </w:p>
              </w:tc>
              <w:tc>
                <w:tcPr>
                  <w:tcW w:w="794" w:type="dxa"/>
                  <w:vMerge w:val="restart"/>
                  <w:vAlign w:val="center"/>
                </w:tcPr>
                <w:p w14:paraId="515265B4">
                  <w:pPr>
                    <w:widowControl/>
                    <w:spacing w:line="240" w:lineRule="auto"/>
                    <w:ind w:firstLine="0" w:firstLineChars="0"/>
                    <w:jc w:val="center"/>
                    <w:rPr>
                      <w:kern w:val="0"/>
                      <w:szCs w:val="21"/>
                    </w:rPr>
                  </w:pPr>
                  <w:r>
                    <w:rPr>
                      <w:rFonts w:hint="eastAsia"/>
                    </w:rPr>
                    <w:t>污水处理站恶臭气体</w:t>
                  </w:r>
                </w:p>
              </w:tc>
              <w:tc>
                <w:tcPr>
                  <w:tcW w:w="588" w:type="dxa"/>
                  <w:vAlign w:val="center"/>
                </w:tcPr>
                <w:p w14:paraId="2BFA7258">
                  <w:pPr>
                    <w:spacing w:line="240" w:lineRule="auto"/>
                    <w:ind w:firstLine="0" w:firstLineChars="0"/>
                    <w:jc w:val="center"/>
                  </w:pPr>
                  <w:r>
                    <w:rPr>
                      <w:rFonts w:hint="eastAsia"/>
                    </w:rPr>
                    <w:t>氨</w:t>
                  </w:r>
                </w:p>
              </w:tc>
              <w:tc>
                <w:tcPr>
                  <w:tcW w:w="567" w:type="dxa"/>
                  <w:vAlign w:val="center"/>
                </w:tcPr>
                <w:p w14:paraId="1E431F79">
                  <w:pPr>
                    <w:pStyle w:val="40"/>
                  </w:pPr>
                  <w:r>
                    <w:rPr>
                      <w:rFonts w:hint="eastAsia"/>
                    </w:rPr>
                    <w:t>0.01</w:t>
                  </w:r>
                </w:p>
              </w:tc>
              <w:tc>
                <w:tcPr>
                  <w:tcW w:w="567" w:type="dxa"/>
                  <w:vAlign w:val="center"/>
                </w:tcPr>
                <w:p w14:paraId="3DEC5234">
                  <w:pPr>
                    <w:pStyle w:val="40"/>
                  </w:pPr>
                  <w:r>
                    <w:rPr>
                      <w:rFonts w:hint="eastAsia"/>
                    </w:rPr>
                    <w:t>0.006</w:t>
                  </w:r>
                </w:p>
              </w:tc>
              <w:tc>
                <w:tcPr>
                  <w:tcW w:w="709" w:type="dxa"/>
                  <w:vAlign w:val="center"/>
                </w:tcPr>
                <w:p w14:paraId="0100A00A">
                  <w:pPr>
                    <w:widowControl/>
                    <w:spacing w:line="240" w:lineRule="auto"/>
                    <w:ind w:firstLine="0" w:firstLineChars="0"/>
                    <w:jc w:val="center"/>
                    <w:rPr>
                      <w:kern w:val="0"/>
                      <w:szCs w:val="21"/>
                    </w:rPr>
                  </w:pPr>
                  <w:r>
                    <w:rPr>
                      <w:rFonts w:hint="eastAsia"/>
                      <w:kern w:val="0"/>
                      <w:szCs w:val="21"/>
                    </w:rPr>
                    <w:t>3.0</w:t>
                  </w:r>
                </w:p>
              </w:tc>
              <w:tc>
                <w:tcPr>
                  <w:tcW w:w="1641" w:type="dxa"/>
                  <w:vMerge w:val="restart"/>
                  <w:vAlign w:val="center"/>
                </w:tcPr>
                <w:p w14:paraId="19220F09">
                  <w:pPr>
                    <w:widowControl/>
                    <w:spacing w:line="240" w:lineRule="auto"/>
                    <w:ind w:firstLine="0" w:firstLineChars="0"/>
                    <w:jc w:val="center"/>
                    <w:rPr>
                      <w:szCs w:val="21"/>
                    </w:rPr>
                  </w:pPr>
                  <w:r>
                    <w:rPr>
                      <w:rFonts w:hint="eastAsia"/>
                    </w:rPr>
                    <w:t>废气分别经管道收集后，</w:t>
                  </w:r>
                  <w:r>
                    <w:rPr>
                      <w:rFonts w:hint="eastAsia"/>
                      <w:kern w:val="0"/>
                      <w:szCs w:val="21"/>
                    </w:rPr>
                    <w:t>通过引风机进入</w:t>
                  </w:r>
                  <w:r>
                    <w:rPr>
                      <w:rFonts w:hint="eastAsia"/>
                      <w:szCs w:val="21"/>
                    </w:rPr>
                    <w:t>1套活性炭除臭装置处理后经1根15m高排气筒（DA003）排放</w:t>
                  </w:r>
                </w:p>
                <w:p w14:paraId="654150DE">
                  <w:pPr>
                    <w:widowControl/>
                    <w:spacing w:line="240" w:lineRule="auto"/>
                    <w:ind w:firstLine="0" w:firstLineChars="0"/>
                    <w:jc w:val="center"/>
                  </w:pPr>
                  <w:r>
                    <w:rPr>
                      <w:rFonts w:hint="eastAsia"/>
                      <w:szCs w:val="21"/>
                    </w:rPr>
                    <w:t>；</w:t>
                  </w:r>
                  <w:r>
                    <w:rPr>
                      <w:rFonts w:hint="eastAsia"/>
                      <w:kern w:val="0"/>
                      <w:szCs w:val="21"/>
                    </w:rPr>
                    <w:t>恶臭气体收集效率90%，</w:t>
                  </w:r>
                  <w:r>
                    <w:rPr>
                      <w:kern w:val="0"/>
                      <w:szCs w:val="21"/>
                    </w:rPr>
                    <w:t>引风机风量</w:t>
                  </w:r>
                  <w:r>
                    <w:rPr>
                      <w:rFonts w:hint="eastAsia"/>
                      <w:kern w:val="0"/>
                      <w:szCs w:val="21"/>
                    </w:rPr>
                    <w:t>2000</w:t>
                  </w:r>
                  <w:r>
                    <w:rPr>
                      <w:kern w:val="0"/>
                      <w:szCs w:val="21"/>
                    </w:rPr>
                    <w:t>m</w:t>
                  </w:r>
                  <w:r>
                    <w:rPr>
                      <w:kern w:val="0"/>
                      <w:szCs w:val="21"/>
                      <w:vertAlign w:val="superscript"/>
                    </w:rPr>
                    <w:t>3</w:t>
                  </w:r>
                  <w:r>
                    <w:rPr>
                      <w:kern w:val="0"/>
                      <w:szCs w:val="21"/>
                    </w:rPr>
                    <w:t>/h，</w:t>
                  </w:r>
                  <w:r>
                    <w:rPr>
                      <w:rFonts w:hint="eastAsia"/>
                      <w:kern w:val="0"/>
                      <w:szCs w:val="21"/>
                    </w:rPr>
                    <w:t>除臭效率为80%</w:t>
                  </w:r>
                </w:p>
              </w:tc>
              <w:tc>
                <w:tcPr>
                  <w:tcW w:w="675" w:type="dxa"/>
                  <w:vAlign w:val="center"/>
                </w:tcPr>
                <w:p w14:paraId="0240CCD2">
                  <w:pPr>
                    <w:widowControl/>
                    <w:spacing w:line="240" w:lineRule="auto"/>
                    <w:ind w:firstLine="0" w:firstLineChars="0"/>
                    <w:jc w:val="center"/>
                    <w:rPr>
                      <w:rFonts w:hAnsi="宋体"/>
                      <w:kern w:val="0"/>
                      <w:szCs w:val="21"/>
                    </w:rPr>
                  </w:pPr>
                  <w:r>
                    <w:rPr>
                      <w:rFonts w:hint="eastAsia" w:hAnsi="宋体"/>
                      <w:kern w:val="0"/>
                      <w:szCs w:val="21"/>
                    </w:rPr>
                    <w:t>是</w:t>
                  </w:r>
                </w:p>
              </w:tc>
              <w:tc>
                <w:tcPr>
                  <w:tcW w:w="630" w:type="dxa"/>
                  <w:vAlign w:val="center"/>
                </w:tcPr>
                <w:p w14:paraId="057492D5">
                  <w:pPr>
                    <w:widowControl/>
                    <w:spacing w:line="240" w:lineRule="auto"/>
                    <w:ind w:firstLine="0" w:firstLineChars="0"/>
                    <w:jc w:val="center"/>
                    <w:rPr>
                      <w:bCs/>
                    </w:rPr>
                  </w:pPr>
                  <w:r>
                    <w:rPr>
                      <w:rFonts w:hint="eastAsia"/>
                      <w:bCs/>
                    </w:rPr>
                    <w:t>0.0018</w:t>
                  </w:r>
                </w:p>
              </w:tc>
              <w:tc>
                <w:tcPr>
                  <w:tcW w:w="585" w:type="dxa"/>
                  <w:vAlign w:val="center"/>
                </w:tcPr>
                <w:p w14:paraId="143DA61E">
                  <w:pPr>
                    <w:widowControl/>
                    <w:spacing w:line="240" w:lineRule="auto"/>
                    <w:ind w:firstLine="0" w:firstLineChars="0"/>
                    <w:jc w:val="center"/>
                    <w:rPr>
                      <w:bCs/>
                    </w:rPr>
                  </w:pPr>
                  <w:r>
                    <w:rPr>
                      <w:rFonts w:hint="eastAsia"/>
                      <w:bCs/>
                    </w:rPr>
                    <w:t>0.0011</w:t>
                  </w:r>
                </w:p>
              </w:tc>
              <w:tc>
                <w:tcPr>
                  <w:tcW w:w="660" w:type="dxa"/>
                  <w:vAlign w:val="center"/>
                </w:tcPr>
                <w:p w14:paraId="63554D67">
                  <w:pPr>
                    <w:widowControl/>
                    <w:spacing w:line="240" w:lineRule="auto"/>
                    <w:ind w:firstLine="0" w:firstLineChars="0"/>
                    <w:jc w:val="center"/>
                    <w:rPr>
                      <w:bCs/>
                    </w:rPr>
                  </w:pPr>
                  <w:r>
                    <w:rPr>
                      <w:rFonts w:hint="eastAsia"/>
                      <w:bCs/>
                    </w:rPr>
                    <w:t>0.55</w:t>
                  </w:r>
                </w:p>
              </w:tc>
              <w:tc>
                <w:tcPr>
                  <w:tcW w:w="345" w:type="dxa"/>
                  <w:vAlign w:val="center"/>
                </w:tcPr>
                <w:p w14:paraId="6CF05799">
                  <w:pPr>
                    <w:widowControl/>
                    <w:spacing w:line="240" w:lineRule="auto"/>
                    <w:ind w:firstLine="0" w:firstLineChars="0"/>
                    <w:jc w:val="center"/>
                    <w:rPr>
                      <w:rFonts w:hAnsi="宋体"/>
                      <w:kern w:val="0"/>
                      <w:szCs w:val="21"/>
                    </w:rPr>
                  </w:pPr>
                  <w:r>
                    <w:rPr>
                      <w:rFonts w:hAnsi="宋体"/>
                      <w:kern w:val="0"/>
                      <w:szCs w:val="21"/>
                    </w:rPr>
                    <w:t>有组织</w:t>
                  </w:r>
                </w:p>
              </w:tc>
            </w:tr>
            <w:tr w14:paraId="4B208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75991DC0">
                  <w:pPr>
                    <w:widowControl/>
                    <w:spacing w:line="240" w:lineRule="auto"/>
                    <w:ind w:firstLine="0" w:firstLineChars="0"/>
                    <w:jc w:val="center"/>
                    <w:rPr>
                      <w:kern w:val="0"/>
                      <w:szCs w:val="21"/>
                    </w:rPr>
                  </w:pPr>
                </w:p>
              </w:tc>
              <w:tc>
                <w:tcPr>
                  <w:tcW w:w="794" w:type="dxa"/>
                  <w:vMerge w:val="continue"/>
                </w:tcPr>
                <w:p w14:paraId="6F2F06F5">
                  <w:pPr>
                    <w:widowControl/>
                    <w:spacing w:line="240" w:lineRule="auto"/>
                    <w:ind w:firstLine="0" w:firstLineChars="0"/>
                    <w:jc w:val="center"/>
                    <w:rPr>
                      <w:kern w:val="0"/>
                      <w:szCs w:val="21"/>
                    </w:rPr>
                  </w:pPr>
                </w:p>
              </w:tc>
              <w:tc>
                <w:tcPr>
                  <w:tcW w:w="588" w:type="dxa"/>
                  <w:vAlign w:val="center"/>
                </w:tcPr>
                <w:p w14:paraId="3365FB35">
                  <w:pPr>
                    <w:spacing w:line="240" w:lineRule="auto"/>
                    <w:ind w:firstLine="0" w:firstLineChars="0"/>
                    <w:jc w:val="center"/>
                  </w:pPr>
                  <w:r>
                    <w:rPr>
                      <w:rFonts w:hint="eastAsia"/>
                    </w:rPr>
                    <w:t>硫化氢</w:t>
                  </w:r>
                </w:p>
              </w:tc>
              <w:tc>
                <w:tcPr>
                  <w:tcW w:w="567" w:type="dxa"/>
                  <w:vAlign w:val="center"/>
                </w:tcPr>
                <w:p w14:paraId="725E11BA">
                  <w:pPr>
                    <w:pStyle w:val="40"/>
                  </w:pPr>
                  <w:r>
                    <w:rPr>
                      <w:rFonts w:hint="eastAsia"/>
                    </w:rPr>
                    <w:t>0.0004</w:t>
                  </w:r>
                </w:p>
              </w:tc>
              <w:tc>
                <w:tcPr>
                  <w:tcW w:w="567" w:type="dxa"/>
                  <w:vAlign w:val="center"/>
                </w:tcPr>
                <w:p w14:paraId="325D85EE">
                  <w:pPr>
                    <w:pStyle w:val="40"/>
                  </w:pPr>
                  <w:r>
                    <w:rPr>
                      <w:rFonts w:hint="eastAsia"/>
                    </w:rPr>
                    <w:t>0.00023</w:t>
                  </w:r>
                </w:p>
              </w:tc>
              <w:tc>
                <w:tcPr>
                  <w:tcW w:w="709" w:type="dxa"/>
                  <w:vAlign w:val="center"/>
                </w:tcPr>
                <w:p w14:paraId="2C467BCB">
                  <w:pPr>
                    <w:widowControl/>
                    <w:spacing w:line="240" w:lineRule="auto"/>
                    <w:ind w:firstLine="0" w:firstLineChars="0"/>
                    <w:jc w:val="center"/>
                    <w:rPr>
                      <w:kern w:val="0"/>
                      <w:szCs w:val="21"/>
                    </w:rPr>
                  </w:pPr>
                  <w:r>
                    <w:rPr>
                      <w:rFonts w:hint="eastAsia"/>
                      <w:kern w:val="0"/>
                      <w:szCs w:val="21"/>
                    </w:rPr>
                    <w:t>0.12</w:t>
                  </w:r>
                </w:p>
              </w:tc>
              <w:tc>
                <w:tcPr>
                  <w:tcW w:w="1641" w:type="dxa"/>
                  <w:vMerge w:val="continue"/>
                  <w:vAlign w:val="center"/>
                </w:tcPr>
                <w:p w14:paraId="56262B77">
                  <w:pPr>
                    <w:widowControl/>
                    <w:spacing w:line="240" w:lineRule="auto"/>
                    <w:ind w:firstLine="0" w:firstLineChars="0"/>
                    <w:jc w:val="center"/>
                  </w:pPr>
                </w:p>
              </w:tc>
              <w:tc>
                <w:tcPr>
                  <w:tcW w:w="675" w:type="dxa"/>
                  <w:vAlign w:val="center"/>
                </w:tcPr>
                <w:p w14:paraId="6DDC72CE">
                  <w:pPr>
                    <w:widowControl/>
                    <w:spacing w:line="240" w:lineRule="auto"/>
                    <w:ind w:firstLine="0" w:firstLineChars="0"/>
                    <w:jc w:val="center"/>
                    <w:rPr>
                      <w:rFonts w:hAnsi="宋体"/>
                      <w:kern w:val="0"/>
                      <w:szCs w:val="21"/>
                    </w:rPr>
                  </w:pPr>
                  <w:r>
                    <w:rPr>
                      <w:rFonts w:hint="eastAsia" w:hAnsi="宋体"/>
                      <w:kern w:val="0"/>
                      <w:szCs w:val="21"/>
                    </w:rPr>
                    <w:t>是</w:t>
                  </w:r>
                </w:p>
              </w:tc>
              <w:tc>
                <w:tcPr>
                  <w:tcW w:w="630" w:type="dxa"/>
                  <w:vAlign w:val="center"/>
                </w:tcPr>
                <w:p w14:paraId="27860B2C">
                  <w:pPr>
                    <w:widowControl/>
                    <w:spacing w:line="240" w:lineRule="auto"/>
                    <w:ind w:firstLine="0" w:firstLineChars="0"/>
                    <w:jc w:val="center"/>
                    <w:rPr>
                      <w:bCs/>
                    </w:rPr>
                  </w:pPr>
                  <w:r>
                    <w:rPr>
                      <w:rFonts w:hint="eastAsia"/>
                      <w:bCs/>
                    </w:rPr>
                    <w:t>0.000072</w:t>
                  </w:r>
                </w:p>
              </w:tc>
              <w:tc>
                <w:tcPr>
                  <w:tcW w:w="585" w:type="dxa"/>
                  <w:vAlign w:val="center"/>
                </w:tcPr>
                <w:p w14:paraId="0EBB3C8A">
                  <w:pPr>
                    <w:widowControl/>
                    <w:spacing w:line="240" w:lineRule="auto"/>
                    <w:ind w:firstLine="0" w:firstLineChars="0"/>
                    <w:jc w:val="center"/>
                    <w:rPr>
                      <w:bCs/>
                    </w:rPr>
                  </w:pPr>
                  <w:r>
                    <w:rPr>
                      <w:rFonts w:hint="eastAsia"/>
                      <w:bCs/>
                    </w:rPr>
                    <w:t>0.00004</w:t>
                  </w:r>
                </w:p>
              </w:tc>
              <w:tc>
                <w:tcPr>
                  <w:tcW w:w="660" w:type="dxa"/>
                  <w:vAlign w:val="center"/>
                </w:tcPr>
                <w:p w14:paraId="12C3CF51">
                  <w:pPr>
                    <w:widowControl/>
                    <w:spacing w:line="240" w:lineRule="auto"/>
                    <w:ind w:firstLine="0" w:firstLineChars="0"/>
                    <w:jc w:val="center"/>
                    <w:rPr>
                      <w:bCs/>
                    </w:rPr>
                  </w:pPr>
                  <w:r>
                    <w:rPr>
                      <w:rFonts w:hint="eastAsia"/>
                      <w:bCs/>
                    </w:rPr>
                    <w:t>0.02</w:t>
                  </w:r>
                </w:p>
              </w:tc>
              <w:tc>
                <w:tcPr>
                  <w:tcW w:w="345" w:type="dxa"/>
                  <w:vAlign w:val="center"/>
                </w:tcPr>
                <w:p w14:paraId="41D65D73">
                  <w:pPr>
                    <w:widowControl/>
                    <w:spacing w:line="240" w:lineRule="auto"/>
                    <w:ind w:firstLine="0" w:firstLineChars="0"/>
                    <w:jc w:val="center"/>
                    <w:rPr>
                      <w:rFonts w:hAnsi="宋体"/>
                      <w:kern w:val="0"/>
                      <w:szCs w:val="21"/>
                    </w:rPr>
                  </w:pPr>
                  <w:r>
                    <w:rPr>
                      <w:rFonts w:hAnsi="宋体"/>
                      <w:kern w:val="0"/>
                      <w:szCs w:val="21"/>
                    </w:rPr>
                    <w:t>有组织</w:t>
                  </w:r>
                </w:p>
              </w:tc>
            </w:tr>
            <w:tr w14:paraId="59C26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522DC81A">
                  <w:pPr>
                    <w:widowControl/>
                    <w:spacing w:line="240" w:lineRule="auto"/>
                    <w:ind w:firstLine="0" w:firstLineChars="0"/>
                    <w:jc w:val="center"/>
                    <w:rPr>
                      <w:kern w:val="0"/>
                      <w:szCs w:val="21"/>
                    </w:rPr>
                  </w:pPr>
                </w:p>
              </w:tc>
              <w:tc>
                <w:tcPr>
                  <w:tcW w:w="794" w:type="dxa"/>
                  <w:vMerge w:val="continue"/>
                </w:tcPr>
                <w:p w14:paraId="39392F8A">
                  <w:pPr>
                    <w:widowControl/>
                    <w:spacing w:line="240" w:lineRule="auto"/>
                    <w:ind w:firstLine="0" w:firstLineChars="0"/>
                    <w:jc w:val="center"/>
                    <w:rPr>
                      <w:kern w:val="0"/>
                      <w:szCs w:val="21"/>
                    </w:rPr>
                  </w:pPr>
                </w:p>
              </w:tc>
              <w:tc>
                <w:tcPr>
                  <w:tcW w:w="588" w:type="dxa"/>
                  <w:vAlign w:val="center"/>
                </w:tcPr>
                <w:p w14:paraId="01538E53">
                  <w:pPr>
                    <w:spacing w:line="240" w:lineRule="auto"/>
                    <w:ind w:firstLine="0" w:firstLineChars="0"/>
                    <w:jc w:val="center"/>
                  </w:pPr>
                  <w:r>
                    <w:rPr>
                      <w:rFonts w:hint="eastAsia"/>
                    </w:rPr>
                    <w:t>臭气浓度</w:t>
                  </w:r>
                </w:p>
              </w:tc>
              <w:tc>
                <w:tcPr>
                  <w:tcW w:w="567" w:type="dxa"/>
                  <w:vAlign w:val="center"/>
                </w:tcPr>
                <w:p w14:paraId="68314488">
                  <w:pPr>
                    <w:pStyle w:val="40"/>
                  </w:pPr>
                  <w:r>
                    <w:rPr>
                      <w:rFonts w:hint="eastAsia"/>
                    </w:rPr>
                    <w:t>/</w:t>
                  </w:r>
                </w:p>
              </w:tc>
              <w:tc>
                <w:tcPr>
                  <w:tcW w:w="567" w:type="dxa"/>
                  <w:vAlign w:val="center"/>
                </w:tcPr>
                <w:p w14:paraId="02797E17">
                  <w:pPr>
                    <w:pStyle w:val="40"/>
                  </w:pPr>
                  <w:r>
                    <w:rPr>
                      <w:rFonts w:hint="eastAsia"/>
                    </w:rPr>
                    <w:t>/</w:t>
                  </w:r>
                </w:p>
              </w:tc>
              <w:tc>
                <w:tcPr>
                  <w:tcW w:w="709" w:type="dxa"/>
                  <w:vAlign w:val="center"/>
                </w:tcPr>
                <w:p w14:paraId="372C5AFD">
                  <w:pPr>
                    <w:widowControl/>
                    <w:spacing w:line="240" w:lineRule="auto"/>
                    <w:ind w:firstLine="0" w:firstLineChars="0"/>
                    <w:jc w:val="center"/>
                    <w:rPr>
                      <w:kern w:val="0"/>
                      <w:szCs w:val="21"/>
                    </w:rPr>
                  </w:pPr>
                  <w:r>
                    <w:rPr>
                      <w:rFonts w:hint="eastAsia"/>
                      <w:kern w:val="0"/>
                      <w:szCs w:val="21"/>
                    </w:rPr>
                    <w:t>/</w:t>
                  </w:r>
                </w:p>
              </w:tc>
              <w:tc>
                <w:tcPr>
                  <w:tcW w:w="1641" w:type="dxa"/>
                  <w:vMerge w:val="continue"/>
                  <w:vAlign w:val="center"/>
                </w:tcPr>
                <w:p w14:paraId="2B870A69">
                  <w:pPr>
                    <w:widowControl/>
                    <w:spacing w:line="240" w:lineRule="auto"/>
                    <w:ind w:firstLine="0" w:firstLineChars="0"/>
                    <w:jc w:val="center"/>
                  </w:pPr>
                </w:p>
              </w:tc>
              <w:tc>
                <w:tcPr>
                  <w:tcW w:w="675" w:type="dxa"/>
                  <w:vAlign w:val="center"/>
                </w:tcPr>
                <w:p w14:paraId="39457D1B">
                  <w:pPr>
                    <w:widowControl/>
                    <w:spacing w:line="240" w:lineRule="auto"/>
                    <w:ind w:firstLine="0" w:firstLineChars="0"/>
                    <w:jc w:val="center"/>
                    <w:rPr>
                      <w:rFonts w:hAnsi="宋体"/>
                      <w:kern w:val="0"/>
                      <w:szCs w:val="21"/>
                    </w:rPr>
                  </w:pPr>
                  <w:r>
                    <w:rPr>
                      <w:rFonts w:hint="eastAsia" w:hAnsi="宋体"/>
                      <w:kern w:val="0"/>
                      <w:szCs w:val="21"/>
                    </w:rPr>
                    <w:t>是</w:t>
                  </w:r>
                </w:p>
              </w:tc>
              <w:tc>
                <w:tcPr>
                  <w:tcW w:w="630" w:type="dxa"/>
                  <w:vAlign w:val="center"/>
                </w:tcPr>
                <w:p w14:paraId="2D23C928">
                  <w:pPr>
                    <w:widowControl/>
                    <w:spacing w:line="240" w:lineRule="auto"/>
                    <w:ind w:firstLine="0" w:firstLineChars="0"/>
                    <w:jc w:val="center"/>
                    <w:rPr>
                      <w:bCs/>
                    </w:rPr>
                  </w:pPr>
                  <w:r>
                    <w:rPr>
                      <w:rFonts w:hint="eastAsia"/>
                      <w:bCs/>
                    </w:rPr>
                    <w:t>/</w:t>
                  </w:r>
                </w:p>
              </w:tc>
              <w:tc>
                <w:tcPr>
                  <w:tcW w:w="585" w:type="dxa"/>
                  <w:vAlign w:val="center"/>
                </w:tcPr>
                <w:p w14:paraId="0222A2D3">
                  <w:pPr>
                    <w:widowControl/>
                    <w:spacing w:line="240" w:lineRule="auto"/>
                    <w:ind w:firstLine="0" w:firstLineChars="0"/>
                    <w:jc w:val="center"/>
                    <w:rPr>
                      <w:bCs/>
                    </w:rPr>
                  </w:pPr>
                  <w:r>
                    <w:rPr>
                      <w:rFonts w:hint="eastAsia"/>
                      <w:bCs/>
                    </w:rPr>
                    <w:t>/</w:t>
                  </w:r>
                </w:p>
              </w:tc>
              <w:tc>
                <w:tcPr>
                  <w:tcW w:w="660" w:type="dxa"/>
                  <w:vAlign w:val="center"/>
                </w:tcPr>
                <w:p w14:paraId="762CFC2F">
                  <w:pPr>
                    <w:widowControl/>
                    <w:spacing w:line="240" w:lineRule="auto"/>
                    <w:ind w:firstLine="0" w:firstLineChars="0"/>
                    <w:jc w:val="center"/>
                    <w:rPr>
                      <w:bCs/>
                    </w:rPr>
                  </w:pPr>
                  <w:r>
                    <w:rPr>
                      <w:rFonts w:hint="eastAsia"/>
                      <w:bCs/>
                    </w:rPr>
                    <w:t>/</w:t>
                  </w:r>
                </w:p>
              </w:tc>
              <w:tc>
                <w:tcPr>
                  <w:tcW w:w="345" w:type="dxa"/>
                  <w:vAlign w:val="center"/>
                </w:tcPr>
                <w:p w14:paraId="4AE004E9">
                  <w:pPr>
                    <w:widowControl/>
                    <w:spacing w:line="240" w:lineRule="auto"/>
                    <w:ind w:firstLine="0" w:firstLineChars="0"/>
                    <w:jc w:val="center"/>
                    <w:rPr>
                      <w:rFonts w:hAnsi="宋体"/>
                      <w:kern w:val="0"/>
                      <w:szCs w:val="21"/>
                    </w:rPr>
                  </w:pPr>
                  <w:r>
                    <w:rPr>
                      <w:rFonts w:hAnsi="宋体"/>
                      <w:kern w:val="0"/>
                      <w:szCs w:val="21"/>
                    </w:rPr>
                    <w:t>有组织</w:t>
                  </w:r>
                </w:p>
              </w:tc>
            </w:tr>
            <w:tr w14:paraId="4FCF2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Align w:val="center"/>
                </w:tcPr>
                <w:p w14:paraId="657A0E5A">
                  <w:pPr>
                    <w:widowControl/>
                    <w:spacing w:line="240" w:lineRule="auto"/>
                    <w:ind w:firstLine="0" w:firstLineChars="0"/>
                    <w:jc w:val="center"/>
                    <w:rPr>
                      <w:rFonts w:hAnsi="宋体"/>
                      <w:kern w:val="0"/>
                      <w:szCs w:val="21"/>
                    </w:rPr>
                  </w:pPr>
                  <w:r>
                    <w:rPr>
                      <w:rFonts w:hint="eastAsia" w:hAnsi="宋体"/>
                      <w:kern w:val="0"/>
                      <w:szCs w:val="21"/>
                    </w:rPr>
                    <w:t>/</w:t>
                  </w:r>
                </w:p>
              </w:tc>
              <w:tc>
                <w:tcPr>
                  <w:tcW w:w="794" w:type="dxa"/>
                  <w:vAlign w:val="center"/>
                </w:tcPr>
                <w:p w14:paraId="74742DA2">
                  <w:pPr>
                    <w:widowControl/>
                    <w:spacing w:line="240" w:lineRule="auto"/>
                    <w:ind w:firstLine="0" w:firstLineChars="0"/>
                    <w:jc w:val="center"/>
                    <w:rPr>
                      <w:rFonts w:hAnsi="宋体"/>
                      <w:kern w:val="0"/>
                      <w:szCs w:val="21"/>
                    </w:rPr>
                  </w:pPr>
                  <w:r>
                    <w:rPr>
                      <w:rFonts w:hint="eastAsia" w:hAnsi="宋体"/>
                      <w:kern w:val="0"/>
                      <w:szCs w:val="21"/>
                    </w:rPr>
                    <w:t>生物质燃料堆场</w:t>
                  </w:r>
                </w:p>
              </w:tc>
              <w:tc>
                <w:tcPr>
                  <w:tcW w:w="588" w:type="dxa"/>
                  <w:vAlign w:val="center"/>
                </w:tcPr>
                <w:p w14:paraId="731699DB">
                  <w:pPr>
                    <w:pStyle w:val="40"/>
                  </w:pPr>
                  <w:r>
                    <w:rPr>
                      <w:rFonts w:hint="eastAsia"/>
                    </w:rPr>
                    <w:t>颗粒物</w:t>
                  </w:r>
                </w:p>
              </w:tc>
              <w:tc>
                <w:tcPr>
                  <w:tcW w:w="567" w:type="dxa"/>
                  <w:vAlign w:val="center"/>
                </w:tcPr>
                <w:p w14:paraId="558420A6">
                  <w:pPr>
                    <w:pStyle w:val="40"/>
                  </w:pPr>
                  <w:r>
                    <w:rPr>
                      <w:rFonts w:hint="eastAsia"/>
                    </w:rPr>
                    <w:t>/</w:t>
                  </w:r>
                </w:p>
              </w:tc>
              <w:tc>
                <w:tcPr>
                  <w:tcW w:w="567" w:type="dxa"/>
                  <w:vAlign w:val="center"/>
                </w:tcPr>
                <w:p w14:paraId="1784B16F">
                  <w:pPr>
                    <w:pStyle w:val="40"/>
                  </w:pPr>
                  <w:r>
                    <w:rPr>
                      <w:rFonts w:hint="eastAsia"/>
                    </w:rPr>
                    <w:t>/</w:t>
                  </w:r>
                </w:p>
              </w:tc>
              <w:tc>
                <w:tcPr>
                  <w:tcW w:w="709" w:type="dxa"/>
                  <w:vAlign w:val="center"/>
                </w:tcPr>
                <w:p w14:paraId="0E08A027">
                  <w:pPr>
                    <w:widowControl/>
                    <w:spacing w:line="240" w:lineRule="auto"/>
                    <w:ind w:firstLine="0" w:firstLineChars="0"/>
                    <w:jc w:val="center"/>
                    <w:rPr>
                      <w:kern w:val="0"/>
                      <w:szCs w:val="21"/>
                    </w:rPr>
                  </w:pPr>
                  <w:r>
                    <w:rPr>
                      <w:rFonts w:hint="eastAsia"/>
                      <w:kern w:val="0"/>
                      <w:szCs w:val="21"/>
                    </w:rPr>
                    <w:t>/</w:t>
                  </w:r>
                </w:p>
              </w:tc>
              <w:tc>
                <w:tcPr>
                  <w:tcW w:w="1641" w:type="dxa"/>
                  <w:vAlign w:val="center"/>
                </w:tcPr>
                <w:p w14:paraId="22D71465">
                  <w:pPr>
                    <w:widowControl/>
                    <w:spacing w:line="240" w:lineRule="auto"/>
                    <w:ind w:firstLine="0" w:firstLineChars="0"/>
                    <w:jc w:val="center"/>
                    <w:rPr>
                      <w:rFonts w:hAnsi="宋体"/>
                      <w:kern w:val="0"/>
                      <w:szCs w:val="21"/>
                    </w:rPr>
                  </w:pPr>
                  <w:r>
                    <w:rPr>
                      <w:rFonts w:hint="eastAsia"/>
                    </w:rPr>
                    <w:t>厂房</w:t>
                  </w:r>
                  <w:bookmarkStart w:id="94" w:name="OLE_LINK544"/>
                  <w:bookmarkStart w:id="95" w:name="OLE_LINK545"/>
                  <w:r>
                    <w:rPr>
                      <w:rFonts w:hint="eastAsia"/>
                    </w:rPr>
                    <w:t>密闭</w:t>
                  </w:r>
                  <w:bookmarkEnd w:id="94"/>
                  <w:bookmarkEnd w:id="95"/>
                </w:p>
              </w:tc>
              <w:tc>
                <w:tcPr>
                  <w:tcW w:w="675" w:type="dxa"/>
                  <w:vAlign w:val="center"/>
                </w:tcPr>
                <w:p w14:paraId="1A5009B8">
                  <w:pPr>
                    <w:widowControl/>
                    <w:spacing w:line="240" w:lineRule="auto"/>
                    <w:ind w:firstLine="0" w:firstLineChars="0"/>
                    <w:jc w:val="center"/>
                    <w:rPr>
                      <w:rFonts w:hAnsi="宋体"/>
                      <w:kern w:val="0"/>
                      <w:szCs w:val="21"/>
                    </w:rPr>
                  </w:pPr>
                  <w:r>
                    <w:rPr>
                      <w:rFonts w:hint="eastAsia" w:hAnsi="宋体"/>
                      <w:kern w:val="0"/>
                      <w:szCs w:val="21"/>
                    </w:rPr>
                    <w:t>/</w:t>
                  </w:r>
                </w:p>
              </w:tc>
              <w:tc>
                <w:tcPr>
                  <w:tcW w:w="630" w:type="dxa"/>
                  <w:vAlign w:val="center"/>
                </w:tcPr>
                <w:p w14:paraId="1CAEF086">
                  <w:pPr>
                    <w:widowControl/>
                    <w:spacing w:line="240" w:lineRule="auto"/>
                    <w:ind w:firstLine="0" w:firstLineChars="0"/>
                    <w:jc w:val="center"/>
                    <w:rPr>
                      <w:kern w:val="0"/>
                      <w:szCs w:val="21"/>
                    </w:rPr>
                  </w:pPr>
                  <w:r>
                    <w:rPr>
                      <w:rFonts w:hint="eastAsia"/>
                      <w:bCs/>
                    </w:rPr>
                    <w:t>/</w:t>
                  </w:r>
                </w:p>
              </w:tc>
              <w:tc>
                <w:tcPr>
                  <w:tcW w:w="585" w:type="dxa"/>
                  <w:vAlign w:val="center"/>
                </w:tcPr>
                <w:p w14:paraId="4193089A">
                  <w:pPr>
                    <w:widowControl/>
                    <w:spacing w:line="240" w:lineRule="auto"/>
                    <w:ind w:firstLine="0" w:firstLineChars="0"/>
                    <w:jc w:val="center"/>
                    <w:rPr>
                      <w:kern w:val="0"/>
                      <w:szCs w:val="21"/>
                    </w:rPr>
                  </w:pPr>
                  <w:r>
                    <w:rPr>
                      <w:rFonts w:hint="eastAsia"/>
                      <w:kern w:val="0"/>
                      <w:szCs w:val="21"/>
                    </w:rPr>
                    <w:t>/</w:t>
                  </w:r>
                </w:p>
              </w:tc>
              <w:tc>
                <w:tcPr>
                  <w:tcW w:w="660" w:type="dxa"/>
                  <w:vAlign w:val="center"/>
                </w:tcPr>
                <w:p w14:paraId="096E6FDD">
                  <w:pPr>
                    <w:widowControl/>
                    <w:spacing w:line="240" w:lineRule="auto"/>
                    <w:ind w:firstLine="0" w:firstLineChars="0"/>
                    <w:jc w:val="center"/>
                    <w:rPr>
                      <w:kern w:val="0"/>
                      <w:szCs w:val="21"/>
                    </w:rPr>
                  </w:pPr>
                  <w:r>
                    <w:rPr>
                      <w:rFonts w:hint="eastAsia"/>
                      <w:kern w:val="0"/>
                      <w:szCs w:val="21"/>
                    </w:rPr>
                    <w:t>/</w:t>
                  </w:r>
                </w:p>
              </w:tc>
              <w:tc>
                <w:tcPr>
                  <w:tcW w:w="345" w:type="dxa"/>
                  <w:vAlign w:val="center"/>
                </w:tcPr>
                <w:p w14:paraId="7C3D2A9B">
                  <w:pPr>
                    <w:widowControl/>
                    <w:spacing w:line="240" w:lineRule="auto"/>
                    <w:ind w:firstLine="0" w:firstLineChars="0"/>
                    <w:jc w:val="center"/>
                    <w:rPr>
                      <w:rFonts w:hAnsi="宋体"/>
                      <w:kern w:val="0"/>
                      <w:szCs w:val="21"/>
                    </w:rPr>
                  </w:pPr>
                  <w:r>
                    <w:rPr>
                      <w:rFonts w:hAnsi="宋体"/>
                      <w:kern w:val="0"/>
                      <w:szCs w:val="21"/>
                    </w:rPr>
                    <w:t>无组织</w:t>
                  </w:r>
                </w:p>
              </w:tc>
            </w:tr>
            <w:tr w14:paraId="04CA1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0" w:hRule="atLeast"/>
              </w:trPr>
              <w:tc>
                <w:tcPr>
                  <w:tcW w:w="631" w:type="dxa"/>
                  <w:vMerge w:val="restart"/>
                  <w:vAlign w:val="center"/>
                </w:tcPr>
                <w:p w14:paraId="2195A21D">
                  <w:pPr>
                    <w:widowControl/>
                    <w:spacing w:line="240" w:lineRule="auto"/>
                    <w:ind w:firstLine="0" w:firstLineChars="0"/>
                    <w:jc w:val="center"/>
                    <w:rPr>
                      <w:rFonts w:hAnsi="宋体"/>
                      <w:kern w:val="0"/>
                      <w:szCs w:val="21"/>
                    </w:rPr>
                  </w:pPr>
                  <w:r>
                    <w:rPr>
                      <w:rFonts w:hint="eastAsia" w:hAnsi="宋体"/>
                      <w:kern w:val="0"/>
                      <w:szCs w:val="21"/>
                    </w:rPr>
                    <w:t>/</w:t>
                  </w:r>
                </w:p>
              </w:tc>
              <w:tc>
                <w:tcPr>
                  <w:tcW w:w="794" w:type="dxa"/>
                  <w:vMerge w:val="restart"/>
                  <w:vAlign w:val="center"/>
                </w:tcPr>
                <w:p w14:paraId="2A76DD29">
                  <w:pPr>
                    <w:widowControl/>
                    <w:spacing w:line="240" w:lineRule="auto"/>
                    <w:ind w:firstLine="0" w:firstLineChars="0"/>
                    <w:jc w:val="center"/>
                    <w:rPr>
                      <w:rFonts w:hAnsi="宋体"/>
                      <w:kern w:val="0"/>
                      <w:szCs w:val="21"/>
                    </w:rPr>
                  </w:pPr>
                  <w:r>
                    <w:rPr>
                      <w:rFonts w:hint="eastAsia"/>
                    </w:rPr>
                    <w:t>未收集的污水处理站恶臭气体</w:t>
                  </w:r>
                </w:p>
              </w:tc>
              <w:tc>
                <w:tcPr>
                  <w:tcW w:w="588" w:type="dxa"/>
                  <w:vAlign w:val="center"/>
                </w:tcPr>
                <w:p w14:paraId="49217BF1">
                  <w:pPr>
                    <w:spacing w:line="240" w:lineRule="auto"/>
                    <w:ind w:firstLine="0" w:firstLineChars="0"/>
                    <w:jc w:val="center"/>
                  </w:pPr>
                  <w:r>
                    <w:rPr>
                      <w:rFonts w:hint="eastAsia"/>
                    </w:rPr>
                    <w:t>氨</w:t>
                  </w:r>
                </w:p>
              </w:tc>
              <w:tc>
                <w:tcPr>
                  <w:tcW w:w="567" w:type="dxa"/>
                  <w:vAlign w:val="center"/>
                </w:tcPr>
                <w:p w14:paraId="77A310B3">
                  <w:pPr>
                    <w:pStyle w:val="40"/>
                  </w:pPr>
                  <w:r>
                    <w:rPr>
                      <w:rFonts w:hint="eastAsia"/>
                    </w:rPr>
                    <w:t>0.001</w:t>
                  </w:r>
                </w:p>
              </w:tc>
              <w:tc>
                <w:tcPr>
                  <w:tcW w:w="567" w:type="dxa"/>
                  <w:vAlign w:val="center"/>
                </w:tcPr>
                <w:p w14:paraId="661471E3">
                  <w:pPr>
                    <w:pStyle w:val="40"/>
                  </w:pPr>
                  <w:r>
                    <w:t>0.0</w:t>
                  </w:r>
                  <w:r>
                    <w:rPr>
                      <w:rFonts w:hint="eastAsia"/>
                    </w:rPr>
                    <w:t>0</w:t>
                  </w:r>
                  <w:r>
                    <w:t>06</w:t>
                  </w:r>
                </w:p>
              </w:tc>
              <w:tc>
                <w:tcPr>
                  <w:tcW w:w="709" w:type="dxa"/>
                  <w:vAlign w:val="center"/>
                </w:tcPr>
                <w:p w14:paraId="43D5E330">
                  <w:pPr>
                    <w:pStyle w:val="40"/>
                  </w:pPr>
                  <w:r>
                    <w:rPr>
                      <w:rFonts w:hint="eastAsia"/>
                    </w:rPr>
                    <w:t>0.</w:t>
                  </w:r>
                  <w:r>
                    <w:t>3</w:t>
                  </w:r>
                </w:p>
              </w:tc>
              <w:tc>
                <w:tcPr>
                  <w:tcW w:w="1641" w:type="dxa"/>
                  <w:vMerge w:val="restart"/>
                  <w:vAlign w:val="center"/>
                </w:tcPr>
                <w:p w14:paraId="5E17CC9F">
                  <w:pPr>
                    <w:widowControl/>
                    <w:spacing w:line="240" w:lineRule="auto"/>
                    <w:ind w:firstLine="0" w:firstLineChars="0"/>
                    <w:jc w:val="center"/>
                  </w:pPr>
                  <w:r>
                    <w:rPr>
                      <w:rFonts w:hint="eastAsia"/>
                    </w:rPr>
                    <w:t>调节池、污泥池加盖密闭，一体化污水处理装置位于地下，气浮机、压滤机位于设备间内</w:t>
                  </w:r>
                </w:p>
              </w:tc>
              <w:tc>
                <w:tcPr>
                  <w:tcW w:w="675" w:type="dxa"/>
                  <w:vAlign w:val="center"/>
                </w:tcPr>
                <w:p w14:paraId="51ED6CB1">
                  <w:pPr>
                    <w:widowControl/>
                    <w:spacing w:line="240" w:lineRule="auto"/>
                    <w:ind w:firstLine="0" w:firstLineChars="0"/>
                    <w:jc w:val="center"/>
                    <w:rPr>
                      <w:rFonts w:hAnsi="宋体"/>
                      <w:kern w:val="0"/>
                      <w:szCs w:val="21"/>
                    </w:rPr>
                  </w:pPr>
                  <w:r>
                    <w:rPr>
                      <w:rFonts w:hint="eastAsia" w:hAnsi="宋体"/>
                      <w:kern w:val="0"/>
                      <w:szCs w:val="21"/>
                    </w:rPr>
                    <w:t>/</w:t>
                  </w:r>
                </w:p>
              </w:tc>
              <w:tc>
                <w:tcPr>
                  <w:tcW w:w="630" w:type="dxa"/>
                  <w:vAlign w:val="center"/>
                </w:tcPr>
                <w:p w14:paraId="7D345AAE">
                  <w:pPr>
                    <w:widowControl/>
                    <w:spacing w:line="240" w:lineRule="auto"/>
                    <w:ind w:firstLine="0" w:firstLineChars="0"/>
                    <w:jc w:val="center"/>
                    <w:rPr>
                      <w:bCs/>
                    </w:rPr>
                  </w:pPr>
                  <w:r>
                    <w:rPr>
                      <w:bCs/>
                    </w:rPr>
                    <w:t>0.001</w:t>
                  </w:r>
                </w:p>
              </w:tc>
              <w:tc>
                <w:tcPr>
                  <w:tcW w:w="585" w:type="dxa"/>
                  <w:vAlign w:val="center"/>
                </w:tcPr>
                <w:p w14:paraId="5803EFE8">
                  <w:pPr>
                    <w:widowControl/>
                    <w:spacing w:line="240" w:lineRule="auto"/>
                    <w:ind w:firstLine="0" w:firstLineChars="0"/>
                    <w:jc w:val="center"/>
                    <w:rPr>
                      <w:bCs/>
                    </w:rPr>
                  </w:pPr>
                  <w:r>
                    <w:rPr>
                      <w:bCs/>
                    </w:rPr>
                    <w:t>0.0006</w:t>
                  </w:r>
                </w:p>
              </w:tc>
              <w:tc>
                <w:tcPr>
                  <w:tcW w:w="660" w:type="dxa"/>
                  <w:vAlign w:val="center"/>
                </w:tcPr>
                <w:p w14:paraId="39836996">
                  <w:pPr>
                    <w:widowControl/>
                    <w:spacing w:line="240" w:lineRule="auto"/>
                    <w:ind w:firstLine="0" w:firstLineChars="0"/>
                    <w:jc w:val="center"/>
                    <w:rPr>
                      <w:bCs/>
                    </w:rPr>
                  </w:pPr>
                  <w:r>
                    <w:rPr>
                      <w:bCs/>
                    </w:rPr>
                    <w:t>0.3</w:t>
                  </w:r>
                </w:p>
              </w:tc>
              <w:tc>
                <w:tcPr>
                  <w:tcW w:w="345" w:type="dxa"/>
                  <w:vAlign w:val="center"/>
                </w:tcPr>
                <w:p w14:paraId="7ACCA5D8">
                  <w:pPr>
                    <w:widowControl/>
                    <w:spacing w:line="240" w:lineRule="auto"/>
                    <w:ind w:firstLine="0" w:firstLineChars="0"/>
                    <w:jc w:val="center"/>
                    <w:rPr>
                      <w:rFonts w:hAnsi="宋体"/>
                      <w:kern w:val="0"/>
                      <w:szCs w:val="21"/>
                    </w:rPr>
                  </w:pPr>
                  <w:r>
                    <w:rPr>
                      <w:rFonts w:hAnsi="宋体"/>
                      <w:kern w:val="0"/>
                      <w:szCs w:val="21"/>
                    </w:rPr>
                    <w:t>无组织</w:t>
                  </w:r>
                </w:p>
              </w:tc>
            </w:tr>
            <w:tr w14:paraId="17EC1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7806206A">
                  <w:pPr>
                    <w:widowControl/>
                    <w:spacing w:line="240" w:lineRule="auto"/>
                    <w:ind w:firstLine="0" w:firstLineChars="0"/>
                    <w:jc w:val="center"/>
                    <w:rPr>
                      <w:rFonts w:hAnsi="宋体"/>
                      <w:kern w:val="0"/>
                      <w:szCs w:val="21"/>
                    </w:rPr>
                  </w:pPr>
                </w:p>
              </w:tc>
              <w:tc>
                <w:tcPr>
                  <w:tcW w:w="794" w:type="dxa"/>
                  <w:vMerge w:val="continue"/>
                  <w:vAlign w:val="center"/>
                </w:tcPr>
                <w:p w14:paraId="469AEE40">
                  <w:pPr>
                    <w:widowControl/>
                    <w:spacing w:line="240" w:lineRule="auto"/>
                    <w:ind w:firstLine="0" w:firstLineChars="0"/>
                    <w:jc w:val="center"/>
                  </w:pPr>
                </w:p>
              </w:tc>
              <w:tc>
                <w:tcPr>
                  <w:tcW w:w="588" w:type="dxa"/>
                  <w:vAlign w:val="center"/>
                </w:tcPr>
                <w:p w14:paraId="7185D230">
                  <w:pPr>
                    <w:spacing w:line="240" w:lineRule="auto"/>
                    <w:ind w:firstLine="0" w:firstLineChars="0"/>
                    <w:jc w:val="center"/>
                  </w:pPr>
                  <w:r>
                    <w:rPr>
                      <w:rFonts w:hint="eastAsia"/>
                    </w:rPr>
                    <w:t>硫化氢</w:t>
                  </w:r>
                </w:p>
              </w:tc>
              <w:tc>
                <w:tcPr>
                  <w:tcW w:w="567" w:type="dxa"/>
                  <w:vAlign w:val="center"/>
                </w:tcPr>
                <w:p w14:paraId="078FAE5B">
                  <w:pPr>
                    <w:pStyle w:val="40"/>
                  </w:pPr>
                  <w:r>
                    <w:rPr>
                      <w:rFonts w:hint="eastAsia"/>
                    </w:rPr>
                    <w:t>0.00004</w:t>
                  </w:r>
                </w:p>
              </w:tc>
              <w:tc>
                <w:tcPr>
                  <w:tcW w:w="567" w:type="dxa"/>
                  <w:vAlign w:val="center"/>
                </w:tcPr>
                <w:p w14:paraId="3FC39F3D">
                  <w:pPr>
                    <w:pStyle w:val="40"/>
                  </w:pPr>
                  <w:r>
                    <w:t>0.00</w:t>
                  </w:r>
                  <w:r>
                    <w:rPr>
                      <w:rFonts w:hint="eastAsia"/>
                    </w:rPr>
                    <w:t>0</w:t>
                  </w:r>
                  <w:r>
                    <w:t>023</w:t>
                  </w:r>
                </w:p>
              </w:tc>
              <w:tc>
                <w:tcPr>
                  <w:tcW w:w="709" w:type="dxa"/>
                  <w:vAlign w:val="center"/>
                </w:tcPr>
                <w:p w14:paraId="33A31238">
                  <w:pPr>
                    <w:pStyle w:val="40"/>
                  </w:pPr>
                  <w:r>
                    <w:t>0.</w:t>
                  </w:r>
                  <w:r>
                    <w:rPr>
                      <w:rFonts w:hint="eastAsia"/>
                    </w:rPr>
                    <w:t>0</w:t>
                  </w:r>
                  <w:r>
                    <w:t>12</w:t>
                  </w:r>
                </w:p>
              </w:tc>
              <w:tc>
                <w:tcPr>
                  <w:tcW w:w="1641" w:type="dxa"/>
                  <w:vMerge w:val="continue"/>
                  <w:vAlign w:val="center"/>
                </w:tcPr>
                <w:p w14:paraId="7F137A4E">
                  <w:pPr>
                    <w:widowControl/>
                    <w:spacing w:line="240" w:lineRule="auto"/>
                    <w:ind w:firstLine="0" w:firstLineChars="0"/>
                    <w:jc w:val="center"/>
                  </w:pPr>
                </w:p>
              </w:tc>
              <w:tc>
                <w:tcPr>
                  <w:tcW w:w="675" w:type="dxa"/>
                  <w:vAlign w:val="center"/>
                </w:tcPr>
                <w:p w14:paraId="682267FF">
                  <w:pPr>
                    <w:widowControl/>
                    <w:spacing w:line="240" w:lineRule="auto"/>
                    <w:ind w:firstLine="0" w:firstLineChars="0"/>
                    <w:jc w:val="center"/>
                    <w:rPr>
                      <w:rFonts w:hAnsi="宋体"/>
                      <w:kern w:val="0"/>
                      <w:szCs w:val="21"/>
                    </w:rPr>
                  </w:pPr>
                  <w:r>
                    <w:rPr>
                      <w:rFonts w:hint="eastAsia" w:hAnsi="宋体"/>
                      <w:kern w:val="0"/>
                      <w:szCs w:val="21"/>
                    </w:rPr>
                    <w:t>/</w:t>
                  </w:r>
                </w:p>
              </w:tc>
              <w:tc>
                <w:tcPr>
                  <w:tcW w:w="630" w:type="dxa"/>
                  <w:vAlign w:val="center"/>
                </w:tcPr>
                <w:p w14:paraId="72A7AA91">
                  <w:pPr>
                    <w:widowControl/>
                    <w:spacing w:line="240" w:lineRule="auto"/>
                    <w:ind w:firstLine="0" w:firstLineChars="0"/>
                    <w:jc w:val="center"/>
                    <w:rPr>
                      <w:bCs/>
                    </w:rPr>
                  </w:pPr>
                  <w:r>
                    <w:rPr>
                      <w:bCs/>
                    </w:rPr>
                    <w:t>0.00004</w:t>
                  </w:r>
                </w:p>
              </w:tc>
              <w:tc>
                <w:tcPr>
                  <w:tcW w:w="585" w:type="dxa"/>
                  <w:vAlign w:val="center"/>
                </w:tcPr>
                <w:p w14:paraId="68D246FF">
                  <w:pPr>
                    <w:widowControl/>
                    <w:spacing w:line="240" w:lineRule="auto"/>
                    <w:ind w:firstLine="0" w:firstLineChars="0"/>
                    <w:jc w:val="center"/>
                    <w:rPr>
                      <w:bCs/>
                    </w:rPr>
                  </w:pPr>
                  <w:r>
                    <w:rPr>
                      <w:bCs/>
                    </w:rPr>
                    <w:t>0.000023</w:t>
                  </w:r>
                </w:p>
              </w:tc>
              <w:tc>
                <w:tcPr>
                  <w:tcW w:w="660" w:type="dxa"/>
                  <w:vAlign w:val="center"/>
                </w:tcPr>
                <w:p w14:paraId="3CBD4368">
                  <w:pPr>
                    <w:widowControl/>
                    <w:spacing w:line="240" w:lineRule="auto"/>
                    <w:ind w:firstLine="0" w:firstLineChars="0"/>
                    <w:jc w:val="center"/>
                    <w:rPr>
                      <w:bCs/>
                    </w:rPr>
                  </w:pPr>
                  <w:r>
                    <w:rPr>
                      <w:bCs/>
                    </w:rPr>
                    <w:t>0.012</w:t>
                  </w:r>
                </w:p>
              </w:tc>
              <w:tc>
                <w:tcPr>
                  <w:tcW w:w="345" w:type="dxa"/>
                  <w:vAlign w:val="center"/>
                </w:tcPr>
                <w:p w14:paraId="576E92BD">
                  <w:pPr>
                    <w:widowControl/>
                    <w:spacing w:line="240" w:lineRule="auto"/>
                    <w:ind w:firstLine="0" w:firstLineChars="0"/>
                    <w:jc w:val="center"/>
                    <w:rPr>
                      <w:rFonts w:hAnsi="宋体"/>
                      <w:kern w:val="0"/>
                      <w:szCs w:val="21"/>
                    </w:rPr>
                  </w:pPr>
                  <w:r>
                    <w:rPr>
                      <w:rFonts w:hAnsi="宋体"/>
                      <w:kern w:val="0"/>
                      <w:szCs w:val="21"/>
                    </w:rPr>
                    <w:t>无组织</w:t>
                  </w:r>
                </w:p>
              </w:tc>
            </w:tr>
            <w:tr w14:paraId="37BE4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5BBB7550">
                  <w:pPr>
                    <w:widowControl/>
                    <w:spacing w:line="240" w:lineRule="auto"/>
                    <w:ind w:firstLine="0" w:firstLineChars="0"/>
                    <w:jc w:val="center"/>
                    <w:rPr>
                      <w:rFonts w:hAnsi="宋体"/>
                      <w:kern w:val="0"/>
                      <w:szCs w:val="21"/>
                    </w:rPr>
                  </w:pPr>
                </w:p>
              </w:tc>
              <w:tc>
                <w:tcPr>
                  <w:tcW w:w="794" w:type="dxa"/>
                  <w:vMerge w:val="continue"/>
                  <w:vAlign w:val="center"/>
                </w:tcPr>
                <w:p w14:paraId="7086E65B">
                  <w:pPr>
                    <w:widowControl/>
                    <w:spacing w:line="240" w:lineRule="auto"/>
                    <w:ind w:firstLine="0" w:firstLineChars="0"/>
                    <w:jc w:val="center"/>
                  </w:pPr>
                </w:p>
              </w:tc>
              <w:tc>
                <w:tcPr>
                  <w:tcW w:w="588" w:type="dxa"/>
                  <w:vAlign w:val="center"/>
                </w:tcPr>
                <w:p w14:paraId="3CA11523">
                  <w:pPr>
                    <w:spacing w:line="240" w:lineRule="auto"/>
                    <w:ind w:firstLine="0" w:firstLineChars="0"/>
                    <w:jc w:val="center"/>
                  </w:pPr>
                  <w:r>
                    <w:rPr>
                      <w:rFonts w:hint="eastAsia"/>
                    </w:rPr>
                    <w:t>臭气浓度</w:t>
                  </w:r>
                </w:p>
              </w:tc>
              <w:tc>
                <w:tcPr>
                  <w:tcW w:w="567" w:type="dxa"/>
                  <w:vAlign w:val="center"/>
                </w:tcPr>
                <w:p w14:paraId="38F3BE36">
                  <w:pPr>
                    <w:pStyle w:val="40"/>
                  </w:pPr>
                  <w:r>
                    <w:rPr>
                      <w:rFonts w:hint="eastAsia"/>
                    </w:rPr>
                    <w:t>/</w:t>
                  </w:r>
                </w:p>
              </w:tc>
              <w:tc>
                <w:tcPr>
                  <w:tcW w:w="567" w:type="dxa"/>
                  <w:vAlign w:val="center"/>
                </w:tcPr>
                <w:p w14:paraId="4C17E7DA">
                  <w:pPr>
                    <w:pStyle w:val="40"/>
                  </w:pPr>
                  <w:r>
                    <w:rPr>
                      <w:rFonts w:hint="eastAsia"/>
                    </w:rPr>
                    <w:t>/</w:t>
                  </w:r>
                </w:p>
              </w:tc>
              <w:tc>
                <w:tcPr>
                  <w:tcW w:w="709" w:type="dxa"/>
                  <w:vAlign w:val="center"/>
                </w:tcPr>
                <w:p w14:paraId="1592800F">
                  <w:pPr>
                    <w:widowControl/>
                    <w:spacing w:line="240" w:lineRule="auto"/>
                    <w:ind w:firstLine="0" w:firstLineChars="0"/>
                    <w:jc w:val="center"/>
                    <w:rPr>
                      <w:kern w:val="0"/>
                      <w:szCs w:val="21"/>
                    </w:rPr>
                  </w:pPr>
                  <w:r>
                    <w:rPr>
                      <w:rFonts w:hint="eastAsia"/>
                      <w:kern w:val="0"/>
                      <w:szCs w:val="21"/>
                    </w:rPr>
                    <w:t>/</w:t>
                  </w:r>
                </w:p>
              </w:tc>
              <w:tc>
                <w:tcPr>
                  <w:tcW w:w="1641" w:type="dxa"/>
                  <w:vMerge w:val="continue"/>
                  <w:vAlign w:val="center"/>
                </w:tcPr>
                <w:p w14:paraId="3D8B9FBC">
                  <w:pPr>
                    <w:widowControl/>
                    <w:spacing w:line="240" w:lineRule="auto"/>
                    <w:ind w:firstLine="0" w:firstLineChars="0"/>
                    <w:jc w:val="center"/>
                  </w:pPr>
                </w:p>
              </w:tc>
              <w:tc>
                <w:tcPr>
                  <w:tcW w:w="675" w:type="dxa"/>
                  <w:vAlign w:val="center"/>
                </w:tcPr>
                <w:p w14:paraId="65EE3EF9">
                  <w:pPr>
                    <w:widowControl/>
                    <w:spacing w:line="240" w:lineRule="auto"/>
                    <w:ind w:firstLine="0" w:firstLineChars="0"/>
                    <w:jc w:val="center"/>
                    <w:rPr>
                      <w:rFonts w:hAnsi="宋体"/>
                      <w:kern w:val="0"/>
                      <w:szCs w:val="21"/>
                    </w:rPr>
                  </w:pPr>
                  <w:r>
                    <w:rPr>
                      <w:rFonts w:hint="eastAsia" w:hAnsi="宋体"/>
                      <w:kern w:val="0"/>
                      <w:szCs w:val="21"/>
                    </w:rPr>
                    <w:t>/</w:t>
                  </w:r>
                </w:p>
              </w:tc>
              <w:tc>
                <w:tcPr>
                  <w:tcW w:w="630" w:type="dxa"/>
                  <w:vAlign w:val="center"/>
                </w:tcPr>
                <w:p w14:paraId="445F16F7">
                  <w:pPr>
                    <w:widowControl/>
                    <w:spacing w:line="240" w:lineRule="auto"/>
                    <w:ind w:firstLine="0" w:firstLineChars="0"/>
                    <w:jc w:val="center"/>
                    <w:rPr>
                      <w:bCs/>
                    </w:rPr>
                  </w:pPr>
                  <w:r>
                    <w:rPr>
                      <w:bCs/>
                    </w:rPr>
                    <w:t>/</w:t>
                  </w:r>
                </w:p>
              </w:tc>
              <w:tc>
                <w:tcPr>
                  <w:tcW w:w="585" w:type="dxa"/>
                  <w:vAlign w:val="center"/>
                </w:tcPr>
                <w:p w14:paraId="385DE148">
                  <w:pPr>
                    <w:widowControl/>
                    <w:spacing w:line="240" w:lineRule="auto"/>
                    <w:ind w:firstLine="0" w:firstLineChars="0"/>
                    <w:jc w:val="center"/>
                    <w:rPr>
                      <w:bCs/>
                    </w:rPr>
                  </w:pPr>
                  <w:r>
                    <w:rPr>
                      <w:bCs/>
                    </w:rPr>
                    <w:t>/</w:t>
                  </w:r>
                </w:p>
              </w:tc>
              <w:tc>
                <w:tcPr>
                  <w:tcW w:w="660" w:type="dxa"/>
                  <w:vAlign w:val="center"/>
                </w:tcPr>
                <w:p w14:paraId="5A4EE789">
                  <w:pPr>
                    <w:widowControl/>
                    <w:spacing w:line="240" w:lineRule="auto"/>
                    <w:ind w:firstLine="0" w:firstLineChars="0"/>
                    <w:jc w:val="center"/>
                    <w:rPr>
                      <w:bCs/>
                    </w:rPr>
                  </w:pPr>
                  <w:r>
                    <w:rPr>
                      <w:bCs/>
                    </w:rPr>
                    <w:t>/</w:t>
                  </w:r>
                </w:p>
              </w:tc>
              <w:tc>
                <w:tcPr>
                  <w:tcW w:w="345" w:type="dxa"/>
                  <w:vAlign w:val="center"/>
                </w:tcPr>
                <w:p w14:paraId="29547B9C">
                  <w:pPr>
                    <w:widowControl/>
                    <w:spacing w:line="240" w:lineRule="auto"/>
                    <w:ind w:firstLine="0" w:firstLineChars="0"/>
                    <w:jc w:val="center"/>
                    <w:rPr>
                      <w:rFonts w:hAnsi="宋体"/>
                      <w:kern w:val="0"/>
                      <w:szCs w:val="21"/>
                    </w:rPr>
                  </w:pPr>
                  <w:r>
                    <w:rPr>
                      <w:rFonts w:hAnsi="宋体"/>
                      <w:kern w:val="0"/>
                      <w:szCs w:val="21"/>
                    </w:rPr>
                    <w:t>无组织</w:t>
                  </w:r>
                </w:p>
              </w:tc>
            </w:tr>
          </w:tbl>
          <w:p w14:paraId="747B8F93">
            <w:pPr>
              <w:pStyle w:val="75"/>
              <w:widowControl w:val="0"/>
              <w:numPr>
                <w:ilvl w:val="0"/>
                <w:numId w:val="0"/>
              </w:numPr>
              <w:ind w:firstLine="422"/>
            </w:pPr>
          </w:p>
          <w:p w14:paraId="5F4E12CD">
            <w:pPr>
              <w:pStyle w:val="75"/>
              <w:widowControl w:val="0"/>
              <w:numPr>
                <w:ilvl w:val="0"/>
                <w:numId w:val="0"/>
              </w:numPr>
              <w:ind w:firstLine="422"/>
              <w:rPr>
                <w:kern w:val="2"/>
              </w:rPr>
            </w:pPr>
            <w:r>
              <w:rPr>
                <w:rFonts w:hint="eastAsia"/>
              </w:rPr>
              <w:t>表4-2 本项目</w:t>
            </w:r>
            <w:r>
              <w:t>大气排放口基本信息表</w:t>
            </w:r>
          </w:p>
          <w:tbl>
            <w:tblPr>
              <w:tblStyle w:val="2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79"/>
              <w:gridCol w:w="1092"/>
              <w:gridCol w:w="1133"/>
              <w:gridCol w:w="1276"/>
              <w:gridCol w:w="1089"/>
              <w:gridCol w:w="970"/>
              <w:gridCol w:w="1126"/>
              <w:gridCol w:w="938"/>
            </w:tblGrid>
            <w:tr w14:paraId="08555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4" w:hRule="atLeast"/>
              </w:trPr>
              <w:tc>
                <w:tcPr>
                  <w:tcW w:w="464" w:type="pct"/>
                  <w:vMerge w:val="restart"/>
                  <w:noWrap/>
                  <w:vAlign w:val="center"/>
                </w:tcPr>
                <w:p w14:paraId="2BF33863">
                  <w:pPr>
                    <w:pStyle w:val="40"/>
                  </w:pPr>
                  <w:r>
                    <w:t>排放口编号</w:t>
                  </w:r>
                </w:p>
              </w:tc>
              <w:tc>
                <w:tcPr>
                  <w:tcW w:w="650" w:type="pct"/>
                  <w:vMerge w:val="restart"/>
                  <w:noWrap/>
                  <w:vAlign w:val="center"/>
                </w:tcPr>
                <w:p w14:paraId="6AB1AC00">
                  <w:pPr>
                    <w:pStyle w:val="40"/>
                  </w:pPr>
                  <w:r>
                    <w:t>排放口名称</w:t>
                  </w:r>
                </w:p>
              </w:tc>
              <w:tc>
                <w:tcPr>
                  <w:tcW w:w="674" w:type="pct"/>
                  <w:vMerge w:val="restart"/>
                  <w:noWrap/>
                  <w:vAlign w:val="center"/>
                </w:tcPr>
                <w:p w14:paraId="7102F7AF">
                  <w:pPr>
                    <w:pStyle w:val="40"/>
                  </w:pPr>
                  <w:r>
                    <w:t>污染物种类</w:t>
                  </w:r>
                </w:p>
              </w:tc>
              <w:tc>
                <w:tcPr>
                  <w:tcW w:w="1407" w:type="pct"/>
                  <w:gridSpan w:val="2"/>
                  <w:noWrap/>
                  <w:vAlign w:val="center"/>
                </w:tcPr>
                <w:p w14:paraId="1818E6EB">
                  <w:pPr>
                    <w:pStyle w:val="40"/>
                  </w:pPr>
                  <w:r>
                    <w:t>排放口地理坐标（度）</w:t>
                  </w:r>
                </w:p>
              </w:tc>
              <w:tc>
                <w:tcPr>
                  <w:tcW w:w="577" w:type="pct"/>
                  <w:vMerge w:val="restart"/>
                  <w:noWrap/>
                  <w:vAlign w:val="center"/>
                </w:tcPr>
                <w:p w14:paraId="10F62977">
                  <w:pPr>
                    <w:pStyle w:val="40"/>
                  </w:pPr>
                  <w:r>
                    <w:t>排气筒高度（m）</w:t>
                  </w:r>
                </w:p>
              </w:tc>
              <w:tc>
                <w:tcPr>
                  <w:tcW w:w="670" w:type="pct"/>
                  <w:vMerge w:val="restart"/>
                  <w:noWrap/>
                  <w:vAlign w:val="center"/>
                </w:tcPr>
                <w:p w14:paraId="64B7E11F">
                  <w:pPr>
                    <w:pStyle w:val="40"/>
                  </w:pPr>
                  <w:r>
                    <w:t>排气筒出口内径（m）</w:t>
                  </w:r>
                </w:p>
              </w:tc>
              <w:tc>
                <w:tcPr>
                  <w:tcW w:w="558" w:type="pct"/>
                  <w:vMerge w:val="restart"/>
                  <w:noWrap/>
                  <w:vAlign w:val="center"/>
                </w:tcPr>
                <w:p w14:paraId="2E12BC6A">
                  <w:pPr>
                    <w:pStyle w:val="40"/>
                  </w:pPr>
                  <w:r>
                    <w:t>排气温度（</w:t>
                  </w:r>
                  <w:r>
                    <w:rPr>
                      <w:rFonts w:hint="eastAsia" w:ascii="宋体" w:hAnsi="宋体" w:cs="宋体"/>
                    </w:rPr>
                    <w:t>℃</w:t>
                  </w:r>
                  <w:r>
                    <w:t>）</w:t>
                  </w:r>
                </w:p>
              </w:tc>
            </w:tr>
            <w:tr w14:paraId="586E6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464" w:type="pct"/>
                  <w:vMerge w:val="continue"/>
                  <w:noWrap/>
                  <w:vAlign w:val="center"/>
                </w:tcPr>
                <w:p w14:paraId="710664EF">
                  <w:pPr>
                    <w:pStyle w:val="40"/>
                  </w:pPr>
                </w:p>
              </w:tc>
              <w:tc>
                <w:tcPr>
                  <w:tcW w:w="650" w:type="pct"/>
                  <w:vMerge w:val="continue"/>
                  <w:noWrap/>
                  <w:vAlign w:val="center"/>
                </w:tcPr>
                <w:p w14:paraId="2B25CDD4">
                  <w:pPr>
                    <w:pStyle w:val="40"/>
                  </w:pPr>
                </w:p>
              </w:tc>
              <w:tc>
                <w:tcPr>
                  <w:tcW w:w="674" w:type="pct"/>
                  <w:vMerge w:val="continue"/>
                  <w:noWrap/>
                  <w:vAlign w:val="center"/>
                </w:tcPr>
                <w:p w14:paraId="27B6A049">
                  <w:pPr>
                    <w:pStyle w:val="40"/>
                  </w:pPr>
                </w:p>
              </w:tc>
              <w:tc>
                <w:tcPr>
                  <w:tcW w:w="759" w:type="pct"/>
                  <w:noWrap/>
                  <w:vAlign w:val="center"/>
                </w:tcPr>
                <w:p w14:paraId="3D993905">
                  <w:pPr>
                    <w:pStyle w:val="40"/>
                  </w:pPr>
                  <w:r>
                    <w:t>经度</w:t>
                  </w:r>
                </w:p>
              </w:tc>
              <w:tc>
                <w:tcPr>
                  <w:tcW w:w="647" w:type="pct"/>
                  <w:noWrap/>
                  <w:vAlign w:val="center"/>
                </w:tcPr>
                <w:p w14:paraId="1D42F886">
                  <w:pPr>
                    <w:pStyle w:val="40"/>
                  </w:pPr>
                  <w:r>
                    <w:t>纬度</w:t>
                  </w:r>
                </w:p>
              </w:tc>
              <w:tc>
                <w:tcPr>
                  <w:tcW w:w="577" w:type="pct"/>
                  <w:vMerge w:val="continue"/>
                  <w:noWrap/>
                  <w:vAlign w:val="center"/>
                </w:tcPr>
                <w:p w14:paraId="3AFEB3B0">
                  <w:pPr>
                    <w:pStyle w:val="40"/>
                  </w:pPr>
                </w:p>
              </w:tc>
              <w:tc>
                <w:tcPr>
                  <w:tcW w:w="670" w:type="pct"/>
                  <w:vMerge w:val="continue"/>
                  <w:noWrap/>
                  <w:vAlign w:val="center"/>
                </w:tcPr>
                <w:p w14:paraId="467CF6FD">
                  <w:pPr>
                    <w:pStyle w:val="40"/>
                  </w:pPr>
                </w:p>
              </w:tc>
              <w:tc>
                <w:tcPr>
                  <w:tcW w:w="558" w:type="pct"/>
                  <w:vMerge w:val="continue"/>
                  <w:noWrap/>
                  <w:vAlign w:val="center"/>
                </w:tcPr>
                <w:p w14:paraId="5AAC990D">
                  <w:pPr>
                    <w:pStyle w:val="40"/>
                  </w:pPr>
                </w:p>
              </w:tc>
            </w:tr>
            <w:tr w14:paraId="637FE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25" w:hRule="atLeast"/>
              </w:trPr>
              <w:tc>
                <w:tcPr>
                  <w:tcW w:w="464" w:type="pct"/>
                  <w:noWrap/>
                  <w:vAlign w:val="center"/>
                </w:tcPr>
                <w:p w14:paraId="55292911">
                  <w:pPr>
                    <w:pStyle w:val="40"/>
                  </w:pPr>
                  <w:r>
                    <w:t>DA00</w:t>
                  </w:r>
                  <w:r>
                    <w:rPr>
                      <w:rFonts w:hint="eastAsia"/>
                    </w:rPr>
                    <w:t>1</w:t>
                  </w:r>
                </w:p>
              </w:tc>
              <w:tc>
                <w:tcPr>
                  <w:tcW w:w="650" w:type="pct"/>
                  <w:noWrap/>
                  <w:vAlign w:val="center"/>
                </w:tcPr>
                <w:p w14:paraId="2C3EF676">
                  <w:pPr>
                    <w:pStyle w:val="88"/>
                    <w:jc w:val="center"/>
                    <w:rPr>
                      <w:rFonts w:ascii="Times New Roman" w:hAnsi="Times New Roman"/>
                      <w:szCs w:val="21"/>
                    </w:rPr>
                  </w:pPr>
                  <w:r>
                    <w:rPr>
                      <w:rFonts w:hint="eastAsia" w:ascii="Times New Roman" w:hAnsi="Times New Roman"/>
                      <w:szCs w:val="21"/>
                    </w:rPr>
                    <w:t>锅炉</w:t>
                  </w:r>
                  <w:r>
                    <w:rPr>
                      <w:rFonts w:ascii="Times New Roman" w:hAnsi="Times New Roman"/>
                      <w:szCs w:val="21"/>
                    </w:rPr>
                    <w:t>废气排气筒</w:t>
                  </w:r>
                </w:p>
              </w:tc>
              <w:tc>
                <w:tcPr>
                  <w:tcW w:w="674" w:type="pct"/>
                  <w:noWrap/>
                  <w:vAlign w:val="center"/>
                </w:tcPr>
                <w:p w14:paraId="61A130E2">
                  <w:pPr>
                    <w:pStyle w:val="88"/>
                    <w:jc w:val="center"/>
                    <w:rPr>
                      <w:rFonts w:ascii="Times New Roman" w:hAnsi="Times New Roman"/>
                      <w:szCs w:val="21"/>
                    </w:rPr>
                  </w:pPr>
                  <w:r>
                    <w:rPr>
                      <w:rFonts w:hint="eastAsia" w:ascii="Times New Roman" w:hAnsi="Times New Roman"/>
                    </w:rPr>
                    <w:t>颗粒物、SO</w:t>
                  </w:r>
                  <w:r>
                    <w:rPr>
                      <w:rFonts w:hint="eastAsia" w:ascii="Times New Roman" w:hAnsi="Times New Roman"/>
                      <w:vertAlign w:val="subscript"/>
                    </w:rPr>
                    <w:t>2</w:t>
                  </w:r>
                  <w:r>
                    <w:rPr>
                      <w:rFonts w:hint="eastAsia" w:ascii="Times New Roman" w:hAnsi="Times New Roman"/>
                    </w:rPr>
                    <w:t>、NOx、烟气黑度、氨逃逸</w:t>
                  </w:r>
                </w:p>
              </w:tc>
              <w:tc>
                <w:tcPr>
                  <w:tcW w:w="759" w:type="pct"/>
                  <w:noWrap/>
                  <w:vAlign w:val="center"/>
                </w:tcPr>
                <w:p w14:paraId="1A2BDE88">
                  <w:pPr>
                    <w:pStyle w:val="88"/>
                    <w:jc w:val="center"/>
                    <w:rPr>
                      <w:rFonts w:ascii="Times New Roman" w:hAnsi="Times New Roman"/>
                      <w:szCs w:val="21"/>
                    </w:rPr>
                  </w:pPr>
                  <w:r>
                    <w:rPr>
                      <w:rFonts w:ascii="Times New Roman" w:hAnsi="Times New Roman"/>
                      <w:szCs w:val="21"/>
                    </w:rPr>
                    <w:t>119度 1</w:t>
                  </w:r>
                  <w:r>
                    <w:rPr>
                      <w:rFonts w:hint="eastAsia" w:ascii="Times New Roman" w:hAnsi="Times New Roman"/>
                      <w:szCs w:val="21"/>
                    </w:rPr>
                    <w:t>2</w:t>
                  </w:r>
                  <w:r>
                    <w:rPr>
                      <w:rFonts w:ascii="Times New Roman" w:hAnsi="Times New Roman"/>
                      <w:szCs w:val="21"/>
                    </w:rPr>
                    <w:t xml:space="preserve">分 </w:t>
                  </w:r>
                  <w:r>
                    <w:rPr>
                      <w:rFonts w:hint="eastAsia" w:ascii="Times New Roman" w:hAnsi="Times New Roman"/>
                      <w:szCs w:val="21"/>
                    </w:rPr>
                    <w:t>4.97</w:t>
                  </w:r>
                  <w:r>
                    <w:rPr>
                      <w:rFonts w:ascii="Times New Roman" w:hAnsi="Times New Roman"/>
                      <w:szCs w:val="21"/>
                    </w:rPr>
                    <w:t>秒</w:t>
                  </w:r>
                </w:p>
              </w:tc>
              <w:tc>
                <w:tcPr>
                  <w:tcW w:w="647" w:type="pct"/>
                  <w:noWrap/>
                  <w:vAlign w:val="center"/>
                </w:tcPr>
                <w:p w14:paraId="67F77250">
                  <w:pPr>
                    <w:pStyle w:val="88"/>
                    <w:jc w:val="center"/>
                    <w:rPr>
                      <w:rFonts w:ascii="Times New Roman" w:hAnsi="Times New Roman"/>
                      <w:szCs w:val="21"/>
                    </w:rPr>
                  </w:pPr>
                  <w:r>
                    <w:rPr>
                      <w:rFonts w:ascii="Times New Roman" w:hAnsi="Times New Roman"/>
                      <w:szCs w:val="21"/>
                    </w:rPr>
                    <w:t>39度 5</w:t>
                  </w:r>
                  <w:r>
                    <w:rPr>
                      <w:rFonts w:hint="eastAsia" w:ascii="Times New Roman" w:hAnsi="Times New Roman"/>
                      <w:szCs w:val="21"/>
                    </w:rPr>
                    <w:t>0</w:t>
                  </w:r>
                  <w:r>
                    <w:rPr>
                      <w:rFonts w:ascii="Times New Roman" w:hAnsi="Times New Roman"/>
                      <w:szCs w:val="21"/>
                    </w:rPr>
                    <w:t xml:space="preserve">分 </w:t>
                  </w:r>
                  <w:r>
                    <w:rPr>
                      <w:rFonts w:hint="eastAsia" w:ascii="Times New Roman" w:hAnsi="Times New Roman"/>
                      <w:szCs w:val="21"/>
                    </w:rPr>
                    <w:t>39.50</w:t>
                  </w:r>
                  <w:r>
                    <w:rPr>
                      <w:rFonts w:ascii="Times New Roman" w:hAnsi="Times New Roman"/>
                      <w:szCs w:val="21"/>
                    </w:rPr>
                    <w:t>秒</w:t>
                  </w:r>
                </w:p>
              </w:tc>
              <w:tc>
                <w:tcPr>
                  <w:tcW w:w="577" w:type="pct"/>
                  <w:noWrap/>
                  <w:vAlign w:val="center"/>
                </w:tcPr>
                <w:p w14:paraId="677FFCCC">
                  <w:pPr>
                    <w:pStyle w:val="88"/>
                    <w:jc w:val="center"/>
                    <w:rPr>
                      <w:rFonts w:ascii="Times New Roman" w:hAnsi="Times New Roman"/>
                      <w:szCs w:val="21"/>
                    </w:rPr>
                  </w:pPr>
                  <w:r>
                    <w:rPr>
                      <w:rFonts w:hint="eastAsia" w:ascii="Times New Roman" w:hAnsi="Times New Roman"/>
                      <w:szCs w:val="21"/>
                    </w:rPr>
                    <w:t>35</w:t>
                  </w:r>
                </w:p>
              </w:tc>
              <w:tc>
                <w:tcPr>
                  <w:tcW w:w="670" w:type="pct"/>
                  <w:noWrap/>
                  <w:vAlign w:val="center"/>
                </w:tcPr>
                <w:p w14:paraId="2E0FE814">
                  <w:pPr>
                    <w:pStyle w:val="88"/>
                    <w:jc w:val="center"/>
                    <w:rPr>
                      <w:rFonts w:ascii="Times New Roman" w:hAnsi="Times New Roman"/>
                      <w:szCs w:val="21"/>
                    </w:rPr>
                  </w:pPr>
                  <w:r>
                    <w:rPr>
                      <w:rFonts w:hint="eastAsia" w:ascii="Times New Roman" w:hAnsi="Times New Roman"/>
                      <w:szCs w:val="21"/>
                    </w:rPr>
                    <w:t>0.6</w:t>
                  </w:r>
                </w:p>
              </w:tc>
              <w:tc>
                <w:tcPr>
                  <w:tcW w:w="558" w:type="pct"/>
                  <w:noWrap/>
                  <w:vAlign w:val="center"/>
                </w:tcPr>
                <w:p w14:paraId="6DBCC7FE">
                  <w:pPr>
                    <w:pStyle w:val="88"/>
                    <w:jc w:val="center"/>
                    <w:rPr>
                      <w:rFonts w:ascii="Times New Roman" w:hAnsi="Times New Roman"/>
                      <w:szCs w:val="21"/>
                    </w:rPr>
                  </w:pPr>
                  <w:r>
                    <w:rPr>
                      <w:rFonts w:hint="eastAsia" w:ascii="Times New Roman" w:hAnsi="Times New Roman"/>
                      <w:szCs w:val="21"/>
                    </w:rPr>
                    <w:t>5</w:t>
                  </w:r>
                  <w:r>
                    <w:rPr>
                      <w:rFonts w:ascii="Times New Roman" w:hAnsi="Times New Roman"/>
                      <w:szCs w:val="21"/>
                    </w:rPr>
                    <w:t>0</w:t>
                  </w:r>
                </w:p>
              </w:tc>
            </w:tr>
            <w:tr w14:paraId="47AC6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25" w:hRule="atLeast"/>
              </w:trPr>
              <w:tc>
                <w:tcPr>
                  <w:tcW w:w="464" w:type="pct"/>
                  <w:noWrap/>
                  <w:vAlign w:val="center"/>
                </w:tcPr>
                <w:p w14:paraId="50357F97">
                  <w:pPr>
                    <w:spacing w:line="240" w:lineRule="auto"/>
                    <w:ind w:firstLine="0" w:firstLineChars="0"/>
                    <w:jc w:val="center"/>
                  </w:pPr>
                  <w:r>
                    <w:rPr>
                      <w:rFonts w:hint="eastAsia"/>
                    </w:rPr>
                    <w:t>DA003</w:t>
                  </w:r>
                </w:p>
              </w:tc>
              <w:tc>
                <w:tcPr>
                  <w:tcW w:w="650" w:type="pct"/>
                  <w:noWrap/>
                  <w:vAlign w:val="center"/>
                </w:tcPr>
                <w:p w14:paraId="0B8DF5C6">
                  <w:pPr>
                    <w:spacing w:line="240" w:lineRule="auto"/>
                    <w:ind w:firstLine="0" w:firstLineChars="0"/>
                    <w:jc w:val="center"/>
                  </w:pPr>
                  <w:r>
                    <w:rPr>
                      <w:rFonts w:hint="eastAsia"/>
                    </w:rPr>
                    <w:t>污水处理站废气排气筒</w:t>
                  </w:r>
                </w:p>
              </w:tc>
              <w:tc>
                <w:tcPr>
                  <w:tcW w:w="674" w:type="pct"/>
                  <w:noWrap/>
                  <w:vAlign w:val="center"/>
                </w:tcPr>
                <w:p w14:paraId="3E863731">
                  <w:pPr>
                    <w:spacing w:line="240" w:lineRule="auto"/>
                    <w:ind w:firstLine="0" w:firstLineChars="0"/>
                    <w:jc w:val="center"/>
                  </w:pPr>
                  <w:r>
                    <w:rPr>
                      <w:rFonts w:hint="eastAsia"/>
                    </w:rPr>
                    <w:t>氨、硫化氢、臭气浓度</w:t>
                  </w:r>
                </w:p>
              </w:tc>
              <w:tc>
                <w:tcPr>
                  <w:tcW w:w="759" w:type="pct"/>
                  <w:noWrap/>
                  <w:vAlign w:val="center"/>
                </w:tcPr>
                <w:p w14:paraId="706ABBB3">
                  <w:pPr>
                    <w:spacing w:line="240" w:lineRule="auto"/>
                    <w:ind w:firstLine="0" w:firstLineChars="0"/>
                    <w:jc w:val="center"/>
                  </w:pPr>
                  <w:r>
                    <w:rPr>
                      <w:rFonts w:hint="eastAsia"/>
                    </w:rPr>
                    <w:t>119度 12分 6.89秒</w:t>
                  </w:r>
                </w:p>
              </w:tc>
              <w:tc>
                <w:tcPr>
                  <w:tcW w:w="647" w:type="pct"/>
                  <w:noWrap/>
                  <w:vAlign w:val="center"/>
                </w:tcPr>
                <w:p w14:paraId="5F7224B0">
                  <w:pPr>
                    <w:spacing w:line="240" w:lineRule="auto"/>
                    <w:ind w:firstLine="0" w:firstLineChars="0"/>
                    <w:jc w:val="center"/>
                  </w:pPr>
                  <w:r>
                    <w:rPr>
                      <w:rFonts w:hint="eastAsia"/>
                    </w:rPr>
                    <w:t>39度 50分 38.94秒</w:t>
                  </w:r>
                </w:p>
              </w:tc>
              <w:tc>
                <w:tcPr>
                  <w:tcW w:w="577" w:type="pct"/>
                  <w:noWrap/>
                  <w:vAlign w:val="center"/>
                </w:tcPr>
                <w:p w14:paraId="3455D720">
                  <w:pPr>
                    <w:spacing w:line="240" w:lineRule="auto"/>
                    <w:ind w:firstLine="0" w:firstLineChars="0"/>
                    <w:jc w:val="center"/>
                  </w:pPr>
                  <w:r>
                    <w:rPr>
                      <w:rFonts w:hint="eastAsia"/>
                    </w:rPr>
                    <w:t>15</w:t>
                  </w:r>
                </w:p>
              </w:tc>
              <w:tc>
                <w:tcPr>
                  <w:tcW w:w="670" w:type="pct"/>
                  <w:noWrap/>
                  <w:vAlign w:val="center"/>
                </w:tcPr>
                <w:p w14:paraId="52B8F84C">
                  <w:pPr>
                    <w:spacing w:line="240" w:lineRule="auto"/>
                    <w:ind w:firstLine="0" w:firstLineChars="0"/>
                    <w:jc w:val="center"/>
                  </w:pPr>
                  <w:r>
                    <w:rPr>
                      <w:rFonts w:hint="eastAsia"/>
                    </w:rPr>
                    <w:t>0.3</w:t>
                  </w:r>
                </w:p>
              </w:tc>
              <w:tc>
                <w:tcPr>
                  <w:tcW w:w="558" w:type="pct"/>
                  <w:noWrap/>
                  <w:vAlign w:val="center"/>
                </w:tcPr>
                <w:p w14:paraId="14773312">
                  <w:pPr>
                    <w:spacing w:line="240" w:lineRule="auto"/>
                    <w:ind w:firstLine="0" w:firstLineChars="0"/>
                    <w:jc w:val="center"/>
                  </w:pPr>
                  <w:r>
                    <w:rPr>
                      <w:rFonts w:hint="eastAsia"/>
                    </w:rPr>
                    <w:t>20</w:t>
                  </w:r>
                </w:p>
              </w:tc>
            </w:tr>
          </w:tbl>
          <w:p w14:paraId="4D49BE05">
            <w:pPr>
              <w:adjustRightInd w:val="0"/>
              <w:snapToGrid w:val="0"/>
              <w:spacing w:beforeLines="50"/>
              <w:ind w:firstLine="420"/>
            </w:pPr>
            <w:r>
              <w:t>本项目按照《排污单位自行监测技术指南总则》（HJ819-2017）</w:t>
            </w:r>
            <w:r>
              <w:rPr>
                <w:rFonts w:hint="eastAsia"/>
              </w:rPr>
              <w:t>、</w:t>
            </w:r>
            <w:r>
              <w:t>《</w:t>
            </w:r>
            <w:r>
              <w:rPr>
                <w:rFonts w:hint="eastAsia"/>
              </w:rPr>
              <w:t>排污许可证申请与核发技术规范 火力发电及锅炉</w:t>
            </w:r>
            <w:r>
              <w:t xml:space="preserve">》（HJ </w:t>
            </w:r>
            <w:r>
              <w:rPr>
                <w:rFonts w:hint="eastAsia"/>
              </w:rPr>
              <w:t>820</w:t>
            </w:r>
            <w:r>
              <w:t>—20</w:t>
            </w:r>
            <w:r>
              <w:rPr>
                <w:rFonts w:hint="eastAsia"/>
              </w:rPr>
              <w:t>17</w:t>
            </w:r>
            <w:r>
              <w:t>）和《排污单位自行监测技术指南</w:t>
            </w:r>
            <w:r>
              <w:rPr>
                <w:rFonts w:hint="eastAsia"/>
              </w:rPr>
              <w:t xml:space="preserve"> 食品制造</w:t>
            </w:r>
            <w:r>
              <w:t>》（HJ</w:t>
            </w:r>
            <w:r>
              <w:rPr>
                <w:rFonts w:hint="eastAsia"/>
              </w:rPr>
              <w:t>1084-2020</w:t>
            </w:r>
            <w:r>
              <w:t>）相关要求，开展大气污染源监测，大气污染源监测计划见下表。</w:t>
            </w:r>
          </w:p>
          <w:p w14:paraId="02E3D7E9">
            <w:pPr>
              <w:pStyle w:val="75"/>
              <w:numPr>
                <w:ilvl w:val="0"/>
                <w:numId w:val="0"/>
                <w:ins w:id="0" w:author="S" w:date="2023-11-21T14:59:00Z"/>
              </w:numPr>
              <w:adjustRightInd w:val="0"/>
              <w:snapToGrid w:val="0"/>
              <w:ind w:left="420" w:firstLine="420"/>
            </w:pPr>
            <w:r>
              <w:rPr>
                <w:rFonts w:hint="eastAsia"/>
              </w:rPr>
              <w:t>表4-3  本项目排放标准及废气</w:t>
            </w:r>
            <w:r>
              <w:t>监测要求</w:t>
            </w:r>
          </w:p>
          <w:tbl>
            <w:tblPr>
              <w:tblStyle w:val="25"/>
              <w:tblpPr w:leftFromText="180" w:rightFromText="180" w:vertAnchor="text" w:tblpXSpec="center" w:tblpY="1"/>
              <w:tblOverlap w:val="never"/>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55"/>
              <w:gridCol w:w="1218"/>
              <w:gridCol w:w="1187"/>
              <w:gridCol w:w="1133"/>
              <w:gridCol w:w="4410"/>
            </w:tblGrid>
            <w:tr w14:paraId="47AE1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jc w:val="center"/>
              </w:trPr>
              <w:tc>
                <w:tcPr>
                  <w:tcW w:w="271" w:type="pct"/>
                  <w:noWrap/>
                  <w:tcMar>
                    <w:top w:w="15" w:type="dxa"/>
                    <w:left w:w="15" w:type="dxa"/>
                    <w:right w:w="15" w:type="dxa"/>
                  </w:tcMar>
                  <w:vAlign w:val="center"/>
                </w:tcPr>
                <w:p w14:paraId="7A1120E2">
                  <w:pPr>
                    <w:pStyle w:val="40"/>
                  </w:pPr>
                  <w:r>
                    <w:rPr>
                      <w:rFonts w:hint="eastAsia"/>
                    </w:rPr>
                    <w:t>序号</w:t>
                  </w:r>
                </w:p>
              </w:tc>
              <w:tc>
                <w:tcPr>
                  <w:tcW w:w="725" w:type="pct"/>
                  <w:noWrap/>
                  <w:vAlign w:val="center"/>
                </w:tcPr>
                <w:p w14:paraId="33D3A42F">
                  <w:pPr>
                    <w:pStyle w:val="40"/>
                  </w:pPr>
                  <w:r>
                    <w:t>监测点位</w:t>
                  </w:r>
                </w:p>
              </w:tc>
              <w:tc>
                <w:tcPr>
                  <w:tcW w:w="706" w:type="pct"/>
                  <w:noWrap/>
                  <w:vAlign w:val="center"/>
                </w:tcPr>
                <w:p w14:paraId="7873E416">
                  <w:pPr>
                    <w:pStyle w:val="40"/>
                  </w:pPr>
                  <w:r>
                    <w:t>监测因子</w:t>
                  </w:r>
                </w:p>
              </w:tc>
              <w:tc>
                <w:tcPr>
                  <w:tcW w:w="674" w:type="pct"/>
                  <w:noWrap/>
                  <w:vAlign w:val="center"/>
                </w:tcPr>
                <w:p w14:paraId="6E5AF499">
                  <w:pPr>
                    <w:pStyle w:val="40"/>
                  </w:pPr>
                  <w:r>
                    <w:t>监测频次</w:t>
                  </w:r>
                </w:p>
              </w:tc>
              <w:tc>
                <w:tcPr>
                  <w:tcW w:w="2624" w:type="pct"/>
                  <w:noWrap/>
                  <w:vAlign w:val="center"/>
                </w:tcPr>
                <w:p w14:paraId="2010D42D">
                  <w:pPr>
                    <w:pStyle w:val="40"/>
                  </w:pPr>
                  <w:r>
                    <w:t>排放标准</w:t>
                  </w:r>
                </w:p>
              </w:tc>
            </w:tr>
            <w:tr w14:paraId="000B7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jc w:val="center"/>
              </w:trPr>
              <w:tc>
                <w:tcPr>
                  <w:tcW w:w="271" w:type="pct"/>
                  <w:noWrap/>
                  <w:tcMar>
                    <w:top w:w="15" w:type="dxa"/>
                    <w:left w:w="15" w:type="dxa"/>
                    <w:right w:w="15" w:type="dxa"/>
                  </w:tcMar>
                  <w:vAlign w:val="center"/>
                </w:tcPr>
                <w:p w14:paraId="30BBA039">
                  <w:pPr>
                    <w:pStyle w:val="40"/>
                  </w:pPr>
                  <w:r>
                    <w:t>1</w:t>
                  </w:r>
                </w:p>
              </w:tc>
              <w:tc>
                <w:tcPr>
                  <w:tcW w:w="725" w:type="pct"/>
                  <w:noWrap/>
                  <w:tcMar>
                    <w:top w:w="15" w:type="dxa"/>
                    <w:left w:w="15" w:type="dxa"/>
                    <w:right w:w="15" w:type="dxa"/>
                  </w:tcMar>
                  <w:vAlign w:val="center"/>
                </w:tcPr>
                <w:p w14:paraId="523ADEC6">
                  <w:pPr>
                    <w:pStyle w:val="40"/>
                  </w:pPr>
                  <w:r>
                    <w:t>DA00</w:t>
                  </w:r>
                  <w:r>
                    <w:rPr>
                      <w:rFonts w:hint="eastAsia"/>
                    </w:rPr>
                    <w:t>1</w:t>
                  </w:r>
                </w:p>
              </w:tc>
              <w:tc>
                <w:tcPr>
                  <w:tcW w:w="706" w:type="pct"/>
                  <w:noWrap/>
                </w:tcPr>
                <w:p w14:paraId="38F0F19D">
                  <w:pPr>
                    <w:pStyle w:val="40"/>
                  </w:pPr>
                  <w:r>
                    <w:rPr>
                      <w:rFonts w:hint="eastAsia"/>
                    </w:rPr>
                    <w:t>颗粒物、SO2、NOx、烟气黑度、氨逃逸</w:t>
                  </w:r>
                </w:p>
              </w:tc>
              <w:tc>
                <w:tcPr>
                  <w:tcW w:w="674" w:type="pct"/>
                  <w:noWrap/>
                  <w:vAlign w:val="center"/>
                </w:tcPr>
                <w:p w14:paraId="46480287">
                  <w:pPr>
                    <w:pStyle w:val="40"/>
                  </w:pPr>
                  <w:r>
                    <w:rPr>
                      <w:rFonts w:hint="eastAsia"/>
                    </w:rPr>
                    <w:t>1</w:t>
                  </w:r>
                  <w:r>
                    <w:t>次</w:t>
                  </w:r>
                  <w:r>
                    <w:rPr>
                      <w:rFonts w:hint="eastAsia"/>
                    </w:rPr>
                    <w:t>/月</w:t>
                  </w:r>
                </w:p>
              </w:tc>
              <w:tc>
                <w:tcPr>
                  <w:tcW w:w="2624" w:type="pct"/>
                  <w:noWrap/>
                  <w:vAlign w:val="center"/>
                </w:tcPr>
                <w:p w14:paraId="1DFDB259">
                  <w:pPr>
                    <w:spacing w:line="240" w:lineRule="auto"/>
                    <w:ind w:firstLine="0" w:firstLineChars="0"/>
                    <w:jc w:val="center"/>
                  </w:pPr>
                  <w:r>
                    <w:rPr>
                      <w:rFonts w:hint="eastAsia"/>
                    </w:rPr>
                    <w:t>《锅炉大气污染物排放标准》（DB13/5161-2020）</w:t>
                  </w:r>
                </w:p>
              </w:tc>
            </w:tr>
            <w:tr w14:paraId="3E9B8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jc w:val="center"/>
              </w:trPr>
              <w:tc>
                <w:tcPr>
                  <w:tcW w:w="271" w:type="pct"/>
                  <w:noWrap/>
                  <w:tcMar>
                    <w:top w:w="15" w:type="dxa"/>
                    <w:left w:w="15" w:type="dxa"/>
                    <w:right w:w="15" w:type="dxa"/>
                  </w:tcMar>
                  <w:vAlign w:val="center"/>
                </w:tcPr>
                <w:p w14:paraId="15501D27">
                  <w:pPr>
                    <w:pStyle w:val="40"/>
                  </w:pPr>
                  <w:r>
                    <w:rPr>
                      <w:rFonts w:hint="eastAsia"/>
                    </w:rPr>
                    <w:t>2</w:t>
                  </w:r>
                </w:p>
              </w:tc>
              <w:tc>
                <w:tcPr>
                  <w:tcW w:w="725" w:type="pct"/>
                  <w:noWrap/>
                  <w:tcMar>
                    <w:top w:w="15" w:type="dxa"/>
                    <w:left w:w="15" w:type="dxa"/>
                    <w:right w:w="15" w:type="dxa"/>
                  </w:tcMar>
                  <w:vAlign w:val="center"/>
                </w:tcPr>
                <w:p w14:paraId="68AF161E">
                  <w:pPr>
                    <w:spacing w:line="240" w:lineRule="auto"/>
                    <w:ind w:firstLine="0" w:firstLineChars="0"/>
                    <w:jc w:val="center"/>
                  </w:pPr>
                  <w:r>
                    <w:t>DA003</w:t>
                  </w:r>
                </w:p>
              </w:tc>
              <w:tc>
                <w:tcPr>
                  <w:tcW w:w="706" w:type="pct"/>
                  <w:noWrap/>
                  <w:vAlign w:val="center"/>
                </w:tcPr>
                <w:p w14:paraId="3DEC95B5">
                  <w:pPr>
                    <w:spacing w:line="240" w:lineRule="auto"/>
                    <w:ind w:firstLine="0" w:firstLineChars="0"/>
                    <w:jc w:val="center"/>
                  </w:pPr>
                  <w:r>
                    <w:rPr>
                      <w:rFonts w:hint="eastAsia"/>
                    </w:rPr>
                    <w:t>氨、硫化氢、臭气浓度</w:t>
                  </w:r>
                </w:p>
              </w:tc>
              <w:tc>
                <w:tcPr>
                  <w:tcW w:w="674" w:type="pct"/>
                  <w:noWrap/>
                  <w:vAlign w:val="center"/>
                </w:tcPr>
                <w:p w14:paraId="42B241C7">
                  <w:pPr>
                    <w:spacing w:line="240" w:lineRule="auto"/>
                    <w:ind w:firstLine="0" w:firstLineChars="0"/>
                    <w:jc w:val="center"/>
                  </w:pPr>
                  <w:r>
                    <w:rPr>
                      <w:rFonts w:hint="eastAsia"/>
                    </w:rPr>
                    <w:t>1次/季度</w:t>
                  </w:r>
                </w:p>
              </w:tc>
              <w:tc>
                <w:tcPr>
                  <w:tcW w:w="2624" w:type="pct"/>
                  <w:noWrap/>
                  <w:vAlign w:val="center"/>
                </w:tcPr>
                <w:p w14:paraId="467ADD2C">
                  <w:pPr>
                    <w:spacing w:line="240" w:lineRule="auto"/>
                    <w:ind w:firstLine="0" w:firstLineChars="0"/>
                    <w:jc w:val="center"/>
                  </w:pPr>
                  <w:r>
                    <w:rPr>
                      <w:rFonts w:hint="eastAsia"/>
                    </w:rPr>
                    <w:t>《恶臭污染物排放标准》（GB14554-1993）表2标准</w:t>
                  </w:r>
                </w:p>
              </w:tc>
            </w:tr>
            <w:tr w14:paraId="4CDDF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jc w:val="center"/>
              </w:trPr>
              <w:tc>
                <w:tcPr>
                  <w:tcW w:w="271" w:type="pct"/>
                  <w:vMerge w:val="restart"/>
                  <w:noWrap/>
                  <w:tcMar>
                    <w:top w:w="15" w:type="dxa"/>
                    <w:left w:w="15" w:type="dxa"/>
                    <w:right w:w="15" w:type="dxa"/>
                  </w:tcMar>
                  <w:vAlign w:val="center"/>
                </w:tcPr>
                <w:p w14:paraId="5F4B46EF">
                  <w:pPr>
                    <w:pStyle w:val="40"/>
                  </w:pPr>
                  <w:r>
                    <w:rPr>
                      <w:rFonts w:hint="eastAsia"/>
                    </w:rPr>
                    <w:t>3</w:t>
                  </w:r>
                </w:p>
              </w:tc>
              <w:tc>
                <w:tcPr>
                  <w:tcW w:w="725" w:type="pct"/>
                  <w:vMerge w:val="restart"/>
                  <w:noWrap/>
                  <w:tcMar>
                    <w:top w:w="15" w:type="dxa"/>
                    <w:left w:w="15" w:type="dxa"/>
                    <w:right w:w="15" w:type="dxa"/>
                  </w:tcMar>
                  <w:vAlign w:val="center"/>
                </w:tcPr>
                <w:p w14:paraId="44F5380B">
                  <w:pPr>
                    <w:pStyle w:val="40"/>
                  </w:pPr>
                  <w:r>
                    <w:t>厂界</w:t>
                  </w:r>
                </w:p>
              </w:tc>
              <w:tc>
                <w:tcPr>
                  <w:tcW w:w="706" w:type="pct"/>
                  <w:noWrap/>
                  <w:vAlign w:val="center"/>
                </w:tcPr>
                <w:p w14:paraId="487CF560">
                  <w:pPr>
                    <w:spacing w:line="240" w:lineRule="auto"/>
                    <w:ind w:firstLine="0" w:firstLineChars="0"/>
                    <w:jc w:val="center"/>
                  </w:pPr>
                  <w:r>
                    <w:rPr>
                      <w:rFonts w:hint="eastAsia"/>
                    </w:rPr>
                    <w:t>氨、硫化氢、臭气浓度</w:t>
                  </w:r>
                </w:p>
              </w:tc>
              <w:tc>
                <w:tcPr>
                  <w:tcW w:w="674" w:type="pct"/>
                  <w:noWrap/>
                  <w:vAlign w:val="center"/>
                </w:tcPr>
                <w:p w14:paraId="726F533B">
                  <w:pPr>
                    <w:spacing w:line="240" w:lineRule="auto"/>
                    <w:ind w:firstLine="0" w:firstLineChars="0"/>
                    <w:jc w:val="center"/>
                  </w:pPr>
                  <w:r>
                    <w:rPr>
                      <w:rFonts w:hint="eastAsia"/>
                    </w:rPr>
                    <w:t>1次/半年</w:t>
                  </w:r>
                </w:p>
              </w:tc>
              <w:tc>
                <w:tcPr>
                  <w:tcW w:w="2624" w:type="pct"/>
                  <w:noWrap/>
                  <w:vAlign w:val="center"/>
                </w:tcPr>
                <w:p w14:paraId="23197367">
                  <w:pPr>
                    <w:spacing w:line="240" w:lineRule="auto"/>
                    <w:ind w:firstLine="0" w:firstLineChars="0"/>
                    <w:jc w:val="center"/>
                  </w:pPr>
                  <w:r>
                    <w:rPr>
                      <w:rFonts w:hint="eastAsia"/>
                    </w:rPr>
                    <w:t>《恶臭污染物排放标准》（GB14554-1993）表1新改扩建二级标准</w:t>
                  </w:r>
                </w:p>
              </w:tc>
            </w:tr>
            <w:tr w14:paraId="65D05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jc w:val="center"/>
              </w:trPr>
              <w:tc>
                <w:tcPr>
                  <w:tcW w:w="271" w:type="pct"/>
                  <w:vMerge w:val="continue"/>
                  <w:noWrap/>
                  <w:tcMar>
                    <w:top w:w="15" w:type="dxa"/>
                    <w:left w:w="15" w:type="dxa"/>
                    <w:right w:w="15" w:type="dxa"/>
                  </w:tcMar>
                  <w:vAlign w:val="center"/>
                </w:tcPr>
                <w:p w14:paraId="27788F3D">
                  <w:pPr>
                    <w:pStyle w:val="40"/>
                  </w:pPr>
                </w:p>
              </w:tc>
              <w:tc>
                <w:tcPr>
                  <w:tcW w:w="725" w:type="pct"/>
                  <w:vMerge w:val="continue"/>
                  <w:noWrap/>
                  <w:tcMar>
                    <w:top w:w="15" w:type="dxa"/>
                    <w:left w:w="15" w:type="dxa"/>
                    <w:right w:w="15" w:type="dxa"/>
                  </w:tcMar>
                  <w:vAlign w:val="center"/>
                </w:tcPr>
                <w:p w14:paraId="4A07B487">
                  <w:pPr>
                    <w:pStyle w:val="40"/>
                  </w:pPr>
                </w:p>
              </w:tc>
              <w:tc>
                <w:tcPr>
                  <w:tcW w:w="706" w:type="pct"/>
                  <w:noWrap/>
                  <w:vAlign w:val="center"/>
                </w:tcPr>
                <w:p w14:paraId="3E892964">
                  <w:pPr>
                    <w:pStyle w:val="40"/>
                  </w:pPr>
                  <w:r>
                    <w:rPr>
                      <w:rFonts w:hint="eastAsia"/>
                    </w:rPr>
                    <w:t>颗粒物</w:t>
                  </w:r>
                </w:p>
              </w:tc>
              <w:tc>
                <w:tcPr>
                  <w:tcW w:w="674" w:type="pct"/>
                  <w:noWrap/>
                  <w:vAlign w:val="center"/>
                </w:tcPr>
                <w:p w14:paraId="0F79F370">
                  <w:pPr>
                    <w:pStyle w:val="40"/>
                  </w:pPr>
                  <w:r>
                    <w:rPr>
                      <w:rFonts w:hint="eastAsia"/>
                    </w:rPr>
                    <w:t>1次/季度</w:t>
                  </w:r>
                </w:p>
              </w:tc>
              <w:tc>
                <w:tcPr>
                  <w:tcW w:w="2624" w:type="pct"/>
                  <w:noWrap/>
                  <w:vAlign w:val="center"/>
                </w:tcPr>
                <w:p w14:paraId="153342F5">
                  <w:pPr>
                    <w:pStyle w:val="40"/>
                  </w:pPr>
                  <w:r>
                    <w:rPr>
                      <w:rFonts w:hint="eastAsia"/>
                    </w:rPr>
                    <w:t>《大气污染物综合排放标准》（GB16297-1996）表 2 排放限值要求，</w:t>
                  </w:r>
                  <w:r>
                    <w:t>同时满足《秦皇岛市人民政府办公室关于执行钢铁行业大气污染物排放特别要求的通知》</w:t>
                  </w:r>
                  <w:r>
                    <w:rPr>
                      <w:rFonts w:hint="eastAsia"/>
                    </w:rPr>
                    <w:t>中</w:t>
                  </w:r>
                  <w:r>
                    <w:t>颗粒物</w:t>
                  </w:r>
                  <w:r>
                    <w:rPr>
                      <w:rFonts w:hint="eastAsia"/>
                    </w:rPr>
                    <w:t>厂界</w:t>
                  </w:r>
                  <w:r>
                    <w:t>无组织排放浓度限值要求</w:t>
                  </w:r>
                </w:p>
              </w:tc>
            </w:tr>
          </w:tbl>
          <w:p w14:paraId="3666F9C5">
            <w:pPr>
              <w:adjustRightInd w:val="0"/>
              <w:snapToGrid w:val="0"/>
              <w:spacing w:beforeLines="50"/>
              <w:ind w:firstLine="420"/>
              <w:rPr>
                <w:bCs/>
                <w:szCs w:val="20"/>
              </w:rPr>
            </w:pPr>
            <w:r>
              <w:rPr>
                <w:bCs/>
                <w:szCs w:val="20"/>
              </w:rPr>
              <w:t>1.2源强核算过程</w:t>
            </w:r>
          </w:p>
          <w:p w14:paraId="2BD645EE">
            <w:pPr>
              <w:numPr>
                <w:ilvl w:val="0"/>
                <w:numId w:val="5"/>
              </w:numPr>
              <w:snapToGrid w:val="0"/>
              <w:ind w:firstLine="420"/>
              <w:contextualSpacing/>
              <w:rPr>
                <w:bCs/>
              </w:rPr>
            </w:pPr>
            <w:r>
              <w:rPr>
                <w:bCs/>
              </w:rPr>
              <w:t>有组织废气</w:t>
            </w:r>
          </w:p>
          <w:p w14:paraId="3BCF8507">
            <w:pPr>
              <w:snapToGrid w:val="0"/>
              <w:ind w:firstLine="420"/>
              <w:contextualSpacing/>
            </w:pPr>
            <w:r>
              <w:rPr>
                <w:rFonts w:hint="eastAsia"/>
              </w:rPr>
              <w:t>有组织废气包含生物质锅炉废气、污水处理站废气。</w:t>
            </w:r>
          </w:p>
          <w:p w14:paraId="30811A9A">
            <w:pPr>
              <w:snapToGrid w:val="0"/>
              <w:ind w:firstLine="420"/>
              <w:contextualSpacing/>
            </w:pPr>
            <w:r>
              <w:rPr>
                <w:rFonts w:hint="eastAsia"/>
              </w:rPr>
              <w:t>1）生物质锅炉废气</w:t>
            </w:r>
          </w:p>
          <w:p w14:paraId="34046FDA">
            <w:pPr>
              <w:snapToGrid w:val="0"/>
              <w:ind w:firstLine="420"/>
              <w:contextualSpacing/>
            </w:pPr>
            <w:r>
              <w:rPr>
                <w:rFonts w:hint="eastAsia"/>
              </w:rPr>
              <w:t>本项目采用1台生物质锅炉为生产进行蒸汽供应。年消耗生物质成型燃料800吨。锅炉全年运行210天，每天工作8小时。</w:t>
            </w:r>
          </w:p>
          <w:p w14:paraId="5ECEB24A">
            <w:pPr>
              <w:widowControl/>
              <w:ind w:firstLine="420"/>
              <w:jc w:val="left"/>
            </w:pPr>
            <w:r>
              <w:rPr>
                <w:rFonts w:hint="eastAsia"/>
              </w:rPr>
              <w:t>根据《污染源源强核算技术指南 锅炉》（HJ 991—2018），</w:t>
            </w:r>
            <w:r>
              <w:rPr>
                <w:rFonts w:hint="eastAsia" w:ascii="宋体" w:hAnsi="宋体" w:cs="宋体"/>
                <w:kern w:val="0"/>
                <w:szCs w:val="21"/>
              </w:rPr>
              <w:t>新（改、扩）建污染源源强核算方法选取次序为物料衡算法、类比法、产排污系数法。本项目无法获取合理的生物质成型燃料基础资料，导致计算结果无法准确反映锅炉投产后的实际排放状况；烟气量、颗粒物、氮氧化物对类比条件要求较为严格，无法获取符合类比条件的数据。综合以上因素，本次源强核算采用产排污系数法计算烟气排放量和氮氧化物排放量，采用物料衡算法计算颗粒物、二氧化硫排放量。</w:t>
            </w:r>
          </w:p>
          <w:p w14:paraId="21FC640B">
            <w:pPr>
              <w:snapToGrid w:val="0"/>
              <w:ind w:firstLine="420"/>
              <w:contextualSpacing/>
            </w:pPr>
            <w:r>
              <w:rPr>
                <w:rFonts w:hint="eastAsia"/>
              </w:rPr>
              <w:t>①烟气量</w:t>
            </w:r>
          </w:p>
          <w:p w14:paraId="2E2F68D7">
            <w:pPr>
              <w:snapToGrid w:val="0"/>
              <w:ind w:firstLine="420"/>
              <w:contextualSpacing/>
              <w:rPr>
                <w:szCs w:val="21"/>
              </w:rPr>
            </w:pPr>
            <w:r>
              <w:rPr>
                <w:kern w:val="0"/>
                <w:szCs w:val="21"/>
              </w:rPr>
              <w:t>根据《</w:t>
            </w:r>
            <w:r>
              <w:rPr>
                <w:rFonts w:hint="eastAsia"/>
                <w:kern w:val="0"/>
                <w:szCs w:val="21"/>
              </w:rPr>
              <w:t>锅炉产排污量核算系数手册</w:t>
            </w:r>
            <w:r>
              <w:rPr>
                <w:kern w:val="0"/>
                <w:szCs w:val="21"/>
              </w:rPr>
              <w:t>》</w:t>
            </w:r>
            <w:r>
              <w:rPr>
                <w:rFonts w:hint="eastAsia"/>
                <w:kern w:val="0"/>
                <w:szCs w:val="21"/>
              </w:rPr>
              <w:t>（2021年），生物质锅炉工业废气量的产污系数为6240</w:t>
            </w:r>
            <w:r>
              <w:rPr>
                <w:rFonts w:hint="eastAsia"/>
                <w:bCs/>
                <w:szCs w:val="21"/>
              </w:rPr>
              <w:t>标立方米</w:t>
            </w:r>
            <w:r>
              <w:rPr>
                <w:kern w:val="0"/>
                <w:szCs w:val="21"/>
              </w:rPr>
              <w:t>/</w:t>
            </w:r>
            <w:r>
              <w:rPr>
                <w:rFonts w:hint="eastAsia"/>
                <w:kern w:val="0"/>
                <w:szCs w:val="21"/>
              </w:rPr>
              <w:t>吨-原料，</w:t>
            </w:r>
            <w:r>
              <w:rPr>
                <w:kern w:val="0"/>
                <w:szCs w:val="21"/>
              </w:rPr>
              <w:t>本项目</w:t>
            </w:r>
            <w:r>
              <w:rPr>
                <w:rFonts w:hint="eastAsia"/>
                <w:kern w:val="0"/>
                <w:szCs w:val="21"/>
              </w:rPr>
              <w:t>锅炉</w:t>
            </w:r>
            <w:r>
              <w:rPr>
                <w:kern w:val="0"/>
                <w:szCs w:val="21"/>
              </w:rPr>
              <w:t>消耗</w:t>
            </w:r>
            <w:r>
              <w:rPr>
                <w:rFonts w:hint="eastAsia"/>
                <w:kern w:val="0"/>
                <w:szCs w:val="21"/>
              </w:rPr>
              <w:t>生物质成型燃料量为800t/a，则废气量为6240</w:t>
            </w:r>
            <w:r>
              <w:rPr>
                <w:kern w:val="0"/>
                <w:szCs w:val="21"/>
              </w:rPr>
              <w:t>×</w:t>
            </w:r>
            <w:r>
              <w:rPr>
                <w:rFonts w:hint="eastAsia"/>
                <w:kern w:val="0"/>
                <w:szCs w:val="21"/>
              </w:rPr>
              <w:t>800=4992000</w:t>
            </w:r>
            <w:r>
              <w:rPr>
                <w:bCs/>
                <w:szCs w:val="21"/>
              </w:rPr>
              <w:t xml:space="preserve"> m</w:t>
            </w:r>
            <w:r>
              <w:rPr>
                <w:bCs/>
                <w:szCs w:val="21"/>
                <w:vertAlign w:val="superscript"/>
              </w:rPr>
              <w:t>3</w:t>
            </w:r>
            <w:r>
              <w:rPr>
                <w:rFonts w:hint="eastAsia"/>
                <w:kern w:val="0"/>
                <w:szCs w:val="21"/>
              </w:rPr>
              <w:t>/a。</w:t>
            </w:r>
          </w:p>
          <w:p w14:paraId="7AA172E7">
            <w:pPr>
              <w:snapToGrid w:val="0"/>
              <w:ind w:firstLine="420"/>
              <w:contextualSpacing/>
            </w:pPr>
            <w:r>
              <w:rPr>
                <w:rFonts w:hint="eastAsia"/>
              </w:rPr>
              <w:t>②颗粒物</w:t>
            </w:r>
          </w:p>
          <w:p w14:paraId="749B3F02">
            <w:pPr>
              <w:adjustRightInd w:val="0"/>
              <w:snapToGrid w:val="0"/>
              <w:ind w:firstLine="420"/>
              <w:rPr>
                <w:szCs w:val="21"/>
              </w:rPr>
            </w:pPr>
            <w:r>
              <w:rPr>
                <w:szCs w:val="21"/>
              </w:rPr>
              <w:t>根据《污染源源强核算技术指南 锅炉》（HJ 991—2018），燃生物质锅炉颗粒物排放量按下式计算。</w:t>
            </w:r>
          </w:p>
          <w:p w14:paraId="08CF2D83">
            <w:pPr>
              <w:adjustRightInd w:val="0"/>
              <w:snapToGrid w:val="0"/>
              <w:ind w:firstLine="420"/>
              <w:jc w:val="center"/>
              <w:rPr>
                <w:szCs w:val="21"/>
              </w:rPr>
            </w:pPr>
            <m:oMathPara>
              <m:oMath>
                <m:sSub>
                  <m:sSubPr>
                    <m:ctrlPr>
                      <w:rPr>
                        <w:rFonts w:ascii="Cambria Math" w:hAnsi="Cambria Math"/>
                        <w:szCs w:val="21"/>
                      </w:rPr>
                    </m:ctrlPr>
                  </m:sSubPr>
                  <m:e>
                    <m:r>
                      <m:rPr/>
                      <w:rPr>
                        <w:rFonts w:ascii="Cambria Math" w:hAnsi="Cambria Math"/>
                        <w:szCs w:val="21"/>
                      </w:rPr>
                      <m:t>E</m:t>
                    </m:r>
                    <m:ctrlPr>
                      <w:rPr>
                        <w:rFonts w:ascii="Cambria Math" w:hAnsi="Cambria Math"/>
                        <w:szCs w:val="21"/>
                      </w:rPr>
                    </m:ctrlPr>
                  </m:e>
                  <m:sub>
                    <m:r>
                      <m:rPr/>
                      <w:rPr>
                        <w:rFonts w:ascii="Cambria Math" w:hAnsi="Cambria Math"/>
                        <w:szCs w:val="21"/>
                      </w:rPr>
                      <m:t>A</m:t>
                    </m:r>
                    <m:ctrlPr>
                      <w:rPr>
                        <w:rFonts w:ascii="Cambria Math" w:hAnsi="Cambria Math"/>
                        <w:szCs w:val="21"/>
                      </w:rPr>
                    </m:ctrlPr>
                  </m:sub>
                </m:sSub>
                <m:r>
                  <m:rPr/>
                  <w:rPr>
                    <w:rFonts w:ascii="Cambria Math" w:hAnsi="Cambria Math"/>
                    <w:szCs w:val="21"/>
                  </w:rPr>
                  <m:t>=</m:t>
                </m:r>
                <m:f>
                  <m:fPr>
                    <m:ctrlPr>
                      <w:rPr>
                        <w:rFonts w:ascii="Cambria Math" w:hAnsi="Cambria Math"/>
                        <w:i/>
                        <w:szCs w:val="21"/>
                      </w:rPr>
                    </m:ctrlPr>
                  </m:fPr>
                  <m:num>
                    <m:r>
                      <m:rPr/>
                      <w:rPr>
                        <w:rFonts w:ascii="Cambria Math" w:hAnsi="Cambria Math"/>
                        <w:szCs w:val="21"/>
                      </w:rPr>
                      <m:t>R×</m:t>
                    </m:r>
                    <m:f>
                      <m:fPr>
                        <m:ctrlPr>
                          <w:rPr>
                            <w:rFonts w:ascii="Cambria Math" w:hAnsi="Cambria Math"/>
                            <w:i/>
                            <w:szCs w:val="21"/>
                          </w:rPr>
                        </m:ctrlPr>
                      </m:fPr>
                      <m:num>
                        <m:sSub>
                          <m:sSubPr>
                            <m:ctrlPr>
                              <w:rPr>
                                <w:rFonts w:ascii="Cambria Math" w:hAnsi="Cambria Math"/>
                                <w:i/>
                                <w:szCs w:val="21"/>
                              </w:rPr>
                            </m:ctrlPr>
                          </m:sSubPr>
                          <m:e>
                            <m:r>
                              <m:rPr/>
                              <w:rPr>
                                <w:rFonts w:ascii="Cambria Math" w:hAnsi="Cambria Math"/>
                                <w:szCs w:val="21"/>
                              </w:rPr>
                              <m:t>A</m:t>
                            </m:r>
                            <m:ctrlPr>
                              <w:rPr>
                                <w:rFonts w:ascii="Cambria Math" w:hAnsi="Cambria Math"/>
                                <w:i/>
                                <w:szCs w:val="21"/>
                              </w:rPr>
                            </m:ctrlPr>
                          </m:e>
                          <m:sub>
                            <m:r>
                              <m:rPr/>
                              <w:rPr>
                                <w:rFonts w:ascii="Cambria Math" w:hAnsi="Cambria Math"/>
                                <w:szCs w:val="21"/>
                              </w:rPr>
                              <m:t>ar</m:t>
                            </m:r>
                            <m:ctrlPr>
                              <w:rPr>
                                <w:rFonts w:ascii="Cambria Math" w:hAnsi="Cambria Math"/>
                                <w:i/>
                                <w:szCs w:val="21"/>
                              </w:rPr>
                            </m:ctrlPr>
                          </m:sub>
                        </m:sSub>
                        <m:ctrlPr>
                          <w:rPr>
                            <w:rFonts w:ascii="Cambria Math" w:hAnsi="Cambria Math"/>
                            <w:i/>
                            <w:szCs w:val="21"/>
                          </w:rPr>
                        </m:ctrlPr>
                      </m:num>
                      <m:den>
                        <m:r>
                          <m:rPr/>
                          <w:rPr>
                            <w:rFonts w:ascii="Cambria Math" w:hAnsi="Cambria Math"/>
                            <w:szCs w:val="21"/>
                          </w:rPr>
                          <m:t>100</m:t>
                        </m:r>
                        <m:ctrlPr>
                          <w:rPr>
                            <w:rFonts w:ascii="Cambria Math" w:hAnsi="Cambria Math"/>
                            <w:i/>
                            <w:szCs w:val="21"/>
                          </w:rPr>
                        </m:ctrlPr>
                      </m:den>
                    </m:f>
                    <m:r>
                      <m:rPr/>
                      <w:rPr>
                        <w:rFonts w:ascii="Cambria Math" w:hAnsi="Cambria Math"/>
                        <w:szCs w:val="21"/>
                      </w:rPr>
                      <m:t>×</m:t>
                    </m:r>
                    <m:f>
                      <m:fPr>
                        <m:ctrlPr>
                          <w:rPr>
                            <w:rFonts w:ascii="Cambria Math" w:hAnsi="Cambria Math"/>
                            <w:i/>
                            <w:szCs w:val="21"/>
                          </w:rPr>
                        </m:ctrlPr>
                      </m:fPr>
                      <m:num>
                        <m:sSub>
                          <m:sSubPr>
                            <m:ctrlPr>
                              <w:rPr>
                                <w:rFonts w:ascii="Cambria Math" w:hAnsi="Cambria Math"/>
                                <w:i/>
                                <w:szCs w:val="21"/>
                              </w:rPr>
                            </m:ctrlPr>
                          </m:sSubPr>
                          <m:e>
                            <m:r>
                              <m:rPr/>
                              <w:rPr>
                                <w:rFonts w:ascii="Cambria Math" w:hAnsi="Cambria Math"/>
                                <w:szCs w:val="21"/>
                              </w:rPr>
                              <m:t>d</m:t>
                            </m:r>
                            <m:ctrlPr>
                              <w:rPr>
                                <w:rFonts w:ascii="Cambria Math" w:hAnsi="Cambria Math"/>
                                <w:i/>
                                <w:szCs w:val="21"/>
                              </w:rPr>
                            </m:ctrlPr>
                          </m:e>
                          <m:sub>
                            <m:r>
                              <m:rPr/>
                              <w:rPr>
                                <w:rFonts w:ascii="Cambria Math" w:hAnsi="Cambria Math"/>
                                <w:szCs w:val="21"/>
                              </w:rPr>
                              <m:t>fh</m:t>
                            </m:r>
                            <m:ctrlPr>
                              <w:rPr>
                                <w:rFonts w:ascii="Cambria Math" w:hAnsi="Cambria Math"/>
                                <w:i/>
                                <w:szCs w:val="21"/>
                              </w:rPr>
                            </m:ctrlPr>
                          </m:sub>
                        </m:sSub>
                        <m:ctrlPr>
                          <w:rPr>
                            <w:rFonts w:ascii="Cambria Math" w:hAnsi="Cambria Math"/>
                            <w:i/>
                            <w:szCs w:val="21"/>
                          </w:rPr>
                        </m:ctrlPr>
                      </m:num>
                      <m:den>
                        <m:r>
                          <m:rPr/>
                          <w:rPr>
                            <w:rFonts w:ascii="Cambria Math" w:hAnsi="Cambria Math"/>
                            <w:szCs w:val="21"/>
                          </w:rPr>
                          <m:t>100</m:t>
                        </m:r>
                        <m:ctrlPr>
                          <w:rPr>
                            <w:rFonts w:ascii="Cambria Math" w:hAnsi="Cambria Math"/>
                            <w:i/>
                            <w:szCs w:val="21"/>
                          </w:rPr>
                        </m:ctrlPr>
                      </m:den>
                    </m:f>
                    <m:r>
                      <m:rPr/>
                      <w:rPr>
                        <w:rFonts w:ascii="Cambria Math" w:hAnsi="Cambria Math"/>
                        <w:szCs w:val="21"/>
                      </w:rPr>
                      <m:t>×</m:t>
                    </m:r>
                    <m:d>
                      <m:dPr>
                        <m:ctrlPr>
                          <w:rPr>
                            <w:rFonts w:ascii="Cambria Math" w:hAnsi="Cambria Math"/>
                            <w:i/>
                            <w:szCs w:val="21"/>
                          </w:rPr>
                        </m:ctrlPr>
                      </m:dPr>
                      <m:e>
                        <m:r>
                          <m:rPr/>
                          <w:rPr>
                            <w:rFonts w:ascii="Cambria Math" w:hAnsi="Cambria Math"/>
                            <w:szCs w:val="21"/>
                          </w:rPr>
                          <m:t>1−</m:t>
                        </m:r>
                        <m:f>
                          <m:fPr>
                            <m:ctrlPr>
                              <w:rPr>
                                <w:rFonts w:ascii="Cambria Math" w:hAnsi="Cambria Math"/>
                                <w:i/>
                                <w:szCs w:val="21"/>
                              </w:rPr>
                            </m:ctrlPr>
                          </m:fPr>
                          <m:num>
                            <m:sSub>
                              <m:sSubPr>
                                <m:ctrlPr>
                                  <w:rPr>
                                    <w:rFonts w:ascii="Cambria Math" w:hAnsi="Cambria Math"/>
                                    <w:i/>
                                    <w:szCs w:val="21"/>
                                  </w:rPr>
                                </m:ctrlPr>
                              </m:sSubPr>
                              <m:e>
                                <m:r>
                                  <m:rPr/>
                                  <w:rPr>
                                    <w:rFonts w:ascii="Cambria Math" w:hAnsi="Cambria Math"/>
                                    <w:szCs w:val="21"/>
                                  </w:rPr>
                                  <m:t>η</m:t>
                                </m:r>
                                <m:ctrlPr>
                                  <w:rPr>
                                    <w:rFonts w:ascii="Cambria Math" w:hAnsi="Cambria Math"/>
                                    <w:i/>
                                    <w:szCs w:val="21"/>
                                  </w:rPr>
                                </m:ctrlPr>
                              </m:e>
                              <m:sub>
                                <m:r>
                                  <m:rPr/>
                                  <w:rPr>
                                    <w:rFonts w:ascii="Cambria Math" w:hAnsi="Cambria Math"/>
                                    <w:szCs w:val="21"/>
                                  </w:rPr>
                                  <m:t>c</m:t>
                                </m:r>
                                <m:ctrlPr>
                                  <w:rPr>
                                    <w:rFonts w:ascii="Cambria Math" w:hAnsi="Cambria Math"/>
                                    <w:i/>
                                    <w:szCs w:val="21"/>
                                  </w:rPr>
                                </m:ctrlPr>
                              </m:sub>
                            </m:sSub>
                            <m:ctrlPr>
                              <w:rPr>
                                <w:rFonts w:ascii="Cambria Math" w:hAnsi="Cambria Math"/>
                                <w:i/>
                                <w:szCs w:val="21"/>
                              </w:rPr>
                            </m:ctrlPr>
                          </m:num>
                          <m:den>
                            <m:r>
                              <m:rPr/>
                              <w:rPr>
                                <w:rFonts w:ascii="Cambria Math" w:hAnsi="Cambria Math"/>
                                <w:szCs w:val="21"/>
                              </w:rPr>
                              <m:t>100</m:t>
                            </m:r>
                            <m:ctrlPr>
                              <w:rPr>
                                <w:rFonts w:ascii="Cambria Math" w:hAnsi="Cambria Math"/>
                                <w:i/>
                                <w:szCs w:val="21"/>
                              </w:rPr>
                            </m:ctrlPr>
                          </m:den>
                        </m:f>
                        <m:ctrlPr>
                          <w:rPr>
                            <w:rFonts w:ascii="Cambria Math" w:hAnsi="Cambria Math"/>
                            <w:i/>
                            <w:szCs w:val="21"/>
                          </w:rPr>
                        </m:ctrlPr>
                      </m:e>
                    </m:d>
                    <m:ctrlPr>
                      <w:rPr>
                        <w:rFonts w:ascii="Cambria Math" w:hAnsi="Cambria Math"/>
                        <w:i/>
                        <w:szCs w:val="21"/>
                      </w:rPr>
                    </m:ctrlPr>
                  </m:num>
                  <m:den>
                    <m:r>
                      <m:rPr/>
                      <w:rPr>
                        <w:rFonts w:ascii="Cambria Math" w:hAnsi="Cambria Math"/>
                        <w:szCs w:val="21"/>
                      </w:rPr>
                      <m:t>1−</m:t>
                    </m:r>
                    <m:f>
                      <m:fPr>
                        <m:ctrlPr>
                          <w:rPr>
                            <w:rFonts w:ascii="Cambria Math" w:hAnsi="Cambria Math"/>
                            <w:i/>
                            <w:szCs w:val="21"/>
                          </w:rPr>
                        </m:ctrlPr>
                      </m:fPr>
                      <m:num>
                        <m:sSub>
                          <m:sSubPr>
                            <m:ctrlPr>
                              <w:rPr>
                                <w:rFonts w:ascii="Cambria Math" w:hAnsi="Cambria Math"/>
                                <w:i/>
                                <w:szCs w:val="21"/>
                              </w:rPr>
                            </m:ctrlPr>
                          </m:sSubPr>
                          <m:e>
                            <m:r>
                              <m:rPr/>
                              <w:rPr>
                                <w:rFonts w:ascii="Cambria Math" w:hAnsi="Cambria Math"/>
                                <w:szCs w:val="21"/>
                              </w:rPr>
                              <m:t>C</m:t>
                            </m:r>
                            <m:ctrlPr>
                              <w:rPr>
                                <w:rFonts w:ascii="Cambria Math" w:hAnsi="Cambria Math"/>
                                <w:i/>
                                <w:szCs w:val="21"/>
                              </w:rPr>
                            </m:ctrlPr>
                          </m:e>
                          <m:sub>
                            <m:r>
                              <m:rPr/>
                              <w:rPr>
                                <w:rFonts w:ascii="Cambria Math" w:hAnsi="Cambria Math"/>
                                <w:szCs w:val="21"/>
                              </w:rPr>
                              <m:t>fh</m:t>
                            </m:r>
                            <m:ctrlPr>
                              <w:rPr>
                                <w:rFonts w:ascii="Cambria Math" w:hAnsi="Cambria Math"/>
                                <w:i/>
                                <w:szCs w:val="21"/>
                              </w:rPr>
                            </m:ctrlPr>
                          </m:sub>
                        </m:sSub>
                        <m:ctrlPr>
                          <w:rPr>
                            <w:rFonts w:ascii="Cambria Math" w:hAnsi="Cambria Math"/>
                            <w:i/>
                            <w:szCs w:val="21"/>
                          </w:rPr>
                        </m:ctrlPr>
                      </m:num>
                      <m:den>
                        <m:r>
                          <m:rPr/>
                          <w:rPr>
                            <w:rFonts w:ascii="Cambria Math" w:hAnsi="Cambria Math"/>
                            <w:szCs w:val="21"/>
                          </w:rPr>
                          <m:t>100</m:t>
                        </m:r>
                        <m:ctrlPr>
                          <w:rPr>
                            <w:rFonts w:ascii="Cambria Math" w:hAnsi="Cambria Math"/>
                            <w:i/>
                            <w:szCs w:val="21"/>
                          </w:rPr>
                        </m:ctrlPr>
                      </m:den>
                    </m:f>
                    <m:ctrlPr>
                      <w:rPr>
                        <w:rFonts w:ascii="Cambria Math" w:hAnsi="Cambria Math"/>
                        <w:i/>
                        <w:szCs w:val="21"/>
                      </w:rPr>
                    </m:ctrlPr>
                  </m:den>
                </m:f>
              </m:oMath>
            </m:oMathPara>
          </w:p>
          <w:p w14:paraId="49944698">
            <w:pPr>
              <w:adjustRightInd w:val="0"/>
              <w:snapToGrid w:val="0"/>
              <w:ind w:firstLine="420"/>
              <w:rPr>
                <w:szCs w:val="21"/>
              </w:rPr>
            </w:pPr>
            <w:r>
              <w:rPr>
                <w:szCs w:val="21"/>
              </w:rPr>
              <w:t>式中：</w:t>
            </w:r>
          </w:p>
          <w:p w14:paraId="7126B8C5">
            <w:pPr>
              <w:adjustRightInd w:val="0"/>
              <w:snapToGrid w:val="0"/>
              <w:ind w:firstLine="420"/>
              <w:outlineLvl w:val="0"/>
              <w:rPr>
                <w:szCs w:val="21"/>
              </w:rPr>
            </w:pPr>
            <w:r>
              <w:rPr>
                <w:szCs w:val="21"/>
              </w:rPr>
              <w:t>E</w:t>
            </w:r>
            <w:r>
              <w:rPr>
                <w:szCs w:val="21"/>
                <w:vertAlign w:val="subscript"/>
              </w:rPr>
              <w:t>A</w:t>
            </w:r>
            <w:r>
              <w:rPr>
                <w:szCs w:val="21"/>
              </w:rPr>
              <w:t>——核算时段内颗粒物（烟尘）排放量，t；</w:t>
            </w:r>
          </w:p>
          <w:p w14:paraId="27F47088">
            <w:pPr>
              <w:adjustRightInd w:val="0"/>
              <w:snapToGrid w:val="0"/>
              <w:ind w:firstLine="420"/>
              <w:rPr>
                <w:szCs w:val="21"/>
              </w:rPr>
            </w:pPr>
            <w:r>
              <w:rPr>
                <w:szCs w:val="21"/>
              </w:rPr>
              <w:t>R——核算时段内锅炉燃料耗量，t；</w:t>
            </w:r>
          </w:p>
          <w:p w14:paraId="2446646F">
            <w:pPr>
              <w:adjustRightInd w:val="0"/>
              <w:snapToGrid w:val="0"/>
              <w:ind w:firstLine="420"/>
              <w:rPr>
                <w:szCs w:val="21"/>
              </w:rPr>
            </w:pPr>
            <w:r>
              <w:rPr>
                <w:szCs w:val="21"/>
              </w:rPr>
              <w:t>Aar——收到基灰分的质量分数，%；</w:t>
            </w:r>
          </w:p>
          <w:p w14:paraId="709E1A1F">
            <w:pPr>
              <w:adjustRightInd w:val="0"/>
              <w:snapToGrid w:val="0"/>
              <w:ind w:firstLine="420"/>
              <w:rPr>
                <w:szCs w:val="21"/>
              </w:rPr>
            </w:pPr>
            <w:r>
              <w:rPr>
                <w:szCs w:val="21"/>
              </w:rPr>
              <w:t>dfh——锅炉烟气带出的飞灰份额，%；</w:t>
            </w:r>
          </w:p>
          <w:p w14:paraId="19603ADF">
            <w:pPr>
              <w:adjustRightInd w:val="0"/>
              <w:snapToGrid w:val="0"/>
              <w:ind w:firstLine="420"/>
              <w:rPr>
                <w:szCs w:val="21"/>
              </w:rPr>
            </w:pPr>
            <w:r>
              <w:rPr>
                <w:szCs w:val="21"/>
              </w:rPr>
              <w:t>ηc——综合除尘效率，%；</w:t>
            </w:r>
          </w:p>
          <w:p w14:paraId="0DAE155B">
            <w:pPr>
              <w:adjustRightInd w:val="0"/>
              <w:snapToGrid w:val="0"/>
              <w:ind w:firstLine="420"/>
              <w:rPr>
                <w:szCs w:val="21"/>
              </w:rPr>
            </w:pPr>
            <w:r>
              <w:rPr>
                <w:szCs w:val="21"/>
              </w:rPr>
              <w:t>Cfh——</w:t>
            </w:r>
            <w:bookmarkStart w:id="96" w:name="OLE_LINK16"/>
            <w:bookmarkStart w:id="97" w:name="OLE_LINK9"/>
            <w:r>
              <w:rPr>
                <w:szCs w:val="21"/>
              </w:rPr>
              <w:t>飞灰中的可燃物含量</w:t>
            </w:r>
            <w:bookmarkEnd w:id="96"/>
            <w:bookmarkEnd w:id="97"/>
            <w:r>
              <w:rPr>
                <w:szCs w:val="21"/>
              </w:rPr>
              <w:t>，%。</w:t>
            </w:r>
          </w:p>
          <w:p w14:paraId="13BBD5A7">
            <w:pPr>
              <w:snapToGrid w:val="0"/>
              <w:ind w:firstLine="420"/>
              <w:contextualSpacing/>
              <w:rPr>
                <w:kern w:val="0"/>
                <w:szCs w:val="21"/>
              </w:rPr>
            </w:pPr>
            <w:r>
              <w:rPr>
                <w:szCs w:val="21"/>
              </w:rPr>
              <w:t>项目年消耗生物质燃料R为</w:t>
            </w:r>
            <w:r>
              <w:rPr>
                <w:rFonts w:hint="eastAsia"/>
                <w:szCs w:val="21"/>
              </w:rPr>
              <w:t>8</w:t>
            </w:r>
            <w:r>
              <w:rPr>
                <w:szCs w:val="21"/>
              </w:rPr>
              <w:t>00t；项目选用优质生物质颗粒，Aar取</w:t>
            </w:r>
            <w:r>
              <w:rPr>
                <w:rFonts w:hint="eastAsia"/>
                <w:szCs w:val="21"/>
              </w:rPr>
              <w:t>4.30</w:t>
            </w:r>
            <w:r>
              <w:rPr>
                <w:szCs w:val="21"/>
              </w:rPr>
              <w:t>%。根据《污染源源强核算技术指南 锅炉》（HJ 991—2018）附录B，表B.2，项目生物质锅炉d</w:t>
            </w:r>
            <w:r>
              <w:rPr>
                <w:szCs w:val="21"/>
                <w:vertAlign w:val="subscript"/>
              </w:rPr>
              <w:t>fh</w:t>
            </w:r>
            <w:r>
              <w:rPr>
                <w:szCs w:val="21"/>
              </w:rPr>
              <w:t>取</w:t>
            </w:r>
            <w:r>
              <w:rPr>
                <w:rFonts w:hint="eastAsia"/>
                <w:szCs w:val="21"/>
              </w:rPr>
              <w:t>5</w:t>
            </w:r>
            <w:r>
              <w:rPr>
                <w:szCs w:val="21"/>
              </w:rPr>
              <w:t>0%。计算颗粒物产生量，则ηc取0。飞灰中的可燃物含量参考</w:t>
            </w:r>
            <w:bookmarkStart w:id="98" w:name="OLE_LINK92"/>
            <w:bookmarkStart w:id="99" w:name="OLE_LINK93"/>
            <w:r>
              <w:rPr>
                <w:szCs w:val="21"/>
              </w:rPr>
              <w:t>《GBT15317-2009燃煤工业锅炉节能监测》（GB/T15317）</w:t>
            </w:r>
            <w:bookmarkEnd w:id="98"/>
            <w:bookmarkEnd w:id="99"/>
            <w:r>
              <w:rPr>
                <w:szCs w:val="21"/>
              </w:rPr>
              <w:t>，则C</w:t>
            </w:r>
            <w:r>
              <w:rPr>
                <w:szCs w:val="21"/>
                <w:vertAlign w:val="subscript"/>
              </w:rPr>
              <w:t>fh</w:t>
            </w:r>
            <w:r>
              <w:rPr>
                <w:szCs w:val="21"/>
              </w:rPr>
              <w:t>取</w:t>
            </w:r>
            <w:r>
              <w:rPr>
                <w:rFonts w:hint="eastAsia"/>
                <w:szCs w:val="21"/>
              </w:rPr>
              <w:t>5</w:t>
            </w:r>
            <w:r>
              <w:rPr>
                <w:szCs w:val="21"/>
              </w:rPr>
              <w:t>。因此项目颗粒物产生量为</w:t>
            </w:r>
            <w:r>
              <w:rPr>
                <w:rFonts w:hint="eastAsia"/>
                <w:szCs w:val="21"/>
              </w:rPr>
              <w:t>18.11</w:t>
            </w:r>
            <w:r>
              <w:rPr>
                <w:szCs w:val="21"/>
              </w:rPr>
              <w:t>t/a，</w:t>
            </w:r>
            <w:r>
              <w:rPr>
                <w:rFonts w:hint="eastAsia"/>
                <w:szCs w:val="21"/>
              </w:rPr>
              <w:t>产生速率为10.78kg/h，</w:t>
            </w:r>
            <w:r>
              <w:rPr>
                <w:szCs w:val="21"/>
              </w:rPr>
              <w:t>产生浓度为</w:t>
            </w:r>
            <w:r>
              <w:rPr>
                <w:rFonts w:hint="eastAsia"/>
                <w:szCs w:val="21"/>
              </w:rPr>
              <w:t>3627.88</w:t>
            </w:r>
            <w:r>
              <w:rPr>
                <w:szCs w:val="21"/>
              </w:rPr>
              <w:t>mg/m</w:t>
            </w:r>
            <w:r>
              <w:rPr>
                <w:szCs w:val="21"/>
                <w:vertAlign w:val="superscript"/>
              </w:rPr>
              <w:t>3</w:t>
            </w:r>
            <w:r>
              <w:rPr>
                <w:szCs w:val="21"/>
              </w:rPr>
              <w:t>。产生的颗粒物经去除效率为99</w:t>
            </w:r>
            <w:r>
              <w:rPr>
                <w:rFonts w:hint="eastAsia"/>
                <w:szCs w:val="21"/>
              </w:rPr>
              <w:t>.5</w:t>
            </w:r>
            <w:r>
              <w:rPr>
                <w:szCs w:val="21"/>
              </w:rPr>
              <w:t>%的旋风除尘+布袋除尘器处理后排放，则排放量为0.0</w:t>
            </w:r>
            <w:r>
              <w:rPr>
                <w:rFonts w:hint="eastAsia"/>
                <w:szCs w:val="21"/>
              </w:rPr>
              <w:t>9</w:t>
            </w:r>
            <w:r>
              <w:rPr>
                <w:szCs w:val="21"/>
              </w:rPr>
              <w:t>t/a，</w:t>
            </w:r>
            <w:r>
              <w:rPr>
                <w:rFonts w:hint="eastAsia"/>
                <w:szCs w:val="21"/>
              </w:rPr>
              <w:t>排放速率为0.05kg/h，</w:t>
            </w:r>
            <w:r>
              <w:rPr>
                <w:szCs w:val="21"/>
              </w:rPr>
              <w:t>排放浓度为</w:t>
            </w:r>
            <w:r>
              <w:rPr>
                <w:rFonts w:hint="eastAsia"/>
                <w:szCs w:val="21"/>
              </w:rPr>
              <w:t>16.83</w:t>
            </w:r>
            <w:r>
              <w:rPr>
                <w:szCs w:val="21"/>
              </w:rPr>
              <w:t>mg/m</w:t>
            </w:r>
            <w:r>
              <w:rPr>
                <w:szCs w:val="21"/>
                <w:vertAlign w:val="superscript"/>
              </w:rPr>
              <w:t>3</w:t>
            </w:r>
            <w:r>
              <w:rPr>
                <w:szCs w:val="21"/>
              </w:rPr>
              <w:t>。</w:t>
            </w:r>
          </w:p>
          <w:p w14:paraId="36865602">
            <w:pPr>
              <w:snapToGrid w:val="0"/>
              <w:ind w:firstLine="420"/>
              <w:contextualSpacing/>
            </w:pPr>
            <w:r>
              <w:rPr>
                <w:rFonts w:hint="eastAsia"/>
              </w:rPr>
              <w:t>③二氧化硫</w:t>
            </w:r>
          </w:p>
          <w:p w14:paraId="16E6DF42">
            <w:pPr>
              <w:adjustRightInd w:val="0"/>
              <w:snapToGrid w:val="0"/>
              <w:ind w:firstLine="420"/>
              <w:rPr>
                <w:szCs w:val="21"/>
              </w:rPr>
            </w:pPr>
            <w:r>
              <w:rPr>
                <w:szCs w:val="21"/>
              </w:rPr>
              <w:t>燃生物质锅炉二氧化硫排放量按下式计算。</w:t>
            </w:r>
          </w:p>
          <w:p w14:paraId="01D0F6D9">
            <w:pPr>
              <w:adjustRightInd w:val="0"/>
              <w:snapToGrid w:val="0"/>
              <w:ind w:firstLine="420"/>
              <w:jc w:val="center"/>
              <w:rPr>
                <w:szCs w:val="21"/>
              </w:rPr>
            </w:pPr>
            <m:oMathPara>
              <m:oMath>
                <m:sSub>
                  <m:sSubPr>
                    <m:ctrlPr>
                      <w:rPr>
                        <w:rFonts w:ascii="Cambria Math" w:hAnsi="Cambria Math"/>
                        <w:szCs w:val="21"/>
                      </w:rPr>
                    </m:ctrlPr>
                  </m:sSubPr>
                  <m:e>
                    <m:r>
                      <m:rPr/>
                      <w:rPr>
                        <w:rFonts w:ascii="Cambria Math" w:hAnsi="Cambria Math"/>
                        <w:szCs w:val="21"/>
                      </w:rPr>
                      <m:t>E</m:t>
                    </m:r>
                    <m:ctrlPr>
                      <w:rPr>
                        <w:rFonts w:ascii="Cambria Math" w:hAnsi="Cambria Math"/>
                        <w:szCs w:val="21"/>
                      </w:rPr>
                    </m:ctrlPr>
                  </m:e>
                  <m:sub>
                    <m:sSub>
                      <m:sSubPr>
                        <m:ctrlPr>
                          <w:rPr>
                            <w:rFonts w:ascii="Cambria Math" w:hAnsi="Cambria Math"/>
                            <w:i/>
                            <w:szCs w:val="21"/>
                          </w:rPr>
                        </m:ctrlPr>
                      </m:sSubPr>
                      <m:e>
                        <m:r>
                          <m:rPr/>
                          <w:rPr>
                            <w:rFonts w:ascii="Cambria Math" w:hAnsi="Cambria Math"/>
                            <w:szCs w:val="21"/>
                          </w:rPr>
                          <m:t>SO</m:t>
                        </m:r>
                        <m:ctrlPr>
                          <w:rPr>
                            <w:rFonts w:ascii="Cambria Math" w:hAnsi="Cambria Math"/>
                            <w:i/>
                            <w:szCs w:val="21"/>
                          </w:rPr>
                        </m:ctrlPr>
                      </m:e>
                      <m:sub>
                        <m:r>
                          <m:rPr/>
                          <w:rPr>
                            <w:rFonts w:ascii="Cambria Math" w:hAnsi="Cambria Math"/>
                            <w:szCs w:val="21"/>
                          </w:rPr>
                          <m:t>2</m:t>
                        </m:r>
                        <m:ctrlPr>
                          <w:rPr>
                            <w:rFonts w:ascii="Cambria Math" w:hAnsi="Cambria Math"/>
                            <w:i/>
                            <w:szCs w:val="21"/>
                          </w:rPr>
                        </m:ctrlPr>
                      </m:sub>
                    </m:sSub>
                    <m:r>
                      <m:rPr/>
                      <w:rPr>
                        <w:rFonts w:ascii="Cambria Math" w:hAnsi="Cambria Math"/>
                        <w:szCs w:val="21"/>
                      </w:rPr>
                      <m:t>=</m:t>
                    </m:r>
                    <m:ctrlPr>
                      <w:rPr>
                        <w:rFonts w:ascii="Cambria Math" w:hAnsi="Cambria Math"/>
                        <w:i/>
                        <w:szCs w:val="21"/>
                      </w:rPr>
                    </m:ctrlPr>
                  </m:sub>
                </m:sSub>
                <m:r>
                  <m:rPr/>
                  <w:rPr>
                    <w:rFonts w:ascii="Cambria Math" w:hAnsi="Cambria Math"/>
                    <w:szCs w:val="21"/>
                  </w:rPr>
                  <m:t>2R×</m:t>
                </m:r>
                <m:f>
                  <m:fPr>
                    <m:ctrlPr>
                      <w:rPr>
                        <w:rFonts w:ascii="Cambria Math" w:hAnsi="Cambria Math"/>
                        <w:i/>
                        <w:szCs w:val="21"/>
                      </w:rPr>
                    </m:ctrlPr>
                  </m:fPr>
                  <m:num>
                    <m:sSub>
                      <m:sSubPr>
                        <m:ctrlPr>
                          <w:rPr>
                            <w:rFonts w:ascii="Cambria Math" w:hAnsi="Cambria Math"/>
                            <w:i/>
                            <w:szCs w:val="21"/>
                          </w:rPr>
                        </m:ctrlPr>
                      </m:sSubPr>
                      <m:e>
                        <m:r>
                          <m:rPr/>
                          <w:rPr>
                            <w:rFonts w:ascii="Cambria Math" w:hAnsi="Cambria Math"/>
                            <w:szCs w:val="21"/>
                          </w:rPr>
                          <m:t>S</m:t>
                        </m:r>
                        <m:ctrlPr>
                          <w:rPr>
                            <w:rFonts w:ascii="Cambria Math" w:hAnsi="Cambria Math"/>
                            <w:i/>
                            <w:szCs w:val="21"/>
                          </w:rPr>
                        </m:ctrlPr>
                      </m:e>
                      <m:sub>
                        <m:r>
                          <m:rPr/>
                          <w:rPr>
                            <w:rFonts w:ascii="Cambria Math" w:hAnsi="Cambria Math"/>
                            <w:szCs w:val="21"/>
                          </w:rPr>
                          <m:t>ar</m:t>
                        </m:r>
                        <m:ctrlPr>
                          <w:rPr>
                            <w:rFonts w:ascii="Cambria Math" w:hAnsi="Cambria Math"/>
                            <w:i/>
                            <w:szCs w:val="21"/>
                          </w:rPr>
                        </m:ctrlPr>
                      </m:sub>
                    </m:sSub>
                    <m:ctrlPr>
                      <w:rPr>
                        <w:rFonts w:ascii="Cambria Math" w:hAnsi="Cambria Math"/>
                        <w:i/>
                        <w:szCs w:val="21"/>
                      </w:rPr>
                    </m:ctrlPr>
                  </m:num>
                  <m:den>
                    <m:r>
                      <m:rPr/>
                      <w:rPr>
                        <w:rFonts w:ascii="Cambria Math" w:hAnsi="Cambria Math"/>
                        <w:szCs w:val="21"/>
                      </w:rPr>
                      <m:t>100</m:t>
                    </m:r>
                    <m:ctrlPr>
                      <w:rPr>
                        <w:rFonts w:ascii="Cambria Math" w:hAnsi="Cambria Math"/>
                        <w:i/>
                        <w:szCs w:val="21"/>
                      </w:rPr>
                    </m:ctrlPr>
                  </m:den>
                </m:f>
                <m:r>
                  <m:rPr/>
                  <w:rPr>
                    <w:rFonts w:ascii="Cambria Math" w:hAnsi="Cambria Math"/>
                    <w:szCs w:val="21"/>
                  </w:rPr>
                  <m:t>×</m:t>
                </m:r>
                <m:d>
                  <m:dPr>
                    <m:ctrlPr>
                      <w:rPr>
                        <w:rFonts w:ascii="Cambria Math" w:hAnsi="Cambria Math"/>
                        <w:i/>
                        <w:szCs w:val="21"/>
                      </w:rPr>
                    </m:ctrlPr>
                  </m:dPr>
                  <m:e>
                    <m:r>
                      <m:rPr/>
                      <w:rPr>
                        <w:rFonts w:ascii="Cambria Math" w:hAnsi="Cambria Math"/>
                        <w:szCs w:val="21"/>
                      </w:rPr>
                      <m:t>1−</m:t>
                    </m:r>
                    <m:f>
                      <m:fPr>
                        <m:ctrlPr>
                          <w:rPr>
                            <w:rFonts w:ascii="Cambria Math" w:hAnsi="Cambria Math"/>
                            <w:i/>
                            <w:szCs w:val="21"/>
                          </w:rPr>
                        </m:ctrlPr>
                      </m:fPr>
                      <m:num>
                        <m:sSub>
                          <m:sSubPr>
                            <m:ctrlPr>
                              <w:rPr>
                                <w:rFonts w:ascii="Cambria Math" w:hAnsi="Cambria Math"/>
                                <w:i/>
                                <w:szCs w:val="21"/>
                              </w:rPr>
                            </m:ctrlPr>
                          </m:sSubPr>
                          <m:e>
                            <m:r>
                              <m:rPr/>
                              <w:rPr>
                                <w:rFonts w:ascii="Cambria Math" w:hAnsi="Cambria Math"/>
                                <w:szCs w:val="21"/>
                              </w:rPr>
                              <m:t>q</m:t>
                            </m:r>
                            <m:ctrlPr>
                              <w:rPr>
                                <w:rFonts w:ascii="Cambria Math" w:hAnsi="Cambria Math"/>
                                <w:i/>
                                <w:szCs w:val="21"/>
                              </w:rPr>
                            </m:ctrlPr>
                          </m:e>
                          <m:sub>
                            <m:r>
                              <m:rPr/>
                              <w:rPr>
                                <w:rFonts w:ascii="Cambria Math" w:hAnsi="Cambria Math"/>
                                <w:szCs w:val="21"/>
                              </w:rPr>
                              <m:t>4</m:t>
                            </m:r>
                            <m:ctrlPr>
                              <w:rPr>
                                <w:rFonts w:ascii="Cambria Math" w:hAnsi="Cambria Math"/>
                                <w:i/>
                                <w:szCs w:val="21"/>
                              </w:rPr>
                            </m:ctrlPr>
                          </m:sub>
                        </m:sSub>
                        <m:ctrlPr>
                          <w:rPr>
                            <w:rFonts w:ascii="Cambria Math" w:hAnsi="Cambria Math"/>
                            <w:i/>
                            <w:szCs w:val="21"/>
                          </w:rPr>
                        </m:ctrlPr>
                      </m:num>
                      <m:den>
                        <m:r>
                          <m:rPr/>
                          <w:rPr>
                            <w:rFonts w:ascii="Cambria Math" w:hAnsi="Cambria Math"/>
                            <w:szCs w:val="21"/>
                          </w:rPr>
                          <m:t>100</m:t>
                        </m:r>
                        <m:ctrlPr>
                          <w:rPr>
                            <w:rFonts w:ascii="Cambria Math" w:hAnsi="Cambria Math"/>
                            <w:i/>
                            <w:szCs w:val="21"/>
                          </w:rPr>
                        </m:ctrlPr>
                      </m:den>
                    </m:f>
                    <m:ctrlPr>
                      <w:rPr>
                        <w:rFonts w:ascii="Cambria Math" w:hAnsi="Cambria Math"/>
                        <w:i/>
                        <w:szCs w:val="21"/>
                      </w:rPr>
                    </m:ctrlPr>
                  </m:e>
                </m:d>
                <m:r>
                  <m:rPr/>
                  <w:rPr>
                    <w:rFonts w:ascii="Cambria Math" w:hAnsi="Cambria Math"/>
                    <w:szCs w:val="21"/>
                  </w:rPr>
                  <m:t>×</m:t>
                </m:r>
                <m:d>
                  <m:dPr>
                    <m:ctrlPr>
                      <w:rPr>
                        <w:rFonts w:ascii="Cambria Math" w:hAnsi="Cambria Math"/>
                        <w:i/>
                        <w:szCs w:val="21"/>
                      </w:rPr>
                    </m:ctrlPr>
                  </m:dPr>
                  <m:e>
                    <m:r>
                      <m:rPr/>
                      <w:rPr>
                        <w:rFonts w:ascii="Cambria Math" w:hAnsi="Cambria Math"/>
                        <w:szCs w:val="21"/>
                      </w:rPr>
                      <m:t>1−</m:t>
                    </m:r>
                    <m:f>
                      <m:fPr>
                        <m:ctrlPr>
                          <w:rPr>
                            <w:rFonts w:ascii="Cambria Math" w:hAnsi="Cambria Math"/>
                            <w:i/>
                            <w:szCs w:val="21"/>
                          </w:rPr>
                        </m:ctrlPr>
                      </m:fPr>
                      <m:num>
                        <m:sSub>
                          <m:sSubPr>
                            <m:ctrlPr>
                              <w:rPr>
                                <w:rFonts w:ascii="Cambria Math" w:hAnsi="Cambria Math"/>
                                <w:i/>
                                <w:szCs w:val="21"/>
                              </w:rPr>
                            </m:ctrlPr>
                          </m:sSubPr>
                          <m:e>
                            <m:r>
                              <m:rPr/>
                              <w:rPr>
                                <w:rFonts w:ascii="Cambria Math" w:hAnsi="Cambria Math"/>
                                <w:szCs w:val="21"/>
                              </w:rPr>
                              <m:t>η</m:t>
                            </m:r>
                            <m:ctrlPr>
                              <w:rPr>
                                <w:rFonts w:ascii="Cambria Math" w:hAnsi="Cambria Math"/>
                                <w:i/>
                                <w:szCs w:val="21"/>
                              </w:rPr>
                            </m:ctrlPr>
                          </m:e>
                          <m:sub>
                            <m:r>
                              <m:rPr/>
                              <w:rPr>
                                <w:rFonts w:ascii="Cambria Math" w:hAnsi="Cambria Math"/>
                                <w:szCs w:val="21"/>
                              </w:rPr>
                              <m:t>S</m:t>
                            </m:r>
                            <m:ctrlPr>
                              <w:rPr>
                                <w:rFonts w:ascii="Cambria Math" w:hAnsi="Cambria Math"/>
                                <w:i/>
                                <w:szCs w:val="21"/>
                              </w:rPr>
                            </m:ctrlPr>
                          </m:sub>
                        </m:sSub>
                        <m:ctrlPr>
                          <w:rPr>
                            <w:rFonts w:ascii="Cambria Math" w:hAnsi="Cambria Math"/>
                            <w:i/>
                            <w:szCs w:val="21"/>
                          </w:rPr>
                        </m:ctrlPr>
                      </m:num>
                      <m:den>
                        <m:r>
                          <m:rPr/>
                          <w:rPr>
                            <w:rFonts w:ascii="Cambria Math" w:hAnsi="Cambria Math"/>
                            <w:szCs w:val="21"/>
                          </w:rPr>
                          <m:t>100</m:t>
                        </m:r>
                        <m:ctrlPr>
                          <w:rPr>
                            <w:rFonts w:ascii="Cambria Math" w:hAnsi="Cambria Math"/>
                            <w:i/>
                            <w:szCs w:val="21"/>
                          </w:rPr>
                        </m:ctrlPr>
                      </m:den>
                    </m:f>
                    <m:ctrlPr>
                      <w:rPr>
                        <w:rFonts w:ascii="Cambria Math" w:hAnsi="Cambria Math"/>
                        <w:i/>
                        <w:szCs w:val="21"/>
                      </w:rPr>
                    </m:ctrlPr>
                  </m:e>
                </m:d>
                <m:r>
                  <m:rPr/>
                  <w:rPr>
                    <w:rFonts w:ascii="Cambria Math" w:hAnsi="Cambria Math"/>
                    <w:szCs w:val="21"/>
                  </w:rPr>
                  <m:t>×K</m:t>
                </m:r>
              </m:oMath>
            </m:oMathPara>
          </w:p>
          <w:p w14:paraId="62C136AB">
            <w:pPr>
              <w:adjustRightInd w:val="0"/>
              <w:snapToGrid w:val="0"/>
              <w:ind w:firstLine="420"/>
              <w:rPr>
                <w:szCs w:val="21"/>
              </w:rPr>
            </w:pPr>
            <w:r>
              <w:rPr>
                <w:szCs w:val="21"/>
              </w:rPr>
              <w:t>式中：</w:t>
            </w:r>
          </w:p>
          <w:p w14:paraId="633C7BD9">
            <w:pPr>
              <w:adjustRightInd w:val="0"/>
              <w:snapToGrid w:val="0"/>
              <w:ind w:firstLine="420"/>
              <w:rPr>
                <w:szCs w:val="21"/>
              </w:rPr>
            </w:pPr>
            <w:r>
              <w:rPr>
                <w:szCs w:val="21"/>
              </w:rPr>
              <w:t>ESO</w:t>
            </w:r>
            <w:r>
              <w:rPr>
                <w:szCs w:val="21"/>
                <w:vertAlign w:val="subscript"/>
              </w:rPr>
              <w:t>2</w:t>
            </w:r>
            <w:r>
              <w:rPr>
                <w:szCs w:val="21"/>
              </w:rPr>
              <w:t>——核算时段内二氧化硫排放量，t；</w:t>
            </w:r>
          </w:p>
          <w:p w14:paraId="1958A816">
            <w:pPr>
              <w:adjustRightInd w:val="0"/>
              <w:snapToGrid w:val="0"/>
              <w:ind w:firstLine="420"/>
              <w:rPr>
                <w:szCs w:val="21"/>
              </w:rPr>
            </w:pPr>
            <w:r>
              <w:rPr>
                <w:szCs w:val="21"/>
              </w:rPr>
              <w:t>R——核算时段内锅炉燃料耗量，t；</w:t>
            </w:r>
          </w:p>
          <w:p w14:paraId="5B831D25">
            <w:pPr>
              <w:adjustRightInd w:val="0"/>
              <w:snapToGrid w:val="0"/>
              <w:ind w:firstLine="420"/>
              <w:rPr>
                <w:szCs w:val="21"/>
              </w:rPr>
            </w:pPr>
            <w:r>
              <w:rPr>
                <w:szCs w:val="21"/>
              </w:rPr>
              <w:t>Sar——收到基硫的质量分数，%；</w:t>
            </w:r>
          </w:p>
          <w:p w14:paraId="2E60E2C3">
            <w:pPr>
              <w:adjustRightInd w:val="0"/>
              <w:snapToGrid w:val="0"/>
              <w:ind w:firstLine="420"/>
              <w:rPr>
                <w:szCs w:val="21"/>
              </w:rPr>
            </w:pPr>
            <w:r>
              <w:rPr>
                <w:szCs w:val="21"/>
              </w:rPr>
              <w:t>q4——锅炉机械不完全燃烧热损失，%；</w:t>
            </w:r>
          </w:p>
          <w:p w14:paraId="7B35CF04">
            <w:pPr>
              <w:adjustRightInd w:val="0"/>
              <w:snapToGrid w:val="0"/>
              <w:ind w:firstLine="420"/>
              <w:rPr>
                <w:szCs w:val="21"/>
              </w:rPr>
            </w:pPr>
            <w:r>
              <w:rPr>
                <w:szCs w:val="21"/>
              </w:rPr>
              <w:t>η</w:t>
            </w:r>
            <w:r>
              <w:rPr>
                <w:szCs w:val="21"/>
                <w:vertAlign w:val="subscript"/>
              </w:rPr>
              <w:t>S</w:t>
            </w:r>
            <w:r>
              <w:rPr>
                <w:szCs w:val="21"/>
              </w:rPr>
              <w:t>——脱硫效率，%；</w:t>
            </w:r>
          </w:p>
          <w:p w14:paraId="572BB767">
            <w:pPr>
              <w:adjustRightInd w:val="0"/>
              <w:snapToGrid w:val="0"/>
              <w:ind w:firstLine="420"/>
              <w:rPr>
                <w:szCs w:val="21"/>
              </w:rPr>
            </w:pPr>
            <w:r>
              <w:rPr>
                <w:szCs w:val="21"/>
              </w:rPr>
              <w:t>K——燃料中的硫燃烧后氧化成二氧化硫的份额，量纲一的量。</w:t>
            </w:r>
          </w:p>
          <w:p w14:paraId="11ED288C">
            <w:pPr>
              <w:adjustRightInd w:val="0"/>
              <w:snapToGrid w:val="0"/>
              <w:ind w:firstLine="420"/>
              <w:rPr>
                <w:szCs w:val="21"/>
              </w:rPr>
            </w:pPr>
            <w:r>
              <w:rPr>
                <w:szCs w:val="21"/>
              </w:rPr>
              <w:t>项目年消耗生物质燃料R为</w:t>
            </w:r>
            <w:r>
              <w:rPr>
                <w:rFonts w:hint="eastAsia"/>
                <w:szCs w:val="21"/>
              </w:rPr>
              <w:t>8</w:t>
            </w:r>
            <w:r>
              <w:rPr>
                <w:szCs w:val="21"/>
              </w:rPr>
              <w:t>00t。收到基硫的质量分数为0.0</w:t>
            </w:r>
            <w:r>
              <w:rPr>
                <w:rFonts w:hint="eastAsia"/>
                <w:szCs w:val="21"/>
              </w:rPr>
              <w:t>3</w:t>
            </w:r>
            <w:r>
              <w:rPr>
                <w:szCs w:val="21"/>
              </w:rPr>
              <w:t>。计算二氧化硫产生量，则η</w:t>
            </w:r>
            <w:r>
              <w:rPr>
                <w:szCs w:val="21"/>
                <w:vertAlign w:val="subscript"/>
              </w:rPr>
              <w:t>S</w:t>
            </w:r>
            <w:r>
              <w:rPr>
                <w:szCs w:val="21"/>
              </w:rPr>
              <w:t>为0。根据《污染源源强核算技术指南 锅炉》（HJ 991—2018）附录B，B.1，生物质锅炉q</w:t>
            </w:r>
            <w:r>
              <w:rPr>
                <w:szCs w:val="21"/>
                <w:vertAlign w:val="subscript"/>
              </w:rPr>
              <w:t>4</w:t>
            </w:r>
            <w:r>
              <w:rPr>
                <w:szCs w:val="21"/>
              </w:rPr>
              <w:t>取值为</w:t>
            </w:r>
            <w:r>
              <w:rPr>
                <w:rFonts w:hint="eastAsia"/>
                <w:szCs w:val="21"/>
              </w:rPr>
              <w:t>15</w:t>
            </w:r>
            <w:r>
              <w:rPr>
                <w:szCs w:val="21"/>
              </w:rPr>
              <w:t>。根据《污染源源强核算技术指南 锅炉》（HJ 991—2018）附录B，B.3，生物质锅炉K取值为0.</w:t>
            </w:r>
            <w:r>
              <w:rPr>
                <w:rFonts w:hint="eastAsia"/>
                <w:szCs w:val="21"/>
              </w:rPr>
              <w:t>3</w:t>
            </w:r>
            <w:r>
              <w:rPr>
                <w:szCs w:val="21"/>
              </w:rPr>
              <w:t>。则项目二氧化硫产生量为0.</w:t>
            </w:r>
            <w:r>
              <w:rPr>
                <w:rFonts w:hint="eastAsia"/>
                <w:szCs w:val="21"/>
              </w:rPr>
              <w:t>12</w:t>
            </w:r>
            <w:r>
              <w:rPr>
                <w:szCs w:val="21"/>
              </w:rPr>
              <w:t>t/a，</w:t>
            </w:r>
            <w:r>
              <w:rPr>
                <w:rFonts w:hint="eastAsia"/>
                <w:szCs w:val="21"/>
              </w:rPr>
              <w:t>产生速率为0.07kg/h，</w:t>
            </w:r>
            <w:r>
              <w:rPr>
                <w:szCs w:val="21"/>
              </w:rPr>
              <w:t>产生浓度为</w:t>
            </w:r>
            <w:r>
              <w:rPr>
                <w:rFonts w:hint="eastAsia"/>
                <w:szCs w:val="21"/>
              </w:rPr>
              <w:t>24.04</w:t>
            </w:r>
            <w:r>
              <w:rPr>
                <w:szCs w:val="21"/>
              </w:rPr>
              <w:t>mg/m</w:t>
            </w:r>
            <w:r>
              <w:rPr>
                <w:szCs w:val="21"/>
                <w:vertAlign w:val="superscript"/>
              </w:rPr>
              <w:t>3</w:t>
            </w:r>
            <w:r>
              <w:rPr>
                <w:szCs w:val="21"/>
              </w:rPr>
              <w:t>。则排放量为0.</w:t>
            </w:r>
            <w:r>
              <w:rPr>
                <w:rFonts w:hint="eastAsia"/>
                <w:szCs w:val="21"/>
              </w:rPr>
              <w:t>12</w:t>
            </w:r>
            <w:r>
              <w:rPr>
                <w:szCs w:val="21"/>
              </w:rPr>
              <w:t>t/a，</w:t>
            </w:r>
            <w:r>
              <w:rPr>
                <w:rFonts w:hint="eastAsia"/>
                <w:szCs w:val="21"/>
              </w:rPr>
              <w:t>排放速率为0.07kg/h，</w:t>
            </w:r>
            <w:r>
              <w:rPr>
                <w:szCs w:val="21"/>
              </w:rPr>
              <w:t>排放浓度为</w:t>
            </w:r>
            <w:r>
              <w:rPr>
                <w:rFonts w:hint="eastAsia"/>
                <w:szCs w:val="21"/>
              </w:rPr>
              <w:t>24.04</w:t>
            </w:r>
            <w:r>
              <w:rPr>
                <w:szCs w:val="21"/>
              </w:rPr>
              <w:t>mg/m</w:t>
            </w:r>
            <w:r>
              <w:rPr>
                <w:szCs w:val="21"/>
                <w:vertAlign w:val="superscript"/>
              </w:rPr>
              <w:t>3</w:t>
            </w:r>
            <w:r>
              <w:rPr>
                <w:szCs w:val="21"/>
              </w:rPr>
              <w:t>。</w:t>
            </w:r>
          </w:p>
          <w:p w14:paraId="48F0DA35">
            <w:pPr>
              <w:snapToGrid w:val="0"/>
              <w:ind w:firstLine="420"/>
              <w:contextualSpacing/>
            </w:pPr>
            <w:r>
              <w:rPr>
                <w:rFonts w:hint="eastAsia"/>
              </w:rPr>
              <w:t>④氮氧化物</w:t>
            </w:r>
          </w:p>
          <w:p w14:paraId="6A686404">
            <w:pPr>
              <w:adjustRightInd w:val="0"/>
              <w:snapToGrid w:val="0"/>
              <w:ind w:firstLine="420"/>
              <w:jc w:val="left"/>
              <w:rPr>
                <w:kern w:val="0"/>
                <w:szCs w:val="21"/>
              </w:rPr>
            </w:pPr>
            <w:r>
              <w:rPr>
                <w:rFonts w:hint="eastAsia"/>
                <w:szCs w:val="21"/>
              </w:rPr>
              <w:t>根据《排污许可证申请与核发技术规范 锅炉》（</w:t>
            </w:r>
            <w:r>
              <w:rPr>
                <w:szCs w:val="21"/>
              </w:rPr>
              <w:t>HJ953-2018</w:t>
            </w:r>
            <w:r>
              <w:rPr>
                <w:rFonts w:hint="eastAsia"/>
                <w:szCs w:val="21"/>
              </w:rPr>
              <w:t xml:space="preserve">）表 </w:t>
            </w:r>
            <w:r>
              <w:rPr>
                <w:szCs w:val="21"/>
              </w:rPr>
              <w:t xml:space="preserve">F.4 </w:t>
            </w:r>
            <w:r>
              <w:rPr>
                <w:rFonts w:hint="eastAsia"/>
                <w:szCs w:val="21"/>
              </w:rPr>
              <w:t>燃生物质工业锅炉的废气产排污系数，生物质锅炉在不设置低氮燃烧的情况下，</w:t>
            </w:r>
            <w:r>
              <w:rPr>
                <w:szCs w:val="21"/>
              </w:rPr>
              <w:t>NOx</w:t>
            </w:r>
            <w:r>
              <w:rPr>
                <w:rFonts w:hint="eastAsia"/>
                <w:kern w:val="0"/>
                <w:szCs w:val="21"/>
              </w:rPr>
              <w:t>的产污系数取1.02千克</w:t>
            </w:r>
            <w:r>
              <w:rPr>
                <w:kern w:val="0"/>
                <w:szCs w:val="21"/>
              </w:rPr>
              <w:t>/</w:t>
            </w:r>
            <w:r>
              <w:rPr>
                <w:rFonts w:hint="eastAsia"/>
                <w:kern w:val="0"/>
                <w:szCs w:val="21"/>
              </w:rPr>
              <w:t>吨-燃料，</w:t>
            </w:r>
            <w:r>
              <w:rPr>
                <w:kern w:val="0"/>
                <w:szCs w:val="21"/>
              </w:rPr>
              <w:t>本项目</w:t>
            </w:r>
            <w:r>
              <w:rPr>
                <w:rFonts w:hint="eastAsia"/>
                <w:kern w:val="0"/>
                <w:szCs w:val="21"/>
              </w:rPr>
              <w:t>锅炉</w:t>
            </w:r>
            <w:r>
              <w:rPr>
                <w:kern w:val="0"/>
                <w:szCs w:val="21"/>
              </w:rPr>
              <w:t>消耗</w:t>
            </w:r>
            <w:r>
              <w:rPr>
                <w:rFonts w:hint="eastAsia"/>
                <w:kern w:val="0"/>
                <w:szCs w:val="21"/>
              </w:rPr>
              <w:t>生物质成型燃料量为800t/a，</w:t>
            </w:r>
            <w:r>
              <w:rPr>
                <w:rFonts w:hint="eastAsia"/>
              </w:rPr>
              <w:t>项目采用</w:t>
            </w:r>
            <w:r>
              <w:t>SNCR</w:t>
            </w:r>
            <w:r>
              <w:rPr>
                <w:rFonts w:hint="eastAsia"/>
              </w:rPr>
              <w:t>，根据《排污许可证申请与核发技术规范锅炉》（HJ953—2018）表F.4 燃生物质工业锅炉的废气产排污系数</w:t>
            </w:r>
            <w:r>
              <w:t>SNCR</w:t>
            </w:r>
            <w:r>
              <w:rPr>
                <w:rFonts w:hint="eastAsia"/>
              </w:rPr>
              <w:t>去除效率取49%，</w:t>
            </w:r>
            <w:r>
              <w:rPr>
                <w:rFonts w:hint="eastAsia"/>
                <w:kern w:val="0"/>
                <w:szCs w:val="21"/>
              </w:rPr>
              <w:t>则</w:t>
            </w:r>
            <w:r>
              <w:rPr>
                <w:rFonts w:hint="eastAsia"/>
              </w:rPr>
              <w:t>氮氧化物产生量为0.816t/a，产生速率为0.486kg/h，产生浓度为163.46mg/m</w:t>
            </w:r>
            <w:r>
              <w:rPr>
                <w:rFonts w:hint="eastAsia"/>
                <w:vertAlign w:val="superscript"/>
              </w:rPr>
              <w:t>3</w:t>
            </w:r>
            <w:r>
              <w:rPr>
                <w:rFonts w:hint="eastAsia"/>
              </w:rPr>
              <w:t>；经</w:t>
            </w:r>
            <w:r>
              <w:t>SNCR</w:t>
            </w:r>
            <w:r>
              <w:rPr>
                <w:rFonts w:hint="eastAsia"/>
              </w:rPr>
              <w:t>处理后排放量为0.416t/a，排放速率为0.248kg/h，排放浓度为83.33mg/m</w:t>
            </w:r>
            <w:r>
              <w:rPr>
                <w:rFonts w:hint="eastAsia"/>
                <w:vertAlign w:val="superscript"/>
              </w:rPr>
              <w:t>3</w:t>
            </w:r>
            <w:r>
              <w:rPr>
                <w:rFonts w:hint="eastAsia"/>
              </w:rPr>
              <w:t>。</w:t>
            </w:r>
          </w:p>
          <w:p w14:paraId="0C8C480F">
            <w:pPr>
              <w:snapToGrid w:val="0"/>
              <w:ind w:firstLine="420"/>
              <w:contextualSpacing/>
            </w:pPr>
            <w:r>
              <w:rPr>
                <w:rFonts w:hint="eastAsia"/>
              </w:rPr>
              <w:t>综上，本项目生物质锅炉排放废气浓度及排放量为：颗粒物排放量为0.07t/a，排放浓度为14.02mg/m</w:t>
            </w:r>
            <w:r>
              <w:rPr>
                <w:rFonts w:hint="eastAsia"/>
                <w:vertAlign w:val="superscript"/>
              </w:rPr>
              <w:t>3</w:t>
            </w:r>
            <w:r>
              <w:rPr>
                <w:rFonts w:hint="eastAsia"/>
              </w:rPr>
              <w:t>，SO</w:t>
            </w:r>
            <w:r>
              <w:rPr>
                <w:rFonts w:hint="eastAsia"/>
                <w:vertAlign w:val="subscript"/>
              </w:rPr>
              <w:t>2</w:t>
            </w:r>
            <w:r>
              <w:rPr>
                <w:rFonts w:hint="eastAsia"/>
              </w:rPr>
              <w:t>排放量为0.12t/a，排放浓度为24.04mg/m</w:t>
            </w:r>
            <w:r>
              <w:rPr>
                <w:rFonts w:hint="eastAsia"/>
                <w:vertAlign w:val="superscript"/>
              </w:rPr>
              <w:t>3</w:t>
            </w:r>
            <w:r>
              <w:rPr>
                <w:rFonts w:hint="eastAsia"/>
              </w:rPr>
              <w:t>，NO</w:t>
            </w:r>
            <w:r>
              <w:rPr>
                <w:rFonts w:hint="eastAsia"/>
                <w:vertAlign w:val="subscript"/>
              </w:rPr>
              <w:t>X</w:t>
            </w:r>
            <w:r>
              <w:rPr>
                <w:rFonts w:hint="eastAsia"/>
              </w:rPr>
              <w:t>排放量为0.416t/a，排放浓度为83.33mg/m</w:t>
            </w:r>
            <w:r>
              <w:rPr>
                <w:rFonts w:hint="eastAsia"/>
                <w:vertAlign w:val="superscript"/>
              </w:rPr>
              <w:t>3</w:t>
            </w:r>
            <w:r>
              <w:rPr>
                <w:rFonts w:hint="eastAsia"/>
              </w:rPr>
              <w:t>，满足《锅炉大气污染排放标准》（DB13/5161-2020）中排放限值要求，</w:t>
            </w:r>
            <w:r>
              <w:rPr>
                <w:szCs w:val="21"/>
              </w:rPr>
              <w:t>即颗粒物</w:t>
            </w:r>
            <w:r>
              <w:rPr>
                <w:rFonts w:hint="eastAsia"/>
                <w:szCs w:val="21"/>
              </w:rPr>
              <w:t>2</w:t>
            </w:r>
            <w:r>
              <w:rPr>
                <w:szCs w:val="21"/>
              </w:rPr>
              <w:t>0mg/m</w:t>
            </w:r>
            <w:r>
              <w:rPr>
                <w:szCs w:val="21"/>
                <w:vertAlign w:val="superscript"/>
              </w:rPr>
              <w:t>3</w:t>
            </w:r>
            <w:r>
              <w:rPr>
                <w:szCs w:val="21"/>
              </w:rPr>
              <w:t>、二氧化硫</w:t>
            </w:r>
            <w:r>
              <w:rPr>
                <w:rFonts w:hint="eastAsia"/>
                <w:szCs w:val="21"/>
              </w:rPr>
              <w:t>3</w:t>
            </w:r>
            <w:r>
              <w:rPr>
                <w:szCs w:val="21"/>
              </w:rPr>
              <w:t>0mg/m</w:t>
            </w:r>
            <w:r>
              <w:rPr>
                <w:szCs w:val="21"/>
                <w:vertAlign w:val="superscript"/>
              </w:rPr>
              <w:t>3</w:t>
            </w:r>
            <w:r>
              <w:rPr>
                <w:szCs w:val="21"/>
              </w:rPr>
              <w:t>、氮氧化物</w:t>
            </w:r>
            <w:r>
              <w:rPr>
                <w:rFonts w:hint="eastAsia"/>
                <w:szCs w:val="21"/>
              </w:rPr>
              <w:t>15</w:t>
            </w:r>
            <w:r>
              <w:rPr>
                <w:szCs w:val="21"/>
              </w:rPr>
              <w:t>0mg/m</w:t>
            </w:r>
            <w:r>
              <w:rPr>
                <w:szCs w:val="21"/>
                <w:vertAlign w:val="superscript"/>
              </w:rPr>
              <w:t>3</w:t>
            </w:r>
            <w:r>
              <w:rPr>
                <w:rFonts w:hint="eastAsia"/>
                <w:szCs w:val="21"/>
              </w:rPr>
              <w:t>。</w:t>
            </w:r>
          </w:p>
          <w:p w14:paraId="651BE9FE">
            <w:pPr>
              <w:snapToGrid w:val="0"/>
              <w:ind w:firstLine="420"/>
              <w:contextualSpacing/>
            </w:pPr>
            <w:r>
              <w:rPr>
                <w:rFonts w:hint="eastAsia"/>
              </w:rPr>
              <w:t>⑤氨逃逸排放量核算</w:t>
            </w:r>
          </w:p>
          <w:p w14:paraId="3522C8CC">
            <w:pPr>
              <w:snapToGrid w:val="0"/>
              <w:ind w:firstLine="420"/>
              <w:contextualSpacing/>
            </w:pPr>
            <w:r>
              <w:rPr>
                <w:rFonts w:hint="eastAsia"/>
              </w:rPr>
              <w:t>项目使用</w:t>
            </w:r>
            <w:bookmarkStart w:id="100" w:name="OLE_LINK48"/>
            <w:bookmarkStart w:id="101" w:name="OLE_LINK49"/>
            <w:r>
              <w:rPr>
                <w:rFonts w:hint="eastAsia"/>
              </w:rPr>
              <w:t>尿素作为脱硝剂</w:t>
            </w:r>
            <w:bookmarkEnd w:id="100"/>
            <w:bookmarkEnd w:id="101"/>
            <w:r>
              <w:rPr>
                <w:rFonts w:hint="eastAsia"/>
              </w:rPr>
              <w:t>，尿素溶解后喷入锅炉燃烧区。尿素在高温下与水发生反应，生成氨和二氧化碳，氨再和锅炉燃烧产生的氮氧化物发生反应，生成氮气和水，从而达到脱硝的目的。但在实际运行过程中，脱硝剂的用量不易掌握，若用量过大，则可能造成多余的氨排入大气，即锅炉的氨逃逸现象。</w:t>
            </w:r>
          </w:p>
          <w:p w14:paraId="3F83CDDF">
            <w:pPr>
              <w:snapToGrid w:val="0"/>
              <w:ind w:firstLine="420"/>
              <w:contextualSpacing/>
            </w:pPr>
            <w:r>
              <w:rPr>
                <w:rFonts w:hint="eastAsia"/>
              </w:rPr>
              <w:t>类比同类建设项目，以脱硝剂用量超出正常使用量 1%进行计算，拟建工程脱硝剂用量为0.71t/a，则多余的脱硝剂量为 0.0071t/a。脱硝剂主要成分为尿素，根据尿素和氨的分子量进行推算，多余的尿素生成的氨为 0.002t/a。即锅炉氨逃逸量为 0.002t/a。依据前文计算结果，废气排放量为499.2万m</w:t>
            </w:r>
            <w:r>
              <w:rPr>
                <w:rFonts w:hint="eastAsia"/>
                <w:vertAlign w:val="superscript"/>
              </w:rPr>
              <w:t>3</w:t>
            </w:r>
            <w:r>
              <w:rPr>
                <w:rFonts w:hint="eastAsia"/>
              </w:rPr>
              <w:t xml:space="preserve"> /a，则氨逃逸浓度为 0.40mg/m</w:t>
            </w:r>
            <w:r>
              <w:rPr>
                <w:rFonts w:hint="eastAsia"/>
                <w:vertAlign w:val="superscript"/>
              </w:rPr>
              <w:t>3</w:t>
            </w:r>
            <w:r>
              <w:rPr>
                <w:rFonts w:hint="eastAsia"/>
              </w:rPr>
              <w:t>。</w:t>
            </w:r>
          </w:p>
          <w:p w14:paraId="2244B660">
            <w:pPr>
              <w:snapToGrid w:val="0"/>
              <w:ind w:firstLine="420"/>
              <w:contextualSpacing/>
            </w:pPr>
            <w:r>
              <w:rPr>
                <w:rFonts w:hint="eastAsia"/>
              </w:rPr>
              <w:t>2）污水处理站恶臭气体</w:t>
            </w:r>
          </w:p>
          <w:p w14:paraId="67BA762A">
            <w:pPr>
              <w:snapToGrid w:val="0"/>
              <w:ind w:firstLine="420"/>
              <w:contextualSpacing/>
            </w:pPr>
            <w:r>
              <w:rPr>
                <w:rFonts w:hint="eastAsia"/>
              </w:rPr>
              <w:t>本项目污水处理站运行过程中，由于伴随微生物、原生动物等生物的新陈代谢而产生恶臭气体，主要污染物为 NH</w:t>
            </w:r>
            <w:r>
              <w:rPr>
                <w:rFonts w:hint="eastAsia"/>
                <w:vertAlign w:val="subscript"/>
              </w:rPr>
              <w:t>3</w:t>
            </w:r>
            <w:r>
              <w:rPr>
                <w:rFonts w:hint="eastAsia"/>
              </w:rPr>
              <w:t>、H</w:t>
            </w:r>
            <w:r>
              <w:rPr>
                <w:rFonts w:hint="eastAsia"/>
                <w:vertAlign w:val="subscript"/>
              </w:rPr>
              <w:t>2</w:t>
            </w:r>
            <w:r>
              <w:rPr>
                <w:rFonts w:hint="eastAsia"/>
              </w:rPr>
              <w:t>S。</w:t>
            </w:r>
          </w:p>
          <w:p w14:paraId="7EC30D45">
            <w:pPr>
              <w:snapToGrid w:val="0"/>
              <w:ind w:firstLine="420"/>
              <w:contextualSpacing/>
            </w:pPr>
            <w:r>
              <w:rPr>
                <w:rFonts w:hint="eastAsia"/>
              </w:rPr>
              <w:t>参考美国EPA对城市污水处理厂恶臭污染物产生情况的研究，每去除1g的 BOD</w:t>
            </w:r>
            <w:r>
              <w:rPr>
                <w:rFonts w:hint="eastAsia"/>
                <w:vertAlign w:val="subscript"/>
              </w:rPr>
              <w:t>5</w:t>
            </w:r>
            <w:r>
              <w:rPr>
                <w:rFonts w:hint="eastAsia"/>
              </w:rPr>
              <w:t>可产生0.0031g的NH</w:t>
            </w:r>
            <w:r>
              <w:rPr>
                <w:rFonts w:hint="eastAsia"/>
                <w:vertAlign w:val="subscript"/>
              </w:rPr>
              <w:t>3</w:t>
            </w:r>
            <w:r>
              <w:rPr>
                <w:rFonts w:hint="eastAsia"/>
              </w:rPr>
              <w:t>，可产生0.00012g的H</w:t>
            </w:r>
            <w:r>
              <w:rPr>
                <w:rFonts w:hint="eastAsia"/>
                <w:vertAlign w:val="subscript"/>
              </w:rPr>
              <w:t>2</w:t>
            </w:r>
            <w:r>
              <w:rPr>
                <w:rFonts w:hint="eastAsia"/>
              </w:rPr>
              <w:t>S，本项目将</w:t>
            </w:r>
            <w:r>
              <w:t>8969.4</w:t>
            </w:r>
            <w:r>
              <w:rPr>
                <w:rFonts w:hint="eastAsia"/>
              </w:rPr>
              <w:t>m</w:t>
            </w:r>
            <w:r>
              <w:rPr>
                <w:rFonts w:hint="eastAsia"/>
                <w:vertAlign w:val="superscript"/>
              </w:rPr>
              <w:t>3</w:t>
            </w:r>
            <w:r>
              <w:rPr>
                <w:rFonts w:hint="eastAsia"/>
              </w:rPr>
              <w:t>/a的废水的 BOD</w:t>
            </w:r>
            <w:r>
              <w:rPr>
                <w:rFonts w:hint="eastAsia"/>
                <w:vertAlign w:val="subscript"/>
              </w:rPr>
              <w:t>5</w:t>
            </w:r>
            <w:r>
              <w:rPr>
                <w:rFonts w:hint="eastAsia"/>
              </w:rPr>
              <w:t>由 450mg/L 降低到90mg/L，由此计算本项目恶臭气体主要污染物 NH</w:t>
            </w:r>
            <w:r>
              <w:rPr>
                <w:rFonts w:hint="eastAsia"/>
                <w:vertAlign w:val="subscript"/>
              </w:rPr>
              <w:t>3</w:t>
            </w:r>
            <w:r>
              <w:rPr>
                <w:rFonts w:hint="eastAsia"/>
              </w:rPr>
              <w:t>和H</w:t>
            </w:r>
            <w:r>
              <w:rPr>
                <w:rFonts w:hint="eastAsia"/>
                <w:vertAlign w:val="subscript"/>
              </w:rPr>
              <w:t>2</w:t>
            </w:r>
            <w:r>
              <w:rPr>
                <w:rFonts w:hint="eastAsia"/>
              </w:rPr>
              <w:t>S产生量分别为 0.006kg/h 和 0.00023kg/h。</w:t>
            </w:r>
          </w:p>
          <w:p w14:paraId="02FEFC32">
            <w:pPr>
              <w:snapToGrid w:val="0"/>
              <w:ind w:firstLine="420"/>
              <w:contextualSpacing/>
            </w:pPr>
            <w:r>
              <w:rPr>
                <w:rFonts w:hint="eastAsia"/>
              </w:rPr>
              <w:t>调节池、污泥池、一体化污水处理装置、设备间产生的臭气分别经管道收集后，通过引风机进入1套活性炭除臭装置处理后经1根15m高排气筒</w:t>
            </w:r>
            <w:r>
              <w:rPr>
                <w:rFonts w:hint="eastAsia"/>
                <w:szCs w:val="21"/>
              </w:rPr>
              <w:t>（DA003）</w:t>
            </w:r>
            <w:r>
              <w:rPr>
                <w:rFonts w:hint="eastAsia"/>
              </w:rPr>
              <w:t>排放。</w:t>
            </w:r>
            <w:r>
              <w:rPr>
                <w:rFonts w:hint="eastAsia"/>
                <w:kern w:val="0"/>
                <w:szCs w:val="21"/>
              </w:rPr>
              <w:t>恶臭气体收集效率90%，</w:t>
            </w:r>
            <w:r>
              <w:rPr>
                <w:kern w:val="0"/>
                <w:szCs w:val="21"/>
              </w:rPr>
              <w:t>引风机风量</w:t>
            </w:r>
            <w:r>
              <w:rPr>
                <w:rFonts w:hint="eastAsia"/>
                <w:kern w:val="0"/>
                <w:szCs w:val="21"/>
              </w:rPr>
              <w:t>2000</w:t>
            </w:r>
            <w:r>
              <w:rPr>
                <w:kern w:val="0"/>
                <w:szCs w:val="21"/>
              </w:rPr>
              <w:t>m</w:t>
            </w:r>
            <w:r>
              <w:rPr>
                <w:kern w:val="0"/>
                <w:szCs w:val="21"/>
                <w:vertAlign w:val="superscript"/>
              </w:rPr>
              <w:t>3</w:t>
            </w:r>
            <w:r>
              <w:rPr>
                <w:kern w:val="0"/>
                <w:szCs w:val="21"/>
              </w:rPr>
              <w:t>/h，</w:t>
            </w:r>
            <w:r>
              <w:rPr>
                <w:rFonts w:hint="eastAsia"/>
                <w:kern w:val="0"/>
                <w:szCs w:val="21"/>
              </w:rPr>
              <w:t>除臭效率为80%</w:t>
            </w:r>
            <w:r>
              <w:rPr>
                <w:rFonts w:hint="eastAsia"/>
              </w:rPr>
              <w:t>，经处理后的恶臭气体</w:t>
            </w:r>
            <w:r>
              <w:t>NH</w:t>
            </w:r>
            <w:r>
              <w:rPr>
                <w:vertAlign w:val="subscript"/>
              </w:rPr>
              <w:t>3</w:t>
            </w:r>
            <w:r>
              <w:rPr>
                <w:rFonts w:hint="eastAsia"/>
              </w:rPr>
              <w:t>排放速率为0.0011kg/h，H</w:t>
            </w:r>
            <w:r>
              <w:rPr>
                <w:rFonts w:hint="eastAsia"/>
                <w:vertAlign w:val="subscript"/>
              </w:rPr>
              <w:t>2</w:t>
            </w:r>
            <w:r>
              <w:rPr>
                <w:rFonts w:hint="eastAsia"/>
              </w:rPr>
              <w:t>S排放速率为 0.00004kg/h，均能满足《恶臭污染物排放标准》（GB14554-93）表2恶臭污染物排放标准限值要求。</w:t>
            </w:r>
          </w:p>
          <w:p w14:paraId="0A4B466C">
            <w:pPr>
              <w:snapToGrid w:val="0"/>
              <w:ind w:firstLine="420"/>
              <w:contextualSpacing/>
            </w:pPr>
            <w:r>
              <w:rPr>
                <w:rFonts w:hint="eastAsia"/>
              </w:rPr>
              <w:t>（2）无组织废气</w:t>
            </w:r>
          </w:p>
          <w:p w14:paraId="09A8C00A">
            <w:pPr>
              <w:snapToGrid w:val="0"/>
              <w:ind w:firstLine="420"/>
              <w:contextualSpacing/>
            </w:pPr>
            <w:r>
              <w:rPr>
                <w:rFonts w:hint="eastAsia"/>
              </w:rPr>
              <w:t>1）生物质燃料堆场废气</w:t>
            </w:r>
          </w:p>
          <w:p w14:paraId="672D186A">
            <w:pPr>
              <w:snapToGrid w:val="0"/>
              <w:ind w:firstLine="420"/>
              <w:contextualSpacing/>
            </w:pPr>
            <w:r>
              <w:rPr>
                <w:rFonts w:hint="eastAsia"/>
              </w:rPr>
              <w:t>本项目生物质颗粒燃料从镇周边进行购买，车辆运输进厂，采用袋装形式包装，储存在封闭库房内。生物质颗粒燃料主要成分见下表。</w:t>
            </w:r>
          </w:p>
          <w:p w14:paraId="64F286DB">
            <w:pPr>
              <w:snapToGrid w:val="0"/>
              <w:spacing w:line="240" w:lineRule="auto"/>
              <w:ind w:firstLine="422"/>
              <w:contextualSpacing/>
              <w:jc w:val="center"/>
              <w:rPr>
                <w:b/>
                <w:bCs/>
              </w:rPr>
            </w:pPr>
            <w:r>
              <w:rPr>
                <w:rFonts w:hint="eastAsia"/>
                <w:b/>
                <w:bCs/>
              </w:rPr>
              <w:t>表4-4 生物质颗粒燃料成分分析表</w:t>
            </w:r>
          </w:p>
          <w:tbl>
            <w:tblPr>
              <w:tblStyle w:val="26"/>
              <w:tblW w:w="68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4"/>
              <w:gridCol w:w="2046"/>
              <w:gridCol w:w="1700"/>
              <w:gridCol w:w="1700"/>
            </w:tblGrid>
            <w:tr w14:paraId="7AF16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1354" w:type="dxa"/>
                  <w:vAlign w:val="center"/>
                </w:tcPr>
                <w:p w14:paraId="399F8B82">
                  <w:pPr>
                    <w:snapToGrid w:val="0"/>
                    <w:spacing w:line="240" w:lineRule="auto"/>
                    <w:ind w:firstLine="0" w:firstLineChars="0"/>
                    <w:contextualSpacing/>
                    <w:jc w:val="center"/>
                  </w:pPr>
                  <w:r>
                    <w:rPr>
                      <w:rFonts w:hint="eastAsia"/>
                    </w:rPr>
                    <w:t>序号</w:t>
                  </w:r>
                </w:p>
              </w:tc>
              <w:tc>
                <w:tcPr>
                  <w:tcW w:w="2046" w:type="dxa"/>
                  <w:vAlign w:val="center"/>
                </w:tcPr>
                <w:p w14:paraId="70FE93FA">
                  <w:pPr>
                    <w:snapToGrid w:val="0"/>
                    <w:spacing w:line="240" w:lineRule="auto"/>
                    <w:ind w:firstLine="0" w:firstLineChars="0"/>
                    <w:contextualSpacing/>
                    <w:jc w:val="center"/>
                  </w:pPr>
                  <w:r>
                    <w:rPr>
                      <w:rFonts w:hint="eastAsia"/>
                    </w:rPr>
                    <w:t>名称</w:t>
                  </w:r>
                </w:p>
              </w:tc>
              <w:tc>
                <w:tcPr>
                  <w:tcW w:w="1700" w:type="dxa"/>
                  <w:vAlign w:val="center"/>
                </w:tcPr>
                <w:p w14:paraId="0BB726ED">
                  <w:pPr>
                    <w:snapToGrid w:val="0"/>
                    <w:spacing w:line="240" w:lineRule="auto"/>
                    <w:ind w:firstLine="0" w:firstLineChars="0"/>
                    <w:contextualSpacing/>
                    <w:jc w:val="center"/>
                  </w:pPr>
                  <w:r>
                    <w:rPr>
                      <w:rFonts w:hint="eastAsia"/>
                    </w:rPr>
                    <w:t>单位</w:t>
                  </w:r>
                </w:p>
              </w:tc>
              <w:tc>
                <w:tcPr>
                  <w:tcW w:w="1700" w:type="dxa"/>
                  <w:vAlign w:val="center"/>
                </w:tcPr>
                <w:p w14:paraId="1DD112A3">
                  <w:pPr>
                    <w:snapToGrid w:val="0"/>
                    <w:spacing w:line="240" w:lineRule="auto"/>
                    <w:ind w:firstLine="0" w:firstLineChars="0"/>
                    <w:contextualSpacing/>
                    <w:jc w:val="center"/>
                  </w:pPr>
                  <w:r>
                    <w:rPr>
                      <w:rFonts w:hint="eastAsia"/>
                    </w:rPr>
                    <w:t>数值</w:t>
                  </w:r>
                </w:p>
              </w:tc>
            </w:tr>
            <w:tr w14:paraId="57318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1354" w:type="dxa"/>
                  <w:vAlign w:val="center"/>
                </w:tcPr>
                <w:p w14:paraId="10FE1998">
                  <w:pPr>
                    <w:snapToGrid w:val="0"/>
                    <w:spacing w:line="240" w:lineRule="auto"/>
                    <w:ind w:firstLine="0" w:firstLineChars="0"/>
                    <w:contextualSpacing/>
                    <w:jc w:val="center"/>
                  </w:pPr>
                  <w:r>
                    <w:rPr>
                      <w:rFonts w:hint="eastAsia"/>
                    </w:rPr>
                    <w:t>1</w:t>
                  </w:r>
                </w:p>
              </w:tc>
              <w:tc>
                <w:tcPr>
                  <w:tcW w:w="2046" w:type="dxa"/>
                  <w:vAlign w:val="center"/>
                </w:tcPr>
                <w:p w14:paraId="44AEBB5A">
                  <w:pPr>
                    <w:snapToGrid w:val="0"/>
                    <w:spacing w:line="240" w:lineRule="auto"/>
                    <w:ind w:firstLine="0" w:firstLineChars="0"/>
                    <w:contextualSpacing/>
                    <w:jc w:val="center"/>
                  </w:pPr>
                  <w:r>
                    <w:rPr>
                      <w:rFonts w:hint="eastAsia"/>
                    </w:rPr>
                    <w:t>全水分</w:t>
                  </w:r>
                </w:p>
              </w:tc>
              <w:tc>
                <w:tcPr>
                  <w:tcW w:w="1700" w:type="dxa"/>
                  <w:vAlign w:val="center"/>
                </w:tcPr>
                <w:p w14:paraId="02796CFA">
                  <w:pPr>
                    <w:snapToGrid w:val="0"/>
                    <w:spacing w:line="240" w:lineRule="auto"/>
                    <w:ind w:firstLine="0" w:firstLineChars="0"/>
                    <w:contextualSpacing/>
                    <w:jc w:val="center"/>
                  </w:pPr>
                  <w:r>
                    <w:rPr>
                      <w:rFonts w:hint="eastAsia"/>
                    </w:rPr>
                    <w:t>%</w:t>
                  </w:r>
                </w:p>
              </w:tc>
              <w:tc>
                <w:tcPr>
                  <w:tcW w:w="1700" w:type="dxa"/>
                  <w:vAlign w:val="center"/>
                </w:tcPr>
                <w:p w14:paraId="11E8E820">
                  <w:pPr>
                    <w:snapToGrid w:val="0"/>
                    <w:spacing w:line="240" w:lineRule="auto"/>
                    <w:ind w:firstLine="0" w:firstLineChars="0"/>
                    <w:contextualSpacing/>
                    <w:jc w:val="center"/>
                  </w:pPr>
                  <w:r>
                    <w:rPr>
                      <w:rFonts w:hint="eastAsia"/>
                    </w:rPr>
                    <w:t>2.19</w:t>
                  </w:r>
                </w:p>
              </w:tc>
            </w:tr>
            <w:tr w14:paraId="01BA9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1354" w:type="dxa"/>
                  <w:vAlign w:val="center"/>
                </w:tcPr>
                <w:p w14:paraId="357E86BC">
                  <w:pPr>
                    <w:snapToGrid w:val="0"/>
                    <w:spacing w:line="240" w:lineRule="auto"/>
                    <w:ind w:firstLine="0" w:firstLineChars="0"/>
                    <w:contextualSpacing/>
                    <w:jc w:val="center"/>
                  </w:pPr>
                  <w:r>
                    <w:rPr>
                      <w:rFonts w:hint="eastAsia"/>
                    </w:rPr>
                    <w:t>2</w:t>
                  </w:r>
                </w:p>
              </w:tc>
              <w:tc>
                <w:tcPr>
                  <w:tcW w:w="2046" w:type="dxa"/>
                  <w:vAlign w:val="center"/>
                </w:tcPr>
                <w:p w14:paraId="5866D8C2">
                  <w:pPr>
                    <w:snapToGrid w:val="0"/>
                    <w:spacing w:line="240" w:lineRule="auto"/>
                    <w:ind w:firstLine="0" w:firstLineChars="0"/>
                    <w:contextualSpacing/>
                    <w:jc w:val="center"/>
                  </w:pPr>
                  <w:r>
                    <w:rPr>
                      <w:rFonts w:hint="eastAsia"/>
                    </w:rPr>
                    <w:t>挥发分</w:t>
                  </w:r>
                </w:p>
              </w:tc>
              <w:tc>
                <w:tcPr>
                  <w:tcW w:w="1700" w:type="dxa"/>
                  <w:vAlign w:val="center"/>
                </w:tcPr>
                <w:p w14:paraId="71E8DB08">
                  <w:pPr>
                    <w:snapToGrid w:val="0"/>
                    <w:spacing w:line="240" w:lineRule="auto"/>
                    <w:ind w:firstLine="0" w:firstLineChars="0"/>
                    <w:contextualSpacing/>
                    <w:jc w:val="center"/>
                  </w:pPr>
                  <w:r>
                    <w:rPr>
                      <w:rFonts w:hint="eastAsia"/>
                    </w:rPr>
                    <w:t>%</w:t>
                  </w:r>
                </w:p>
              </w:tc>
              <w:tc>
                <w:tcPr>
                  <w:tcW w:w="1700" w:type="dxa"/>
                  <w:vAlign w:val="center"/>
                </w:tcPr>
                <w:p w14:paraId="54A9B948">
                  <w:pPr>
                    <w:snapToGrid w:val="0"/>
                    <w:spacing w:line="240" w:lineRule="auto"/>
                    <w:ind w:firstLine="0" w:firstLineChars="0"/>
                    <w:contextualSpacing/>
                    <w:jc w:val="center"/>
                  </w:pPr>
                  <w:r>
                    <w:rPr>
                      <w:rFonts w:hint="eastAsia"/>
                    </w:rPr>
                    <w:t>72.93</w:t>
                  </w:r>
                </w:p>
              </w:tc>
            </w:tr>
            <w:tr w14:paraId="40BA8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1354" w:type="dxa"/>
                  <w:vAlign w:val="center"/>
                </w:tcPr>
                <w:p w14:paraId="18CD3CD7">
                  <w:pPr>
                    <w:snapToGrid w:val="0"/>
                    <w:spacing w:line="240" w:lineRule="auto"/>
                    <w:ind w:firstLine="0" w:firstLineChars="0"/>
                    <w:contextualSpacing/>
                    <w:jc w:val="center"/>
                  </w:pPr>
                  <w:r>
                    <w:rPr>
                      <w:rFonts w:hint="eastAsia"/>
                    </w:rPr>
                    <w:t>3</w:t>
                  </w:r>
                </w:p>
              </w:tc>
              <w:tc>
                <w:tcPr>
                  <w:tcW w:w="2046" w:type="dxa"/>
                  <w:vAlign w:val="center"/>
                </w:tcPr>
                <w:p w14:paraId="37702A39">
                  <w:pPr>
                    <w:snapToGrid w:val="0"/>
                    <w:spacing w:line="240" w:lineRule="auto"/>
                    <w:ind w:firstLine="0" w:firstLineChars="0"/>
                    <w:contextualSpacing/>
                    <w:jc w:val="center"/>
                  </w:pPr>
                  <w:r>
                    <w:rPr>
                      <w:rFonts w:hint="eastAsia"/>
                    </w:rPr>
                    <w:t>灰分</w:t>
                  </w:r>
                </w:p>
              </w:tc>
              <w:tc>
                <w:tcPr>
                  <w:tcW w:w="1700" w:type="dxa"/>
                  <w:vAlign w:val="center"/>
                </w:tcPr>
                <w:p w14:paraId="36D1653A">
                  <w:pPr>
                    <w:snapToGrid w:val="0"/>
                    <w:spacing w:line="240" w:lineRule="auto"/>
                    <w:ind w:firstLine="0" w:firstLineChars="0"/>
                    <w:contextualSpacing/>
                    <w:jc w:val="center"/>
                  </w:pPr>
                  <w:r>
                    <w:rPr>
                      <w:rFonts w:hint="eastAsia"/>
                    </w:rPr>
                    <w:t>%</w:t>
                  </w:r>
                </w:p>
              </w:tc>
              <w:tc>
                <w:tcPr>
                  <w:tcW w:w="1700" w:type="dxa"/>
                  <w:vAlign w:val="center"/>
                </w:tcPr>
                <w:p w14:paraId="57214D08">
                  <w:pPr>
                    <w:snapToGrid w:val="0"/>
                    <w:spacing w:line="240" w:lineRule="auto"/>
                    <w:ind w:firstLine="0" w:firstLineChars="0"/>
                    <w:contextualSpacing/>
                    <w:jc w:val="center"/>
                  </w:pPr>
                  <w:r>
                    <w:rPr>
                      <w:rFonts w:hint="eastAsia"/>
                    </w:rPr>
                    <w:t>4.30</w:t>
                  </w:r>
                </w:p>
              </w:tc>
            </w:tr>
            <w:tr w14:paraId="6CC86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1354" w:type="dxa"/>
                  <w:vAlign w:val="center"/>
                </w:tcPr>
                <w:p w14:paraId="6ECA7670">
                  <w:pPr>
                    <w:snapToGrid w:val="0"/>
                    <w:spacing w:line="240" w:lineRule="auto"/>
                    <w:ind w:firstLine="0" w:firstLineChars="0"/>
                    <w:contextualSpacing/>
                    <w:jc w:val="center"/>
                  </w:pPr>
                  <w:r>
                    <w:rPr>
                      <w:rFonts w:hint="eastAsia"/>
                    </w:rPr>
                    <w:t>4</w:t>
                  </w:r>
                </w:p>
              </w:tc>
              <w:tc>
                <w:tcPr>
                  <w:tcW w:w="2046" w:type="dxa"/>
                  <w:vAlign w:val="center"/>
                </w:tcPr>
                <w:p w14:paraId="057BB443">
                  <w:pPr>
                    <w:snapToGrid w:val="0"/>
                    <w:spacing w:line="240" w:lineRule="auto"/>
                    <w:ind w:firstLine="0" w:firstLineChars="0"/>
                    <w:contextualSpacing/>
                    <w:jc w:val="center"/>
                  </w:pPr>
                  <w:r>
                    <w:rPr>
                      <w:rFonts w:hint="eastAsia"/>
                    </w:rPr>
                    <w:t>全硫</w:t>
                  </w:r>
                </w:p>
              </w:tc>
              <w:tc>
                <w:tcPr>
                  <w:tcW w:w="1700" w:type="dxa"/>
                  <w:vAlign w:val="center"/>
                </w:tcPr>
                <w:p w14:paraId="2C422AEA">
                  <w:pPr>
                    <w:snapToGrid w:val="0"/>
                    <w:spacing w:line="240" w:lineRule="auto"/>
                    <w:ind w:firstLine="0" w:firstLineChars="0"/>
                    <w:contextualSpacing/>
                    <w:jc w:val="center"/>
                  </w:pPr>
                  <w:r>
                    <w:rPr>
                      <w:rFonts w:hint="eastAsia"/>
                    </w:rPr>
                    <w:t>%</w:t>
                  </w:r>
                </w:p>
              </w:tc>
              <w:tc>
                <w:tcPr>
                  <w:tcW w:w="1700" w:type="dxa"/>
                  <w:vAlign w:val="center"/>
                </w:tcPr>
                <w:p w14:paraId="06CE4CFD">
                  <w:pPr>
                    <w:snapToGrid w:val="0"/>
                    <w:spacing w:line="240" w:lineRule="auto"/>
                    <w:ind w:firstLine="0" w:firstLineChars="0"/>
                    <w:contextualSpacing/>
                    <w:jc w:val="center"/>
                  </w:pPr>
                  <w:r>
                    <w:rPr>
                      <w:rFonts w:hint="eastAsia"/>
                    </w:rPr>
                    <w:t>0.03</w:t>
                  </w:r>
                </w:p>
              </w:tc>
            </w:tr>
            <w:tr w14:paraId="6A785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1354" w:type="dxa"/>
                  <w:vAlign w:val="center"/>
                </w:tcPr>
                <w:p w14:paraId="64B05851">
                  <w:pPr>
                    <w:snapToGrid w:val="0"/>
                    <w:spacing w:line="240" w:lineRule="auto"/>
                    <w:ind w:firstLine="0" w:firstLineChars="0"/>
                    <w:contextualSpacing/>
                    <w:jc w:val="center"/>
                  </w:pPr>
                  <w:r>
                    <w:rPr>
                      <w:rFonts w:hint="eastAsia"/>
                    </w:rPr>
                    <w:t>5</w:t>
                  </w:r>
                </w:p>
              </w:tc>
              <w:tc>
                <w:tcPr>
                  <w:tcW w:w="2046" w:type="dxa"/>
                  <w:vAlign w:val="center"/>
                </w:tcPr>
                <w:p w14:paraId="0187FBE3">
                  <w:pPr>
                    <w:snapToGrid w:val="0"/>
                    <w:spacing w:line="240" w:lineRule="auto"/>
                    <w:ind w:firstLine="0" w:firstLineChars="0"/>
                    <w:contextualSpacing/>
                    <w:jc w:val="center"/>
                  </w:pPr>
                  <w:r>
                    <w:rPr>
                      <w:rFonts w:hint="eastAsia"/>
                    </w:rPr>
                    <w:t>低位发热量</w:t>
                  </w:r>
                </w:p>
              </w:tc>
              <w:tc>
                <w:tcPr>
                  <w:tcW w:w="1700" w:type="dxa"/>
                  <w:vAlign w:val="center"/>
                </w:tcPr>
                <w:p w14:paraId="6F8036F0">
                  <w:pPr>
                    <w:snapToGrid w:val="0"/>
                    <w:spacing w:line="240" w:lineRule="auto"/>
                    <w:ind w:firstLine="0" w:firstLineChars="0"/>
                    <w:contextualSpacing/>
                    <w:jc w:val="center"/>
                  </w:pPr>
                  <w:r>
                    <w:rPr>
                      <w:rFonts w:hint="eastAsia"/>
                    </w:rPr>
                    <w:t>MJ/kg</w:t>
                  </w:r>
                </w:p>
              </w:tc>
              <w:tc>
                <w:tcPr>
                  <w:tcW w:w="1700" w:type="dxa"/>
                  <w:vAlign w:val="center"/>
                </w:tcPr>
                <w:p w14:paraId="13B0CB8E">
                  <w:pPr>
                    <w:snapToGrid w:val="0"/>
                    <w:spacing w:line="240" w:lineRule="auto"/>
                    <w:ind w:firstLine="0" w:firstLineChars="0"/>
                    <w:contextualSpacing/>
                    <w:jc w:val="center"/>
                  </w:pPr>
                  <w:r>
                    <w:rPr>
                      <w:rFonts w:hint="eastAsia"/>
                    </w:rPr>
                    <w:t>17.28</w:t>
                  </w:r>
                </w:p>
              </w:tc>
            </w:tr>
          </w:tbl>
          <w:p w14:paraId="61BC8369">
            <w:pPr>
              <w:snapToGrid w:val="0"/>
              <w:ind w:firstLine="420"/>
              <w:contextualSpacing/>
            </w:pPr>
            <w:r>
              <w:rPr>
                <w:rFonts w:hint="eastAsia"/>
              </w:rPr>
              <w:t>生物质燃料在装卸、贮存、输送过程中会产生颗粒物，产生量较少，无组织排放。在装卸、贮存、输送阶段采取密闭措施，对环境影响较小。</w:t>
            </w:r>
          </w:p>
          <w:p w14:paraId="3B02871F">
            <w:pPr>
              <w:ind w:firstLine="420"/>
            </w:pPr>
            <w:r>
              <w:rPr>
                <w:rFonts w:hint="eastAsia"/>
              </w:rPr>
              <w:t>2）未收集的污水处理站恶臭气体</w:t>
            </w:r>
          </w:p>
          <w:p w14:paraId="09479FC7">
            <w:pPr>
              <w:ind w:firstLine="420"/>
            </w:pPr>
            <w:r>
              <w:rPr>
                <w:rFonts w:hint="eastAsia"/>
              </w:rPr>
              <w:t>调节池、污泥池加盖密闭，一体化污水处理装置位于地下，气浮机、压滤机位于设备间内。</w:t>
            </w:r>
          </w:p>
          <w:p w14:paraId="59D88D97">
            <w:pPr>
              <w:ind w:firstLine="420"/>
            </w:pPr>
            <w:r>
              <w:rPr>
                <w:rFonts w:hint="eastAsia"/>
                <w:kern w:val="0"/>
                <w:szCs w:val="21"/>
              </w:rPr>
              <w:t>未</w:t>
            </w:r>
            <w:r>
              <w:rPr>
                <w:rFonts w:hint="eastAsia"/>
              </w:rPr>
              <w:t>收集的污水处理站恶臭气体</w:t>
            </w:r>
            <w:r>
              <w:t>NH</w:t>
            </w:r>
            <w:r>
              <w:rPr>
                <w:vertAlign w:val="subscript"/>
              </w:rPr>
              <w:t>3</w:t>
            </w:r>
            <w:r>
              <w:rPr>
                <w:rFonts w:hint="eastAsia"/>
              </w:rPr>
              <w:t>排放浓度为0.3mg/m</w:t>
            </w:r>
            <w:r>
              <w:rPr>
                <w:rFonts w:hint="eastAsia"/>
                <w:vertAlign w:val="superscript"/>
              </w:rPr>
              <w:t>3</w:t>
            </w:r>
            <w:r>
              <w:rPr>
                <w:rFonts w:hint="eastAsia"/>
              </w:rPr>
              <w:t>，H</w:t>
            </w:r>
            <w:r>
              <w:rPr>
                <w:rFonts w:hint="eastAsia"/>
                <w:vertAlign w:val="subscript"/>
              </w:rPr>
              <w:t>2</w:t>
            </w:r>
            <w:r>
              <w:rPr>
                <w:rFonts w:hint="eastAsia"/>
              </w:rPr>
              <w:t>S排放浓度为0.012mg/m</w:t>
            </w:r>
            <w:r>
              <w:rPr>
                <w:rFonts w:hint="eastAsia"/>
                <w:vertAlign w:val="superscript"/>
              </w:rPr>
              <w:t>3</w:t>
            </w:r>
            <w:r>
              <w:rPr>
                <w:rFonts w:hint="eastAsia"/>
              </w:rPr>
              <w:t>，均能满足《恶臭污染物排放标准》（GB14554-93）表1新改扩建二级标准限值要求。</w:t>
            </w:r>
          </w:p>
          <w:p w14:paraId="12C2C0F9">
            <w:pPr>
              <w:adjustRightInd w:val="0"/>
              <w:snapToGrid w:val="0"/>
              <w:ind w:firstLine="369" w:firstLineChars="176"/>
              <w:rPr>
                <w:bCs/>
                <w:szCs w:val="20"/>
              </w:rPr>
            </w:pPr>
            <w:r>
              <w:rPr>
                <w:bCs/>
                <w:szCs w:val="20"/>
              </w:rPr>
              <w:t>（3）非正常</w:t>
            </w:r>
            <w:r>
              <w:rPr>
                <w:rFonts w:hint="eastAsia"/>
                <w:bCs/>
                <w:szCs w:val="20"/>
              </w:rPr>
              <w:t>工</w:t>
            </w:r>
            <w:r>
              <w:rPr>
                <w:bCs/>
                <w:szCs w:val="20"/>
              </w:rPr>
              <w:t>况</w:t>
            </w:r>
          </w:p>
          <w:p w14:paraId="089F521C">
            <w:pPr>
              <w:ind w:firstLine="420"/>
            </w:pPr>
            <w:r>
              <w:t>非正常排放是指项目生产过程中由于开车、停车、设备检修、工艺设备运转异常等非正常工况下的污染物排放，本项目开车、停车、检修时不涉及非正常排污，仅在废气治理设施发生故障时，外排废气中污染物超标排放。类比同类生产设施企业，废气治理设施发生故障的概率≤1次/年，持续时间≤1h；当发现废气治理设施出现故障时，建设单位立即停止生产，待废气治理设施正常运行后再进行生产。因此，本项目非正常工况下污染物外排情况见下表。</w:t>
            </w:r>
          </w:p>
          <w:p w14:paraId="54FB1508">
            <w:pPr>
              <w:pStyle w:val="75"/>
              <w:widowControl w:val="0"/>
              <w:numPr>
                <w:ilvl w:val="0"/>
                <w:numId w:val="0"/>
              </w:numPr>
              <w:ind w:firstLine="422"/>
              <w:rPr>
                <w:kern w:val="2"/>
              </w:rPr>
            </w:pPr>
            <w:r>
              <w:rPr>
                <w:rFonts w:hint="eastAsia"/>
              </w:rPr>
              <w:t xml:space="preserve">表4-5 </w:t>
            </w:r>
            <w:r>
              <w:t>非正常工况废气污染物排放情况表</w:t>
            </w:r>
          </w:p>
          <w:tbl>
            <w:tblPr>
              <w:tblStyle w:val="25"/>
              <w:tblW w:w="472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14"/>
              <w:gridCol w:w="1031"/>
              <w:gridCol w:w="1983"/>
              <w:gridCol w:w="1046"/>
              <w:gridCol w:w="1135"/>
              <w:gridCol w:w="1055"/>
              <w:gridCol w:w="1082"/>
            </w:tblGrid>
            <w:tr w14:paraId="3C8AE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386" w:type="pct"/>
                  <w:noWrap/>
                  <w:vAlign w:val="center"/>
                </w:tcPr>
                <w:p w14:paraId="01D56646">
                  <w:pPr>
                    <w:pStyle w:val="40"/>
                  </w:pPr>
                  <w:r>
                    <w:rPr>
                      <w:lang w:val="zh-CN"/>
                    </w:rPr>
                    <w:t>序号</w:t>
                  </w:r>
                </w:p>
              </w:tc>
              <w:tc>
                <w:tcPr>
                  <w:tcW w:w="649" w:type="pct"/>
                  <w:noWrap/>
                  <w:vAlign w:val="center"/>
                </w:tcPr>
                <w:p w14:paraId="155D7387">
                  <w:pPr>
                    <w:pStyle w:val="40"/>
                  </w:pPr>
                  <w:r>
                    <w:t>产污节点</w:t>
                  </w:r>
                </w:p>
              </w:tc>
              <w:tc>
                <w:tcPr>
                  <w:tcW w:w="1248" w:type="pct"/>
                  <w:noWrap/>
                  <w:vAlign w:val="center"/>
                </w:tcPr>
                <w:p w14:paraId="565E1231">
                  <w:pPr>
                    <w:pStyle w:val="40"/>
                  </w:pPr>
                  <w:r>
                    <w:rPr>
                      <w:lang w:val="zh-CN"/>
                    </w:rPr>
                    <w:t>污染物</w:t>
                  </w:r>
                </w:p>
                <w:p w14:paraId="22689B0A">
                  <w:pPr>
                    <w:pStyle w:val="40"/>
                  </w:pPr>
                  <w:r>
                    <w:rPr>
                      <w:lang w:val="zh-CN"/>
                    </w:rPr>
                    <w:t>名称</w:t>
                  </w:r>
                </w:p>
              </w:tc>
              <w:tc>
                <w:tcPr>
                  <w:tcW w:w="658" w:type="pct"/>
                  <w:noWrap/>
                  <w:vAlign w:val="center"/>
                </w:tcPr>
                <w:p w14:paraId="369A8A36">
                  <w:pPr>
                    <w:pStyle w:val="40"/>
                  </w:pPr>
                  <w:r>
                    <w:t>频次</w:t>
                  </w:r>
                </w:p>
              </w:tc>
              <w:tc>
                <w:tcPr>
                  <w:tcW w:w="714" w:type="pct"/>
                  <w:noWrap/>
                  <w:vAlign w:val="center"/>
                </w:tcPr>
                <w:p w14:paraId="1BDE4043">
                  <w:pPr>
                    <w:pStyle w:val="40"/>
                  </w:pPr>
                  <w:r>
                    <w:rPr>
                      <w:lang w:val="zh-CN"/>
                    </w:rPr>
                    <w:t>排放浓度</w:t>
                  </w:r>
                  <w:r>
                    <w:t>mg/m</w:t>
                  </w:r>
                  <w:r>
                    <w:rPr>
                      <w:vertAlign w:val="superscript"/>
                    </w:rPr>
                    <w:t>3</w:t>
                  </w:r>
                </w:p>
              </w:tc>
              <w:tc>
                <w:tcPr>
                  <w:tcW w:w="664" w:type="pct"/>
                  <w:noWrap/>
                  <w:vAlign w:val="center"/>
                </w:tcPr>
                <w:p w14:paraId="6B17CB5E">
                  <w:pPr>
                    <w:pStyle w:val="40"/>
                  </w:pPr>
                  <w:r>
                    <w:rPr>
                      <w:lang w:val="zh-CN"/>
                    </w:rPr>
                    <w:t>持续时间</w:t>
                  </w:r>
                </w:p>
              </w:tc>
              <w:tc>
                <w:tcPr>
                  <w:tcW w:w="681" w:type="pct"/>
                  <w:noWrap/>
                  <w:vAlign w:val="center"/>
                </w:tcPr>
                <w:p w14:paraId="427C05EC">
                  <w:pPr>
                    <w:pStyle w:val="40"/>
                  </w:pPr>
                  <w:r>
                    <w:rPr>
                      <w:lang w:val="zh-CN"/>
                    </w:rPr>
                    <w:t>排放量</w:t>
                  </w:r>
                </w:p>
              </w:tc>
            </w:tr>
            <w:tr w14:paraId="3C39C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6" w:hRule="atLeast"/>
                <w:jc w:val="center"/>
              </w:trPr>
              <w:tc>
                <w:tcPr>
                  <w:tcW w:w="386" w:type="pct"/>
                  <w:vMerge w:val="restart"/>
                  <w:noWrap/>
                  <w:vAlign w:val="center"/>
                </w:tcPr>
                <w:p w14:paraId="398597CA">
                  <w:pPr>
                    <w:pStyle w:val="40"/>
                  </w:pPr>
                  <w:r>
                    <w:rPr>
                      <w:rFonts w:hint="eastAsia"/>
                    </w:rPr>
                    <w:t>1</w:t>
                  </w:r>
                </w:p>
              </w:tc>
              <w:tc>
                <w:tcPr>
                  <w:tcW w:w="649" w:type="pct"/>
                  <w:vMerge w:val="restart"/>
                  <w:noWrap/>
                  <w:vAlign w:val="center"/>
                </w:tcPr>
                <w:p w14:paraId="234954F5">
                  <w:pPr>
                    <w:pStyle w:val="40"/>
                  </w:pPr>
                  <w:r>
                    <w:rPr>
                      <w:rFonts w:hint="eastAsia"/>
                    </w:rPr>
                    <w:t>生物质锅炉</w:t>
                  </w:r>
                </w:p>
              </w:tc>
              <w:tc>
                <w:tcPr>
                  <w:tcW w:w="1248" w:type="pct"/>
                  <w:noWrap/>
                  <w:vAlign w:val="center"/>
                </w:tcPr>
                <w:p w14:paraId="2AB7DA59">
                  <w:pPr>
                    <w:pStyle w:val="40"/>
                  </w:pPr>
                  <w:r>
                    <w:t>颗粒物</w:t>
                  </w:r>
                </w:p>
              </w:tc>
              <w:tc>
                <w:tcPr>
                  <w:tcW w:w="658" w:type="pct"/>
                  <w:noWrap/>
                  <w:vAlign w:val="center"/>
                </w:tcPr>
                <w:p w14:paraId="5B3FB902">
                  <w:pPr>
                    <w:pStyle w:val="40"/>
                  </w:pPr>
                  <w:r>
                    <w:t>1次/年</w:t>
                  </w:r>
                </w:p>
              </w:tc>
              <w:tc>
                <w:tcPr>
                  <w:tcW w:w="714" w:type="pct"/>
                  <w:noWrap/>
                  <w:vAlign w:val="center"/>
                </w:tcPr>
                <w:p w14:paraId="177151BE">
                  <w:pPr>
                    <w:pStyle w:val="40"/>
                  </w:pPr>
                  <w:r>
                    <w:t>/</w:t>
                  </w:r>
                </w:p>
              </w:tc>
              <w:tc>
                <w:tcPr>
                  <w:tcW w:w="664" w:type="pct"/>
                  <w:noWrap/>
                  <w:vAlign w:val="center"/>
                </w:tcPr>
                <w:p w14:paraId="084A2AA6">
                  <w:pPr>
                    <w:pStyle w:val="40"/>
                  </w:pPr>
                  <w:r>
                    <w:t>1h</w:t>
                  </w:r>
                </w:p>
              </w:tc>
              <w:tc>
                <w:tcPr>
                  <w:tcW w:w="681" w:type="pct"/>
                  <w:noWrap/>
                  <w:vAlign w:val="center"/>
                </w:tcPr>
                <w:p w14:paraId="57A72012">
                  <w:pPr>
                    <w:pStyle w:val="40"/>
                  </w:pPr>
                  <w:r>
                    <w:rPr>
                      <w:rFonts w:hint="eastAsia"/>
                    </w:rPr>
                    <w:t>10.78kg</w:t>
                  </w:r>
                </w:p>
              </w:tc>
            </w:tr>
            <w:tr w14:paraId="05AEA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01" w:hRule="atLeast"/>
                <w:jc w:val="center"/>
              </w:trPr>
              <w:tc>
                <w:tcPr>
                  <w:tcW w:w="386" w:type="pct"/>
                  <w:vMerge w:val="continue"/>
                  <w:noWrap/>
                  <w:vAlign w:val="center"/>
                </w:tcPr>
                <w:p w14:paraId="1D5664A2">
                  <w:pPr>
                    <w:pStyle w:val="40"/>
                  </w:pPr>
                </w:p>
              </w:tc>
              <w:tc>
                <w:tcPr>
                  <w:tcW w:w="649" w:type="pct"/>
                  <w:vMerge w:val="continue"/>
                  <w:noWrap/>
                  <w:vAlign w:val="center"/>
                </w:tcPr>
                <w:p w14:paraId="2D1D15F8">
                  <w:pPr>
                    <w:pStyle w:val="40"/>
                  </w:pPr>
                </w:p>
              </w:tc>
              <w:tc>
                <w:tcPr>
                  <w:tcW w:w="1248" w:type="pct"/>
                  <w:noWrap/>
                  <w:vAlign w:val="center"/>
                </w:tcPr>
                <w:p w14:paraId="0C15A378">
                  <w:pPr>
                    <w:pStyle w:val="40"/>
                  </w:pPr>
                  <w:r>
                    <w:rPr>
                      <w:rFonts w:hint="eastAsia"/>
                    </w:rPr>
                    <w:t>SO</w:t>
                  </w:r>
                  <w:r>
                    <w:rPr>
                      <w:rFonts w:hint="eastAsia"/>
                      <w:vertAlign w:val="subscript"/>
                    </w:rPr>
                    <w:t>2</w:t>
                  </w:r>
                </w:p>
              </w:tc>
              <w:tc>
                <w:tcPr>
                  <w:tcW w:w="658" w:type="pct"/>
                  <w:noWrap/>
                  <w:vAlign w:val="center"/>
                </w:tcPr>
                <w:p w14:paraId="229BAFA9">
                  <w:pPr>
                    <w:pStyle w:val="40"/>
                  </w:pPr>
                  <w:r>
                    <w:t>1次/年</w:t>
                  </w:r>
                </w:p>
              </w:tc>
              <w:tc>
                <w:tcPr>
                  <w:tcW w:w="714" w:type="pct"/>
                  <w:noWrap/>
                  <w:vAlign w:val="center"/>
                </w:tcPr>
                <w:p w14:paraId="4C74526F">
                  <w:pPr>
                    <w:pStyle w:val="40"/>
                  </w:pPr>
                  <w:r>
                    <w:t>/</w:t>
                  </w:r>
                </w:p>
              </w:tc>
              <w:tc>
                <w:tcPr>
                  <w:tcW w:w="664" w:type="pct"/>
                  <w:noWrap/>
                  <w:vAlign w:val="center"/>
                </w:tcPr>
                <w:p w14:paraId="54EAFDD0">
                  <w:pPr>
                    <w:pStyle w:val="40"/>
                  </w:pPr>
                  <w:r>
                    <w:t>1h</w:t>
                  </w:r>
                </w:p>
              </w:tc>
              <w:tc>
                <w:tcPr>
                  <w:tcW w:w="681" w:type="pct"/>
                  <w:noWrap/>
                  <w:vAlign w:val="center"/>
                </w:tcPr>
                <w:p w14:paraId="2FFE206A">
                  <w:pPr>
                    <w:pStyle w:val="40"/>
                  </w:pPr>
                  <w:r>
                    <w:rPr>
                      <w:rFonts w:hint="eastAsia"/>
                    </w:rPr>
                    <w:t>0.07 kg</w:t>
                  </w:r>
                </w:p>
              </w:tc>
            </w:tr>
            <w:tr w14:paraId="3EF91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01" w:hRule="atLeast"/>
                <w:jc w:val="center"/>
              </w:trPr>
              <w:tc>
                <w:tcPr>
                  <w:tcW w:w="386" w:type="pct"/>
                  <w:vMerge w:val="continue"/>
                  <w:noWrap/>
                  <w:vAlign w:val="center"/>
                </w:tcPr>
                <w:p w14:paraId="638180C2">
                  <w:pPr>
                    <w:pStyle w:val="40"/>
                  </w:pPr>
                </w:p>
              </w:tc>
              <w:tc>
                <w:tcPr>
                  <w:tcW w:w="649" w:type="pct"/>
                  <w:vMerge w:val="continue"/>
                  <w:noWrap/>
                  <w:vAlign w:val="center"/>
                </w:tcPr>
                <w:p w14:paraId="368D65E4">
                  <w:pPr>
                    <w:pStyle w:val="40"/>
                  </w:pPr>
                </w:p>
              </w:tc>
              <w:tc>
                <w:tcPr>
                  <w:tcW w:w="1248" w:type="pct"/>
                  <w:noWrap/>
                  <w:vAlign w:val="center"/>
                </w:tcPr>
                <w:p w14:paraId="2144BCC8">
                  <w:pPr>
                    <w:pStyle w:val="40"/>
                  </w:pPr>
                  <w:r>
                    <w:t>NOx</w:t>
                  </w:r>
                </w:p>
              </w:tc>
              <w:tc>
                <w:tcPr>
                  <w:tcW w:w="658" w:type="pct"/>
                  <w:noWrap/>
                  <w:vAlign w:val="center"/>
                </w:tcPr>
                <w:p w14:paraId="3EBF6E02">
                  <w:pPr>
                    <w:pStyle w:val="40"/>
                  </w:pPr>
                  <w:r>
                    <w:t>1次/年</w:t>
                  </w:r>
                </w:p>
              </w:tc>
              <w:tc>
                <w:tcPr>
                  <w:tcW w:w="714" w:type="pct"/>
                  <w:noWrap/>
                  <w:vAlign w:val="center"/>
                </w:tcPr>
                <w:p w14:paraId="5179AEC2">
                  <w:pPr>
                    <w:pStyle w:val="40"/>
                  </w:pPr>
                  <w:r>
                    <w:rPr>
                      <w:rFonts w:hint="eastAsia"/>
                    </w:rPr>
                    <w:t>/</w:t>
                  </w:r>
                </w:p>
              </w:tc>
              <w:tc>
                <w:tcPr>
                  <w:tcW w:w="664" w:type="pct"/>
                  <w:noWrap/>
                  <w:vAlign w:val="center"/>
                </w:tcPr>
                <w:p w14:paraId="56BA31A1">
                  <w:pPr>
                    <w:pStyle w:val="40"/>
                  </w:pPr>
                  <w:r>
                    <w:t>1h</w:t>
                  </w:r>
                </w:p>
              </w:tc>
              <w:tc>
                <w:tcPr>
                  <w:tcW w:w="681" w:type="pct"/>
                  <w:noWrap/>
                  <w:vAlign w:val="center"/>
                </w:tcPr>
                <w:p w14:paraId="04DC2F2B">
                  <w:pPr>
                    <w:pStyle w:val="40"/>
                  </w:pPr>
                  <w:r>
                    <w:rPr>
                      <w:rFonts w:hint="eastAsia"/>
                    </w:rPr>
                    <w:t>0.486 kg</w:t>
                  </w:r>
                </w:p>
              </w:tc>
            </w:tr>
            <w:tr w14:paraId="6A4DD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01" w:hRule="atLeast"/>
                <w:jc w:val="center"/>
              </w:trPr>
              <w:tc>
                <w:tcPr>
                  <w:tcW w:w="386" w:type="pct"/>
                  <w:vMerge w:val="continue"/>
                  <w:noWrap/>
                  <w:vAlign w:val="center"/>
                </w:tcPr>
                <w:p w14:paraId="567CAFA7">
                  <w:pPr>
                    <w:pStyle w:val="40"/>
                  </w:pPr>
                </w:p>
              </w:tc>
              <w:tc>
                <w:tcPr>
                  <w:tcW w:w="649" w:type="pct"/>
                  <w:vMerge w:val="continue"/>
                  <w:noWrap/>
                  <w:vAlign w:val="center"/>
                </w:tcPr>
                <w:p w14:paraId="792FD6A8">
                  <w:pPr>
                    <w:pStyle w:val="40"/>
                  </w:pPr>
                </w:p>
              </w:tc>
              <w:tc>
                <w:tcPr>
                  <w:tcW w:w="1248" w:type="pct"/>
                  <w:noWrap/>
                  <w:vAlign w:val="center"/>
                </w:tcPr>
                <w:p w14:paraId="75D0080B">
                  <w:pPr>
                    <w:pStyle w:val="40"/>
                  </w:pPr>
                  <w:r>
                    <w:rPr>
                      <w:rFonts w:hint="eastAsia"/>
                    </w:rPr>
                    <w:t>烟气黑度</w:t>
                  </w:r>
                </w:p>
              </w:tc>
              <w:tc>
                <w:tcPr>
                  <w:tcW w:w="658" w:type="pct"/>
                  <w:noWrap/>
                  <w:vAlign w:val="center"/>
                </w:tcPr>
                <w:p w14:paraId="5360FD56">
                  <w:pPr>
                    <w:pStyle w:val="40"/>
                  </w:pPr>
                  <w:r>
                    <w:t>1次/年</w:t>
                  </w:r>
                </w:p>
              </w:tc>
              <w:tc>
                <w:tcPr>
                  <w:tcW w:w="714" w:type="pct"/>
                  <w:noWrap/>
                  <w:vAlign w:val="center"/>
                </w:tcPr>
                <w:p w14:paraId="6E8B2F35">
                  <w:pPr>
                    <w:pStyle w:val="40"/>
                  </w:pPr>
                  <w:r>
                    <w:rPr>
                      <w:rFonts w:hint="eastAsia"/>
                    </w:rPr>
                    <w:t>/</w:t>
                  </w:r>
                </w:p>
              </w:tc>
              <w:tc>
                <w:tcPr>
                  <w:tcW w:w="664" w:type="pct"/>
                  <w:noWrap/>
                  <w:vAlign w:val="center"/>
                </w:tcPr>
                <w:p w14:paraId="49532ED9">
                  <w:pPr>
                    <w:pStyle w:val="40"/>
                  </w:pPr>
                  <w:r>
                    <w:t>1h</w:t>
                  </w:r>
                </w:p>
              </w:tc>
              <w:tc>
                <w:tcPr>
                  <w:tcW w:w="681" w:type="pct"/>
                  <w:noWrap/>
                  <w:vAlign w:val="center"/>
                </w:tcPr>
                <w:p w14:paraId="46E3E785">
                  <w:pPr>
                    <w:pStyle w:val="40"/>
                  </w:pPr>
                  <w:r>
                    <w:rPr>
                      <w:rFonts w:hint="eastAsia"/>
                    </w:rPr>
                    <w:t>/</w:t>
                  </w:r>
                </w:p>
              </w:tc>
            </w:tr>
            <w:tr w14:paraId="1AA63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01" w:hRule="atLeast"/>
                <w:jc w:val="center"/>
              </w:trPr>
              <w:tc>
                <w:tcPr>
                  <w:tcW w:w="386" w:type="pct"/>
                  <w:vMerge w:val="continue"/>
                  <w:noWrap/>
                  <w:vAlign w:val="center"/>
                </w:tcPr>
                <w:p w14:paraId="115EA314">
                  <w:pPr>
                    <w:pStyle w:val="40"/>
                  </w:pPr>
                </w:p>
              </w:tc>
              <w:tc>
                <w:tcPr>
                  <w:tcW w:w="649" w:type="pct"/>
                  <w:vMerge w:val="continue"/>
                  <w:noWrap/>
                  <w:vAlign w:val="center"/>
                </w:tcPr>
                <w:p w14:paraId="19E112AF">
                  <w:pPr>
                    <w:pStyle w:val="40"/>
                  </w:pPr>
                </w:p>
              </w:tc>
              <w:tc>
                <w:tcPr>
                  <w:tcW w:w="1248" w:type="pct"/>
                  <w:noWrap/>
                  <w:vAlign w:val="center"/>
                </w:tcPr>
                <w:p w14:paraId="34C27BD6">
                  <w:pPr>
                    <w:pStyle w:val="40"/>
                  </w:pPr>
                  <w:r>
                    <w:rPr>
                      <w:rFonts w:hint="eastAsia"/>
                    </w:rPr>
                    <w:t>氨逃逸</w:t>
                  </w:r>
                </w:p>
              </w:tc>
              <w:tc>
                <w:tcPr>
                  <w:tcW w:w="658" w:type="pct"/>
                  <w:noWrap/>
                  <w:vAlign w:val="center"/>
                </w:tcPr>
                <w:p w14:paraId="5456DA2A">
                  <w:pPr>
                    <w:pStyle w:val="40"/>
                  </w:pPr>
                  <w:r>
                    <w:rPr>
                      <w:rFonts w:hint="eastAsia"/>
                    </w:rPr>
                    <w:t>1次/年</w:t>
                  </w:r>
                </w:p>
              </w:tc>
              <w:tc>
                <w:tcPr>
                  <w:tcW w:w="714" w:type="pct"/>
                  <w:noWrap/>
                  <w:vAlign w:val="center"/>
                </w:tcPr>
                <w:p w14:paraId="37DB2D84">
                  <w:pPr>
                    <w:pStyle w:val="40"/>
                  </w:pPr>
                  <w:r>
                    <w:rPr>
                      <w:rFonts w:hint="eastAsia"/>
                    </w:rPr>
                    <w:t>/</w:t>
                  </w:r>
                </w:p>
              </w:tc>
              <w:tc>
                <w:tcPr>
                  <w:tcW w:w="664" w:type="pct"/>
                  <w:noWrap/>
                  <w:vAlign w:val="center"/>
                </w:tcPr>
                <w:p w14:paraId="61D3BA57">
                  <w:pPr>
                    <w:pStyle w:val="40"/>
                  </w:pPr>
                  <w:r>
                    <w:rPr>
                      <w:rFonts w:hint="eastAsia"/>
                    </w:rPr>
                    <w:t>1h</w:t>
                  </w:r>
                </w:p>
              </w:tc>
              <w:tc>
                <w:tcPr>
                  <w:tcW w:w="681" w:type="pct"/>
                  <w:noWrap/>
                  <w:vAlign w:val="center"/>
                </w:tcPr>
                <w:p w14:paraId="5681F69A">
                  <w:pPr>
                    <w:pStyle w:val="40"/>
                  </w:pPr>
                  <w:r>
                    <w:rPr>
                      <w:rFonts w:hint="eastAsia"/>
                    </w:rPr>
                    <w:t>0.0004 kg</w:t>
                  </w:r>
                </w:p>
              </w:tc>
            </w:tr>
            <w:tr w14:paraId="33E75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386" w:type="pct"/>
                  <w:vMerge w:val="restart"/>
                  <w:noWrap/>
                  <w:vAlign w:val="center"/>
                </w:tcPr>
                <w:p w14:paraId="30B337D0">
                  <w:pPr>
                    <w:pStyle w:val="40"/>
                  </w:pPr>
                  <w:r>
                    <w:rPr>
                      <w:rFonts w:hint="eastAsia"/>
                    </w:rPr>
                    <w:t>2</w:t>
                  </w:r>
                </w:p>
              </w:tc>
              <w:tc>
                <w:tcPr>
                  <w:tcW w:w="649" w:type="pct"/>
                  <w:vMerge w:val="restart"/>
                  <w:noWrap/>
                  <w:vAlign w:val="center"/>
                </w:tcPr>
                <w:p w14:paraId="30D375FE">
                  <w:pPr>
                    <w:pStyle w:val="40"/>
                  </w:pPr>
                  <w:r>
                    <w:rPr>
                      <w:rFonts w:hint="eastAsia"/>
                    </w:rPr>
                    <w:t>污水处理站</w:t>
                  </w:r>
                </w:p>
              </w:tc>
              <w:tc>
                <w:tcPr>
                  <w:tcW w:w="1248" w:type="pct"/>
                  <w:noWrap/>
                  <w:vAlign w:val="center"/>
                </w:tcPr>
                <w:p w14:paraId="56D910C8">
                  <w:pPr>
                    <w:pStyle w:val="40"/>
                  </w:pPr>
                  <w:r>
                    <w:rPr>
                      <w:rFonts w:hint="eastAsia"/>
                    </w:rPr>
                    <w:t>氨</w:t>
                  </w:r>
                </w:p>
              </w:tc>
              <w:tc>
                <w:tcPr>
                  <w:tcW w:w="658" w:type="pct"/>
                  <w:noWrap/>
                  <w:vAlign w:val="center"/>
                </w:tcPr>
                <w:p w14:paraId="58D9D43C">
                  <w:pPr>
                    <w:pStyle w:val="40"/>
                  </w:pPr>
                  <w:r>
                    <w:rPr>
                      <w:rFonts w:hint="eastAsia"/>
                    </w:rPr>
                    <w:t>1次/年</w:t>
                  </w:r>
                </w:p>
              </w:tc>
              <w:tc>
                <w:tcPr>
                  <w:tcW w:w="714" w:type="pct"/>
                  <w:noWrap/>
                  <w:vAlign w:val="center"/>
                </w:tcPr>
                <w:p w14:paraId="47DC452F">
                  <w:pPr>
                    <w:pStyle w:val="40"/>
                  </w:pPr>
                  <w:r>
                    <w:rPr>
                      <w:rFonts w:hint="eastAsia"/>
                    </w:rPr>
                    <w:t>/</w:t>
                  </w:r>
                </w:p>
              </w:tc>
              <w:tc>
                <w:tcPr>
                  <w:tcW w:w="664" w:type="pct"/>
                  <w:noWrap/>
                  <w:vAlign w:val="center"/>
                </w:tcPr>
                <w:p w14:paraId="6353D0A4">
                  <w:pPr>
                    <w:pStyle w:val="40"/>
                  </w:pPr>
                  <w:r>
                    <w:rPr>
                      <w:rFonts w:hint="eastAsia"/>
                    </w:rPr>
                    <w:t>1h</w:t>
                  </w:r>
                </w:p>
              </w:tc>
              <w:tc>
                <w:tcPr>
                  <w:tcW w:w="681" w:type="pct"/>
                  <w:noWrap/>
                  <w:vAlign w:val="center"/>
                </w:tcPr>
                <w:p w14:paraId="49065498">
                  <w:pPr>
                    <w:pStyle w:val="40"/>
                  </w:pPr>
                  <w:r>
                    <w:rPr>
                      <w:rFonts w:hint="eastAsia"/>
                    </w:rPr>
                    <w:t>0.006</w:t>
                  </w:r>
                  <w:r>
                    <w:t>kg</w:t>
                  </w:r>
                </w:p>
              </w:tc>
            </w:tr>
            <w:tr w14:paraId="18822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386" w:type="pct"/>
                  <w:vMerge w:val="continue"/>
                  <w:noWrap/>
                  <w:vAlign w:val="center"/>
                </w:tcPr>
                <w:p w14:paraId="2A2E2B54">
                  <w:pPr>
                    <w:pStyle w:val="40"/>
                  </w:pPr>
                </w:p>
              </w:tc>
              <w:tc>
                <w:tcPr>
                  <w:tcW w:w="649" w:type="pct"/>
                  <w:vMerge w:val="continue"/>
                  <w:noWrap/>
                  <w:vAlign w:val="center"/>
                </w:tcPr>
                <w:p w14:paraId="26ACCF11">
                  <w:pPr>
                    <w:pStyle w:val="40"/>
                  </w:pPr>
                </w:p>
              </w:tc>
              <w:tc>
                <w:tcPr>
                  <w:tcW w:w="1248" w:type="pct"/>
                  <w:noWrap/>
                  <w:vAlign w:val="center"/>
                </w:tcPr>
                <w:p w14:paraId="06817439">
                  <w:pPr>
                    <w:pStyle w:val="40"/>
                  </w:pPr>
                  <w:r>
                    <w:rPr>
                      <w:rFonts w:hint="eastAsia"/>
                    </w:rPr>
                    <w:t>硫化氢</w:t>
                  </w:r>
                </w:p>
              </w:tc>
              <w:tc>
                <w:tcPr>
                  <w:tcW w:w="658" w:type="pct"/>
                  <w:noWrap/>
                  <w:vAlign w:val="center"/>
                </w:tcPr>
                <w:p w14:paraId="115CC835">
                  <w:pPr>
                    <w:pStyle w:val="40"/>
                  </w:pPr>
                  <w:r>
                    <w:rPr>
                      <w:rFonts w:hint="eastAsia"/>
                    </w:rPr>
                    <w:t>1次/年</w:t>
                  </w:r>
                </w:p>
              </w:tc>
              <w:tc>
                <w:tcPr>
                  <w:tcW w:w="714" w:type="pct"/>
                  <w:noWrap/>
                  <w:vAlign w:val="center"/>
                </w:tcPr>
                <w:p w14:paraId="24EE1DBC">
                  <w:pPr>
                    <w:pStyle w:val="40"/>
                  </w:pPr>
                  <w:r>
                    <w:rPr>
                      <w:rFonts w:hint="eastAsia"/>
                    </w:rPr>
                    <w:t>/</w:t>
                  </w:r>
                </w:p>
              </w:tc>
              <w:tc>
                <w:tcPr>
                  <w:tcW w:w="664" w:type="pct"/>
                  <w:noWrap/>
                  <w:vAlign w:val="center"/>
                </w:tcPr>
                <w:p w14:paraId="75CB08F6">
                  <w:pPr>
                    <w:pStyle w:val="40"/>
                  </w:pPr>
                  <w:r>
                    <w:rPr>
                      <w:rFonts w:hint="eastAsia"/>
                    </w:rPr>
                    <w:t>1h</w:t>
                  </w:r>
                </w:p>
              </w:tc>
              <w:tc>
                <w:tcPr>
                  <w:tcW w:w="681" w:type="pct"/>
                  <w:noWrap/>
                  <w:vAlign w:val="center"/>
                </w:tcPr>
                <w:p w14:paraId="16D99F75">
                  <w:pPr>
                    <w:pStyle w:val="40"/>
                  </w:pPr>
                  <w:r>
                    <w:t>0.0</w:t>
                  </w:r>
                  <w:r>
                    <w:rPr>
                      <w:rFonts w:hint="eastAsia"/>
                    </w:rPr>
                    <w:t>0023</w:t>
                  </w:r>
                  <w:r>
                    <w:t xml:space="preserve"> kg</w:t>
                  </w:r>
                </w:p>
              </w:tc>
            </w:tr>
            <w:tr w14:paraId="5F30F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386" w:type="pct"/>
                  <w:vMerge w:val="continue"/>
                  <w:noWrap/>
                  <w:vAlign w:val="center"/>
                </w:tcPr>
                <w:p w14:paraId="40C1DC01">
                  <w:pPr>
                    <w:pStyle w:val="40"/>
                  </w:pPr>
                </w:p>
              </w:tc>
              <w:tc>
                <w:tcPr>
                  <w:tcW w:w="649" w:type="pct"/>
                  <w:vMerge w:val="continue"/>
                  <w:noWrap/>
                  <w:vAlign w:val="center"/>
                </w:tcPr>
                <w:p w14:paraId="7878FA68">
                  <w:pPr>
                    <w:pStyle w:val="40"/>
                  </w:pPr>
                </w:p>
              </w:tc>
              <w:tc>
                <w:tcPr>
                  <w:tcW w:w="1248" w:type="pct"/>
                  <w:noWrap/>
                  <w:vAlign w:val="center"/>
                </w:tcPr>
                <w:p w14:paraId="0A2A32CE">
                  <w:pPr>
                    <w:pStyle w:val="40"/>
                  </w:pPr>
                  <w:r>
                    <w:rPr>
                      <w:rFonts w:hint="eastAsia"/>
                    </w:rPr>
                    <w:t>臭气浓度</w:t>
                  </w:r>
                </w:p>
              </w:tc>
              <w:tc>
                <w:tcPr>
                  <w:tcW w:w="658" w:type="pct"/>
                  <w:noWrap/>
                  <w:vAlign w:val="center"/>
                </w:tcPr>
                <w:p w14:paraId="44DA1B4C">
                  <w:pPr>
                    <w:pStyle w:val="40"/>
                  </w:pPr>
                  <w:r>
                    <w:rPr>
                      <w:rFonts w:hint="eastAsia"/>
                    </w:rPr>
                    <w:t>1次/年</w:t>
                  </w:r>
                </w:p>
              </w:tc>
              <w:tc>
                <w:tcPr>
                  <w:tcW w:w="714" w:type="pct"/>
                  <w:noWrap/>
                  <w:vAlign w:val="center"/>
                </w:tcPr>
                <w:p w14:paraId="1D7ED1BA">
                  <w:pPr>
                    <w:pStyle w:val="40"/>
                  </w:pPr>
                  <w:r>
                    <w:rPr>
                      <w:rFonts w:hint="eastAsia"/>
                    </w:rPr>
                    <w:t>/</w:t>
                  </w:r>
                </w:p>
              </w:tc>
              <w:tc>
                <w:tcPr>
                  <w:tcW w:w="664" w:type="pct"/>
                  <w:noWrap/>
                  <w:vAlign w:val="center"/>
                </w:tcPr>
                <w:p w14:paraId="2CD4A718">
                  <w:pPr>
                    <w:pStyle w:val="40"/>
                  </w:pPr>
                  <w:r>
                    <w:rPr>
                      <w:rFonts w:hint="eastAsia"/>
                    </w:rPr>
                    <w:t>1h</w:t>
                  </w:r>
                </w:p>
              </w:tc>
              <w:tc>
                <w:tcPr>
                  <w:tcW w:w="681" w:type="pct"/>
                  <w:noWrap/>
                  <w:vAlign w:val="center"/>
                </w:tcPr>
                <w:p w14:paraId="1CF2788F">
                  <w:pPr>
                    <w:pStyle w:val="40"/>
                  </w:pPr>
                  <w:r>
                    <w:rPr>
                      <w:rFonts w:hint="eastAsia"/>
                    </w:rPr>
                    <w:t>/</w:t>
                  </w:r>
                </w:p>
              </w:tc>
            </w:tr>
          </w:tbl>
          <w:p w14:paraId="3BAA659D">
            <w:pPr>
              <w:spacing w:beforeLines="50"/>
              <w:ind w:firstLine="420"/>
              <w:rPr>
                <w:bCs/>
                <w:szCs w:val="21"/>
              </w:rPr>
            </w:pPr>
            <w:r>
              <w:rPr>
                <w:rFonts w:hint="eastAsia"/>
                <w:bCs/>
                <w:szCs w:val="21"/>
              </w:rPr>
              <w:t>（4）达标分析</w:t>
            </w:r>
          </w:p>
          <w:p w14:paraId="1EE39A97">
            <w:pPr>
              <w:ind w:firstLine="420"/>
            </w:pPr>
            <w:r>
              <w:rPr>
                <w:rFonts w:hint="eastAsia"/>
              </w:rPr>
              <w:t>废气达标情况见下表。</w:t>
            </w:r>
          </w:p>
          <w:p w14:paraId="08808E39">
            <w:pPr>
              <w:pStyle w:val="75"/>
              <w:numPr>
                <w:ilvl w:val="0"/>
                <w:numId w:val="0"/>
              </w:numPr>
              <w:tabs>
                <w:tab w:val="left" w:pos="420"/>
                <w:tab w:val="clear" w:pos="3680"/>
              </w:tabs>
              <w:ind w:left="3260"/>
              <w:jc w:val="both"/>
            </w:pPr>
            <w:r>
              <w:rPr>
                <w:rFonts w:hint="eastAsia"/>
              </w:rPr>
              <w:t>表4-6 本项目废气达标分析一览表</w:t>
            </w:r>
          </w:p>
          <w:tbl>
            <w:tblPr>
              <w:tblStyle w:val="25"/>
              <w:tblpPr w:leftFromText="180" w:rightFromText="180" w:vertAnchor="text" w:horzAnchor="margin" w:tblpX="247" w:tblpY="3"/>
              <w:tblOverlap w:val="never"/>
              <w:tblW w:w="485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6"/>
              <w:gridCol w:w="899"/>
              <w:gridCol w:w="1021"/>
              <w:gridCol w:w="1472"/>
              <w:gridCol w:w="1919"/>
              <w:gridCol w:w="1216"/>
              <w:gridCol w:w="740"/>
            </w:tblGrid>
            <w:tr w14:paraId="3A5E6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543" w:type="pct"/>
                  <w:vAlign w:val="center"/>
                </w:tcPr>
                <w:p w14:paraId="24640998">
                  <w:pPr>
                    <w:pStyle w:val="40"/>
                  </w:pPr>
                  <w:r>
                    <w:t>排放口编号</w:t>
                  </w:r>
                </w:p>
              </w:tc>
              <w:tc>
                <w:tcPr>
                  <w:tcW w:w="551" w:type="pct"/>
                  <w:vAlign w:val="center"/>
                </w:tcPr>
                <w:p w14:paraId="3659B246">
                  <w:pPr>
                    <w:pStyle w:val="40"/>
                  </w:pPr>
                  <w:r>
                    <w:t>污染物</w:t>
                  </w:r>
                </w:p>
              </w:tc>
              <w:tc>
                <w:tcPr>
                  <w:tcW w:w="626" w:type="pct"/>
                  <w:vAlign w:val="center"/>
                </w:tcPr>
                <w:p w14:paraId="5069CDFB">
                  <w:pPr>
                    <w:pStyle w:val="40"/>
                  </w:pPr>
                  <w:r>
                    <w:t>排放形式</w:t>
                  </w:r>
                </w:p>
              </w:tc>
              <w:tc>
                <w:tcPr>
                  <w:tcW w:w="903" w:type="pct"/>
                  <w:vAlign w:val="center"/>
                </w:tcPr>
                <w:p w14:paraId="2E7B6E64">
                  <w:pPr>
                    <w:pStyle w:val="40"/>
                  </w:pPr>
                  <w:r>
                    <w:t>排放情况</w:t>
                  </w:r>
                </w:p>
              </w:tc>
              <w:tc>
                <w:tcPr>
                  <w:tcW w:w="1177" w:type="pct"/>
                  <w:vAlign w:val="center"/>
                </w:tcPr>
                <w:p w14:paraId="0F0CF08F">
                  <w:pPr>
                    <w:pStyle w:val="40"/>
                  </w:pPr>
                  <w:r>
                    <w:t>执行标准</w:t>
                  </w:r>
                </w:p>
              </w:tc>
              <w:tc>
                <w:tcPr>
                  <w:tcW w:w="746" w:type="pct"/>
                  <w:vAlign w:val="center"/>
                </w:tcPr>
                <w:p w14:paraId="27B57835">
                  <w:pPr>
                    <w:pStyle w:val="40"/>
                  </w:pPr>
                  <w:r>
                    <w:t>限值</w:t>
                  </w:r>
                </w:p>
              </w:tc>
              <w:tc>
                <w:tcPr>
                  <w:tcW w:w="454" w:type="pct"/>
                  <w:vAlign w:val="center"/>
                </w:tcPr>
                <w:p w14:paraId="24AC7BAE">
                  <w:pPr>
                    <w:pStyle w:val="40"/>
                  </w:pPr>
                  <w:r>
                    <w:t>达标分析</w:t>
                  </w:r>
                </w:p>
              </w:tc>
            </w:tr>
            <w:tr w14:paraId="57931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3" w:type="pct"/>
                  <w:vMerge w:val="restart"/>
                  <w:vAlign w:val="center"/>
                </w:tcPr>
                <w:p w14:paraId="1DD38212">
                  <w:pPr>
                    <w:pStyle w:val="40"/>
                  </w:pPr>
                  <w:r>
                    <w:rPr>
                      <w:rFonts w:hint="eastAsia"/>
                    </w:rPr>
                    <w:t>锅炉</w:t>
                  </w:r>
                  <w:r>
                    <w:t>废气排气筒DA00</w:t>
                  </w:r>
                  <w:r>
                    <w:rPr>
                      <w:rFonts w:hint="eastAsia"/>
                    </w:rPr>
                    <w:t>1</w:t>
                  </w:r>
                </w:p>
              </w:tc>
              <w:tc>
                <w:tcPr>
                  <w:tcW w:w="551" w:type="pct"/>
                  <w:vAlign w:val="center"/>
                </w:tcPr>
                <w:p w14:paraId="1DD0A8D6">
                  <w:pPr>
                    <w:pStyle w:val="40"/>
                  </w:pPr>
                  <w:r>
                    <w:t>颗粒物</w:t>
                  </w:r>
                </w:p>
              </w:tc>
              <w:tc>
                <w:tcPr>
                  <w:tcW w:w="626" w:type="pct"/>
                  <w:vAlign w:val="center"/>
                </w:tcPr>
                <w:p w14:paraId="6B4854FE">
                  <w:pPr>
                    <w:pStyle w:val="40"/>
                  </w:pPr>
                  <w:r>
                    <w:rPr>
                      <w:rFonts w:hint="eastAsia"/>
                    </w:rPr>
                    <w:t>有组织</w:t>
                  </w:r>
                </w:p>
              </w:tc>
              <w:tc>
                <w:tcPr>
                  <w:tcW w:w="903" w:type="pct"/>
                  <w:vAlign w:val="center"/>
                </w:tcPr>
                <w:p w14:paraId="14EBB367">
                  <w:pPr>
                    <w:pStyle w:val="40"/>
                  </w:pPr>
                  <w:r>
                    <w:rPr>
                      <w:rFonts w:hint="eastAsia"/>
                    </w:rPr>
                    <w:t>16.83</w:t>
                  </w:r>
                  <w:r>
                    <w:t>mg/m</w:t>
                  </w:r>
                  <w:r>
                    <w:rPr>
                      <w:vertAlign w:val="superscript"/>
                    </w:rPr>
                    <w:t>3</w:t>
                  </w:r>
                </w:p>
              </w:tc>
              <w:tc>
                <w:tcPr>
                  <w:tcW w:w="1177" w:type="pct"/>
                  <w:vMerge w:val="restart"/>
                  <w:vAlign w:val="center"/>
                </w:tcPr>
                <w:p w14:paraId="157A9B9A">
                  <w:pPr>
                    <w:pStyle w:val="40"/>
                  </w:pPr>
                  <w:r>
                    <w:rPr>
                      <w:rFonts w:hint="eastAsia"/>
                    </w:rPr>
                    <w:t>《锅炉大气污染排放标准》（DB13/5161-2020）</w:t>
                  </w:r>
                </w:p>
              </w:tc>
              <w:tc>
                <w:tcPr>
                  <w:tcW w:w="746" w:type="pct"/>
                  <w:vAlign w:val="center"/>
                </w:tcPr>
                <w:p w14:paraId="7EE9B47D">
                  <w:pPr>
                    <w:pStyle w:val="40"/>
                  </w:pPr>
                  <w:r>
                    <w:rPr>
                      <w:rFonts w:hint="eastAsia"/>
                    </w:rPr>
                    <w:t>20</w:t>
                  </w:r>
                  <w:r>
                    <w:t>mg/m</w:t>
                  </w:r>
                  <w:r>
                    <w:rPr>
                      <w:vertAlign w:val="superscript"/>
                    </w:rPr>
                    <w:t>3</w:t>
                  </w:r>
                </w:p>
              </w:tc>
              <w:tc>
                <w:tcPr>
                  <w:tcW w:w="454" w:type="pct"/>
                  <w:vAlign w:val="center"/>
                </w:tcPr>
                <w:p w14:paraId="05583F5B">
                  <w:pPr>
                    <w:pStyle w:val="40"/>
                  </w:pPr>
                  <w:r>
                    <w:t>达标</w:t>
                  </w:r>
                </w:p>
              </w:tc>
            </w:tr>
            <w:tr w14:paraId="24545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3" w:type="pct"/>
                  <w:vMerge w:val="continue"/>
                  <w:vAlign w:val="center"/>
                </w:tcPr>
                <w:p w14:paraId="03DE7F63">
                  <w:pPr>
                    <w:pStyle w:val="40"/>
                  </w:pPr>
                </w:p>
              </w:tc>
              <w:tc>
                <w:tcPr>
                  <w:tcW w:w="551" w:type="pct"/>
                  <w:vAlign w:val="center"/>
                </w:tcPr>
                <w:p w14:paraId="31A1A29F">
                  <w:pPr>
                    <w:pStyle w:val="40"/>
                  </w:pPr>
                  <w:r>
                    <w:rPr>
                      <w:rFonts w:hint="eastAsia"/>
                    </w:rPr>
                    <w:t>SO</w:t>
                  </w:r>
                  <w:r>
                    <w:rPr>
                      <w:rFonts w:hint="eastAsia"/>
                      <w:vertAlign w:val="subscript"/>
                    </w:rPr>
                    <w:t>2</w:t>
                  </w:r>
                </w:p>
              </w:tc>
              <w:tc>
                <w:tcPr>
                  <w:tcW w:w="626" w:type="pct"/>
                  <w:vAlign w:val="center"/>
                </w:tcPr>
                <w:p w14:paraId="70363BC6">
                  <w:pPr>
                    <w:pStyle w:val="40"/>
                  </w:pPr>
                  <w:r>
                    <w:rPr>
                      <w:rFonts w:hint="eastAsia"/>
                    </w:rPr>
                    <w:t>有组织</w:t>
                  </w:r>
                </w:p>
              </w:tc>
              <w:tc>
                <w:tcPr>
                  <w:tcW w:w="903" w:type="pct"/>
                  <w:vAlign w:val="center"/>
                </w:tcPr>
                <w:p w14:paraId="2789A41B">
                  <w:pPr>
                    <w:pStyle w:val="40"/>
                  </w:pPr>
                  <w:r>
                    <w:rPr>
                      <w:rFonts w:hint="eastAsia"/>
                    </w:rPr>
                    <w:t>24.04</w:t>
                  </w:r>
                  <w:r>
                    <w:t>mg/m</w:t>
                  </w:r>
                  <w:r>
                    <w:rPr>
                      <w:vertAlign w:val="superscript"/>
                    </w:rPr>
                    <w:t>3</w:t>
                  </w:r>
                </w:p>
              </w:tc>
              <w:tc>
                <w:tcPr>
                  <w:tcW w:w="1177" w:type="pct"/>
                  <w:vMerge w:val="continue"/>
                  <w:vAlign w:val="center"/>
                </w:tcPr>
                <w:p w14:paraId="47C23DED">
                  <w:pPr>
                    <w:pStyle w:val="40"/>
                  </w:pPr>
                </w:p>
              </w:tc>
              <w:tc>
                <w:tcPr>
                  <w:tcW w:w="746" w:type="pct"/>
                  <w:vAlign w:val="center"/>
                </w:tcPr>
                <w:p w14:paraId="72D75186">
                  <w:pPr>
                    <w:pStyle w:val="40"/>
                  </w:pPr>
                  <w:r>
                    <w:rPr>
                      <w:rFonts w:hint="eastAsia"/>
                    </w:rPr>
                    <w:t>30</w:t>
                  </w:r>
                  <w:r>
                    <w:t>mg/m</w:t>
                  </w:r>
                  <w:r>
                    <w:rPr>
                      <w:vertAlign w:val="superscript"/>
                    </w:rPr>
                    <w:t>3</w:t>
                  </w:r>
                </w:p>
              </w:tc>
              <w:tc>
                <w:tcPr>
                  <w:tcW w:w="454" w:type="pct"/>
                  <w:vAlign w:val="center"/>
                </w:tcPr>
                <w:p w14:paraId="48AB2C4D">
                  <w:pPr>
                    <w:pStyle w:val="40"/>
                  </w:pPr>
                  <w:r>
                    <w:t>达标</w:t>
                  </w:r>
                </w:p>
              </w:tc>
            </w:tr>
            <w:tr w14:paraId="6F880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3" w:type="pct"/>
                  <w:vMerge w:val="continue"/>
                  <w:vAlign w:val="center"/>
                </w:tcPr>
                <w:p w14:paraId="37A3D7CC">
                  <w:pPr>
                    <w:pStyle w:val="40"/>
                  </w:pPr>
                </w:p>
              </w:tc>
              <w:tc>
                <w:tcPr>
                  <w:tcW w:w="551" w:type="pct"/>
                  <w:vAlign w:val="center"/>
                </w:tcPr>
                <w:p w14:paraId="44A022EE">
                  <w:pPr>
                    <w:pStyle w:val="40"/>
                  </w:pPr>
                  <w:r>
                    <w:t>NOx</w:t>
                  </w:r>
                </w:p>
              </w:tc>
              <w:tc>
                <w:tcPr>
                  <w:tcW w:w="626" w:type="pct"/>
                  <w:vAlign w:val="center"/>
                </w:tcPr>
                <w:p w14:paraId="550E18D1">
                  <w:pPr>
                    <w:pStyle w:val="40"/>
                  </w:pPr>
                  <w:r>
                    <w:rPr>
                      <w:rFonts w:hint="eastAsia"/>
                    </w:rPr>
                    <w:t>有组织</w:t>
                  </w:r>
                </w:p>
              </w:tc>
              <w:tc>
                <w:tcPr>
                  <w:tcW w:w="903" w:type="pct"/>
                  <w:vAlign w:val="center"/>
                </w:tcPr>
                <w:p w14:paraId="325F7926">
                  <w:pPr>
                    <w:pStyle w:val="40"/>
                  </w:pPr>
                  <w:r>
                    <w:rPr>
                      <w:rFonts w:hint="eastAsia"/>
                    </w:rPr>
                    <w:t>83.33</w:t>
                  </w:r>
                  <w:r>
                    <w:t>mg/m</w:t>
                  </w:r>
                  <w:r>
                    <w:rPr>
                      <w:vertAlign w:val="superscript"/>
                    </w:rPr>
                    <w:t>3</w:t>
                  </w:r>
                </w:p>
              </w:tc>
              <w:tc>
                <w:tcPr>
                  <w:tcW w:w="1177" w:type="pct"/>
                  <w:vMerge w:val="continue"/>
                  <w:vAlign w:val="center"/>
                </w:tcPr>
                <w:p w14:paraId="107B59E1">
                  <w:pPr>
                    <w:pStyle w:val="40"/>
                  </w:pPr>
                </w:p>
              </w:tc>
              <w:tc>
                <w:tcPr>
                  <w:tcW w:w="746" w:type="pct"/>
                  <w:vAlign w:val="center"/>
                </w:tcPr>
                <w:p w14:paraId="6FDF87C4">
                  <w:pPr>
                    <w:pStyle w:val="40"/>
                  </w:pPr>
                  <w:r>
                    <w:rPr>
                      <w:rFonts w:hint="eastAsia"/>
                    </w:rPr>
                    <w:t>150</w:t>
                  </w:r>
                  <w:r>
                    <w:t>mg/m</w:t>
                  </w:r>
                  <w:r>
                    <w:rPr>
                      <w:vertAlign w:val="superscript"/>
                    </w:rPr>
                    <w:t>3</w:t>
                  </w:r>
                </w:p>
              </w:tc>
              <w:tc>
                <w:tcPr>
                  <w:tcW w:w="454" w:type="pct"/>
                  <w:vAlign w:val="center"/>
                </w:tcPr>
                <w:p w14:paraId="442DAA49">
                  <w:pPr>
                    <w:pStyle w:val="40"/>
                  </w:pPr>
                  <w:r>
                    <w:rPr>
                      <w:rFonts w:hint="eastAsia"/>
                    </w:rPr>
                    <w:t>达标</w:t>
                  </w:r>
                </w:p>
              </w:tc>
            </w:tr>
            <w:tr w14:paraId="0B48C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3" w:type="pct"/>
                  <w:vMerge w:val="continue"/>
                  <w:vAlign w:val="center"/>
                </w:tcPr>
                <w:p w14:paraId="4DBCF7D1">
                  <w:pPr>
                    <w:pStyle w:val="40"/>
                  </w:pPr>
                </w:p>
              </w:tc>
              <w:tc>
                <w:tcPr>
                  <w:tcW w:w="551" w:type="pct"/>
                  <w:vAlign w:val="center"/>
                </w:tcPr>
                <w:p w14:paraId="523EE00D">
                  <w:pPr>
                    <w:pStyle w:val="40"/>
                  </w:pPr>
                  <w:r>
                    <w:rPr>
                      <w:rFonts w:hint="eastAsia"/>
                    </w:rPr>
                    <w:t>烟气黑度</w:t>
                  </w:r>
                </w:p>
              </w:tc>
              <w:tc>
                <w:tcPr>
                  <w:tcW w:w="626" w:type="pct"/>
                  <w:vAlign w:val="center"/>
                </w:tcPr>
                <w:p w14:paraId="7E9CCEFD">
                  <w:pPr>
                    <w:pStyle w:val="40"/>
                  </w:pPr>
                  <w:r>
                    <w:rPr>
                      <w:rFonts w:hint="eastAsia"/>
                    </w:rPr>
                    <w:t>有组织</w:t>
                  </w:r>
                </w:p>
              </w:tc>
              <w:tc>
                <w:tcPr>
                  <w:tcW w:w="903" w:type="pct"/>
                  <w:vAlign w:val="center"/>
                </w:tcPr>
                <w:p w14:paraId="25A9BFA0">
                  <w:pPr>
                    <w:pStyle w:val="40"/>
                  </w:pPr>
                  <w:r>
                    <w:rPr>
                      <w:rFonts w:hint="eastAsia"/>
                    </w:rPr>
                    <w:t>/</w:t>
                  </w:r>
                </w:p>
              </w:tc>
              <w:tc>
                <w:tcPr>
                  <w:tcW w:w="1177" w:type="pct"/>
                  <w:vMerge w:val="continue"/>
                  <w:vAlign w:val="center"/>
                </w:tcPr>
                <w:p w14:paraId="3D552D75">
                  <w:pPr>
                    <w:pStyle w:val="40"/>
                  </w:pPr>
                </w:p>
              </w:tc>
              <w:tc>
                <w:tcPr>
                  <w:tcW w:w="746" w:type="pct"/>
                  <w:vAlign w:val="center"/>
                </w:tcPr>
                <w:p w14:paraId="050D0D96">
                  <w:pPr>
                    <w:pStyle w:val="40"/>
                  </w:pPr>
                  <w:r>
                    <w:rPr>
                      <w:rFonts w:hint="eastAsia"/>
                    </w:rPr>
                    <w:t>1级</w:t>
                  </w:r>
                </w:p>
              </w:tc>
              <w:tc>
                <w:tcPr>
                  <w:tcW w:w="454" w:type="pct"/>
                  <w:vAlign w:val="center"/>
                </w:tcPr>
                <w:p w14:paraId="6484B871">
                  <w:pPr>
                    <w:pStyle w:val="40"/>
                  </w:pPr>
                  <w:r>
                    <w:rPr>
                      <w:rFonts w:hint="eastAsia"/>
                    </w:rPr>
                    <w:t>/</w:t>
                  </w:r>
                </w:p>
              </w:tc>
            </w:tr>
            <w:tr w14:paraId="4ECD8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3" w:type="pct"/>
                  <w:vMerge w:val="continue"/>
                  <w:vAlign w:val="center"/>
                </w:tcPr>
                <w:p w14:paraId="3375AE4C">
                  <w:pPr>
                    <w:pStyle w:val="40"/>
                  </w:pPr>
                </w:p>
              </w:tc>
              <w:tc>
                <w:tcPr>
                  <w:tcW w:w="551" w:type="pct"/>
                  <w:vAlign w:val="center"/>
                </w:tcPr>
                <w:p w14:paraId="526E3FA8">
                  <w:pPr>
                    <w:pStyle w:val="40"/>
                  </w:pPr>
                  <w:r>
                    <w:rPr>
                      <w:rFonts w:hint="eastAsia"/>
                    </w:rPr>
                    <w:t>氨逃逸</w:t>
                  </w:r>
                </w:p>
              </w:tc>
              <w:tc>
                <w:tcPr>
                  <w:tcW w:w="626" w:type="pct"/>
                  <w:vAlign w:val="center"/>
                </w:tcPr>
                <w:p w14:paraId="0E275CDE">
                  <w:pPr>
                    <w:pStyle w:val="40"/>
                  </w:pPr>
                  <w:r>
                    <w:rPr>
                      <w:rFonts w:hint="eastAsia"/>
                    </w:rPr>
                    <w:t>有组织</w:t>
                  </w:r>
                </w:p>
              </w:tc>
              <w:tc>
                <w:tcPr>
                  <w:tcW w:w="903" w:type="pct"/>
                  <w:vAlign w:val="center"/>
                </w:tcPr>
                <w:p w14:paraId="615F8A26">
                  <w:pPr>
                    <w:pStyle w:val="40"/>
                  </w:pPr>
                  <w:r>
                    <w:rPr>
                      <w:rFonts w:hint="eastAsia"/>
                    </w:rPr>
                    <w:t>0.40</w:t>
                  </w:r>
                  <w:r>
                    <w:t>mg/m</w:t>
                  </w:r>
                  <w:r>
                    <w:rPr>
                      <w:vertAlign w:val="superscript"/>
                    </w:rPr>
                    <w:t>3</w:t>
                  </w:r>
                </w:p>
              </w:tc>
              <w:tc>
                <w:tcPr>
                  <w:tcW w:w="1177" w:type="pct"/>
                  <w:vMerge w:val="continue"/>
                  <w:vAlign w:val="center"/>
                </w:tcPr>
                <w:p w14:paraId="13A8121F">
                  <w:pPr>
                    <w:pStyle w:val="40"/>
                  </w:pPr>
                </w:p>
              </w:tc>
              <w:tc>
                <w:tcPr>
                  <w:tcW w:w="746" w:type="pct"/>
                  <w:vAlign w:val="center"/>
                </w:tcPr>
                <w:p w14:paraId="4CE2EC8F">
                  <w:pPr>
                    <w:pStyle w:val="40"/>
                  </w:pPr>
                  <w:r>
                    <w:rPr>
                      <w:rFonts w:hint="eastAsia"/>
                    </w:rPr>
                    <w:t>7.6</w:t>
                  </w:r>
                  <w:r>
                    <w:t>mg/m</w:t>
                  </w:r>
                  <w:r>
                    <w:rPr>
                      <w:vertAlign w:val="superscript"/>
                    </w:rPr>
                    <w:t>3</w:t>
                  </w:r>
                </w:p>
              </w:tc>
              <w:tc>
                <w:tcPr>
                  <w:tcW w:w="454" w:type="pct"/>
                  <w:vAlign w:val="center"/>
                </w:tcPr>
                <w:p w14:paraId="343EC3D8">
                  <w:pPr>
                    <w:pStyle w:val="40"/>
                  </w:pPr>
                  <w:r>
                    <w:rPr>
                      <w:rFonts w:hint="eastAsia"/>
                    </w:rPr>
                    <w:t>达标</w:t>
                  </w:r>
                </w:p>
              </w:tc>
            </w:tr>
            <w:tr w14:paraId="56D0E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3" w:type="pct"/>
                  <w:vMerge w:val="restart"/>
                  <w:vAlign w:val="center"/>
                </w:tcPr>
                <w:p w14:paraId="42DA5C6C">
                  <w:pPr>
                    <w:pStyle w:val="40"/>
                  </w:pPr>
                  <w:r>
                    <w:rPr>
                      <w:rFonts w:hint="eastAsia"/>
                    </w:rPr>
                    <w:t>污水站</w:t>
                  </w:r>
                  <w:r>
                    <w:t>废气排气筒DA00</w:t>
                  </w:r>
                  <w:r>
                    <w:rPr>
                      <w:rFonts w:hint="eastAsia"/>
                    </w:rPr>
                    <w:t>3</w:t>
                  </w:r>
                </w:p>
              </w:tc>
              <w:tc>
                <w:tcPr>
                  <w:tcW w:w="551" w:type="pct"/>
                  <w:vAlign w:val="center"/>
                </w:tcPr>
                <w:p w14:paraId="65CFC04B">
                  <w:pPr>
                    <w:pStyle w:val="40"/>
                  </w:pPr>
                  <w:r>
                    <w:rPr>
                      <w:rFonts w:hint="eastAsia"/>
                    </w:rPr>
                    <w:t>氨</w:t>
                  </w:r>
                </w:p>
              </w:tc>
              <w:tc>
                <w:tcPr>
                  <w:tcW w:w="626" w:type="pct"/>
                  <w:vAlign w:val="center"/>
                </w:tcPr>
                <w:p w14:paraId="0FA747A9">
                  <w:pPr>
                    <w:pStyle w:val="40"/>
                  </w:pPr>
                  <w:r>
                    <w:rPr>
                      <w:rFonts w:hint="eastAsia"/>
                    </w:rPr>
                    <w:t>有组织</w:t>
                  </w:r>
                </w:p>
              </w:tc>
              <w:tc>
                <w:tcPr>
                  <w:tcW w:w="903" w:type="pct"/>
                  <w:vAlign w:val="center"/>
                </w:tcPr>
                <w:p w14:paraId="02217EEE">
                  <w:pPr>
                    <w:pStyle w:val="40"/>
                  </w:pPr>
                  <w:r>
                    <w:rPr>
                      <w:rFonts w:hint="eastAsia"/>
                    </w:rPr>
                    <w:t>0.0006</w:t>
                  </w:r>
                  <w:r>
                    <w:t>kg/h</w:t>
                  </w:r>
                </w:p>
              </w:tc>
              <w:tc>
                <w:tcPr>
                  <w:tcW w:w="1177" w:type="pct"/>
                  <w:vMerge w:val="restart"/>
                  <w:vAlign w:val="center"/>
                </w:tcPr>
                <w:p w14:paraId="52BC194E">
                  <w:pPr>
                    <w:pStyle w:val="40"/>
                  </w:pPr>
                  <w:bookmarkStart w:id="102" w:name="OLE_LINK543"/>
                  <w:bookmarkStart w:id="103" w:name="OLE_LINK542"/>
                  <w:r>
                    <w:rPr>
                      <w:rFonts w:hint="eastAsia"/>
                    </w:rPr>
                    <w:t>《恶臭污染物排放标准》（GB14554-93）表2恶臭污染物排放标准限值要求</w:t>
                  </w:r>
                  <w:bookmarkEnd w:id="102"/>
                  <w:bookmarkEnd w:id="103"/>
                </w:p>
              </w:tc>
              <w:tc>
                <w:tcPr>
                  <w:tcW w:w="746" w:type="pct"/>
                  <w:vAlign w:val="center"/>
                </w:tcPr>
                <w:p w14:paraId="5EB347E0">
                  <w:pPr>
                    <w:pStyle w:val="40"/>
                  </w:pPr>
                  <w:r>
                    <w:t>4.9 kg/h</w:t>
                  </w:r>
                </w:p>
              </w:tc>
              <w:tc>
                <w:tcPr>
                  <w:tcW w:w="454" w:type="pct"/>
                  <w:vAlign w:val="center"/>
                </w:tcPr>
                <w:p w14:paraId="1D7F1965">
                  <w:pPr>
                    <w:pStyle w:val="40"/>
                  </w:pPr>
                  <w:r>
                    <w:rPr>
                      <w:rFonts w:hint="eastAsia"/>
                    </w:rPr>
                    <w:t>达标</w:t>
                  </w:r>
                </w:p>
              </w:tc>
            </w:tr>
            <w:tr w14:paraId="7C635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3" w:type="pct"/>
                  <w:vMerge w:val="continue"/>
                  <w:vAlign w:val="center"/>
                </w:tcPr>
                <w:p w14:paraId="1528869E">
                  <w:pPr>
                    <w:pStyle w:val="40"/>
                  </w:pPr>
                </w:p>
              </w:tc>
              <w:tc>
                <w:tcPr>
                  <w:tcW w:w="551" w:type="pct"/>
                  <w:vAlign w:val="center"/>
                </w:tcPr>
                <w:p w14:paraId="57080AEC">
                  <w:pPr>
                    <w:pStyle w:val="40"/>
                  </w:pPr>
                  <w:r>
                    <w:rPr>
                      <w:rFonts w:hint="eastAsia"/>
                    </w:rPr>
                    <w:t>硫化氢</w:t>
                  </w:r>
                </w:p>
              </w:tc>
              <w:tc>
                <w:tcPr>
                  <w:tcW w:w="626" w:type="pct"/>
                  <w:vAlign w:val="center"/>
                </w:tcPr>
                <w:p w14:paraId="34C4275C">
                  <w:pPr>
                    <w:pStyle w:val="40"/>
                  </w:pPr>
                  <w:r>
                    <w:rPr>
                      <w:rFonts w:hint="eastAsia"/>
                    </w:rPr>
                    <w:t>有组织</w:t>
                  </w:r>
                </w:p>
              </w:tc>
              <w:tc>
                <w:tcPr>
                  <w:tcW w:w="903" w:type="pct"/>
                  <w:vAlign w:val="center"/>
                </w:tcPr>
                <w:p w14:paraId="27EDAB7F">
                  <w:pPr>
                    <w:pStyle w:val="40"/>
                  </w:pPr>
                  <w:r>
                    <w:rPr>
                      <w:rFonts w:hint="eastAsia"/>
                    </w:rPr>
                    <w:t>0.000023</w:t>
                  </w:r>
                  <w:r>
                    <w:t>kg/h</w:t>
                  </w:r>
                </w:p>
              </w:tc>
              <w:tc>
                <w:tcPr>
                  <w:tcW w:w="1177" w:type="pct"/>
                  <w:vMerge w:val="continue"/>
                  <w:vAlign w:val="center"/>
                </w:tcPr>
                <w:p w14:paraId="533A69ED">
                  <w:pPr>
                    <w:pStyle w:val="40"/>
                  </w:pPr>
                </w:p>
              </w:tc>
              <w:tc>
                <w:tcPr>
                  <w:tcW w:w="746" w:type="pct"/>
                  <w:vAlign w:val="center"/>
                </w:tcPr>
                <w:p w14:paraId="4FFAA28F">
                  <w:pPr>
                    <w:pStyle w:val="40"/>
                  </w:pPr>
                  <w:r>
                    <w:t>0.33 kg/h</w:t>
                  </w:r>
                </w:p>
              </w:tc>
              <w:tc>
                <w:tcPr>
                  <w:tcW w:w="454" w:type="pct"/>
                  <w:vAlign w:val="center"/>
                </w:tcPr>
                <w:p w14:paraId="0C3B3B07">
                  <w:pPr>
                    <w:pStyle w:val="40"/>
                  </w:pPr>
                  <w:r>
                    <w:rPr>
                      <w:rFonts w:hint="eastAsia"/>
                    </w:rPr>
                    <w:t>达标</w:t>
                  </w:r>
                </w:p>
              </w:tc>
            </w:tr>
            <w:tr w14:paraId="35DC3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3" w:type="pct"/>
                  <w:vMerge w:val="continue"/>
                  <w:vAlign w:val="center"/>
                </w:tcPr>
                <w:p w14:paraId="3BDD061A">
                  <w:pPr>
                    <w:pStyle w:val="40"/>
                  </w:pPr>
                </w:p>
              </w:tc>
              <w:tc>
                <w:tcPr>
                  <w:tcW w:w="551" w:type="pct"/>
                  <w:vAlign w:val="center"/>
                </w:tcPr>
                <w:p w14:paraId="5D65F9EA">
                  <w:pPr>
                    <w:pStyle w:val="40"/>
                  </w:pPr>
                  <w:r>
                    <w:rPr>
                      <w:rFonts w:hint="eastAsia"/>
                    </w:rPr>
                    <w:t>臭气浓度</w:t>
                  </w:r>
                </w:p>
              </w:tc>
              <w:tc>
                <w:tcPr>
                  <w:tcW w:w="626" w:type="pct"/>
                  <w:vAlign w:val="center"/>
                </w:tcPr>
                <w:p w14:paraId="138C6DA3">
                  <w:pPr>
                    <w:pStyle w:val="40"/>
                  </w:pPr>
                  <w:r>
                    <w:rPr>
                      <w:rFonts w:hint="eastAsia"/>
                    </w:rPr>
                    <w:t>有组织</w:t>
                  </w:r>
                </w:p>
              </w:tc>
              <w:tc>
                <w:tcPr>
                  <w:tcW w:w="903" w:type="pct"/>
                  <w:vAlign w:val="center"/>
                </w:tcPr>
                <w:p w14:paraId="06D5BB9B">
                  <w:pPr>
                    <w:pStyle w:val="40"/>
                  </w:pPr>
                  <w:r>
                    <w:rPr>
                      <w:rFonts w:hint="eastAsia"/>
                    </w:rPr>
                    <w:t>/</w:t>
                  </w:r>
                </w:p>
              </w:tc>
              <w:tc>
                <w:tcPr>
                  <w:tcW w:w="1177" w:type="pct"/>
                  <w:vMerge w:val="continue"/>
                  <w:vAlign w:val="center"/>
                </w:tcPr>
                <w:p w14:paraId="51A8C820">
                  <w:pPr>
                    <w:pStyle w:val="40"/>
                  </w:pPr>
                </w:p>
              </w:tc>
              <w:tc>
                <w:tcPr>
                  <w:tcW w:w="746" w:type="pct"/>
                  <w:vAlign w:val="center"/>
                </w:tcPr>
                <w:p w14:paraId="0C3BEFB2">
                  <w:pPr>
                    <w:pStyle w:val="40"/>
                  </w:pPr>
                  <w:r>
                    <w:rPr>
                      <w:rFonts w:hint="eastAsia"/>
                    </w:rPr>
                    <w:t>2000（无量纲）</w:t>
                  </w:r>
                </w:p>
              </w:tc>
              <w:tc>
                <w:tcPr>
                  <w:tcW w:w="454" w:type="pct"/>
                  <w:vAlign w:val="center"/>
                </w:tcPr>
                <w:p w14:paraId="4173B3F2">
                  <w:pPr>
                    <w:pStyle w:val="40"/>
                  </w:pPr>
                  <w:r>
                    <w:rPr>
                      <w:rFonts w:hint="eastAsia"/>
                    </w:rPr>
                    <w:t>/</w:t>
                  </w:r>
                </w:p>
              </w:tc>
            </w:tr>
            <w:tr w14:paraId="49005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543" w:type="pct"/>
                  <w:vMerge w:val="restart"/>
                  <w:vAlign w:val="center"/>
                </w:tcPr>
                <w:p w14:paraId="7C0FE3FC">
                  <w:pPr>
                    <w:pStyle w:val="40"/>
                  </w:pPr>
                  <w:r>
                    <w:rPr>
                      <w:rFonts w:hint="eastAsia"/>
                    </w:rPr>
                    <w:t>厂界无组织</w:t>
                  </w:r>
                </w:p>
              </w:tc>
              <w:tc>
                <w:tcPr>
                  <w:tcW w:w="551" w:type="pct"/>
                  <w:vAlign w:val="center"/>
                </w:tcPr>
                <w:p w14:paraId="44744E05">
                  <w:pPr>
                    <w:pStyle w:val="40"/>
                  </w:pPr>
                  <w:r>
                    <w:rPr>
                      <w:rFonts w:hint="eastAsia"/>
                    </w:rPr>
                    <w:t>氨</w:t>
                  </w:r>
                </w:p>
              </w:tc>
              <w:tc>
                <w:tcPr>
                  <w:tcW w:w="626" w:type="pct"/>
                  <w:vAlign w:val="center"/>
                </w:tcPr>
                <w:p w14:paraId="799BFB28">
                  <w:pPr>
                    <w:pStyle w:val="40"/>
                  </w:pPr>
                  <w:r>
                    <w:rPr>
                      <w:rFonts w:hint="eastAsia"/>
                    </w:rPr>
                    <w:t>无组织</w:t>
                  </w:r>
                </w:p>
              </w:tc>
              <w:tc>
                <w:tcPr>
                  <w:tcW w:w="903" w:type="pct"/>
                  <w:vAlign w:val="center"/>
                </w:tcPr>
                <w:p w14:paraId="2525A7E4">
                  <w:pPr>
                    <w:pStyle w:val="40"/>
                  </w:pPr>
                  <w:r>
                    <w:rPr>
                      <w:rFonts w:hint="eastAsia"/>
                    </w:rPr>
                    <w:t>0.3</w:t>
                  </w:r>
                  <w:r>
                    <w:t>mg/m</w:t>
                  </w:r>
                  <w:r>
                    <w:rPr>
                      <w:vertAlign w:val="superscript"/>
                    </w:rPr>
                    <w:t>3</w:t>
                  </w:r>
                </w:p>
              </w:tc>
              <w:tc>
                <w:tcPr>
                  <w:tcW w:w="1177" w:type="pct"/>
                  <w:vMerge w:val="restart"/>
                  <w:vAlign w:val="center"/>
                </w:tcPr>
                <w:p w14:paraId="50F1D3C7">
                  <w:pPr>
                    <w:pStyle w:val="40"/>
                  </w:pPr>
                  <w:r>
                    <w:rPr>
                      <w:rFonts w:hint="eastAsia"/>
                    </w:rPr>
                    <w:t>《恶臭污染物排放标准》（GB14554-93）表1新改扩建二级标准限值要求</w:t>
                  </w:r>
                </w:p>
              </w:tc>
              <w:tc>
                <w:tcPr>
                  <w:tcW w:w="746" w:type="pct"/>
                  <w:vAlign w:val="center"/>
                </w:tcPr>
                <w:p w14:paraId="228345BD">
                  <w:pPr>
                    <w:pStyle w:val="40"/>
                  </w:pPr>
                  <w:r>
                    <w:t>1.5 mg/m</w:t>
                  </w:r>
                  <w:r>
                    <w:rPr>
                      <w:vertAlign w:val="superscript"/>
                    </w:rPr>
                    <w:t>3</w:t>
                  </w:r>
                </w:p>
              </w:tc>
              <w:tc>
                <w:tcPr>
                  <w:tcW w:w="454" w:type="pct"/>
                  <w:vAlign w:val="center"/>
                </w:tcPr>
                <w:p w14:paraId="2FADF1EB">
                  <w:pPr>
                    <w:pStyle w:val="40"/>
                  </w:pPr>
                  <w:r>
                    <w:rPr>
                      <w:rFonts w:hint="eastAsia"/>
                    </w:rPr>
                    <w:t>达标</w:t>
                  </w:r>
                </w:p>
              </w:tc>
            </w:tr>
            <w:tr w14:paraId="39D1E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543" w:type="pct"/>
                  <w:vMerge w:val="continue"/>
                  <w:vAlign w:val="center"/>
                </w:tcPr>
                <w:p w14:paraId="068207A5">
                  <w:pPr>
                    <w:pStyle w:val="40"/>
                  </w:pPr>
                </w:p>
              </w:tc>
              <w:tc>
                <w:tcPr>
                  <w:tcW w:w="551" w:type="pct"/>
                  <w:vAlign w:val="center"/>
                </w:tcPr>
                <w:p w14:paraId="3FD0B606">
                  <w:pPr>
                    <w:pStyle w:val="40"/>
                  </w:pPr>
                  <w:r>
                    <w:rPr>
                      <w:rFonts w:hint="eastAsia"/>
                    </w:rPr>
                    <w:t>硫化氢</w:t>
                  </w:r>
                </w:p>
              </w:tc>
              <w:tc>
                <w:tcPr>
                  <w:tcW w:w="626" w:type="pct"/>
                  <w:vAlign w:val="center"/>
                </w:tcPr>
                <w:p w14:paraId="1BB83C75">
                  <w:pPr>
                    <w:pStyle w:val="40"/>
                  </w:pPr>
                  <w:r>
                    <w:rPr>
                      <w:rFonts w:hint="eastAsia"/>
                    </w:rPr>
                    <w:t>无组织</w:t>
                  </w:r>
                </w:p>
              </w:tc>
              <w:tc>
                <w:tcPr>
                  <w:tcW w:w="903" w:type="pct"/>
                  <w:vAlign w:val="center"/>
                </w:tcPr>
                <w:p w14:paraId="5209032F">
                  <w:pPr>
                    <w:pStyle w:val="40"/>
                  </w:pPr>
                  <w:r>
                    <w:rPr>
                      <w:rFonts w:hint="eastAsia"/>
                    </w:rPr>
                    <w:t>0.012</w:t>
                  </w:r>
                  <w:r>
                    <w:t>mg/m</w:t>
                  </w:r>
                  <w:r>
                    <w:rPr>
                      <w:vertAlign w:val="superscript"/>
                    </w:rPr>
                    <w:t>3</w:t>
                  </w:r>
                </w:p>
              </w:tc>
              <w:tc>
                <w:tcPr>
                  <w:tcW w:w="1177" w:type="pct"/>
                  <w:vMerge w:val="continue"/>
                  <w:vAlign w:val="center"/>
                </w:tcPr>
                <w:p w14:paraId="4C5D0185">
                  <w:pPr>
                    <w:pStyle w:val="40"/>
                  </w:pPr>
                </w:p>
              </w:tc>
              <w:tc>
                <w:tcPr>
                  <w:tcW w:w="746" w:type="pct"/>
                  <w:vAlign w:val="center"/>
                </w:tcPr>
                <w:p w14:paraId="0BF7DC1C">
                  <w:pPr>
                    <w:pStyle w:val="40"/>
                  </w:pPr>
                  <w:r>
                    <w:t>0.06 mg/m</w:t>
                  </w:r>
                  <w:r>
                    <w:rPr>
                      <w:vertAlign w:val="superscript"/>
                    </w:rPr>
                    <w:t>3</w:t>
                  </w:r>
                </w:p>
              </w:tc>
              <w:tc>
                <w:tcPr>
                  <w:tcW w:w="454" w:type="pct"/>
                  <w:vAlign w:val="center"/>
                </w:tcPr>
                <w:p w14:paraId="07B34683">
                  <w:pPr>
                    <w:pStyle w:val="40"/>
                  </w:pPr>
                  <w:r>
                    <w:rPr>
                      <w:rFonts w:hint="eastAsia"/>
                    </w:rPr>
                    <w:t>达标</w:t>
                  </w:r>
                </w:p>
              </w:tc>
            </w:tr>
            <w:tr w14:paraId="0633C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543" w:type="pct"/>
                  <w:vMerge w:val="continue"/>
                  <w:vAlign w:val="center"/>
                </w:tcPr>
                <w:p w14:paraId="50A75C3C">
                  <w:pPr>
                    <w:pStyle w:val="40"/>
                  </w:pPr>
                </w:p>
              </w:tc>
              <w:tc>
                <w:tcPr>
                  <w:tcW w:w="551" w:type="pct"/>
                  <w:vAlign w:val="center"/>
                </w:tcPr>
                <w:p w14:paraId="52EFCE52">
                  <w:pPr>
                    <w:pStyle w:val="40"/>
                  </w:pPr>
                  <w:r>
                    <w:rPr>
                      <w:rFonts w:hint="eastAsia"/>
                    </w:rPr>
                    <w:t>臭气浓度</w:t>
                  </w:r>
                </w:p>
              </w:tc>
              <w:tc>
                <w:tcPr>
                  <w:tcW w:w="626" w:type="pct"/>
                  <w:vAlign w:val="center"/>
                </w:tcPr>
                <w:p w14:paraId="6C7C5CAE">
                  <w:pPr>
                    <w:pStyle w:val="40"/>
                  </w:pPr>
                  <w:r>
                    <w:rPr>
                      <w:rFonts w:hint="eastAsia"/>
                    </w:rPr>
                    <w:t>无组织</w:t>
                  </w:r>
                </w:p>
              </w:tc>
              <w:tc>
                <w:tcPr>
                  <w:tcW w:w="903" w:type="pct"/>
                  <w:vAlign w:val="center"/>
                </w:tcPr>
                <w:p w14:paraId="68B9BFE7">
                  <w:pPr>
                    <w:pStyle w:val="40"/>
                  </w:pPr>
                  <w:r>
                    <w:rPr>
                      <w:rFonts w:hint="eastAsia"/>
                    </w:rPr>
                    <w:t>/</w:t>
                  </w:r>
                </w:p>
              </w:tc>
              <w:tc>
                <w:tcPr>
                  <w:tcW w:w="1177" w:type="pct"/>
                  <w:vMerge w:val="continue"/>
                  <w:vAlign w:val="center"/>
                </w:tcPr>
                <w:p w14:paraId="56D41A65">
                  <w:pPr>
                    <w:pStyle w:val="40"/>
                  </w:pPr>
                </w:p>
              </w:tc>
              <w:tc>
                <w:tcPr>
                  <w:tcW w:w="746" w:type="pct"/>
                  <w:vAlign w:val="center"/>
                </w:tcPr>
                <w:p w14:paraId="70B0864F">
                  <w:pPr>
                    <w:pStyle w:val="40"/>
                  </w:pPr>
                  <w:r>
                    <w:t>20</w:t>
                  </w:r>
                  <w:r>
                    <w:rPr>
                      <w:rFonts w:hint="eastAsia"/>
                    </w:rPr>
                    <w:t>（无量纲）</w:t>
                  </w:r>
                </w:p>
              </w:tc>
              <w:tc>
                <w:tcPr>
                  <w:tcW w:w="454" w:type="pct"/>
                  <w:vAlign w:val="center"/>
                </w:tcPr>
                <w:p w14:paraId="524E4B6C">
                  <w:pPr>
                    <w:pStyle w:val="40"/>
                  </w:pPr>
                  <w:r>
                    <w:rPr>
                      <w:rFonts w:hint="eastAsia"/>
                    </w:rPr>
                    <w:t>/</w:t>
                  </w:r>
                </w:p>
              </w:tc>
            </w:tr>
            <w:tr w14:paraId="38F79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543" w:type="pct"/>
                  <w:vMerge w:val="continue"/>
                  <w:vAlign w:val="center"/>
                </w:tcPr>
                <w:p w14:paraId="79772F69">
                  <w:pPr>
                    <w:pStyle w:val="40"/>
                  </w:pPr>
                </w:p>
              </w:tc>
              <w:tc>
                <w:tcPr>
                  <w:tcW w:w="551" w:type="pct"/>
                  <w:vMerge w:val="restart"/>
                  <w:vAlign w:val="center"/>
                </w:tcPr>
                <w:p w14:paraId="278F07E0">
                  <w:pPr>
                    <w:pStyle w:val="40"/>
                  </w:pPr>
                  <w:r>
                    <w:rPr>
                      <w:rFonts w:hint="eastAsia"/>
                    </w:rPr>
                    <w:t>颗粒物</w:t>
                  </w:r>
                </w:p>
              </w:tc>
              <w:tc>
                <w:tcPr>
                  <w:tcW w:w="626" w:type="pct"/>
                  <w:vMerge w:val="restart"/>
                  <w:vAlign w:val="center"/>
                </w:tcPr>
                <w:p w14:paraId="17196AEF">
                  <w:pPr>
                    <w:pStyle w:val="40"/>
                  </w:pPr>
                  <w:r>
                    <w:rPr>
                      <w:rFonts w:hint="eastAsia"/>
                    </w:rPr>
                    <w:t>无组织</w:t>
                  </w:r>
                </w:p>
              </w:tc>
              <w:tc>
                <w:tcPr>
                  <w:tcW w:w="903" w:type="pct"/>
                  <w:vMerge w:val="restart"/>
                  <w:vAlign w:val="center"/>
                </w:tcPr>
                <w:p w14:paraId="3434B5B1">
                  <w:pPr>
                    <w:pStyle w:val="40"/>
                  </w:pPr>
                  <w:r>
                    <w:rPr>
                      <w:rFonts w:hint="eastAsia"/>
                    </w:rPr>
                    <w:t>/</w:t>
                  </w:r>
                </w:p>
              </w:tc>
              <w:tc>
                <w:tcPr>
                  <w:tcW w:w="1177" w:type="pct"/>
                  <w:vAlign w:val="center"/>
                </w:tcPr>
                <w:p w14:paraId="56A78F32">
                  <w:pPr>
                    <w:pStyle w:val="40"/>
                  </w:pPr>
                  <w:r>
                    <w:rPr>
                      <w:rFonts w:hint="eastAsia"/>
                    </w:rPr>
                    <w:t>《大气污染物综合排放标准》（GB16297-1996）表2排放限值要求</w:t>
                  </w:r>
                </w:p>
              </w:tc>
              <w:tc>
                <w:tcPr>
                  <w:tcW w:w="746" w:type="pct"/>
                  <w:vAlign w:val="center"/>
                </w:tcPr>
                <w:p w14:paraId="1195EE57">
                  <w:pPr>
                    <w:pStyle w:val="40"/>
                  </w:pPr>
                  <w:r>
                    <w:rPr>
                      <w:rFonts w:hint="eastAsia"/>
                    </w:rPr>
                    <w:t>1.0</w:t>
                  </w:r>
                  <w:r>
                    <w:t xml:space="preserve"> mg/m</w:t>
                  </w:r>
                  <w:r>
                    <w:rPr>
                      <w:vertAlign w:val="superscript"/>
                    </w:rPr>
                    <w:t>3</w:t>
                  </w:r>
                </w:p>
              </w:tc>
              <w:tc>
                <w:tcPr>
                  <w:tcW w:w="454" w:type="pct"/>
                  <w:vAlign w:val="center"/>
                </w:tcPr>
                <w:p w14:paraId="51783AAA">
                  <w:pPr>
                    <w:pStyle w:val="40"/>
                  </w:pPr>
                  <w:r>
                    <w:t>达标</w:t>
                  </w:r>
                </w:p>
              </w:tc>
            </w:tr>
            <w:tr w14:paraId="0A0EC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3" w:type="pct"/>
                  <w:vMerge w:val="continue"/>
                  <w:vAlign w:val="center"/>
                </w:tcPr>
                <w:p w14:paraId="1AEB9D8C">
                  <w:pPr>
                    <w:pStyle w:val="40"/>
                  </w:pPr>
                </w:p>
              </w:tc>
              <w:tc>
                <w:tcPr>
                  <w:tcW w:w="551" w:type="pct"/>
                  <w:vMerge w:val="continue"/>
                  <w:vAlign w:val="center"/>
                </w:tcPr>
                <w:p w14:paraId="2274D204">
                  <w:pPr>
                    <w:pStyle w:val="40"/>
                  </w:pPr>
                </w:p>
              </w:tc>
              <w:tc>
                <w:tcPr>
                  <w:tcW w:w="626" w:type="pct"/>
                  <w:vMerge w:val="continue"/>
                  <w:vAlign w:val="center"/>
                </w:tcPr>
                <w:p w14:paraId="13092350">
                  <w:pPr>
                    <w:pStyle w:val="40"/>
                  </w:pPr>
                </w:p>
              </w:tc>
              <w:tc>
                <w:tcPr>
                  <w:tcW w:w="903" w:type="pct"/>
                  <w:vMerge w:val="continue"/>
                  <w:vAlign w:val="center"/>
                </w:tcPr>
                <w:p w14:paraId="527344DE">
                  <w:pPr>
                    <w:pStyle w:val="40"/>
                  </w:pPr>
                </w:p>
              </w:tc>
              <w:tc>
                <w:tcPr>
                  <w:tcW w:w="1177" w:type="pct"/>
                  <w:vAlign w:val="center"/>
                </w:tcPr>
                <w:p w14:paraId="4304A1DA">
                  <w:pPr>
                    <w:pStyle w:val="40"/>
                  </w:pPr>
                  <w:r>
                    <w:t>《秦皇岛市人民政府办公室关于执行钢铁行业大气污染物排放特别要求的通知》</w:t>
                  </w:r>
                  <w:r>
                    <w:rPr>
                      <w:rFonts w:hint="eastAsia"/>
                    </w:rPr>
                    <w:t>中</w:t>
                  </w:r>
                  <w:r>
                    <w:t>颗粒物</w:t>
                  </w:r>
                  <w:r>
                    <w:rPr>
                      <w:rFonts w:hint="eastAsia"/>
                    </w:rPr>
                    <w:t>厂界</w:t>
                  </w:r>
                  <w:r>
                    <w:t>无组织排放浓度限值要求</w:t>
                  </w:r>
                </w:p>
              </w:tc>
              <w:tc>
                <w:tcPr>
                  <w:tcW w:w="746" w:type="pct"/>
                  <w:vAlign w:val="center"/>
                </w:tcPr>
                <w:p w14:paraId="3BB00A46">
                  <w:pPr>
                    <w:pStyle w:val="40"/>
                  </w:pPr>
                  <w:r>
                    <w:rPr>
                      <w:rFonts w:hint="eastAsia"/>
                    </w:rPr>
                    <w:t>0.3</w:t>
                  </w:r>
                  <w:r>
                    <w:t>mg/m</w:t>
                  </w:r>
                  <w:r>
                    <w:rPr>
                      <w:vertAlign w:val="superscript"/>
                    </w:rPr>
                    <w:t>3</w:t>
                  </w:r>
                </w:p>
              </w:tc>
              <w:tc>
                <w:tcPr>
                  <w:tcW w:w="454" w:type="pct"/>
                  <w:vAlign w:val="center"/>
                </w:tcPr>
                <w:p w14:paraId="12E2F613">
                  <w:pPr>
                    <w:pStyle w:val="40"/>
                  </w:pPr>
                  <w:r>
                    <w:t>达标</w:t>
                  </w:r>
                </w:p>
              </w:tc>
            </w:tr>
          </w:tbl>
          <w:p w14:paraId="4C7FFD7C">
            <w:pPr>
              <w:adjustRightInd w:val="0"/>
              <w:snapToGrid w:val="0"/>
              <w:spacing w:beforeLines="50"/>
              <w:ind w:firstLine="420"/>
            </w:pPr>
            <w:r>
              <w:rPr>
                <w:rFonts w:hint="eastAsia"/>
                <w:bCs/>
                <w:szCs w:val="20"/>
              </w:rPr>
              <w:t>（5）</w:t>
            </w:r>
            <w:r>
              <w:rPr>
                <w:bCs/>
                <w:szCs w:val="20"/>
              </w:rPr>
              <w:t>大气环境</w:t>
            </w:r>
            <w:r>
              <w:t>防护距离</w:t>
            </w:r>
          </w:p>
          <w:p w14:paraId="635D2557">
            <w:pPr>
              <w:adjustRightInd w:val="0"/>
              <w:snapToGrid w:val="0"/>
              <w:ind w:firstLine="420"/>
            </w:pPr>
            <w:r>
              <w:rPr>
                <w:rFonts w:hint="eastAsia"/>
              </w:rPr>
              <w:t>根据《环境影响评价技术导则-大气环境》(HJ2.2-2018)第8.7.5.1条：“对于项目厂界浓度满足大气污染物厂界浓度限值，但厂界外大气污染物短期贡献浓度超过环境质量浓度限值的，可以自厂界向外设置一定范围的大气防护区域，以确保大气环境防护区域外的污染物贡献浓度满足环境质量标准”。根据预测结果可知，项目无组织排放的污染物最大落地贡献浓度均未超过环境质量浓度限值，因此项目无需设置大气防护距离。</w:t>
            </w:r>
          </w:p>
          <w:p w14:paraId="1E6BD543">
            <w:pPr>
              <w:snapToGrid w:val="0"/>
              <w:ind w:firstLine="420"/>
              <w:contextualSpacing/>
              <w:rPr>
                <w:bCs/>
                <w:szCs w:val="20"/>
              </w:rPr>
            </w:pPr>
            <w:r>
              <w:rPr>
                <w:bCs/>
                <w:szCs w:val="20"/>
              </w:rPr>
              <w:t>1.3大气污染治理措施可行性分析</w:t>
            </w:r>
          </w:p>
          <w:p w14:paraId="119A93C1">
            <w:pPr>
              <w:snapToGrid w:val="0"/>
              <w:ind w:firstLine="420"/>
              <w:contextualSpacing/>
            </w:pPr>
            <w:r>
              <w:rPr>
                <w:rFonts w:hint="eastAsia"/>
                <w:bCs/>
              </w:rPr>
              <w:t>生物质锅炉根据</w:t>
            </w:r>
            <w:r>
              <w:t>《</w:t>
            </w:r>
            <w:r>
              <w:rPr>
                <w:rFonts w:hint="eastAsia"/>
              </w:rPr>
              <w:t>排污许可证申请与核发技术规范 火力发电及锅炉</w:t>
            </w:r>
            <w:r>
              <w:t xml:space="preserve">》（HJ </w:t>
            </w:r>
            <w:r>
              <w:rPr>
                <w:rFonts w:hint="eastAsia"/>
              </w:rPr>
              <w:t>820</w:t>
            </w:r>
            <w:r>
              <w:t>—20</w:t>
            </w:r>
            <w:r>
              <w:rPr>
                <w:rFonts w:hint="eastAsia"/>
              </w:rPr>
              <w:t>17</w:t>
            </w:r>
            <w:r>
              <w:t>）</w:t>
            </w:r>
            <w:r>
              <w:rPr>
                <w:rFonts w:hint="eastAsia"/>
              </w:rPr>
              <w:t>中废气污染防治可行技术，污水处理站参考《排污许可证申请与核发技术规范 食品制造工业—方便食品、食品及饲料添加剂制造工业》（HJ1030.3-2019）</w:t>
            </w:r>
            <w:r>
              <w:rPr>
                <w:bCs/>
              </w:rPr>
              <w:t>中</w:t>
            </w:r>
            <w:r>
              <w:rPr>
                <w:rFonts w:hAnsi="宋体"/>
                <w:kern w:val="0"/>
                <w:szCs w:val="21"/>
              </w:rPr>
              <w:t>废气污染防治可行技术</w:t>
            </w:r>
            <w:r>
              <w:rPr>
                <w:rFonts w:hint="eastAsia"/>
              </w:rPr>
              <w:t>，符合性分析见下表。</w:t>
            </w:r>
          </w:p>
          <w:p w14:paraId="2803058F">
            <w:pPr>
              <w:pStyle w:val="75"/>
              <w:numPr>
                <w:ilvl w:val="0"/>
                <w:numId w:val="0"/>
              </w:numPr>
              <w:tabs>
                <w:tab w:val="left" w:pos="420"/>
                <w:tab w:val="clear" w:pos="3680"/>
              </w:tabs>
              <w:ind w:left="3260"/>
              <w:jc w:val="both"/>
            </w:pPr>
            <w:r>
              <w:rPr>
                <w:rFonts w:hint="eastAsia"/>
              </w:rPr>
              <w:t>表4-7废气治理可行性分析表</w:t>
            </w:r>
          </w:p>
          <w:tbl>
            <w:tblPr>
              <w:tblStyle w:val="25"/>
              <w:tblW w:w="8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4"/>
              <w:gridCol w:w="853"/>
              <w:gridCol w:w="849"/>
              <w:gridCol w:w="1276"/>
              <w:gridCol w:w="2693"/>
              <w:gridCol w:w="851"/>
              <w:gridCol w:w="808"/>
            </w:tblGrid>
            <w:tr w14:paraId="3A03F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427" w:type="pct"/>
                  <w:vAlign w:val="center"/>
                </w:tcPr>
                <w:p w14:paraId="7791C860">
                  <w:pPr>
                    <w:pStyle w:val="40"/>
                    <w:rPr>
                      <w:lang w:val="zh-CN"/>
                    </w:rPr>
                  </w:pPr>
                  <w:r>
                    <w:rPr>
                      <w:rFonts w:hint="eastAsia"/>
                      <w:lang w:val="zh-CN"/>
                    </w:rPr>
                    <w:t>序号</w:t>
                  </w:r>
                </w:p>
              </w:tc>
              <w:tc>
                <w:tcPr>
                  <w:tcW w:w="532" w:type="pct"/>
                  <w:vAlign w:val="center"/>
                </w:tcPr>
                <w:p w14:paraId="621E96DE">
                  <w:pPr>
                    <w:pStyle w:val="40"/>
                    <w:rPr>
                      <w:lang w:val="zh-CN"/>
                    </w:rPr>
                  </w:pPr>
                  <w:r>
                    <w:t>产污节点</w:t>
                  </w:r>
                </w:p>
              </w:tc>
              <w:tc>
                <w:tcPr>
                  <w:tcW w:w="530" w:type="pct"/>
                  <w:shd w:val="clear" w:color="auto" w:fill="auto"/>
                  <w:vAlign w:val="center"/>
                </w:tcPr>
                <w:p w14:paraId="30F27BB6">
                  <w:pPr>
                    <w:pStyle w:val="40"/>
                    <w:rPr>
                      <w:lang w:val="zh-CN"/>
                    </w:rPr>
                  </w:pPr>
                  <w:r>
                    <w:rPr>
                      <w:rFonts w:hint="eastAsia"/>
                      <w:lang w:val="zh-CN"/>
                    </w:rPr>
                    <w:t>燃料类型</w:t>
                  </w:r>
                </w:p>
              </w:tc>
              <w:tc>
                <w:tcPr>
                  <w:tcW w:w="796" w:type="pct"/>
                  <w:shd w:val="clear" w:color="auto" w:fill="auto"/>
                  <w:vAlign w:val="center"/>
                </w:tcPr>
                <w:p w14:paraId="60A24ACE">
                  <w:pPr>
                    <w:pStyle w:val="40"/>
                    <w:rPr>
                      <w:lang w:val="zh-CN"/>
                    </w:rPr>
                  </w:pPr>
                  <w:r>
                    <w:rPr>
                      <w:rFonts w:hint="eastAsia"/>
                      <w:lang w:val="zh-CN"/>
                    </w:rPr>
                    <w:t>主要污染物</w:t>
                  </w:r>
                </w:p>
              </w:tc>
              <w:tc>
                <w:tcPr>
                  <w:tcW w:w="1680" w:type="pct"/>
                  <w:shd w:val="clear" w:color="auto" w:fill="auto"/>
                  <w:vAlign w:val="center"/>
                </w:tcPr>
                <w:p w14:paraId="47921004">
                  <w:pPr>
                    <w:pStyle w:val="40"/>
                    <w:rPr>
                      <w:lang w:val="zh-CN"/>
                    </w:rPr>
                  </w:pPr>
                  <w:r>
                    <w:rPr>
                      <w:rFonts w:hint="eastAsia"/>
                      <w:lang w:val="zh-CN"/>
                    </w:rPr>
                    <w:t>可行技术</w:t>
                  </w:r>
                </w:p>
              </w:tc>
              <w:tc>
                <w:tcPr>
                  <w:tcW w:w="531" w:type="pct"/>
                  <w:vAlign w:val="center"/>
                </w:tcPr>
                <w:p w14:paraId="30680770">
                  <w:pPr>
                    <w:pStyle w:val="40"/>
                    <w:rPr>
                      <w:lang w:val="zh-CN"/>
                    </w:rPr>
                  </w:pPr>
                  <w:r>
                    <w:rPr>
                      <w:rFonts w:hint="eastAsia"/>
                      <w:lang w:val="zh-CN"/>
                    </w:rPr>
                    <w:t>本项目拟采用技术</w:t>
                  </w:r>
                </w:p>
              </w:tc>
              <w:tc>
                <w:tcPr>
                  <w:tcW w:w="504" w:type="pct"/>
                  <w:vAlign w:val="center"/>
                </w:tcPr>
                <w:p w14:paraId="3B9F52DB">
                  <w:pPr>
                    <w:pStyle w:val="40"/>
                    <w:rPr>
                      <w:lang w:val="zh-CN"/>
                    </w:rPr>
                  </w:pPr>
                  <w:r>
                    <w:rPr>
                      <w:rFonts w:hint="eastAsia"/>
                    </w:rPr>
                    <w:t>符合性分析</w:t>
                  </w:r>
                </w:p>
              </w:tc>
            </w:tr>
            <w:tr w14:paraId="343F3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jc w:val="center"/>
              </w:trPr>
              <w:tc>
                <w:tcPr>
                  <w:tcW w:w="427" w:type="pct"/>
                  <w:vMerge w:val="restart"/>
                  <w:vAlign w:val="center"/>
                </w:tcPr>
                <w:p w14:paraId="01AC1A3F">
                  <w:pPr>
                    <w:pStyle w:val="40"/>
                    <w:rPr>
                      <w:lang w:val="zh-CN"/>
                    </w:rPr>
                  </w:pPr>
                  <w:r>
                    <w:rPr>
                      <w:rFonts w:hint="eastAsia"/>
                      <w:lang w:val="zh-CN"/>
                    </w:rPr>
                    <w:t>1</w:t>
                  </w:r>
                </w:p>
              </w:tc>
              <w:tc>
                <w:tcPr>
                  <w:tcW w:w="532" w:type="pct"/>
                  <w:vMerge w:val="restart"/>
                  <w:vAlign w:val="center"/>
                </w:tcPr>
                <w:p w14:paraId="518526BE">
                  <w:pPr>
                    <w:pStyle w:val="40"/>
                    <w:rPr>
                      <w:lang w:val="zh-CN"/>
                    </w:rPr>
                  </w:pPr>
                  <w:r>
                    <w:rPr>
                      <w:rFonts w:hint="eastAsia"/>
                      <w:lang w:val="zh-CN"/>
                    </w:rPr>
                    <w:t>生物质锅炉</w:t>
                  </w:r>
                </w:p>
              </w:tc>
              <w:tc>
                <w:tcPr>
                  <w:tcW w:w="530" w:type="pct"/>
                  <w:vMerge w:val="restart"/>
                  <w:shd w:val="clear" w:color="auto" w:fill="auto"/>
                  <w:vAlign w:val="center"/>
                </w:tcPr>
                <w:p w14:paraId="380E5264">
                  <w:pPr>
                    <w:pStyle w:val="40"/>
                    <w:rPr>
                      <w:lang w:val="zh-CN"/>
                    </w:rPr>
                  </w:pPr>
                  <w:r>
                    <w:rPr>
                      <w:rFonts w:hint="eastAsia"/>
                      <w:lang w:val="zh-CN"/>
                    </w:rPr>
                    <w:t>生物质</w:t>
                  </w:r>
                </w:p>
              </w:tc>
              <w:tc>
                <w:tcPr>
                  <w:tcW w:w="796" w:type="pct"/>
                  <w:shd w:val="clear" w:color="auto" w:fill="auto"/>
                  <w:vAlign w:val="center"/>
                </w:tcPr>
                <w:p w14:paraId="3A70C3A5">
                  <w:pPr>
                    <w:pStyle w:val="40"/>
                    <w:rPr>
                      <w:lang w:val="zh-CN"/>
                    </w:rPr>
                  </w:pPr>
                  <w:r>
                    <w:rPr>
                      <w:rFonts w:hint="eastAsia"/>
                      <w:lang w:val="zh-CN"/>
                    </w:rPr>
                    <w:t>氮氧化物</w:t>
                  </w:r>
                </w:p>
              </w:tc>
              <w:tc>
                <w:tcPr>
                  <w:tcW w:w="1680" w:type="pct"/>
                  <w:shd w:val="clear" w:color="auto" w:fill="auto"/>
                  <w:vAlign w:val="center"/>
                </w:tcPr>
                <w:p w14:paraId="728D148B">
                  <w:pPr>
                    <w:pStyle w:val="40"/>
                  </w:pPr>
                  <w:r>
                    <w:rPr>
                      <w:rFonts w:hint="eastAsia"/>
                      <w:lang w:val="zh-CN"/>
                    </w:rPr>
                    <w:t>低氮燃烧</w:t>
                  </w:r>
                  <w:r>
                    <w:rPr>
                      <w:rFonts w:hint="eastAsia"/>
                    </w:rPr>
                    <w:t>+SNCR脱硝技术、</w:t>
                  </w:r>
                  <w:r>
                    <w:rPr>
                      <w:rFonts w:hint="eastAsia"/>
                      <w:lang w:val="zh-CN"/>
                    </w:rPr>
                    <w:t>低氮燃烧</w:t>
                  </w:r>
                  <w:r>
                    <w:rPr>
                      <w:rFonts w:hint="eastAsia"/>
                    </w:rPr>
                    <w:t>+SCR脱硝技术、</w:t>
                  </w:r>
                  <w:r>
                    <w:rPr>
                      <w:rFonts w:hint="eastAsia"/>
                      <w:lang w:val="zh-CN"/>
                    </w:rPr>
                    <w:t>低氮燃烧</w:t>
                  </w:r>
                  <w:r>
                    <w:rPr>
                      <w:rFonts w:hint="eastAsia"/>
                    </w:rPr>
                    <w:t>+（SNCR-SCR联合）脱硝技术、SNCR脱硝技术、SCR脱硝技术、SNCR-SCR联合脱硝技术</w:t>
                  </w:r>
                </w:p>
              </w:tc>
              <w:tc>
                <w:tcPr>
                  <w:tcW w:w="531" w:type="pct"/>
                  <w:vAlign w:val="center"/>
                </w:tcPr>
                <w:p w14:paraId="2BA6D5E9">
                  <w:pPr>
                    <w:pStyle w:val="40"/>
                    <w:rPr>
                      <w:lang w:val="zh-CN"/>
                    </w:rPr>
                  </w:pPr>
                  <w:r>
                    <w:rPr>
                      <w:rFonts w:hint="eastAsia"/>
                    </w:rPr>
                    <w:t>SNCR脱硝技术</w:t>
                  </w:r>
                </w:p>
              </w:tc>
              <w:tc>
                <w:tcPr>
                  <w:tcW w:w="504" w:type="pct"/>
                  <w:vAlign w:val="center"/>
                </w:tcPr>
                <w:p w14:paraId="0BBF0391">
                  <w:pPr>
                    <w:pStyle w:val="40"/>
                    <w:rPr>
                      <w:lang w:val="zh-CN"/>
                    </w:rPr>
                  </w:pPr>
                  <w:r>
                    <w:rPr>
                      <w:rFonts w:hint="eastAsia"/>
                      <w:lang w:val="zh-CN"/>
                    </w:rPr>
                    <w:t>符合</w:t>
                  </w:r>
                </w:p>
              </w:tc>
            </w:tr>
            <w:tr w14:paraId="32B5D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 w:hRule="atLeast"/>
                <w:jc w:val="center"/>
              </w:trPr>
              <w:tc>
                <w:tcPr>
                  <w:tcW w:w="427" w:type="pct"/>
                  <w:vMerge w:val="continue"/>
                  <w:vAlign w:val="center"/>
                </w:tcPr>
                <w:p w14:paraId="0227E46F">
                  <w:pPr>
                    <w:pStyle w:val="40"/>
                    <w:rPr>
                      <w:lang w:val="zh-CN"/>
                    </w:rPr>
                  </w:pPr>
                </w:p>
              </w:tc>
              <w:tc>
                <w:tcPr>
                  <w:tcW w:w="532" w:type="pct"/>
                  <w:vMerge w:val="continue"/>
                  <w:vAlign w:val="center"/>
                </w:tcPr>
                <w:p w14:paraId="61DD9A63">
                  <w:pPr>
                    <w:pStyle w:val="40"/>
                    <w:rPr>
                      <w:lang w:val="zh-CN"/>
                    </w:rPr>
                  </w:pPr>
                </w:p>
              </w:tc>
              <w:tc>
                <w:tcPr>
                  <w:tcW w:w="530" w:type="pct"/>
                  <w:vMerge w:val="continue"/>
                  <w:shd w:val="clear" w:color="auto" w:fill="auto"/>
                  <w:vAlign w:val="center"/>
                </w:tcPr>
                <w:p w14:paraId="0C386A23">
                  <w:pPr>
                    <w:pStyle w:val="40"/>
                    <w:rPr>
                      <w:lang w:val="zh-CN"/>
                    </w:rPr>
                  </w:pPr>
                </w:p>
              </w:tc>
              <w:tc>
                <w:tcPr>
                  <w:tcW w:w="796" w:type="pct"/>
                  <w:shd w:val="clear" w:color="auto" w:fill="auto"/>
                  <w:vAlign w:val="center"/>
                </w:tcPr>
                <w:p w14:paraId="122FDA16">
                  <w:pPr>
                    <w:pStyle w:val="40"/>
                    <w:rPr>
                      <w:lang w:val="zh-CN"/>
                    </w:rPr>
                  </w:pPr>
                  <w:r>
                    <w:rPr>
                      <w:rFonts w:hint="eastAsia"/>
                      <w:lang w:val="zh-CN"/>
                    </w:rPr>
                    <w:t>颗粒物</w:t>
                  </w:r>
                </w:p>
              </w:tc>
              <w:tc>
                <w:tcPr>
                  <w:tcW w:w="1680" w:type="pct"/>
                  <w:shd w:val="clear" w:color="auto" w:fill="auto"/>
                  <w:vAlign w:val="center"/>
                </w:tcPr>
                <w:p w14:paraId="77B44E50">
                  <w:pPr>
                    <w:pStyle w:val="40"/>
                    <w:rPr>
                      <w:lang w:val="zh-CN"/>
                    </w:rPr>
                  </w:pPr>
                  <w:r>
                    <w:rPr>
                      <w:rFonts w:hint="eastAsia"/>
                      <w:lang w:val="zh-CN"/>
                    </w:rPr>
                    <w:t>旋风除尘和袋式除尘组合技术</w:t>
                  </w:r>
                </w:p>
              </w:tc>
              <w:tc>
                <w:tcPr>
                  <w:tcW w:w="531" w:type="pct"/>
                  <w:vAlign w:val="center"/>
                </w:tcPr>
                <w:p w14:paraId="62C29DCA">
                  <w:pPr>
                    <w:pStyle w:val="40"/>
                    <w:rPr>
                      <w:lang w:val="zh-CN"/>
                    </w:rPr>
                  </w:pPr>
                  <w:r>
                    <w:rPr>
                      <w:rFonts w:hint="eastAsia"/>
                      <w:lang w:val="zh-CN"/>
                    </w:rPr>
                    <w:t>旋风</w:t>
                  </w:r>
                  <w:r>
                    <w:rPr>
                      <w:rFonts w:hint="eastAsia"/>
                    </w:rPr>
                    <w:t>+布</w:t>
                  </w:r>
                  <w:r>
                    <w:rPr>
                      <w:rFonts w:hint="eastAsia"/>
                      <w:lang w:val="zh-CN"/>
                    </w:rPr>
                    <w:t>袋式除尘器</w:t>
                  </w:r>
                </w:p>
              </w:tc>
              <w:tc>
                <w:tcPr>
                  <w:tcW w:w="504" w:type="pct"/>
                  <w:vAlign w:val="center"/>
                </w:tcPr>
                <w:p w14:paraId="5BB5D863">
                  <w:pPr>
                    <w:pStyle w:val="40"/>
                    <w:rPr>
                      <w:lang w:val="zh-CN"/>
                    </w:rPr>
                  </w:pPr>
                  <w:r>
                    <w:rPr>
                      <w:rFonts w:hint="eastAsia"/>
                      <w:lang w:val="zh-CN"/>
                    </w:rPr>
                    <w:t>符合</w:t>
                  </w:r>
                </w:p>
              </w:tc>
            </w:tr>
            <w:tr w14:paraId="60ABC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 w:hRule="atLeast"/>
                <w:jc w:val="center"/>
              </w:trPr>
              <w:tc>
                <w:tcPr>
                  <w:tcW w:w="427" w:type="pct"/>
                  <w:vAlign w:val="center"/>
                </w:tcPr>
                <w:p w14:paraId="1C8E0E4F">
                  <w:pPr>
                    <w:pStyle w:val="40"/>
                    <w:rPr>
                      <w:lang w:val="zh-CN"/>
                    </w:rPr>
                  </w:pPr>
                  <w:r>
                    <w:rPr>
                      <w:rFonts w:hint="eastAsia"/>
                      <w:lang w:val="zh-CN"/>
                    </w:rPr>
                    <w:t>2</w:t>
                  </w:r>
                </w:p>
              </w:tc>
              <w:tc>
                <w:tcPr>
                  <w:tcW w:w="532" w:type="pct"/>
                  <w:vAlign w:val="center"/>
                </w:tcPr>
                <w:p w14:paraId="2F57B334">
                  <w:pPr>
                    <w:pStyle w:val="40"/>
                    <w:rPr>
                      <w:lang w:val="zh-CN"/>
                    </w:rPr>
                  </w:pPr>
                  <w:r>
                    <w:rPr>
                      <w:rFonts w:hint="eastAsia"/>
                      <w:lang w:val="zh-CN"/>
                    </w:rPr>
                    <w:t>污水处理站</w:t>
                  </w:r>
                </w:p>
              </w:tc>
              <w:tc>
                <w:tcPr>
                  <w:tcW w:w="530" w:type="pct"/>
                  <w:shd w:val="clear" w:color="auto" w:fill="auto"/>
                  <w:vAlign w:val="center"/>
                </w:tcPr>
                <w:p w14:paraId="34196EE3">
                  <w:pPr>
                    <w:pStyle w:val="40"/>
                    <w:rPr>
                      <w:lang w:val="zh-CN"/>
                    </w:rPr>
                  </w:pPr>
                  <w:r>
                    <w:rPr>
                      <w:rFonts w:hint="eastAsia"/>
                      <w:lang w:val="zh-CN"/>
                    </w:rPr>
                    <w:t>/</w:t>
                  </w:r>
                </w:p>
              </w:tc>
              <w:tc>
                <w:tcPr>
                  <w:tcW w:w="796" w:type="pct"/>
                  <w:shd w:val="clear" w:color="auto" w:fill="auto"/>
                  <w:vAlign w:val="center"/>
                </w:tcPr>
                <w:p w14:paraId="0FEF7877">
                  <w:pPr>
                    <w:pStyle w:val="40"/>
                    <w:rPr>
                      <w:lang w:val="zh-CN"/>
                    </w:rPr>
                  </w:pPr>
                  <w:r>
                    <w:rPr>
                      <w:rFonts w:hint="eastAsia"/>
                      <w:lang w:val="zh-CN"/>
                    </w:rPr>
                    <w:t>臭气浓度</w:t>
                  </w:r>
                </w:p>
              </w:tc>
              <w:tc>
                <w:tcPr>
                  <w:tcW w:w="1680" w:type="pct"/>
                  <w:shd w:val="clear" w:color="auto" w:fill="auto"/>
                  <w:vAlign w:val="center"/>
                </w:tcPr>
                <w:p w14:paraId="40842C26">
                  <w:pPr>
                    <w:pStyle w:val="40"/>
                    <w:rPr>
                      <w:lang w:val="zh-CN"/>
                    </w:rPr>
                  </w:pPr>
                  <w:r>
                    <w:rPr>
                      <w:rFonts w:hint="eastAsia"/>
                      <w:lang w:val="zh-CN"/>
                    </w:rPr>
                    <w:t>产生恶臭区域加罩或加盖，投放除臭剂，收集恶臭气体经处理（喷淋塔除臭、活性炭吸附、生物除臭等）后排放</w:t>
                  </w:r>
                </w:p>
              </w:tc>
              <w:tc>
                <w:tcPr>
                  <w:tcW w:w="531" w:type="pct"/>
                  <w:vAlign w:val="center"/>
                </w:tcPr>
                <w:p w14:paraId="53519448">
                  <w:pPr>
                    <w:pStyle w:val="40"/>
                    <w:rPr>
                      <w:lang w:val="zh-CN"/>
                    </w:rPr>
                  </w:pPr>
                  <w:r>
                    <w:rPr>
                      <w:rFonts w:hint="eastAsia"/>
                      <w:lang w:val="zh-CN"/>
                    </w:rPr>
                    <w:t>产生恶臭区域加盖，收集恶臭气体经活性炭吸附处理</w:t>
                  </w:r>
                </w:p>
              </w:tc>
              <w:tc>
                <w:tcPr>
                  <w:tcW w:w="504" w:type="pct"/>
                  <w:vAlign w:val="center"/>
                </w:tcPr>
                <w:p w14:paraId="0893AE0D">
                  <w:pPr>
                    <w:pStyle w:val="40"/>
                    <w:rPr>
                      <w:lang w:val="zh-CN"/>
                    </w:rPr>
                  </w:pPr>
                  <w:r>
                    <w:rPr>
                      <w:rFonts w:hint="eastAsia"/>
                      <w:lang w:val="zh-CN"/>
                    </w:rPr>
                    <w:t>符合</w:t>
                  </w:r>
                </w:p>
              </w:tc>
            </w:tr>
          </w:tbl>
          <w:p w14:paraId="68F1A5DD">
            <w:pPr>
              <w:adjustRightInd w:val="0"/>
              <w:snapToGrid w:val="0"/>
              <w:spacing w:beforeLines="50"/>
              <w:ind w:firstLine="420"/>
              <w:rPr>
                <w:bCs/>
                <w:szCs w:val="21"/>
              </w:rPr>
            </w:pPr>
            <w:r>
              <w:rPr>
                <w:rFonts w:hint="eastAsia"/>
                <w:bCs/>
                <w:szCs w:val="21"/>
              </w:rPr>
              <w:t>根据上表，</w:t>
            </w:r>
            <w:r>
              <w:rPr>
                <w:bCs/>
                <w:szCs w:val="21"/>
              </w:rPr>
              <w:t>本项目</w:t>
            </w:r>
            <w:r>
              <w:rPr>
                <w:rFonts w:hint="eastAsia"/>
                <w:bCs/>
              </w:rPr>
              <w:t>生物质锅炉</w:t>
            </w:r>
            <w:r>
              <w:rPr>
                <w:rFonts w:hint="eastAsia"/>
                <w:bCs/>
                <w:szCs w:val="21"/>
              </w:rPr>
              <w:t>、污水处理站采取的废气</w:t>
            </w:r>
            <w:r>
              <w:rPr>
                <w:rFonts w:hAnsi="宋体"/>
                <w:kern w:val="0"/>
                <w:szCs w:val="21"/>
              </w:rPr>
              <w:t>污染防治技术</w:t>
            </w:r>
            <w:r>
              <w:rPr>
                <w:rFonts w:hint="eastAsia"/>
                <w:bCs/>
                <w:szCs w:val="21"/>
              </w:rPr>
              <w:t>均</w:t>
            </w:r>
            <w:r>
              <w:rPr>
                <w:bCs/>
                <w:szCs w:val="21"/>
              </w:rPr>
              <w:t>可行。</w:t>
            </w:r>
          </w:p>
          <w:p w14:paraId="72FF74C6">
            <w:pPr>
              <w:snapToGrid w:val="0"/>
              <w:ind w:firstLine="420"/>
              <w:contextualSpacing/>
              <w:rPr>
                <w:bCs/>
              </w:rPr>
            </w:pPr>
            <w:r>
              <w:rPr>
                <w:rFonts w:hint="eastAsia"/>
                <w:bCs/>
                <w:szCs w:val="21"/>
              </w:rPr>
              <w:t>1.4小结</w:t>
            </w:r>
          </w:p>
          <w:p w14:paraId="0C8CB99E">
            <w:pPr>
              <w:adjustRightInd w:val="0"/>
              <w:snapToGrid w:val="0"/>
              <w:ind w:firstLine="420"/>
              <w:rPr>
                <w:bCs/>
                <w:szCs w:val="21"/>
              </w:rPr>
            </w:pPr>
            <w:r>
              <w:rPr>
                <w:rFonts w:hint="eastAsia"/>
                <w:bCs/>
                <w:szCs w:val="21"/>
              </w:rPr>
              <w:t>本项目废气治理设施</w:t>
            </w:r>
            <w:r>
              <w:rPr>
                <w:rFonts w:hint="eastAsia"/>
              </w:rPr>
              <w:t>采用了排污规范中的可行性技术，</w:t>
            </w:r>
            <w:r>
              <w:rPr>
                <w:rFonts w:hint="eastAsia"/>
                <w:bCs/>
                <w:szCs w:val="21"/>
              </w:rPr>
              <w:t>废气经</w:t>
            </w:r>
            <w:r>
              <w:rPr>
                <w:bCs/>
                <w:szCs w:val="21"/>
              </w:rPr>
              <w:t>净化</w:t>
            </w:r>
            <w:r>
              <w:rPr>
                <w:rFonts w:hint="eastAsia"/>
                <w:bCs/>
                <w:szCs w:val="21"/>
              </w:rPr>
              <w:t>后可以稳定达标排放。项目实施后对大气环境影响较小。</w:t>
            </w:r>
          </w:p>
          <w:p w14:paraId="36BB689D">
            <w:pPr>
              <w:snapToGrid w:val="0"/>
              <w:ind w:firstLine="422"/>
              <w:contextualSpacing/>
              <w:rPr>
                <w:b/>
                <w:bCs/>
              </w:rPr>
            </w:pPr>
            <w:r>
              <w:rPr>
                <w:b/>
                <w:bCs/>
              </w:rPr>
              <w:t>2、废水</w:t>
            </w:r>
          </w:p>
          <w:p w14:paraId="5682BE3D">
            <w:pPr>
              <w:snapToGrid w:val="0"/>
              <w:ind w:firstLine="420"/>
              <w:contextualSpacing/>
            </w:pPr>
            <w:r>
              <w:rPr>
                <w:rFonts w:hint="eastAsia"/>
                <w:szCs w:val="21"/>
              </w:rPr>
              <w:t>本项目废水主要为</w:t>
            </w:r>
            <w:r>
              <w:rPr>
                <w:rFonts w:hint="eastAsia"/>
                <w:bCs/>
                <w:szCs w:val="21"/>
              </w:rPr>
              <w:t>罐头生产线</w:t>
            </w:r>
            <w:r>
              <w:rPr>
                <w:rFonts w:hint="eastAsia"/>
              </w:rPr>
              <w:t>废水、</w:t>
            </w:r>
            <w:r>
              <w:rPr>
                <w:rFonts w:hint="eastAsia"/>
                <w:szCs w:val="21"/>
              </w:rPr>
              <w:t>锅炉排污水</w:t>
            </w:r>
            <w:r>
              <w:rPr>
                <w:rFonts w:hint="eastAsia"/>
              </w:rPr>
              <w:t>及软化处理废水。</w:t>
            </w:r>
          </w:p>
          <w:p w14:paraId="7D3E019B">
            <w:pPr>
              <w:snapToGrid w:val="0"/>
              <w:ind w:firstLine="420"/>
              <w:contextualSpacing/>
              <w:rPr>
                <w:szCs w:val="21"/>
              </w:rPr>
            </w:pPr>
            <w:r>
              <w:rPr>
                <w:rFonts w:hint="eastAsia"/>
                <w:szCs w:val="21"/>
              </w:rPr>
              <w:t>（1）废水污染源源强核算</w:t>
            </w:r>
          </w:p>
          <w:p w14:paraId="03A3321D">
            <w:pPr>
              <w:snapToGrid w:val="0"/>
              <w:ind w:firstLine="420"/>
              <w:contextualSpacing/>
            </w:pPr>
            <w:bookmarkStart w:id="104" w:name="OLE_LINK152"/>
            <w:bookmarkStart w:id="105" w:name="OLE_LINK153"/>
            <w:r>
              <w:rPr>
                <w:rFonts w:hint="eastAsia"/>
                <w:szCs w:val="21"/>
              </w:rPr>
              <w:t>锅炉排污水</w:t>
            </w:r>
            <w:r>
              <w:rPr>
                <w:rFonts w:hint="eastAsia"/>
              </w:rPr>
              <w:t>及软化处理废水产生量约为284.8t/a，1.356t/d</w:t>
            </w:r>
            <w:r>
              <w:rPr>
                <w:rFonts w:hint="eastAsia"/>
                <w:szCs w:val="21"/>
              </w:rPr>
              <w:t>。</w:t>
            </w:r>
            <w:r>
              <w:rPr>
                <w:rFonts w:hint="eastAsia" w:ascii="宋体" w:hAnsi="宋体" w:cs="宋体"/>
                <w:kern w:val="0"/>
                <w:szCs w:val="21"/>
              </w:rPr>
              <w:t xml:space="preserve">锅炉排水的水质较简单，污染物包括 </w:t>
            </w:r>
            <w:r>
              <w:rPr>
                <w:kern w:val="0"/>
                <w:szCs w:val="21"/>
              </w:rPr>
              <w:t>pH</w:t>
            </w:r>
            <w:r>
              <w:rPr>
                <w:rFonts w:hint="eastAsia" w:ascii="宋体" w:hAnsi="宋体" w:cs="宋体"/>
                <w:kern w:val="0"/>
                <w:szCs w:val="21"/>
              </w:rPr>
              <w:t xml:space="preserve">、 </w:t>
            </w:r>
            <w:r>
              <w:rPr>
                <w:kern w:val="0"/>
                <w:szCs w:val="21"/>
              </w:rPr>
              <w:t xml:space="preserve">COD </w:t>
            </w:r>
            <w:r>
              <w:rPr>
                <w:rFonts w:hint="eastAsia" w:ascii="宋体" w:hAnsi="宋体" w:cs="宋体"/>
                <w:kern w:val="0"/>
                <w:szCs w:val="21"/>
              </w:rPr>
              <w:t>和盐分，</w:t>
            </w:r>
            <w:r>
              <w:rPr>
                <w:rFonts w:hint="eastAsia"/>
              </w:rPr>
              <w:t>用于厂区洒水抑尘</w:t>
            </w:r>
            <w:r>
              <w:rPr>
                <w:rFonts w:hint="eastAsia" w:ascii="宋体" w:hAnsi="宋体" w:cs="宋体"/>
                <w:kern w:val="0"/>
                <w:szCs w:val="21"/>
              </w:rPr>
              <w:t>。</w:t>
            </w:r>
          </w:p>
          <w:p w14:paraId="66D35A60">
            <w:pPr>
              <w:snapToGrid w:val="0"/>
              <w:ind w:firstLine="420"/>
              <w:contextualSpacing/>
              <w:rPr>
                <w:rFonts w:hAnsi="宋体"/>
                <w:bCs/>
              </w:rPr>
            </w:pPr>
            <w:r>
              <w:rPr>
                <w:rFonts w:hint="eastAsia"/>
                <w:bCs/>
                <w:szCs w:val="21"/>
              </w:rPr>
              <w:t>现有生产线</w:t>
            </w:r>
            <w:r>
              <w:rPr>
                <w:rFonts w:hint="eastAsia"/>
              </w:rPr>
              <w:t>废水</w:t>
            </w:r>
            <w:r>
              <w:rPr>
                <w:rFonts w:hint="eastAsia"/>
                <w:bCs/>
                <w:szCs w:val="21"/>
              </w:rPr>
              <w:t>及本次改扩建新增生产线</w:t>
            </w:r>
            <w:r>
              <w:rPr>
                <w:rFonts w:hint="eastAsia"/>
              </w:rPr>
              <w:t>废水产生总量为8969.4t/a，42.71t/d</w:t>
            </w:r>
            <w:r>
              <w:rPr>
                <w:rFonts w:hint="eastAsia"/>
                <w:bCs/>
                <w:szCs w:val="21"/>
              </w:rPr>
              <w:t>，</w:t>
            </w:r>
            <w:r>
              <w:rPr>
                <w:rFonts w:hint="eastAsia"/>
              </w:rPr>
              <w:t>废水</w:t>
            </w:r>
            <w:r>
              <w:rPr>
                <w:rFonts w:hint="eastAsia"/>
                <w:bCs/>
                <w:szCs w:val="21"/>
              </w:rPr>
              <w:t>进入污水处理站处理，</w:t>
            </w:r>
            <w:r>
              <w:rPr>
                <w:rFonts w:hint="eastAsia"/>
              </w:rPr>
              <w:t>处理</w:t>
            </w:r>
            <w:r>
              <w:rPr>
                <w:rFonts w:hint="eastAsia" w:hAnsi="宋体"/>
                <w:bCs/>
              </w:rPr>
              <w:t>达标后运至秦皇岛市抚宁区中冶水务有限公司。</w:t>
            </w:r>
            <w:bookmarkEnd w:id="104"/>
            <w:bookmarkEnd w:id="105"/>
          </w:p>
          <w:p w14:paraId="665D24D9">
            <w:pPr>
              <w:snapToGrid w:val="0"/>
              <w:ind w:firstLine="420"/>
              <w:contextualSpacing/>
              <w:rPr>
                <w:szCs w:val="21"/>
              </w:rPr>
            </w:pPr>
            <w:r>
              <w:rPr>
                <w:rFonts w:hint="eastAsia"/>
              </w:rPr>
              <w:t>参照《排放源统计调查产排污核算方法和系数手册》中的《</w:t>
            </w:r>
            <w:bookmarkStart w:id="106" w:name="OLE_LINK51"/>
            <w:bookmarkStart w:id="107" w:name="OLE_LINK50"/>
            <w:r>
              <w:rPr>
                <w:rFonts w:hint="eastAsia"/>
              </w:rPr>
              <w:t>1453水果、蔬菜罐头制造</w:t>
            </w:r>
            <w:bookmarkEnd w:id="106"/>
            <w:bookmarkEnd w:id="107"/>
            <w:r>
              <w:rPr>
                <w:rFonts w:hint="eastAsia"/>
              </w:rPr>
              <w:t>行业系数手册》：1453水果、蔬菜罐头制造行业系数，</w:t>
            </w:r>
            <w:r>
              <w:rPr>
                <w:rFonts w:hint="eastAsia"/>
                <w:szCs w:val="21"/>
              </w:rPr>
              <w:t>生产废水中主要污染物产生浓度见下表。</w:t>
            </w:r>
          </w:p>
          <w:p w14:paraId="0E44DBB6">
            <w:pPr>
              <w:snapToGrid w:val="0"/>
              <w:spacing w:line="240" w:lineRule="auto"/>
              <w:ind w:firstLine="422"/>
              <w:jc w:val="center"/>
              <w:rPr>
                <w:b/>
                <w:szCs w:val="21"/>
              </w:rPr>
            </w:pPr>
            <w:bookmarkStart w:id="108" w:name="OLE_LINK148"/>
            <w:bookmarkStart w:id="109" w:name="OLE_LINK149"/>
            <w:r>
              <w:rPr>
                <w:rFonts w:hint="eastAsia"/>
                <w:b/>
              </w:rPr>
              <w:t>表</w:t>
            </w:r>
            <w:r>
              <w:rPr>
                <w:b/>
              </w:rPr>
              <w:t>4-</w:t>
            </w:r>
            <w:r>
              <w:rPr>
                <w:rFonts w:hint="eastAsia"/>
                <w:b/>
              </w:rPr>
              <w:t>8 生产废水各污染物浓度取值情况一览表</w:t>
            </w:r>
            <w:r>
              <w:rPr>
                <w:b/>
              </w:rPr>
              <w:t xml:space="preserve"> </w:t>
            </w:r>
            <w:r>
              <w:rPr>
                <w:b/>
                <w:bCs/>
                <w:spacing w:val="-10"/>
              </w:rPr>
              <w:t>mg/L</w:t>
            </w:r>
          </w:p>
          <w:tbl>
            <w:tblPr>
              <w:tblStyle w:val="25"/>
              <w:tblW w:w="805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50"/>
              <w:gridCol w:w="1250"/>
              <w:gridCol w:w="1177"/>
              <w:gridCol w:w="921"/>
              <w:gridCol w:w="1242"/>
              <w:gridCol w:w="857"/>
              <w:gridCol w:w="855"/>
            </w:tblGrid>
            <w:tr w14:paraId="76E8EB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7" w:hRule="atLeast"/>
                <w:jc w:val="center"/>
              </w:trPr>
              <w:tc>
                <w:tcPr>
                  <w:tcW w:w="1087" w:type="pct"/>
                  <w:vAlign w:val="center"/>
                </w:tcPr>
                <w:p w14:paraId="6D48F469">
                  <w:pPr>
                    <w:adjustRightInd w:val="0"/>
                    <w:snapToGrid w:val="0"/>
                    <w:spacing w:line="240" w:lineRule="auto"/>
                    <w:ind w:firstLine="0" w:firstLineChars="0"/>
                    <w:jc w:val="center"/>
                    <w:rPr>
                      <w:bCs/>
                      <w:szCs w:val="21"/>
                    </w:rPr>
                  </w:pPr>
                  <w:r>
                    <w:rPr>
                      <w:rFonts w:hint="eastAsia"/>
                      <w:bCs/>
                      <w:szCs w:val="21"/>
                    </w:rPr>
                    <w:t>类别</w:t>
                  </w:r>
                </w:p>
              </w:tc>
              <w:tc>
                <w:tcPr>
                  <w:tcW w:w="776" w:type="pct"/>
                  <w:vAlign w:val="center"/>
                </w:tcPr>
                <w:p w14:paraId="7C0AFC4F">
                  <w:pPr>
                    <w:adjustRightInd w:val="0"/>
                    <w:snapToGrid w:val="0"/>
                    <w:spacing w:line="240" w:lineRule="auto"/>
                    <w:ind w:firstLine="0" w:firstLineChars="0"/>
                    <w:jc w:val="center"/>
                    <w:rPr>
                      <w:bCs/>
                      <w:szCs w:val="21"/>
                    </w:rPr>
                  </w:pPr>
                  <w:r>
                    <w:rPr>
                      <w:bCs/>
                      <w:szCs w:val="21"/>
                    </w:rPr>
                    <w:t>COD</w:t>
                  </w:r>
                </w:p>
              </w:tc>
              <w:tc>
                <w:tcPr>
                  <w:tcW w:w="731" w:type="pct"/>
                  <w:vAlign w:val="center"/>
                </w:tcPr>
                <w:p w14:paraId="0702304A">
                  <w:pPr>
                    <w:adjustRightInd w:val="0"/>
                    <w:snapToGrid w:val="0"/>
                    <w:spacing w:line="240" w:lineRule="auto"/>
                    <w:ind w:firstLine="0" w:firstLineChars="0"/>
                    <w:jc w:val="center"/>
                    <w:rPr>
                      <w:bCs/>
                      <w:szCs w:val="21"/>
                    </w:rPr>
                  </w:pPr>
                  <w:r>
                    <w:rPr>
                      <w:bCs/>
                      <w:szCs w:val="21"/>
                    </w:rPr>
                    <w:t>BOD</w:t>
                  </w:r>
                  <w:r>
                    <w:rPr>
                      <w:bCs/>
                      <w:szCs w:val="21"/>
                      <w:vertAlign w:val="subscript"/>
                    </w:rPr>
                    <w:t>5</w:t>
                  </w:r>
                </w:p>
              </w:tc>
              <w:tc>
                <w:tcPr>
                  <w:tcW w:w="572" w:type="pct"/>
                  <w:vAlign w:val="center"/>
                </w:tcPr>
                <w:p w14:paraId="368A5386">
                  <w:pPr>
                    <w:adjustRightInd w:val="0"/>
                    <w:snapToGrid w:val="0"/>
                    <w:spacing w:line="240" w:lineRule="auto"/>
                    <w:ind w:firstLine="0" w:firstLineChars="0"/>
                    <w:jc w:val="center"/>
                    <w:rPr>
                      <w:bCs/>
                      <w:szCs w:val="21"/>
                    </w:rPr>
                  </w:pPr>
                  <w:r>
                    <w:rPr>
                      <w:bCs/>
                      <w:szCs w:val="21"/>
                    </w:rPr>
                    <w:t>SS</w:t>
                  </w:r>
                </w:p>
              </w:tc>
              <w:tc>
                <w:tcPr>
                  <w:tcW w:w="771" w:type="pct"/>
                  <w:vAlign w:val="center"/>
                </w:tcPr>
                <w:p w14:paraId="2AE56204">
                  <w:pPr>
                    <w:adjustRightInd w:val="0"/>
                    <w:snapToGrid w:val="0"/>
                    <w:spacing w:line="240" w:lineRule="auto"/>
                    <w:ind w:firstLine="0" w:firstLineChars="0"/>
                    <w:jc w:val="center"/>
                    <w:rPr>
                      <w:bCs/>
                      <w:szCs w:val="21"/>
                    </w:rPr>
                  </w:pPr>
                  <w:r>
                    <w:rPr>
                      <w:rFonts w:hint="eastAsia"/>
                      <w:bCs/>
                      <w:szCs w:val="21"/>
                    </w:rPr>
                    <w:t>氨氮</w:t>
                  </w:r>
                </w:p>
              </w:tc>
              <w:tc>
                <w:tcPr>
                  <w:tcW w:w="532" w:type="pct"/>
                  <w:vAlign w:val="center"/>
                </w:tcPr>
                <w:p w14:paraId="1CC5A7EC">
                  <w:pPr>
                    <w:adjustRightInd w:val="0"/>
                    <w:snapToGrid w:val="0"/>
                    <w:spacing w:line="240" w:lineRule="auto"/>
                    <w:ind w:firstLine="0" w:firstLineChars="0"/>
                    <w:jc w:val="center"/>
                    <w:rPr>
                      <w:bCs/>
                      <w:szCs w:val="21"/>
                    </w:rPr>
                  </w:pPr>
                  <w:r>
                    <w:rPr>
                      <w:rFonts w:hint="eastAsia"/>
                      <w:bCs/>
                      <w:szCs w:val="21"/>
                    </w:rPr>
                    <w:t>总磷</w:t>
                  </w:r>
                </w:p>
              </w:tc>
              <w:tc>
                <w:tcPr>
                  <w:tcW w:w="531" w:type="pct"/>
                  <w:vAlign w:val="center"/>
                </w:tcPr>
                <w:p w14:paraId="2F14BC2A">
                  <w:pPr>
                    <w:adjustRightInd w:val="0"/>
                    <w:snapToGrid w:val="0"/>
                    <w:spacing w:line="240" w:lineRule="auto"/>
                    <w:ind w:firstLine="0" w:firstLineChars="0"/>
                    <w:jc w:val="center"/>
                    <w:rPr>
                      <w:bCs/>
                      <w:szCs w:val="21"/>
                    </w:rPr>
                  </w:pPr>
                  <w:r>
                    <w:rPr>
                      <w:rFonts w:hint="eastAsia"/>
                      <w:bCs/>
                      <w:szCs w:val="21"/>
                    </w:rPr>
                    <w:t>总氮</w:t>
                  </w:r>
                  <w:r>
                    <w:rPr>
                      <w:bCs/>
                      <w:szCs w:val="21"/>
                    </w:rPr>
                    <w:t xml:space="preserve"> </w:t>
                  </w:r>
                </w:p>
              </w:tc>
            </w:tr>
            <w:tr w14:paraId="4EB2FF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9" w:hRule="atLeast"/>
                <w:jc w:val="center"/>
              </w:trPr>
              <w:tc>
                <w:tcPr>
                  <w:tcW w:w="1087" w:type="pct"/>
                  <w:vAlign w:val="center"/>
                </w:tcPr>
                <w:p w14:paraId="5DDBBF6D">
                  <w:pPr>
                    <w:adjustRightInd w:val="0"/>
                    <w:snapToGrid w:val="0"/>
                    <w:spacing w:line="240" w:lineRule="auto"/>
                    <w:ind w:firstLine="0" w:firstLineChars="0"/>
                    <w:jc w:val="center"/>
                    <w:rPr>
                      <w:bCs/>
                      <w:szCs w:val="21"/>
                    </w:rPr>
                  </w:pPr>
                  <w:r>
                    <w:rPr>
                      <w:rFonts w:hint="eastAsia"/>
                      <w:bCs/>
                      <w:szCs w:val="21"/>
                    </w:rPr>
                    <w:t>污水量（</w:t>
                  </w:r>
                  <w:r>
                    <w:rPr>
                      <w:bCs/>
                      <w:szCs w:val="21"/>
                    </w:rPr>
                    <w:t>m</w:t>
                  </w:r>
                  <w:r>
                    <w:rPr>
                      <w:bCs/>
                      <w:szCs w:val="21"/>
                      <w:vertAlign w:val="superscript"/>
                    </w:rPr>
                    <w:t>3</w:t>
                  </w:r>
                  <w:r>
                    <w:rPr>
                      <w:bCs/>
                      <w:szCs w:val="21"/>
                    </w:rPr>
                    <w:t>/a</w:t>
                  </w:r>
                  <w:r>
                    <w:rPr>
                      <w:rFonts w:hint="eastAsia"/>
                      <w:bCs/>
                      <w:szCs w:val="21"/>
                    </w:rPr>
                    <w:t>）</w:t>
                  </w:r>
                </w:p>
              </w:tc>
              <w:tc>
                <w:tcPr>
                  <w:tcW w:w="3913" w:type="pct"/>
                  <w:gridSpan w:val="6"/>
                  <w:vAlign w:val="center"/>
                </w:tcPr>
                <w:p w14:paraId="554149BD">
                  <w:pPr>
                    <w:adjustRightInd w:val="0"/>
                    <w:snapToGrid w:val="0"/>
                    <w:spacing w:line="240" w:lineRule="auto"/>
                    <w:ind w:firstLine="0" w:firstLineChars="0"/>
                    <w:jc w:val="center"/>
                    <w:rPr>
                      <w:bCs/>
                      <w:szCs w:val="21"/>
                    </w:rPr>
                  </w:pPr>
                  <w:r>
                    <w:rPr>
                      <w:rFonts w:hint="eastAsia"/>
                      <w:bCs/>
                      <w:szCs w:val="21"/>
                    </w:rPr>
                    <w:t>8969.4</w:t>
                  </w:r>
                </w:p>
              </w:tc>
            </w:tr>
            <w:tr w14:paraId="5D3E5C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 w:hRule="atLeast"/>
                <w:jc w:val="center"/>
              </w:trPr>
              <w:tc>
                <w:tcPr>
                  <w:tcW w:w="1087" w:type="pct"/>
                  <w:vAlign w:val="center"/>
                </w:tcPr>
                <w:p w14:paraId="1EC8D597">
                  <w:pPr>
                    <w:adjustRightInd w:val="0"/>
                    <w:snapToGrid w:val="0"/>
                    <w:spacing w:line="240" w:lineRule="auto"/>
                    <w:ind w:firstLine="0" w:firstLineChars="0"/>
                    <w:jc w:val="center"/>
                    <w:rPr>
                      <w:bCs/>
                      <w:szCs w:val="21"/>
                    </w:rPr>
                  </w:pPr>
                  <w:r>
                    <w:rPr>
                      <w:rFonts w:hint="eastAsia"/>
                      <w:bCs/>
                      <w:szCs w:val="21"/>
                    </w:rPr>
                    <w:t>产污系数（克/吨-产品）</w:t>
                  </w:r>
                </w:p>
              </w:tc>
              <w:tc>
                <w:tcPr>
                  <w:tcW w:w="776" w:type="pct"/>
                  <w:vAlign w:val="center"/>
                </w:tcPr>
                <w:p w14:paraId="197774DF">
                  <w:pPr>
                    <w:adjustRightInd w:val="0"/>
                    <w:snapToGrid w:val="0"/>
                    <w:spacing w:line="240" w:lineRule="auto"/>
                    <w:ind w:firstLine="0" w:firstLineChars="0"/>
                    <w:jc w:val="center"/>
                    <w:rPr>
                      <w:bCs/>
                      <w:szCs w:val="21"/>
                    </w:rPr>
                  </w:pPr>
                  <w:r>
                    <w:rPr>
                      <w:rFonts w:hint="eastAsia"/>
                      <w:bCs/>
                      <w:szCs w:val="21"/>
                    </w:rPr>
                    <w:t>22561.800</w:t>
                  </w:r>
                </w:p>
              </w:tc>
              <w:tc>
                <w:tcPr>
                  <w:tcW w:w="731" w:type="pct"/>
                  <w:vAlign w:val="center"/>
                </w:tcPr>
                <w:p w14:paraId="6EE03230">
                  <w:pPr>
                    <w:adjustRightInd w:val="0"/>
                    <w:snapToGrid w:val="0"/>
                    <w:spacing w:line="240" w:lineRule="auto"/>
                    <w:ind w:firstLine="0" w:firstLineChars="0"/>
                    <w:jc w:val="center"/>
                    <w:rPr>
                      <w:bCs/>
                      <w:szCs w:val="21"/>
                    </w:rPr>
                  </w:pPr>
                  <w:r>
                    <w:rPr>
                      <w:rFonts w:hint="eastAsia"/>
                      <w:bCs/>
                      <w:szCs w:val="21"/>
                    </w:rPr>
                    <w:t>/</w:t>
                  </w:r>
                </w:p>
              </w:tc>
              <w:tc>
                <w:tcPr>
                  <w:tcW w:w="572" w:type="pct"/>
                  <w:vAlign w:val="center"/>
                </w:tcPr>
                <w:p w14:paraId="69B4A77F">
                  <w:pPr>
                    <w:adjustRightInd w:val="0"/>
                    <w:snapToGrid w:val="0"/>
                    <w:spacing w:line="240" w:lineRule="auto"/>
                    <w:ind w:firstLine="0" w:firstLineChars="0"/>
                    <w:jc w:val="center"/>
                    <w:rPr>
                      <w:bCs/>
                      <w:szCs w:val="21"/>
                    </w:rPr>
                  </w:pPr>
                  <w:r>
                    <w:rPr>
                      <w:rFonts w:hint="eastAsia"/>
                      <w:bCs/>
                      <w:szCs w:val="21"/>
                    </w:rPr>
                    <w:t>/</w:t>
                  </w:r>
                </w:p>
              </w:tc>
              <w:tc>
                <w:tcPr>
                  <w:tcW w:w="771" w:type="pct"/>
                  <w:vAlign w:val="center"/>
                </w:tcPr>
                <w:p w14:paraId="775A2B6F">
                  <w:pPr>
                    <w:adjustRightInd w:val="0"/>
                    <w:snapToGrid w:val="0"/>
                    <w:spacing w:line="240" w:lineRule="auto"/>
                    <w:ind w:firstLine="0" w:firstLineChars="0"/>
                    <w:jc w:val="center"/>
                    <w:rPr>
                      <w:bCs/>
                      <w:szCs w:val="21"/>
                    </w:rPr>
                  </w:pPr>
                  <w:r>
                    <w:rPr>
                      <w:bCs/>
                      <w:szCs w:val="21"/>
                    </w:rPr>
                    <w:t>286.372</w:t>
                  </w:r>
                </w:p>
              </w:tc>
              <w:tc>
                <w:tcPr>
                  <w:tcW w:w="532" w:type="pct"/>
                  <w:vAlign w:val="center"/>
                </w:tcPr>
                <w:p w14:paraId="69DF4B2D">
                  <w:pPr>
                    <w:adjustRightInd w:val="0"/>
                    <w:snapToGrid w:val="0"/>
                    <w:spacing w:line="240" w:lineRule="auto"/>
                    <w:ind w:firstLine="0" w:firstLineChars="0"/>
                    <w:jc w:val="center"/>
                    <w:rPr>
                      <w:bCs/>
                      <w:szCs w:val="21"/>
                    </w:rPr>
                  </w:pPr>
                  <w:r>
                    <w:rPr>
                      <w:bCs/>
                      <w:szCs w:val="21"/>
                    </w:rPr>
                    <w:t>61.114</w:t>
                  </w:r>
                </w:p>
              </w:tc>
              <w:tc>
                <w:tcPr>
                  <w:tcW w:w="531" w:type="pct"/>
                  <w:vAlign w:val="center"/>
                </w:tcPr>
                <w:p w14:paraId="168F3809">
                  <w:pPr>
                    <w:adjustRightInd w:val="0"/>
                    <w:snapToGrid w:val="0"/>
                    <w:spacing w:line="240" w:lineRule="auto"/>
                    <w:ind w:firstLine="0" w:firstLineChars="0"/>
                    <w:jc w:val="center"/>
                    <w:rPr>
                      <w:bCs/>
                      <w:szCs w:val="21"/>
                    </w:rPr>
                  </w:pPr>
                  <w:r>
                    <w:rPr>
                      <w:bCs/>
                      <w:szCs w:val="21"/>
                    </w:rPr>
                    <w:t>438.936</w:t>
                  </w:r>
                </w:p>
              </w:tc>
            </w:tr>
            <w:tr w14:paraId="3FAEAA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 w:hRule="atLeast"/>
                <w:jc w:val="center"/>
              </w:trPr>
              <w:tc>
                <w:tcPr>
                  <w:tcW w:w="1087" w:type="pct"/>
                  <w:vAlign w:val="center"/>
                </w:tcPr>
                <w:p w14:paraId="625472A4">
                  <w:pPr>
                    <w:adjustRightInd w:val="0"/>
                    <w:snapToGrid w:val="0"/>
                    <w:spacing w:line="240" w:lineRule="auto"/>
                    <w:ind w:firstLine="0" w:firstLineChars="0"/>
                    <w:jc w:val="center"/>
                    <w:rPr>
                      <w:bCs/>
                      <w:szCs w:val="21"/>
                    </w:rPr>
                  </w:pPr>
                  <w:r>
                    <w:rPr>
                      <w:rFonts w:hint="eastAsia"/>
                      <w:bCs/>
                      <w:szCs w:val="21"/>
                    </w:rPr>
                    <w:t>污染物产生量（t/a）</w:t>
                  </w:r>
                </w:p>
              </w:tc>
              <w:tc>
                <w:tcPr>
                  <w:tcW w:w="776" w:type="pct"/>
                  <w:vAlign w:val="center"/>
                </w:tcPr>
                <w:p w14:paraId="0DF86490">
                  <w:pPr>
                    <w:adjustRightInd w:val="0"/>
                    <w:snapToGrid w:val="0"/>
                    <w:spacing w:line="240" w:lineRule="auto"/>
                    <w:ind w:firstLine="0" w:firstLineChars="0"/>
                    <w:jc w:val="center"/>
                    <w:rPr>
                      <w:bCs/>
                      <w:szCs w:val="21"/>
                    </w:rPr>
                  </w:pPr>
                  <w:r>
                    <w:rPr>
                      <w:rFonts w:hint="eastAsia"/>
                      <w:bCs/>
                      <w:szCs w:val="21"/>
                    </w:rPr>
                    <w:t>11.168</w:t>
                  </w:r>
                </w:p>
              </w:tc>
              <w:tc>
                <w:tcPr>
                  <w:tcW w:w="731" w:type="pct"/>
                  <w:vAlign w:val="center"/>
                </w:tcPr>
                <w:p w14:paraId="766F1961">
                  <w:pPr>
                    <w:adjustRightInd w:val="0"/>
                    <w:snapToGrid w:val="0"/>
                    <w:spacing w:line="240" w:lineRule="auto"/>
                    <w:ind w:firstLine="0" w:firstLineChars="0"/>
                    <w:jc w:val="center"/>
                    <w:rPr>
                      <w:bCs/>
                      <w:szCs w:val="21"/>
                    </w:rPr>
                  </w:pPr>
                  <w:r>
                    <w:rPr>
                      <w:rFonts w:hint="eastAsia"/>
                      <w:bCs/>
                      <w:szCs w:val="21"/>
                    </w:rPr>
                    <w:t>4.036</w:t>
                  </w:r>
                </w:p>
              </w:tc>
              <w:tc>
                <w:tcPr>
                  <w:tcW w:w="572" w:type="pct"/>
                  <w:vAlign w:val="center"/>
                </w:tcPr>
                <w:p w14:paraId="4D384213">
                  <w:pPr>
                    <w:adjustRightInd w:val="0"/>
                    <w:snapToGrid w:val="0"/>
                    <w:spacing w:line="240" w:lineRule="auto"/>
                    <w:ind w:firstLine="0" w:firstLineChars="0"/>
                    <w:jc w:val="center"/>
                    <w:rPr>
                      <w:bCs/>
                      <w:szCs w:val="21"/>
                    </w:rPr>
                  </w:pPr>
                  <w:r>
                    <w:rPr>
                      <w:rFonts w:hint="eastAsia"/>
                      <w:bCs/>
                      <w:szCs w:val="21"/>
                    </w:rPr>
                    <w:t>7.176</w:t>
                  </w:r>
                </w:p>
              </w:tc>
              <w:tc>
                <w:tcPr>
                  <w:tcW w:w="771" w:type="pct"/>
                  <w:vAlign w:val="center"/>
                </w:tcPr>
                <w:p w14:paraId="3EDD72CB">
                  <w:pPr>
                    <w:adjustRightInd w:val="0"/>
                    <w:snapToGrid w:val="0"/>
                    <w:spacing w:line="240" w:lineRule="auto"/>
                    <w:ind w:firstLine="0" w:firstLineChars="0"/>
                    <w:jc w:val="center"/>
                    <w:rPr>
                      <w:bCs/>
                      <w:szCs w:val="21"/>
                    </w:rPr>
                  </w:pPr>
                  <w:r>
                    <w:rPr>
                      <w:rFonts w:hint="eastAsia"/>
                      <w:bCs/>
                      <w:szCs w:val="21"/>
                    </w:rPr>
                    <w:t>0.142</w:t>
                  </w:r>
                </w:p>
              </w:tc>
              <w:tc>
                <w:tcPr>
                  <w:tcW w:w="532" w:type="pct"/>
                  <w:vAlign w:val="center"/>
                </w:tcPr>
                <w:p w14:paraId="7AE061BF">
                  <w:pPr>
                    <w:adjustRightInd w:val="0"/>
                    <w:snapToGrid w:val="0"/>
                    <w:spacing w:line="240" w:lineRule="auto"/>
                    <w:ind w:firstLine="0" w:firstLineChars="0"/>
                    <w:jc w:val="center"/>
                    <w:rPr>
                      <w:bCs/>
                      <w:szCs w:val="21"/>
                    </w:rPr>
                  </w:pPr>
                  <w:r>
                    <w:rPr>
                      <w:rFonts w:hint="eastAsia"/>
                      <w:bCs/>
                      <w:szCs w:val="21"/>
                    </w:rPr>
                    <w:t>0.03</w:t>
                  </w:r>
                </w:p>
              </w:tc>
              <w:tc>
                <w:tcPr>
                  <w:tcW w:w="531" w:type="pct"/>
                  <w:vAlign w:val="center"/>
                </w:tcPr>
                <w:p w14:paraId="4AF10A42">
                  <w:pPr>
                    <w:adjustRightInd w:val="0"/>
                    <w:snapToGrid w:val="0"/>
                    <w:spacing w:line="240" w:lineRule="auto"/>
                    <w:ind w:firstLine="0" w:firstLineChars="0"/>
                    <w:jc w:val="center"/>
                    <w:rPr>
                      <w:bCs/>
                      <w:szCs w:val="21"/>
                    </w:rPr>
                  </w:pPr>
                  <w:r>
                    <w:rPr>
                      <w:rFonts w:hint="eastAsia"/>
                      <w:bCs/>
                      <w:szCs w:val="21"/>
                    </w:rPr>
                    <w:t>0.217</w:t>
                  </w:r>
                </w:p>
              </w:tc>
            </w:tr>
            <w:tr w14:paraId="4E90FE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 w:hRule="atLeast"/>
                <w:jc w:val="center"/>
              </w:trPr>
              <w:tc>
                <w:tcPr>
                  <w:tcW w:w="1087" w:type="pct"/>
                  <w:vAlign w:val="center"/>
                </w:tcPr>
                <w:p w14:paraId="4E0D3E90">
                  <w:pPr>
                    <w:adjustRightInd w:val="0"/>
                    <w:snapToGrid w:val="0"/>
                    <w:spacing w:line="240" w:lineRule="auto"/>
                    <w:ind w:firstLine="0" w:firstLineChars="0"/>
                    <w:jc w:val="center"/>
                    <w:rPr>
                      <w:bCs/>
                      <w:szCs w:val="21"/>
                    </w:rPr>
                  </w:pPr>
                  <w:r>
                    <w:rPr>
                      <w:rFonts w:hint="eastAsia"/>
                      <w:bCs/>
                      <w:szCs w:val="21"/>
                    </w:rPr>
                    <w:t>污染物产生浓度（</w:t>
                  </w:r>
                  <w:r>
                    <w:rPr>
                      <w:bCs/>
                      <w:szCs w:val="21"/>
                    </w:rPr>
                    <w:t>mg/L</w:t>
                  </w:r>
                  <w:r>
                    <w:rPr>
                      <w:rFonts w:hint="eastAsia"/>
                      <w:bCs/>
                      <w:szCs w:val="21"/>
                    </w:rPr>
                    <w:t>）</w:t>
                  </w:r>
                </w:p>
              </w:tc>
              <w:tc>
                <w:tcPr>
                  <w:tcW w:w="776" w:type="pct"/>
                  <w:vAlign w:val="center"/>
                </w:tcPr>
                <w:p w14:paraId="6C4CB8D5">
                  <w:pPr>
                    <w:adjustRightInd w:val="0"/>
                    <w:snapToGrid w:val="0"/>
                    <w:spacing w:line="240" w:lineRule="auto"/>
                    <w:ind w:firstLine="0" w:firstLineChars="0"/>
                    <w:jc w:val="center"/>
                    <w:rPr>
                      <w:bCs/>
                      <w:szCs w:val="21"/>
                    </w:rPr>
                  </w:pPr>
                  <w:r>
                    <w:rPr>
                      <w:rFonts w:hint="eastAsia"/>
                      <w:bCs/>
                      <w:szCs w:val="21"/>
                    </w:rPr>
                    <w:t>1245</w:t>
                  </w:r>
                </w:p>
              </w:tc>
              <w:tc>
                <w:tcPr>
                  <w:tcW w:w="731" w:type="pct"/>
                  <w:vAlign w:val="center"/>
                </w:tcPr>
                <w:p w14:paraId="51F0D784">
                  <w:pPr>
                    <w:adjustRightInd w:val="0"/>
                    <w:snapToGrid w:val="0"/>
                    <w:spacing w:line="240" w:lineRule="auto"/>
                    <w:ind w:firstLine="0" w:firstLineChars="0"/>
                    <w:jc w:val="center"/>
                    <w:rPr>
                      <w:bCs/>
                      <w:szCs w:val="21"/>
                    </w:rPr>
                  </w:pPr>
                  <w:r>
                    <w:rPr>
                      <w:rFonts w:hint="eastAsia"/>
                      <w:bCs/>
                      <w:szCs w:val="21"/>
                    </w:rPr>
                    <w:t>450</w:t>
                  </w:r>
                </w:p>
              </w:tc>
              <w:tc>
                <w:tcPr>
                  <w:tcW w:w="572" w:type="pct"/>
                  <w:vAlign w:val="center"/>
                </w:tcPr>
                <w:p w14:paraId="063CB9E1">
                  <w:pPr>
                    <w:adjustRightInd w:val="0"/>
                    <w:snapToGrid w:val="0"/>
                    <w:spacing w:line="240" w:lineRule="auto"/>
                    <w:ind w:firstLine="0" w:firstLineChars="0"/>
                    <w:jc w:val="center"/>
                    <w:rPr>
                      <w:bCs/>
                      <w:szCs w:val="21"/>
                    </w:rPr>
                  </w:pPr>
                  <w:r>
                    <w:rPr>
                      <w:rFonts w:hint="eastAsia"/>
                      <w:bCs/>
                      <w:szCs w:val="21"/>
                    </w:rPr>
                    <w:t>800</w:t>
                  </w:r>
                </w:p>
              </w:tc>
              <w:tc>
                <w:tcPr>
                  <w:tcW w:w="771" w:type="pct"/>
                  <w:vAlign w:val="center"/>
                </w:tcPr>
                <w:p w14:paraId="71985FA4">
                  <w:pPr>
                    <w:adjustRightInd w:val="0"/>
                    <w:snapToGrid w:val="0"/>
                    <w:spacing w:line="240" w:lineRule="auto"/>
                    <w:ind w:firstLine="0" w:firstLineChars="0"/>
                    <w:jc w:val="center"/>
                    <w:rPr>
                      <w:bCs/>
                      <w:szCs w:val="21"/>
                    </w:rPr>
                  </w:pPr>
                  <w:r>
                    <w:rPr>
                      <w:rFonts w:hint="eastAsia"/>
                      <w:bCs/>
                      <w:szCs w:val="21"/>
                    </w:rPr>
                    <w:t>16</w:t>
                  </w:r>
                </w:p>
              </w:tc>
              <w:tc>
                <w:tcPr>
                  <w:tcW w:w="532" w:type="pct"/>
                  <w:vAlign w:val="center"/>
                </w:tcPr>
                <w:p w14:paraId="1025BE35">
                  <w:pPr>
                    <w:adjustRightInd w:val="0"/>
                    <w:snapToGrid w:val="0"/>
                    <w:spacing w:line="240" w:lineRule="auto"/>
                    <w:ind w:firstLine="0" w:firstLineChars="0"/>
                    <w:jc w:val="center"/>
                    <w:rPr>
                      <w:bCs/>
                      <w:szCs w:val="21"/>
                    </w:rPr>
                  </w:pPr>
                  <w:r>
                    <w:rPr>
                      <w:rFonts w:hint="eastAsia"/>
                      <w:bCs/>
                      <w:szCs w:val="21"/>
                    </w:rPr>
                    <w:t>3</w:t>
                  </w:r>
                </w:p>
              </w:tc>
              <w:tc>
                <w:tcPr>
                  <w:tcW w:w="531" w:type="pct"/>
                  <w:vAlign w:val="center"/>
                </w:tcPr>
                <w:p w14:paraId="443F1D1F">
                  <w:pPr>
                    <w:adjustRightInd w:val="0"/>
                    <w:snapToGrid w:val="0"/>
                    <w:spacing w:line="240" w:lineRule="auto"/>
                    <w:ind w:firstLine="0" w:firstLineChars="0"/>
                    <w:jc w:val="center"/>
                    <w:rPr>
                      <w:bCs/>
                      <w:szCs w:val="21"/>
                    </w:rPr>
                  </w:pPr>
                  <w:r>
                    <w:rPr>
                      <w:rFonts w:hint="eastAsia"/>
                      <w:bCs/>
                      <w:szCs w:val="21"/>
                    </w:rPr>
                    <w:t>24</w:t>
                  </w:r>
                </w:p>
              </w:tc>
            </w:tr>
            <w:bookmarkEnd w:id="108"/>
            <w:bookmarkEnd w:id="109"/>
          </w:tbl>
          <w:p w14:paraId="58A35900">
            <w:pPr>
              <w:adjustRightInd w:val="0"/>
              <w:snapToGrid w:val="0"/>
              <w:spacing w:beforeLines="50"/>
              <w:ind w:firstLine="420"/>
              <w:rPr>
                <w:bCs/>
                <w:szCs w:val="21"/>
              </w:rPr>
            </w:pPr>
            <w:r>
              <w:rPr>
                <w:bCs/>
                <w:szCs w:val="21"/>
              </w:rPr>
              <w:t>（2）污水治理设施情况</w:t>
            </w:r>
            <w:r>
              <w:rPr>
                <w:rFonts w:hint="eastAsia"/>
                <w:bCs/>
                <w:spacing w:val="-10"/>
                <w:szCs w:val="21"/>
              </w:rPr>
              <w:t>见</w:t>
            </w:r>
            <w:r>
              <w:rPr>
                <w:bCs/>
                <w:szCs w:val="21"/>
              </w:rPr>
              <w:t>下表</w:t>
            </w:r>
          </w:p>
          <w:p w14:paraId="781A9B78">
            <w:pPr>
              <w:adjustRightInd w:val="0"/>
              <w:snapToGrid w:val="0"/>
              <w:ind w:firstLine="420"/>
              <w:rPr>
                <w:bCs/>
                <w:szCs w:val="21"/>
              </w:rPr>
            </w:pPr>
            <w:r>
              <w:rPr>
                <w:rFonts w:hint="eastAsia"/>
                <w:szCs w:val="21"/>
              </w:rPr>
              <w:t>生产废水</w:t>
            </w:r>
            <w:r>
              <w:rPr>
                <w:rFonts w:hint="eastAsia"/>
                <w:bCs/>
                <w:szCs w:val="21"/>
              </w:rPr>
              <w:t>经污水处理站处理后运至秦皇岛市抚宁区中冶水务有限公司</w:t>
            </w:r>
            <w:r>
              <w:rPr>
                <w:rFonts w:hint="eastAsia"/>
                <w:szCs w:val="21"/>
              </w:rPr>
              <w:t>处理，对环境影响较小。</w:t>
            </w:r>
          </w:p>
          <w:p w14:paraId="23C529F8">
            <w:pPr>
              <w:pStyle w:val="75"/>
              <w:numPr>
                <w:ilvl w:val="0"/>
                <w:numId w:val="0"/>
              </w:numPr>
              <w:tabs>
                <w:tab w:val="left" w:pos="420"/>
              </w:tabs>
              <w:ind w:left="454"/>
            </w:pPr>
            <w:r>
              <w:rPr>
                <w:rFonts w:hint="eastAsia"/>
              </w:rPr>
              <w:t>表4-9污水处理站</w:t>
            </w:r>
            <w:r>
              <w:t>预计排放情况一览表</w:t>
            </w:r>
          </w:p>
          <w:tbl>
            <w:tblPr>
              <w:tblStyle w:val="25"/>
              <w:tblW w:w="7654" w:type="dxa"/>
              <w:jc w:val="center"/>
              <w:tblLayout w:type="fixed"/>
              <w:tblCellMar>
                <w:top w:w="0" w:type="dxa"/>
                <w:left w:w="108" w:type="dxa"/>
                <w:bottom w:w="0" w:type="dxa"/>
                <w:right w:w="108" w:type="dxa"/>
              </w:tblCellMar>
            </w:tblPr>
            <w:tblGrid>
              <w:gridCol w:w="1790"/>
              <w:gridCol w:w="1189"/>
              <w:gridCol w:w="1070"/>
              <w:gridCol w:w="850"/>
              <w:gridCol w:w="851"/>
              <w:gridCol w:w="992"/>
              <w:gridCol w:w="912"/>
            </w:tblGrid>
            <w:tr w14:paraId="1239E9C5">
              <w:tblPrEx>
                <w:tblCellMar>
                  <w:top w:w="0" w:type="dxa"/>
                  <w:left w:w="108" w:type="dxa"/>
                  <w:bottom w:w="0" w:type="dxa"/>
                  <w:right w:w="108" w:type="dxa"/>
                </w:tblCellMar>
              </w:tblPrEx>
              <w:trPr>
                <w:trHeight w:val="511" w:hRule="atLeast"/>
                <w:jc w:val="center"/>
              </w:trPr>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F3179">
                  <w:pPr>
                    <w:adjustRightInd w:val="0"/>
                    <w:snapToGrid w:val="0"/>
                    <w:spacing w:line="240" w:lineRule="auto"/>
                    <w:ind w:firstLine="0" w:firstLineChars="0"/>
                    <w:jc w:val="center"/>
                    <w:rPr>
                      <w:bCs/>
                      <w:szCs w:val="21"/>
                    </w:rPr>
                  </w:pPr>
                  <w:r>
                    <w:rPr>
                      <w:rFonts w:hint="eastAsia"/>
                      <w:bCs/>
                      <w:szCs w:val="21"/>
                    </w:rPr>
                    <w:t>类别</w:t>
                  </w:r>
                </w:p>
              </w:tc>
              <w:tc>
                <w:tcPr>
                  <w:tcW w:w="777" w:type="pct"/>
                  <w:tcBorders>
                    <w:top w:val="single" w:color="000000" w:sz="4" w:space="0"/>
                    <w:left w:val="single" w:color="000000" w:sz="4" w:space="0"/>
                    <w:bottom w:val="single" w:color="000000" w:sz="4" w:space="0"/>
                    <w:right w:val="single" w:color="000000" w:sz="4" w:space="0"/>
                  </w:tcBorders>
                  <w:vAlign w:val="center"/>
                </w:tcPr>
                <w:p w14:paraId="36529B49">
                  <w:pPr>
                    <w:adjustRightInd w:val="0"/>
                    <w:snapToGrid w:val="0"/>
                    <w:spacing w:line="240" w:lineRule="auto"/>
                    <w:ind w:firstLine="0" w:firstLineChars="0"/>
                    <w:jc w:val="center"/>
                    <w:rPr>
                      <w:bCs/>
                      <w:szCs w:val="21"/>
                    </w:rPr>
                  </w:pPr>
                  <w:r>
                    <w:rPr>
                      <w:bCs/>
                      <w:szCs w:val="21"/>
                    </w:rPr>
                    <w:t>COD</w:t>
                  </w:r>
                </w:p>
              </w:tc>
              <w:tc>
                <w:tcPr>
                  <w:tcW w:w="699" w:type="pct"/>
                  <w:tcBorders>
                    <w:top w:val="single" w:color="000000" w:sz="4" w:space="0"/>
                    <w:left w:val="single" w:color="000000" w:sz="4" w:space="0"/>
                    <w:bottom w:val="single" w:color="000000" w:sz="4" w:space="0"/>
                    <w:right w:val="single" w:color="000000" w:sz="4" w:space="0"/>
                  </w:tcBorders>
                  <w:vAlign w:val="center"/>
                </w:tcPr>
                <w:p w14:paraId="28B26E39">
                  <w:pPr>
                    <w:adjustRightInd w:val="0"/>
                    <w:snapToGrid w:val="0"/>
                    <w:spacing w:line="240" w:lineRule="auto"/>
                    <w:ind w:firstLine="0" w:firstLineChars="0"/>
                    <w:jc w:val="center"/>
                    <w:rPr>
                      <w:bCs/>
                      <w:szCs w:val="21"/>
                    </w:rPr>
                  </w:pPr>
                  <w:r>
                    <w:rPr>
                      <w:rFonts w:hint="eastAsia"/>
                      <w:bCs/>
                      <w:szCs w:val="21"/>
                    </w:rPr>
                    <w:t>B</w:t>
                  </w:r>
                  <w:r>
                    <w:rPr>
                      <w:bCs/>
                      <w:szCs w:val="21"/>
                    </w:rPr>
                    <w:t>OD</w:t>
                  </w:r>
                  <w:r>
                    <w:rPr>
                      <w:bCs/>
                      <w:szCs w:val="21"/>
                      <w:vertAlign w:val="subscript"/>
                    </w:rPr>
                    <w:t>5</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6AF3F">
                  <w:pPr>
                    <w:adjustRightInd w:val="0"/>
                    <w:snapToGrid w:val="0"/>
                    <w:spacing w:line="240" w:lineRule="auto"/>
                    <w:ind w:firstLine="0" w:firstLineChars="0"/>
                    <w:jc w:val="center"/>
                    <w:rPr>
                      <w:bCs/>
                      <w:szCs w:val="21"/>
                    </w:rPr>
                  </w:pPr>
                  <w:r>
                    <w:rPr>
                      <w:bCs/>
                      <w:szCs w:val="21"/>
                    </w:rPr>
                    <w:t>SS</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A92F02">
                  <w:pPr>
                    <w:adjustRightInd w:val="0"/>
                    <w:snapToGrid w:val="0"/>
                    <w:spacing w:line="240" w:lineRule="auto"/>
                    <w:ind w:firstLine="0" w:firstLineChars="0"/>
                    <w:jc w:val="center"/>
                    <w:rPr>
                      <w:bCs/>
                      <w:szCs w:val="21"/>
                    </w:rPr>
                  </w:pPr>
                  <w:r>
                    <w:rPr>
                      <w:rFonts w:hint="eastAsia"/>
                      <w:bCs/>
                      <w:szCs w:val="21"/>
                    </w:rPr>
                    <w:t>氨氮</w:t>
                  </w:r>
                </w:p>
              </w:tc>
              <w:tc>
                <w:tcPr>
                  <w:tcW w:w="648" w:type="pct"/>
                  <w:tcBorders>
                    <w:top w:val="single" w:color="000000" w:sz="4" w:space="0"/>
                    <w:left w:val="single" w:color="000000" w:sz="4" w:space="0"/>
                    <w:bottom w:val="single" w:color="000000" w:sz="4" w:space="0"/>
                    <w:right w:val="single" w:color="000000" w:sz="4" w:space="0"/>
                  </w:tcBorders>
                  <w:vAlign w:val="center"/>
                </w:tcPr>
                <w:p w14:paraId="46EFF886">
                  <w:pPr>
                    <w:adjustRightInd w:val="0"/>
                    <w:snapToGrid w:val="0"/>
                    <w:spacing w:line="240" w:lineRule="auto"/>
                    <w:ind w:firstLine="0" w:firstLineChars="0"/>
                    <w:jc w:val="center"/>
                    <w:rPr>
                      <w:bCs/>
                      <w:szCs w:val="21"/>
                    </w:rPr>
                  </w:pPr>
                  <w:r>
                    <w:rPr>
                      <w:rFonts w:hint="eastAsia"/>
                      <w:bCs/>
                      <w:szCs w:val="21"/>
                    </w:rPr>
                    <w:t>总磷</w:t>
                  </w:r>
                </w:p>
              </w:tc>
              <w:tc>
                <w:tcPr>
                  <w:tcW w:w="596" w:type="pct"/>
                  <w:tcBorders>
                    <w:top w:val="single" w:color="000000" w:sz="4" w:space="0"/>
                    <w:left w:val="single" w:color="000000" w:sz="4" w:space="0"/>
                    <w:bottom w:val="single" w:color="000000" w:sz="4" w:space="0"/>
                    <w:right w:val="single" w:color="000000" w:sz="4" w:space="0"/>
                  </w:tcBorders>
                  <w:vAlign w:val="center"/>
                </w:tcPr>
                <w:p w14:paraId="0753E084">
                  <w:pPr>
                    <w:adjustRightInd w:val="0"/>
                    <w:snapToGrid w:val="0"/>
                    <w:spacing w:line="240" w:lineRule="auto"/>
                    <w:ind w:firstLine="0" w:firstLineChars="0"/>
                    <w:jc w:val="center"/>
                    <w:rPr>
                      <w:bCs/>
                      <w:szCs w:val="21"/>
                    </w:rPr>
                  </w:pPr>
                  <w:r>
                    <w:rPr>
                      <w:rFonts w:hint="eastAsia"/>
                      <w:bCs/>
                      <w:szCs w:val="21"/>
                    </w:rPr>
                    <w:t xml:space="preserve">总氮 </w:t>
                  </w:r>
                </w:p>
              </w:tc>
            </w:tr>
            <w:tr w14:paraId="00C21BA3">
              <w:tblPrEx>
                <w:tblCellMar>
                  <w:top w:w="0" w:type="dxa"/>
                  <w:left w:w="108" w:type="dxa"/>
                  <w:bottom w:w="0" w:type="dxa"/>
                  <w:right w:w="108" w:type="dxa"/>
                </w:tblCellMar>
              </w:tblPrEx>
              <w:trPr>
                <w:trHeight w:val="432" w:hRule="atLeast"/>
                <w:jc w:val="center"/>
              </w:trPr>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0EE73">
                  <w:pPr>
                    <w:adjustRightInd w:val="0"/>
                    <w:snapToGrid w:val="0"/>
                    <w:spacing w:line="240" w:lineRule="auto"/>
                    <w:ind w:firstLine="0" w:firstLineChars="0"/>
                    <w:jc w:val="center"/>
                    <w:rPr>
                      <w:bCs/>
                      <w:szCs w:val="21"/>
                    </w:rPr>
                  </w:pPr>
                  <w:r>
                    <w:rPr>
                      <w:rFonts w:hint="eastAsia"/>
                      <w:bCs/>
                      <w:szCs w:val="21"/>
                    </w:rPr>
                    <w:t>污水量（</w:t>
                  </w:r>
                  <w:r>
                    <w:rPr>
                      <w:bCs/>
                      <w:szCs w:val="21"/>
                    </w:rPr>
                    <w:t>m</w:t>
                  </w:r>
                  <w:r>
                    <w:rPr>
                      <w:bCs/>
                      <w:szCs w:val="21"/>
                      <w:vertAlign w:val="superscript"/>
                    </w:rPr>
                    <w:t>3</w:t>
                  </w:r>
                  <w:r>
                    <w:rPr>
                      <w:bCs/>
                      <w:szCs w:val="21"/>
                    </w:rPr>
                    <w:t>/a</w:t>
                  </w:r>
                  <w:r>
                    <w:rPr>
                      <w:rFonts w:hint="eastAsia"/>
                      <w:bCs/>
                      <w:szCs w:val="21"/>
                    </w:rPr>
                    <w:t>）</w:t>
                  </w:r>
                </w:p>
              </w:tc>
              <w:tc>
                <w:tcPr>
                  <w:tcW w:w="3831" w:type="pct"/>
                  <w:gridSpan w:val="6"/>
                  <w:tcBorders>
                    <w:top w:val="single" w:color="000000" w:sz="4" w:space="0"/>
                    <w:left w:val="single" w:color="000000" w:sz="4" w:space="0"/>
                    <w:bottom w:val="single" w:color="000000" w:sz="4" w:space="0"/>
                    <w:right w:val="single" w:color="000000" w:sz="4" w:space="0"/>
                  </w:tcBorders>
                  <w:vAlign w:val="center"/>
                </w:tcPr>
                <w:p w14:paraId="46264AE9">
                  <w:pPr>
                    <w:adjustRightInd w:val="0"/>
                    <w:snapToGrid w:val="0"/>
                    <w:spacing w:line="240" w:lineRule="auto"/>
                    <w:ind w:firstLine="0" w:firstLineChars="0"/>
                    <w:jc w:val="center"/>
                    <w:rPr>
                      <w:bCs/>
                      <w:szCs w:val="21"/>
                    </w:rPr>
                  </w:pPr>
                  <w:r>
                    <w:rPr>
                      <w:bCs/>
                      <w:szCs w:val="21"/>
                    </w:rPr>
                    <w:t>8969.4</w:t>
                  </w:r>
                </w:p>
              </w:tc>
            </w:tr>
            <w:tr w14:paraId="74C4C1A4">
              <w:tblPrEx>
                <w:tblCellMar>
                  <w:top w:w="0" w:type="dxa"/>
                  <w:left w:w="108" w:type="dxa"/>
                  <w:bottom w:w="0" w:type="dxa"/>
                  <w:right w:w="108" w:type="dxa"/>
                </w:tblCellMar>
              </w:tblPrEx>
              <w:trPr>
                <w:trHeight w:val="468" w:hRule="atLeast"/>
                <w:jc w:val="center"/>
              </w:trPr>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CF9D3">
                  <w:pPr>
                    <w:adjustRightInd w:val="0"/>
                    <w:snapToGrid w:val="0"/>
                    <w:spacing w:line="240" w:lineRule="auto"/>
                    <w:ind w:firstLine="0" w:firstLineChars="0"/>
                    <w:jc w:val="center"/>
                    <w:rPr>
                      <w:bCs/>
                      <w:szCs w:val="21"/>
                    </w:rPr>
                  </w:pPr>
                  <w:r>
                    <w:rPr>
                      <w:rFonts w:hint="eastAsia"/>
                      <w:bCs/>
                      <w:szCs w:val="21"/>
                    </w:rPr>
                    <w:t>治理设施情况</w:t>
                  </w:r>
                </w:p>
              </w:tc>
              <w:tc>
                <w:tcPr>
                  <w:tcW w:w="3831" w:type="pct"/>
                  <w:gridSpan w:val="6"/>
                  <w:tcBorders>
                    <w:top w:val="single" w:color="000000" w:sz="4" w:space="0"/>
                    <w:left w:val="single" w:color="000000" w:sz="4" w:space="0"/>
                    <w:bottom w:val="single" w:color="000000" w:sz="4" w:space="0"/>
                    <w:right w:val="single" w:color="000000" w:sz="4" w:space="0"/>
                  </w:tcBorders>
                  <w:vAlign w:val="center"/>
                </w:tcPr>
                <w:p w14:paraId="16D99A4E">
                  <w:pPr>
                    <w:adjustRightInd w:val="0"/>
                    <w:snapToGrid w:val="0"/>
                    <w:spacing w:line="240" w:lineRule="auto"/>
                    <w:ind w:firstLine="0" w:firstLineChars="0"/>
                    <w:jc w:val="center"/>
                    <w:rPr>
                      <w:bCs/>
                      <w:szCs w:val="21"/>
                    </w:rPr>
                  </w:pPr>
                  <w:r>
                    <w:rPr>
                      <w:rFonts w:hint="eastAsia"/>
                      <w:bCs/>
                      <w:szCs w:val="21"/>
                    </w:rPr>
                    <w:t>污水处理站</w:t>
                  </w:r>
                </w:p>
              </w:tc>
            </w:tr>
            <w:tr w14:paraId="6041585D">
              <w:tblPrEx>
                <w:tblCellMar>
                  <w:top w:w="0" w:type="dxa"/>
                  <w:left w:w="108" w:type="dxa"/>
                  <w:bottom w:w="0" w:type="dxa"/>
                  <w:right w:w="108" w:type="dxa"/>
                </w:tblCellMar>
              </w:tblPrEx>
              <w:trPr>
                <w:trHeight w:val="407" w:hRule="atLeast"/>
                <w:jc w:val="center"/>
              </w:trPr>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C6169">
                  <w:pPr>
                    <w:adjustRightInd w:val="0"/>
                    <w:snapToGrid w:val="0"/>
                    <w:spacing w:line="240" w:lineRule="auto"/>
                    <w:ind w:firstLine="0" w:firstLineChars="0"/>
                    <w:jc w:val="center"/>
                    <w:rPr>
                      <w:bCs/>
                      <w:szCs w:val="21"/>
                    </w:rPr>
                  </w:pPr>
                  <w:r>
                    <w:rPr>
                      <w:rFonts w:hint="eastAsia"/>
                      <w:bCs/>
                      <w:szCs w:val="21"/>
                    </w:rPr>
                    <w:t>去除效率（%）</w:t>
                  </w:r>
                </w:p>
              </w:tc>
              <w:tc>
                <w:tcPr>
                  <w:tcW w:w="777" w:type="pct"/>
                  <w:tcBorders>
                    <w:top w:val="single" w:color="000000" w:sz="4" w:space="0"/>
                    <w:left w:val="single" w:color="000000" w:sz="4" w:space="0"/>
                    <w:bottom w:val="single" w:color="000000" w:sz="4" w:space="0"/>
                    <w:right w:val="single" w:color="000000" w:sz="4" w:space="0"/>
                  </w:tcBorders>
                  <w:vAlign w:val="center"/>
                </w:tcPr>
                <w:p w14:paraId="75F69276">
                  <w:pPr>
                    <w:adjustRightInd w:val="0"/>
                    <w:snapToGrid w:val="0"/>
                    <w:spacing w:line="240" w:lineRule="auto"/>
                    <w:ind w:firstLine="0" w:firstLineChars="0"/>
                    <w:jc w:val="center"/>
                    <w:rPr>
                      <w:bCs/>
                      <w:szCs w:val="21"/>
                    </w:rPr>
                  </w:pPr>
                  <w:r>
                    <w:rPr>
                      <w:rFonts w:hint="eastAsia"/>
                      <w:bCs/>
                      <w:szCs w:val="21"/>
                    </w:rPr>
                    <w:t>89.06</w:t>
                  </w:r>
                </w:p>
              </w:tc>
              <w:tc>
                <w:tcPr>
                  <w:tcW w:w="699" w:type="pct"/>
                  <w:tcBorders>
                    <w:top w:val="single" w:color="000000" w:sz="4" w:space="0"/>
                    <w:left w:val="single" w:color="000000" w:sz="4" w:space="0"/>
                    <w:bottom w:val="single" w:color="000000" w:sz="4" w:space="0"/>
                    <w:right w:val="single" w:color="000000" w:sz="4" w:space="0"/>
                  </w:tcBorders>
                  <w:vAlign w:val="center"/>
                </w:tcPr>
                <w:p w14:paraId="6A9986C8">
                  <w:pPr>
                    <w:adjustRightInd w:val="0"/>
                    <w:snapToGrid w:val="0"/>
                    <w:spacing w:line="240" w:lineRule="auto"/>
                    <w:ind w:firstLine="0" w:firstLineChars="0"/>
                    <w:jc w:val="center"/>
                    <w:rPr>
                      <w:bCs/>
                      <w:szCs w:val="21"/>
                    </w:rPr>
                  </w:pPr>
                  <w:r>
                    <w:rPr>
                      <w:rFonts w:hint="eastAsia"/>
                      <w:bCs/>
                      <w:szCs w:val="21"/>
                    </w:rPr>
                    <w:t>80</w:t>
                  </w:r>
                </w:p>
              </w:tc>
              <w:tc>
                <w:tcPr>
                  <w:tcW w:w="5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6E00D">
                  <w:pPr>
                    <w:adjustRightInd w:val="0"/>
                    <w:snapToGrid w:val="0"/>
                    <w:spacing w:line="240" w:lineRule="auto"/>
                    <w:ind w:firstLine="0" w:firstLineChars="0"/>
                    <w:jc w:val="center"/>
                    <w:rPr>
                      <w:bCs/>
                      <w:szCs w:val="21"/>
                    </w:rPr>
                  </w:pPr>
                  <w:r>
                    <w:rPr>
                      <w:rFonts w:hint="eastAsia"/>
                      <w:bCs/>
                      <w:szCs w:val="21"/>
                    </w:rPr>
                    <w:t>80.6</w:t>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E8D0F">
                  <w:pPr>
                    <w:adjustRightInd w:val="0"/>
                    <w:snapToGrid w:val="0"/>
                    <w:spacing w:line="240" w:lineRule="auto"/>
                    <w:ind w:firstLine="0" w:firstLineChars="0"/>
                    <w:jc w:val="center"/>
                    <w:rPr>
                      <w:bCs/>
                      <w:szCs w:val="21"/>
                    </w:rPr>
                  </w:pPr>
                  <w:r>
                    <w:rPr>
                      <w:rFonts w:hint="eastAsia"/>
                      <w:bCs/>
                      <w:szCs w:val="21"/>
                    </w:rPr>
                    <w:t>60.17</w:t>
                  </w:r>
                </w:p>
              </w:tc>
              <w:tc>
                <w:tcPr>
                  <w:tcW w:w="648" w:type="pct"/>
                  <w:tcBorders>
                    <w:top w:val="single" w:color="000000" w:sz="4" w:space="0"/>
                    <w:left w:val="single" w:color="000000" w:sz="4" w:space="0"/>
                    <w:bottom w:val="single" w:color="000000" w:sz="4" w:space="0"/>
                    <w:right w:val="single" w:color="000000" w:sz="4" w:space="0"/>
                  </w:tcBorders>
                  <w:vAlign w:val="center"/>
                </w:tcPr>
                <w:p w14:paraId="5E3CCA60">
                  <w:pPr>
                    <w:adjustRightInd w:val="0"/>
                    <w:snapToGrid w:val="0"/>
                    <w:spacing w:line="240" w:lineRule="auto"/>
                    <w:ind w:firstLine="0" w:firstLineChars="0"/>
                    <w:jc w:val="center"/>
                    <w:rPr>
                      <w:bCs/>
                      <w:szCs w:val="21"/>
                    </w:rPr>
                  </w:pPr>
                  <w:r>
                    <w:rPr>
                      <w:rFonts w:hint="eastAsia"/>
                      <w:bCs/>
                      <w:szCs w:val="21"/>
                    </w:rPr>
                    <w:t>67.80</w:t>
                  </w:r>
                </w:p>
              </w:tc>
              <w:tc>
                <w:tcPr>
                  <w:tcW w:w="596" w:type="pct"/>
                  <w:tcBorders>
                    <w:top w:val="single" w:color="000000" w:sz="4" w:space="0"/>
                    <w:left w:val="single" w:color="000000" w:sz="4" w:space="0"/>
                    <w:bottom w:val="single" w:color="000000" w:sz="4" w:space="0"/>
                    <w:right w:val="single" w:color="000000" w:sz="4" w:space="0"/>
                  </w:tcBorders>
                  <w:vAlign w:val="center"/>
                </w:tcPr>
                <w:p w14:paraId="348CA613">
                  <w:pPr>
                    <w:adjustRightInd w:val="0"/>
                    <w:snapToGrid w:val="0"/>
                    <w:spacing w:line="240" w:lineRule="auto"/>
                    <w:ind w:firstLine="0" w:firstLineChars="0"/>
                    <w:jc w:val="center"/>
                    <w:rPr>
                      <w:bCs/>
                      <w:szCs w:val="21"/>
                    </w:rPr>
                  </w:pPr>
                  <w:r>
                    <w:rPr>
                      <w:rFonts w:hint="eastAsia"/>
                      <w:bCs/>
                      <w:szCs w:val="21"/>
                    </w:rPr>
                    <w:t>58.29</w:t>
                  </w:r>
                </w:p>
              </w:tc>
            </w:tr>
            <w:tr w14:paraId="38BC1378">
              <w:tblPrEx>
                <w:tblCellMar>
                  <w:top w:w="0" w:type="dxa"/>
                  <w:left w:w="108" w:type="dxa"/>
                  <w:bottom w:w="0" w:type="dxa"/>
                  <w:right w:w="108" w:type="dxa"/>
                </w:tblCellMar>
              </w:tblPrEx>
              <w:trPr>
                <w:trHeight w:val="19" w:hRule="atLeast"/>
                <w:jc w:val="center"/>
              </w:trPr>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20D28">
                  <w:pPr>
                    <w:adjustRightInd w:val="0"/>
                    <w:snapToGrid w:val="0"/>
                    <w:spacing w:line="240" w:lineRule="auto"/>
                    <w:ind w:firstLine="0" w:firstLineChars="0"/>
                    <w:jc w:val="center"/>
                    <w:rPr>
                      <w:bCs/>
                      <w:szCs w:val="21"/>
                    </w:rPr>
                  </w:pPr>
                  <w:r>
                    <w:rPr>
                      <w:rFonts w:hint="eastAsia"/>
                      <w:bCs/>
                      <w:szCs w:val="21"/>
                    </w:rPr>
                    <w:t>污染物排放浓度(</w:t>
                  </w:r>
                  <w:r>
                    <w:rPr>
                      <w:bCs/>
                      <w:szCs w:val="21"/>
                    </w:rPr>
                    <w:t>mg/L)</w:t>
                  </w:r>
                </w:p>
              </w:tc>
              <w:tc>
                <w:tcPr>
                  <w:tcW w:w="777" w:type="pct"/>
                  <w:tcBorders>
                    <w:top w:val="single" w:color="000000" w:sz="4" w:space="0"/>
                    <w:left w:val="single" w:color="000000" w:sz="4" w:space="0"/>
                    <w:bottom w:val="single" w:color="000000" w:sz="4" w:space="0"/>
                    <w:right w:val="single" w:color="000000" w:sz="4" w:space="0"/>
                  </w:tcBorders>
                  <w:vAlign w:val="center"/>
                </w:tcPr>
                <w:p w14:paraId="22C3B15F">
                  <w:pPr>
                    <w:adjustRightInd w:val="0"/>
                    <w:snapToGrid w:val="0"/>
                    <w:spacing w:line="240" w:lineRule="auto"/>
                    <w:ind w:firstLine="0" w:firstLineChars="0"/>
                    <w:jc w:val="center"/>
                    <w:rPr>
                      <w:bCs/>
                      <w:szCs w:val="21"/>
                    </w:rPr>
                  </w:pPr>
                  <w:r>
                    <w:rPr>
                      <w:rFonts w:hint="eastAsia"/>
                      <w:bCs/>
                      <w:szCs w:val="21"/>
                    </w:rPr>
                    <w:t>91</w:t>
                  </w:r>
                </w:p>
              </w:tc>
              <w:tc>
                <w:tcPr>
                  <w:tcW w:w="699" w:type="pct"/>
                  <w:tcBorders>
                    <w:top w:val="single" w:color="000000" w:sz="4" w:space="0"/>
                    <w:left w:val="single" w:color="000000" w:sz="4" w:space="0"/>
                    <w:bottom w:val="single" w:color="000000" w:sz="4" w:space="0"/>
                    <w:right w:val="single" w:color="000000" w:sz="4" w:space="0"/>
                  </w:tcBorders>
                  <w:vAlign w:val="center"/>
                </w:tcPr>
                <w:p w14:paraId="7E9C8B2B">
                  <w:pPr>
                    <w:adjustRightInd w:val="0"/>
                    <w:snapToGrid w:val="0"/>
                    <w:spacing w:line="240" w:lineRule="auto"/>
                    <w:ind w:firstLine="0" w:firstLineChars="0"/>
                    <w:jc w:val="center"/>
                    <w:rPr>
                      <w:bCs/>
                      <w:szCs w:val="21"/>
                    </w:rPr>
                  </w:pPr>
                  <w:r>
                    <w:rPr>
                      <w:rFonts w:hint="eastAsia"/>
                      <w:bCs/>
                      <w:szCs w:val="21"/>
                    </w:rPr>
                    <w:t>90</w:t>
                  </w:r>
                </w:p>
              </w:tc>
              <w:tc>
                <w:tcPr>
                  <w:tcW w:w="5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3D9CF">
                  <w:pPr>
                    <w:adjustRightInd w:val="0"/>
                    <w:snapToGrid w:val="0"/>
                    <w:spacing w:line="240" w:lineRule="auto"/>
                    <w:ind w:firstLine="0" w:firstLineChars="0"/>
                    <w:jc w:val="center"/>
                    <w:rPr>
                      <w:bCs/>
                      <w:szCs w:val="21"/>
                    </w:rPr>
                  </w:pPr>
                  <w:r>
                    <w:rPr>
                      <w:rFonts w:hint="eastAsia"/>
                      <w:bCs/>
                      <w:szCs w:val="21"/>
                    </w:rPr>
                    <w:t>155</w:t>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4C37B">
                  <w:pPr>
                    <w:adjustRightInd w:val="0"/>
                    <w:snapToGrid w:val="0"/>
                    <w:spacing w:line="240" w:lineRule="auto"/>
                    <w:ind w:firstLine="0" w:firstLineChars="0"/>
                    <w:jc w:val="center"/>
                    <w:rPr>
                      <w:bCs/>
                      <w:szCs w:val="21"/>
                    </w:rPr>
                  </w:pPr>
                  <w:r>
                    <w:rPr>
                      <w:rFonts w:hint="eastAsia"/>
                      <w:bCs/>
                      <w:szCs w:val="21"/>
                    </w:rPr>
                    <w:t>11</w:t>
                  </w:r>
                </w:p>
              </w:tc>
              <w:tc>
                <w:tcPr>
                  <w:tcW w:w="648" w:type="pct"/>
                  <w:tcBorders>
                    <w:top w:val="single" w:color="000000" w:sz="4" w:space="0"/>
                    <w:left w:val="single" w:color="000000" w:sz="4" w:space="0"/>
                    <w:bottom w:val="single" w:color="000000" w:sz="4" w:space="0"/>
                    <w:right w:val="single" w:color="000000" w:sz="4" w:space="0"/>
                  </w:tcBorders>
                  <w:vAlign w:val="center"/>
                </w:tcPr>
                <w:p w14:paraId="41B6C346">
                  <w:pPr>
                    <w:adjustRightInd w:val="0"/>
                    <w:snapToGrid w:val="0"/>
                    <w:spacing w:line="240" w:lineRule="auto"/>
                    <w:ind w:firstLine="0" w:firstLineChars="0"/>
                    <w:jc w:val="center"/>
                    <w:rPr>
                      <w:bCs/>
                      <w:szCs w:val="21"/>
                    </w:rPr>
                  </w:pPr>
                  <w:r>
                    <w:rPr>
                      <w:rFonts w:hint="eastAsia"/>
                      <w:bCs/>
                      <w:szCs w:val="21"/>
                    </w:rPr>
                    <w:t>1</w:t>
                  </w:r>
                </w:p>
              </w:tc>
              <w:tc>
                <w:tcPr>
                  <w:tcW w:w="596" w:type="pct"/>
                  <w:tcBorders>
                    <w:top w:val="single" w:color="000000" w:sz="4" w:space="0"/>
                    <w:left w:val="single" w:color="000000" w:sz="4" w:space="0"/>
                    <w:bottom w:val="single" w:color="000000" w:sz="4" w:space="0"/>
                    <w:right w:val="single" w:color="000000" w:sz="4" w:space="0"/>
                  </w:tcBorders>
                  <w:vAlign w:val="center"/>
                </w:tcPr>
                <w:p w14:paraId="199298EB">
                  <w:pPr>
                    <w:adjustRightInd w:val="0"/>
                    <w:snapToGrid w:val="0"/>
                    <w:spacing w:line="240" w:lineRule="auto"/>
                    <w:ind w:firstLine="0" w:firstLineChars="0"/>
                    <w:jc w:val="center"/>
                    <w:rPr>
                      <w:bCs/>
                      <w:szCs w:val="21"/>
                    </w:rPr>
                  </w:pPr>
                  <w:r>
                    <w:rPr>
                      <w:rFonts w:hint="eastAsia"/>
                      <w:bCs/>
                      <w:szCs w:val="21"/>
                    </w:rPr>
                    <w:t>10</w:t>
                  </w:r>
                </w:p>
              </w:tc>
            </w:tr>
            <w:tr w14:paraId="4F22E9A5">
              <w:tblPrEx>
                <w:tblCellMar>
                  <w:top w:w="0" w:type="dxa"/>
                  <w:left w:w="108" w:type="dxa"/>
                  <w:bottom w:w="0" w:type="dxa"/>
                  <w:right w:w="108" w:type="dxa"/>
                </w:tblCellMar>
              </w:tblPrEx>
              <w:trPr>
                <w:trHeight w:val="397" w:hRule="atLeast"/>
                <w:jc w:val="center"/>
              </w:trPr>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E089E">
                  <w:pPr>
                    <w:adjustRightInd w:val="0"/>
                    <w:snapToGrid w:val="0"/>
                    <w:spacing w:line="240" w:lineRule="auto"/>
                    <w:ind w:firstLine="0" w:firstLineChars="0"/>
                    <w:jc w:val="center"/>
                    <w:rPr>
                      <w:bCs/>
                      <w:szCs w:val="21"/>
                    </w:rPr>
                  </w:pPr>
                  <w:r>
                    <w:rPr>
                      <w:rFonts w:hint="eastAsia"/>
                      <w:bCs/>
                      <w:szCs w:val="21"/>
                    </w:rPr>
                    <w:t>污染物排放量（</w:t>
                  </w:r>
                  <w:r>
                    <w:rPr>
                      <w:bCs/>
                      <w:szCs w:val="21"/>
                    </w:rPr>
                    <w:t>t/a</w:t>
                  </w:r>
                  <w:r>
                    <w:rPr>
                      <w:rFonts w:hint="eastAsia"/>
                      <w:bCs/>
                      <w:szCs w:val="21"/>
                    </w:rPr>
                    <w:t>）</w:t>
                  </w:r>
                </w:p>
              </w:tc>
              <w:tc>
                <w:tcPr>
                  <w:tcW w:w="777" w:type="pct"/>
                  <w:tcBorders>
                    <w:top w:val="single" w:color="000000" w:sz="4" w:space="0"/>
                    <w:left w:val="single" w:color="000000" w:sz="4" w:space="0"/>
                    <w:bottom w:val="single" w:color="000000" w:sz="4" w:space="0"/>
                    <w:right w:val="single" w:color="000000" w:sz="4" w:space="0"/>
                  </w:tcBorders>
                  <w:vAlign w:val="center"/>
                </w:tcPr>
                <w:p w14:paraId="4384A6F2">
                  <w:pPr>
                    <w:adjustRightInd w:val="0"/>
                    <w:snapToGrid w:val="0"/>
                    <w:spacing w:line="240" w:lineRule="auto"/>
                    <w:ind w:firstLine="0" w:firstLineChars="0"/>
                    <w:jc w:val="center"/>
                    <w:rPr>
                      <w:bCs/>
                      <w:szCs w:val="21"/>
                      <w:highlight w:val="yellow"/>
                    </w:rPr>
                  </w:pPr>
                  <w:r>
                    <w:rPr>
                      <w:bCs/>
                      <w:szCs w:val="21"/>
                    </w:rPr>
                    <w:t>0.</w:t>
                  </w:r>
                  <w:r>
                    <w:rPr>
                      <w:rFonts w:hint="eastAsia"/>
                      <w:bCs/>
                      <w:szCs w:val="21"/>
                    </w:rPr>
                    <w:t>814</w:t>
                  </w:r>
                </w:p>
              </w:tc>
              <w:tc>
                <w:tcPr>
                  <w:tcW w:w="699" w:type="pct"/>
                  <w:tcBorders>
                    <w:top w:val="single" w:color="000000" w:sz="4" w:space="0"/>
                    <w:left w:val="single" w:color="000000" w:sz="4" w:space="0"/>
                    <w:bottom w:val="single" w:color="000000" w:sz="4" w:space="0"/>
                    <w:right w:val="single" w:color="000000" w:sz="4" w:space="0"/>
                  </w:tcBorders>
                  <w:vAlign w:val="center"/>
                </w:tcPr>
                <w:p w14:paraId="4732AB73">
                  <w:pPr>
                    <w:adjustRightInd w:val="0"/>
                    <w:snapToGrid w:val="0"/>
                    <w:spacing w:line="240" w:lineRule="auto"/>
                    <w:ind w:firstLine="0" w:firstLineChars="0"/>
                    <w:jc w:val="center"/>
                    <w:rPr>
                      <w:bCs/>
                      <w:szCs w:val="21"/>
                    </w:rPr>
                  </w:pPr>
                  <w:r>
                    <w:rPr>
                      <w:rFonts w:hint="eastAsia"/>
                      <w:bCs/>
                      <w:szCs w:val="21"/>
                    </w:rPr>
                    <w:t>0.807</w:t>
                  </w:r>
                </w:p>
              </w:tc>
              <w:tc>
                <w:tcPr>
                  <w:tcW w:w="5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16EAA">
                  <w:pPr>
                    <w:adjustRightInd w:val="0"/>
                    <w:snapToGrid w:val="0"/>
                    <w:spacing w:line="240" w:lineRule="auto"/>
                    <w:ind w:firstLine="0" w:firstLineChars="0"/>
                    <w:jc w:val="center"/>
                    <w:rPr>
                      <w:bCs/>
                      <w:szCs w:val="21"/>
                    </w:rPr>
                  </w:pPr>
                  <w:r>
                    <w:rPr>
                      <w:rFonts w:hint="eastAsia"/>
                      <w:bCs/>
                      <w:szCs w:val="21"/>
                    </w:rPr>
                    <w:t>1.390</w:t>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60982">
                  <w:pPr>
                    <w:adjustRightInd w:val="0"/>
                    <w:snapToGrid w:val="0"/>
                    <w:spacing w:line="240" w:lineRule="auto"/>
                    <w:ind w:firstLine="0" w:firstLineChars="0"/>
                    <w:jc w:val="center"/>
                    <w:rPr>
                      <w:bCs/>
                      <w:szCs w:val="21"/>
                    </w:rPr>
                  </w:pPr>
                  <w:r>
                    <w:rPr>
                      <w:rFonts w:hint="eastAsia"/>
                      <w:bCs/>
                      <w:szCs w:val="21"/>
                    </w:rPr>
                    <w:t>0.10</w:t>
                  </w:r>
                </w:p>
              </w:tc>
              <w:tc>
                <w:tcPr>
                  <w:tcW w:w="648" w:type="pct"/>
                  <w:tcBorders>
                    <w:top w:val="single" w:color="000000" w:sz="4" w:space="0"/>
                    <w:left w:val="single" w:color="000000" w:sz="4" w:space="0"/>
                    <w:bottom w:val="single" w:color="000000" w:sz="4" w:space="0"/>
                    <w:right w:val="single" w:color="000000" w:sz="4" w:space="0"/>
                  </w:tcBorders>
                  <w:vAlign w:val="center"/>
                </w:tcPr>
                <w:p w14:paraId="036B583C">
                  <w:pPr>
                    <w:adjustRightInd w:val="0"/>
                    <w:snapToGrid w:val="0"/>
                    <w:spacing w:line="240" w:lineRule="auto"/>
                    <w:ind w:firstLine="0" w:firstLineChars="0"/>
                    <w:jc w:val="center"/>
                    <w:rPr>
                      <w:bCs/>
                      <w:szCs w:val="21"/>
                    </w:rPr>
                  </w:pPr>
                  <w:r>
                    <w:rPr>
                      <w:rFonts w:hint="eastAsia"/>
                      <w:bCs/>
                      <w:szCs w:val="21"/>
                    </w:rPr>
                    <w:t>0.01</w:t>
                  </w:r>
                </w:p>
              </w:tc>
              <w:tc>
                <w:tcPr>
                  <w:tcW w:w="596" w:type="pct"/>
                  <w:tcBorders>
                    <w:top w:val="single" w:color="000000" w:sz="4" w:space="0"/>
                    <w:left w:val="single" w:color="000000" w:sz="4" w:space="0"/>
                    <w:bottom w:val="single" w:color="000000" w:sz="4" w:space="0"/>
                    <w:right w:val="single" w:color="000000" w:sz="4" w:space="0"/>
                  </w:tcBorders>
                  <w:vAlign w:val="center"/>
                </w:tcPr>
                <w:p w14:paraId="1CE251DC">
                  <w:pPr>
                    <w:adjustRightInd w:val="0"/>
                    <w:snapToGrid w:val="0"/>
                    <w:spacing w:line="240" w:lineRule="auto"/>
                    <w:ind w:firstLine="0" w:firstLineChars="0"/>
                    <w:jc w:val="center"/>
                    <w:rPr>
                      <w:bCs/>
                      <w:szCs w:val="21"/>
                    </w:rPr>
                  </w:pPr>
                  <w:r>
                    <w:rPr>
                      <w:rFonts w:hint="eastAsia"/>
                      <w:bCs/>
                      <w:szCs w:val="21"/>
                    </w:rPr>
                    <w:t>0.09</w:t>
                  </w:r>
                </w:p>
              </w:tc>
            </w:tr>
            <w:tr w14:paraId="0EB867A5">
              <w:tblPrEx>
                <w:tblCellMar>
                  <w:top w:w="0" w:type="dxa"/>
                  <w:left w:w="108" w:type="dxa"/>
                  <w:bottom w:w="0" w:type="dxa"/>
                  <w:right w:w="108" w:type="dxa"/>
                </w:tblCellMar>
              </w:tblPrEx>
              <w:trPr>
                <w:trHeight w:val="19" w:hRule="atLeast"/>
                <w:jc w:val="center"/>
              </w:trPr>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D5E92">
                  <w:pPr>
                    <w:adjustRightInd w:val="0"/>
                    <w:snapToGrid w:val="0"/>
                    <w:spacing w:line="240" w:lineRule="auto"/>
                    <w:ind w:firstLine="0" w:firstLineChars="0"/>
                    <w:jc w:val="center"/>
                  </w:pPr>
                  <w:r>
                    <w:rPr>
                      <w:rFonts w:hint="eastAsia"/>
                    </w:rPr>
                    <w:t>《污水综合排放标准》（GB8978-1996)表4三级标准</w:t>
                  </w:r>
                </w:p>
              </w:tc>
              <w:tc>
                <w:tcPr>
                  <w:tcW w:w="777" w:type="pct"/>
                  <w:tcBorders>
                    <w:top w:val="single" w:color="000000" w:sz="4" w:space="0"/>
                    <w:left w:val="single" w:color="000000" w:sz="4" w:space="0"/>
                    <w:bottom w:val="single" w:color="000000" w:sz="4" w:space="0"/>
                    <w:right w:val="single" w:color="000000" w:sz="4" w:space="0"/>
                  </w:tcBorders>
                  <w:vAlign w:val="center"/>
                </w:tcPr>
                <w:p w14:paraId="5EAEE5DA">
                  <w:pPr>
                    <w:adjustRightInd w:val="0"/>
                    <w:snapToGrid w:val="0"/>
                    <w:spacing w:line="240" w:lineRule="auto"/>
                    <w:ind w:firstLine="0" w:firstLineChars="0"/>
                    <w:jc w:val="center"/>
                    <w:rPr>
                      <w:bCs/>
                      <w:szCs w:val="21"/>
                    </w:rPr>
                  </w:pPr>
                  <w:r>
                    <w:rPr>
                      <w:rFonts w:hint="eastAsia"/>
                      <w:bCs/>
                      <w:szCs w:val="21"/>
                    </w:rPr>
                    <w:t>500</w:t>
                  </w:r>
                </w:p>
              </w:tc>
              <w:tc>
                <w:tcPr>
                  <w:tcW w:w="699" w:type="pct"/>
                  <w:tcBorders>
                    <w:top w:val="single" w:color="000000" w:sz="4" w:space="0"/>
                    <w:left w:val="single" w:color="000000" w:sz="4" w:space="0"/>
                    <w:bottom w:val="single" w:color="000000" w:sz="4" w:space="0"/>
                    <w:right w:val="single" w:color="000000" w:sz="4" w:space="0"/>
                  </w:tcBorders>
                  <w:vAlign w:val="center"/>
                </w:tcPr>
                <w:p w14:paraId="0CF3BEEE">
                  <w:pPr>
                    <w:adjustRightInd w:val="0"/>
                    <w:snapToGrid w:val="0"/>
                    <w:spacing w:line="240" w:lineRule="auto"/>
                    <w:ind w:firstLine="0" w:firstLineChars="0"/>
                    <w:jc w:val="center"/>
                    <w:rPr>
                      <w:bCs/>
                      <w:szCs w:val="21"/>
                    </w:rPr>
                  </w:pPr>
                  <w:r>
                    <w:rPr>
                      <w:rFonts w:hint="eastAsia"/>
                      <w:bCs/>
                      <w:szCs w:val="21"/>
                    </w:rPr>
                    <w:t>300</w:t>
                  </w:r>
                </w:p>
              </w:tc>
              <w:tc>
                <w:tcPr>
                  <w:tcW w:w="5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FDCB7">
                  <w:pPr>
                    <w:adjustRightInd w:val="0"/>
                    <w:snapToGrid w:val="0"/>
                    <w:spacing w:line="240" w:lineRule="auto"/>
                    <w:ind w:firstLine="0" w:firstLineChars="0"/>
                    <w:jc w:val="center"/>
                    <w:rPr>
                      <w:bCs/>
                      <w:szCs w:val="21"/>
                    </w:rPr>
                  </w:pPr>
                  <w:r>
                    <w:rPr>
                      <w:rFonts w:hint="eastAsia"/>
                      <w:bCs/>
                      <w:szCs w:val="21"/>
                    </w:rPr>
                    <w:t>400</w:t>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69217">
                  <w:pPr>
                    <w:adjustRightInd w:val="0"/>
                    <w:snapToGrid w:val="0"/>
                    <w:spacing w:line="240" w:lineRule="auto"/>
                    <w:ind w:firstLine="0" w:firstLineChars="0"/>
                    <w:jc w:val="center"/>
                    <w:rPr>
                      <w:bCs/>
                      <w:szCs w:val="21"/>
                    </w:rPr>
                  </w:pPr>
                  <w:r>
                    <w:rPr>
                      <w:rFonts w:hint="eastAsia"/>
                      <w:bCs/>
                      <w:szCs w:val="21"/>
                    </w:rPr>
                    <w:t>/</w:t>
                  </w:r>
                </w:p>
              </w:tc>
              <w:tc>
                <w:tcPr>
                  <w:tcW w:w="648" w:type="pct"/>
                  <w:tcBorders>
                    <w:top w:val="single" w:color="000000" w:sz="4" w:space="0"/>
                    <w:left w:val="single" w:color="000000" w:sz="4" w:space="0"/>
                    <w:bottom w:val="single" w:color="000000" w:sz="4" w:space="0"/>
                    <w:right w:val="single" w:color="000000" w:sz="4" w:space="0"/>
                  </w:tcBorders>
                  <w:vAlign w:val="center"/>
                </w:tcPr>
                <w:p w14:paraId="13D2C467">
                  <w:pPr>
                    <w:adjustRightInd w:val="0"/>
                    <w:snapToGrid w:val="0"/>
                    <w:spacing w:line="240" w:lineRule="auto"/>
                    <w:ind w:firstLine="0" w:firstLineChars="0"/>
                    <w:jc w:val="center"/>
                    <w:rPr>
                      <w:bCs/>
                      <w:szCs w:val="21"/>
                    </w:rPr>
                  </w:pPr>
                  <w:r>
                    <w:rPr>
                      <w:rFonts w:hint="eastAsia"/>
                      <w:bCs/>
                      <w:szCs w:val="21"/>
                    </w:rPr>
                    <w:t>/</w:t>
                  </w:r>
                </w:p>
              </w:tc>
              <w:tc>
                <w:tcPr>
                  <w:tcW w:w="596" w:type="pct"/>
                  <w:tcBorders>
                    <w:top w:val="single" w:color="000000" w:sz="4" w:space="0"/>
                    <w:left w:val="single" w:color="000000" w:sz="4" w:space="0"/>
                    <w:bottom w:val="single" w:color="000000" w:sz="4" w:space="0"/>
                    <w:right w:val="single" w:color="000000" w:sz="4" w:space="0"/>
                  </w:tcBorders>
                  <w:vAlign w:val="center"/>
                </w:tcPr>
                <w:p w14:paraId="20E239B8">
                  <w:pPr>
                    <w:adjustRightInd w:val="0"/>
                    <w:snapToGrid w:val="0"/>
                    <w:spacing w:line="240" w:lineRule="auto"/>
                    <w:ind w:firstLine="0" w:firstLineChars="0"/>
                    <w:jc w:val="center"/>
                    <w:rPr>
                      <w:bCs/>
                      <w:szCs w:val="21"/>
                    </w:rPr>
                  </w:pPr>
                  <w:r>
                    <w:rPr>
                      <w:rFonts w:hint="eastAsia"/>
                      <w:bCs/>
                      <w:szCs w:val="21"/>
                    </w:rPr>
                    <w:t>/</w:t>
                  </w:r>
                </w:p>
              </w:tc>
            </w:tr>
            <w:tr w14:paraId="669CBD0C">
              <w:tblPrEx>
                <w:tblCellMar>
                  <w:top w:w="0" w:type="dxa"/>
                  <w:left w:w="108" w:type="dxa"/>
                  <w:bottom w:w="0" w:type="dxa"/>
                  <w:right w:w="108" w:type="dxa"/>
                </w:tblCellMar>
              </w:tblPrEx>
              <w:trPr>
                <w:trHeight w:val="19" w:hRule="atLeast"/>
                <w:jc w:val="center"/>
              </w:trPr>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5C459">
                  <w:pPr>
                    <w:adjustRightInd w:val="0"/>
                    <w:snapToGrid w:val="0"/>
                    <w:spacing w:line="240" w:lineRule="auto"/>
                    <w:ind w:firstLine="0" w:firstLineChars="0"/>
                    <w:jc w:val="center"/>
                    <w:rPr>
                      <w:szCs w:val="21"/>
                    </w:rPr>
                  </w:pPr>
                  <w:r>
                    <w:rPr>
                      <w:rFonts w:hint="eastAsia"/>
                    </w:rPr>
                    <w:t>秦皇岛市抚宁区中冶水务有限公司</w:t>
                  </w:r>
                  <w:r>
                    <w:rPr>
                      <w:rFonts w:hint="eastAsia"/>
                      <w:bCs/>
                      <w:snapToGrid w:val="0"/>
                      <w:kern w:val="0"/>
                      <w:szCs w:val="21"/>
                    </w:rPr>
                    <w:t>收水水质要求</w:t>
                  </w:r>
                </w:p>
              </w:tc>
              <w:tc>
                <w:tcPr>
                  <w:tcW w:w="777" w:type="pct"/>
                  <w:tcBorders>
                    <w:top w:val="single" w:color="000000" w:sz="4" w:space="0"/>
                    <w:left w:val="single" w:color="000000" w:sz="4" w:space="0"/>
                    <w:bottom w:val="single" w:color="000000" w:sz="4" w:space="0"/>
                    <w:right w:val="single" w:color="000000" w:sz="4" w:space="0"/>
                  </w:tcBorders>
                  <w:vAlign w:val="center"/>
                </w:tcPr>
                <w:p w14:paraId="00F7B8E0">
                  <w:pPr>
                    <w:adjustRightInd w:val="0"/>
                    <w:snapToGrid w:val="0"/>
                    <w:spacing w:line="240" w:lineRule="auto"/>
                    <w:ind w:firstLine="0" w:firstLineChars="0"/>
                    <w:jc w:val="center"/>
                    <w:rPr>
                      <w:bCs/>
                      <w:szCs w:val="21"/>
                    </w:rPr>
                  </w:pPr>
                  <w:r>
                    <w:rPr>
                      <w:rFonts w:hint="eastAsia"/>
                      <w:bCs/>
                      <w:szCs w:val="21"/>
                    </w:rPr>
                    <w:t>500</w:t>
                  </w:r>
                </w:p>
              </w:tc>
              <w:tc>
                <w:tcPr>
                  <w:tcW w:w="699" w:type="pct"/>
                  <w:tcBorders>
                    <w:top w:val="single" w:color="000000" w:sz="4" w:space="0"/>
                    <w:left w:val="single" w:color="000000" w:sz="4" w:space="0"/>
                    <w:bottom w:val="single" w:color="000000" w:sz="4" w:space="0"/>
                    <w:right w:val="single" w:color="000000" w:sz="4" w:space="0"/>
                  </w:tcBorders>
                  <w:vAlign w:val="center"/>
                </w:tcPr>
                <w:p w14:paraId="7D323824">
                  <w:pPr>
                    <w:adjustRightInd w:val="0"/>
                    <w:snapToGrid w:val="0"/>
                    <w:spacing w:line="240" w:lineRule="auto"/>
                    <w:ind w:firstLine="0" w:firstLineChars="0"/>
                    <w:jc w:val="center"/>
                    <w:rPr>
                      <w:bCs/>
                      <w:szCs w:val="21"/>
                    </w:rPr>
                  </w:pPr>
                  <w:r>
                    <w:rPr>
                      <w:rFonts w:hint="eastAsia"/>
                      <w:bCs/>
                      <w:szCs w:val="21"/>
                    </w:rPr>
                    <w:t>200</w:t>
                  </w:r>
                </w:p>
              </w:tc>
              <w:tc>
                <w:tcPr>
                  <w:tcW w:w="5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9EEB5">
                  <w:pPr>
                    <w:adjustRightInd w:val="0"/>
                    <w:snapToGrid w:val="0"/>
                    <w:spacing w:line="240" w:lineRule="auto"/>
                    <w:ind w:firstLine="0" w:firstLineChars="0"/>
                    <w:jc w:val="center"/>
                    <w:rPr>
                      <w:bCs/>
                      <w:szCs w:val="21"/>
                    </w:rPr>
                  </w:pPr>
                  <w:r>
                    <w:rPr>
                      <w:rFonts w:hint="eastAsia"/>
                      <w:bCs/>
                      <w:szCs w:val="21"/>
                    </w:rPr>
                    <w:t>300</w:t>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9601B">
                  <w:pPr>
                    <w:adjustRightInd w:val="0"/>
                    <w:snapToGrid w:val="0"/>
                    <w:spacing w:line="240" w:lineRule="auto"/>
                    <w:ind w:firstLine="0" w:firstLineChars="0"/>
                    <w:jc w:val="center"/>
                    <w:rPr>
                      <w:bCs/>
                      <w:szCs w:val="21"/>
                    </w:rPr>
                  </w:pPr>
                  <w:r>
                    <w:rPr>
                      <w:rFonts w:hint="eastAsia"/>
                      <w:bCs/>
                      <w:szCs w:val="21"/>
                    </w:rPr>
                    <w:t>22</w:t>
                  </w:r>
                </w:p>
              </w:tc>
              <w:tc>
                <w:tcPr>
                  <w:tcW w:w="648" w:type="pct"/>
                  <w:tcBorders>
                    <w:top w:val="single" w:color="000000" w:sz="4" w:space="0"/>
                    <w:left w:val="single" w:color="000000" w:sz="4" w:space="0"/>
                    <w:bottom w:val="single" w:color="000000" w:sz="4" w:space="0"/>
                    <w:right w:val="single" w:color="000000" w:sz="4" w:space="0"/>
                  </w:tcBorders>
                  <w:vAlign w:val="center"/>
                </w:tcPr>
                <w:p w14:paraId="2AF0927B">
                  <w:pPr>
                    <w:adjustRightInd w:val="0"/>
                    <w:snapToGrid w:val="0"/>
                    <w:spacing w:line="240" w:lineRule="auto"/>
                    <w:ind w:firstLine="0" w:firstLineChars="0"/>
                    <w:jc w:val="center"/>
                    <w:rPr>
                      <w:bCs/>
                      <w:szCs w:val="21"/>
                    </w:rPr>
                  </w:pPr>
                  <w:r>
                    <w:rPr>
                      <w:rFonts w:hint="eastAsia"/>
                      <w:bCs/>
                      <w:szCs w:val="21"/>
                    </w:rPr>
                    <w:t>4</w:t>
                  </w:r>
                </w:p>
              </w:tc>
              <w:tc>
                <w:tcPr>
                  <w:tcW w:w="596" w:type="pct"/>
                  <w:tcBorders>
                    <w:top w:val="single" w:color="000000" w:sz="4" w:space="0"/>
                    <w:left w:val="single" w:color="000000" w:sz="4" w:space="0"/>
                    <w:bottom w:val="single" w:color="000000" w:sz="4" w:space="0"/>
                    <w:right w:val="single" w:color="000000" w:sz="4" w:space="0"/>
                  </w:tcBorders>
                  <w:vAlign w:val="center"/>
                </w:tcPr>
                <w:p w14:paraId="4C7D6210">
                  <w:pPr>
                    <w:adjustRightInd w:val="0"/>
                    <w:snapToGrid w:val="0"/>
                    <w:spacing w:line="240" w:lineRule="auto"/>
                    <w:ind w:firstLine="0" w:firstLineChars="0"/>
                    <w:jc w:val="center"/>
                    <w:rPr>
                      <w:bCs/>
                      <w:szCs w:val="21"/>
                    </w:rPr>
                  </w:pPr>
                  <w:r>
                    <w:rPr>
                      <w:rFonts w:hint="eastAsia"/>
                      <w:bCs/>
                      <w:szCs w:val="21"/>
                    </w:rPr>
                    <w:t>30</w:t>
                  </w:r>
                </w:p>
              </w:tc>
            </w:tr>
            <w:tr w14:paraId="4887B329">
              <w:tblPrEx>
                <w:tblCellMar>
                  <w:top w:w="0" w:type="dxa"/>
                  <w:left w:w="108" w:type="dxa"/>
                  <w:bottom w:w="0" w:type="dxa"/>
                  <w:right w:w="108" w:type="dxa"/>
                </w:tblCellMar>
              </w:tblPrEx>
              <w:trPr>
                <w:trHeight w:val="461" w:hRule="atLeast"/>
                <w:jc w:val="center"/>
              </w:trPr>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79C86">
                  <w:pPr>
                    <w:adjustRightInd w:val="0"/>
                    <w:snapToGrid w:val="0"/>
                    <w:spacing w:line="240" w:lineRule="auto"/>
                    <w:ind w:firstLine="0" w:firstLineChars="0"/>
                    <w:jc w:val="center"/>
                    <w:rPr>
                      <w:bCs/>
                      <w:snapToGrid w:val="0"/>
                      <w:kern w:val="0"/>
                      <w:szCs w:val="21"/>
                    </w:rPr>
                  </w:pPr>
                  <w:r>
                    <w:rPr>
                      <w:rFonts w:hint="eastAsia"/>
                      <w:bCs/>
                      <w:snapToGrid w:val="0"/>
                      <w:kern w:val="0"/>
                      <w:szCs w:val="21"/>
                    </w:rPr>
                    <w:t>达标情况</w:t>
                  </w:r>
                </w:p>
              </w:tc>
              <w:tc>
                <w:tcPr>
                  <w:tcW w:w="777" w:type="pct"/>
                  <w:tcBorders>
                    <w:top w:val="single" w:color="000000" w:sz="4" w:space="0"/>
                    <w:left w:val="single" w:color="000000" w:sz="4" w:space="0"/>
                    <w:bottom w:val="single" w:color="000000" w:sz="4" w:space="0"/>
                    <w:right w:val="single" w:color="000000" w:sz="4" w:space="0"/>
                  </w:tcBorders>
                  <w:vAlign w:val="center"/>
                </w:tcPr>
                <w:p w14:paraId="01B22030">
                  <w:pPr>
                    <w:adjustRightInd w:val="0"/>
                    <w:snapToGrid w:val="0"/>
                    <w:spacing w:line="240" w:lineRule="auto"/>
                    <w:ind w:firstLine="0" w:firstLineChars="0"/>
                    <w:jc w:val="center"/>
                    <w:rPr>
                      <w:szCs w:val="21"/>
                    </w:rPr>
                  </w:pPr>
                  <w:r>
                    <w:rPr>
                      <w:rFonts w:hint="eastAsia"/>
                      <w:bCs/>
                      <w:snapToGrid w:val="0"/>
                      <w:kern w:val="0"/>
                      <w:szCs w:val="21"/>
                    </w:rPr>
                    <w:t>达标</w:t>
                  </w:r>
                </w:p>
              </w:tc>
              <w:tc>
                <w:tcPr>
                  <w:tcW w:w="699" w:type="pct"/>
                  <w:tcBorders>
                    <w:top w:val="single" w:color="000000" w:sz="4" w:space="0"/>
                    <w:left w:val="single" w:color="000000" w:sz="4" w:space="0"/>
                    <w:bottom w:val="single" w:color="000000" w:sz="4" w:space="0"/>
                    <w:right w:val="single" w:color="000000" w:sz="4" w:space="0"/>
                  </w:tcBorders>
                  <w:vAlign w:val="center"/>
                </w:tcPr>
                <w:p w14:paraId="25C53E30">
                  <w:pPr>
                    <w:adjustRightInd w:val="0"/>
                    <w:snapToGrid w:val="0"/>
                    <w:spacing w:line="240" w:lineRule="auto"/>
                    <w:ind w:firstLine="0" w:firstLineChars="0"/>
                    <w:jc w:val="center"/>
                    <w:rPr>
                      <w:szCs w:val="21"/>
                    </w:rPr>
                  </w:pPr>
                  <w:r>
                    <w:rPr>
                      <w:rFonts w:hint="eastAsia"/>
                      <w:bCs/>
                      <w:snapToGrid w:val="0"/>
                      <w:kern w:val="0"/>
                      <w:szCs w:val="21"/>
                    </w:rPr>
                    <w:t>达标</w:t>
                  </w:r>
                </w:p>
              </w:tc>
              <w:tc>
                <w:tcPr>
                  <w:tcW w:w="5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3D89F">
                  <w:pPr>
                    <w:adjustRightInd w:val="0"/>
                    <w:snapToGrid w:val="0"/>
                    <w:spacing w:line="240" w:lineRule="auto"/>
                    <w:ind w:firstLine="0" w:firstLineChars="0"/>
                    <w:jc w:val="center"/>
                    <w:rPr>
                      <w:szCs w:val="21"/>
                    </w:rPr>
                  </w:pPr>
                  <w:r>
                    <w:rPr>
                      <w:rFonts w:hint="eastAsia"/>
                      <w:bCs/>
                      <w:snapToGrid w:val="0"/>
                      <w:kern w:val="0"/>
                      <w:szCs w:val="21"/>
                    </w:rPr>
                    <w:t>达标</w:t>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392AE">
                  <w:pPr>
                    <w:adjustRightInd w:val="0"/>
                    <w:snapToGrid w:val="0"/>
                    <w:spacing w:line="240" w:lineRule="auto"/>
                    <w:ind w:firstLine="0" w:firstLineChars="0"/>
                    <w:jc w:val="center"/>
                    <w:rPr>
                      <w:szCs w:val="21"/>
                    </w:rPr>
                  </w:pPr>
                  <w:r>
                    <w:rPr>
                      <w:rFonts w:hint="eastAsia"/>
                      <w:bCs/>
                      <w:snapToGrid w:val="0"/>
                      <w:kern w:val="0"/>
                      <w:szCs w:val="21"/>
                    </w:rPr>
                    <w:t>达标</w:t>
                  </w:r>
                </w:p>
              </w:tc>
              <w:tc>
                <w:tcPr>
                  <w:tcW w:w="648" w:type="pct"/>
                  <w:tcBorders>
                    <w:top w:val="single" w:color="000000" w:sz="4" w:space="0"/>
                    <w:left w:val="single" w:color="000000" w:sz="4" w:space="0"/>
                    <w:bottom w:val="single" w:color="000000" w:sz="4" w:space="0"/>
                    <w:right w:val="single" w:color="000000" w:sz="4" w:space="0"/>
                  </w:tcBorders>
                  <w:vAlign w:val="center"/>
                </w:tcPr>
                <w:p w14:paraId="1EB1D7BD">
                  <w:pPr>
                    <w:adjustRightInd w:val="0"/>
                    <w:snapToGrid w:val="0"/>
                    <w:spacing w:line="240" w:lineRule="auto"/>
                    <w:ind w:firstLine="0" w:firstLineChars="0"/>
                    <w:jc w:val="center"/>
                    <w:rPr>
                      <w:bCs/>
                      <w:snapToGrid w:val="0"/>
                      <w:kern w:val="0"/>
                      <w:szCs w:val="21"/>
                    </w:rPr>
                  </w:pPr>
                  <w:r>
                    <w:rPr>
                      <w:rFonts w:hint="eastAsia"/>
                      <w:bCs/>
                      <w:snapToGrid w:val="0"/>
                      <w:kern w:val="0"/>
                      <w:szCs w:val="21"/>
                    </w:rPr>
                    <w:t>达标</w:t>
                  </w:r>
                </w:p>
              </w:tc>
              <w:tc>
                <w:tcPr>
                  <w:tcW w:w="596" w:type="pct"/>
                  <w:tcBorders>
                    <w:top w:val="single" w:color="000000" w:sz="4" w:space="0"/>
                    <w:left w:val="single" w:color="000000" w:sz="4" w:space="0"/>
                    <w:bottom w:val="single" w:color="000000" w:sz="4" w:space="0"/>
                    <w:right w:val="single" w:color="000000" w:sz="4" w:space="0"/>
                  </w:tcBorders>
                  <w:vAlign w:val="center"/>
                </w:tcPr>
                <w:p w14:paraId="5B4C432A">
                  <w:pPr>
                    <w:adjustRightInd w:val="0"/>
                    <w:snapToGrid w:val="0"/>
                    <w:spacing w:line="240" w:lineRule="auto"/>
                    <w:ind w:firstLine="0" w:firstLineChars="0"/>
                    <w:jc w:val="center"/>
                    <w:rPr>
                      <w:bCs/>
                      <w:snapToGrid w:val="0"/>
                      <w:kern w:val="0"/>
                      <w:szCs w:val="21"/>
                    </w:rPr>
                  </w:pPr>
                  <w:r>
                    <w:rPr>
                      <w:rFonts w:hint="eastAsia"/>
                      <w:bCs/>
                      <w:snapToGrid w:val="0"/>
                      <w:kern w:val="0"/>
                      <w:szCs w:val="21"/>
                    </w:rPr>
                    <w:t>达标</w:t>
                  </w:r>
                </w:p>
              </w:tc>
            </w:tr>
          </w:tbl>
          <w:p w14:paraId="10F19F89">
            <w:pPr>
              <w:pStyle w:val="75"/>
              <w:numPr>
                <w:ilvl w:val="0"/>
                <w:numId w:val="0"/>
              </w:numPr>
              <w:ind w:left="422" w:firstLine="420"/>
            </w:pPr>
          </w:p>
          <w:p w14:paraId="768C469E">
            <w:pPr>
              <w:ind w:firstLine="420"/>
              <w:rPr>
                <w:szCs w:val="21"/>
              </w:rPr>
            </w:pPr>
            <w:r>
              <w:rPr>
                <w:rFonts w:hint="eastAsia"/>
                <w:snapToGrid w:val="0"/>
                <w:kern w:val="0"/>
                <w:szCs w:val="21"/>
              </w:rPr>
              <w:t>根据上表，本项目生产废水的</w:t>
            </w:r>
            <w:r>
              <w:rPr>
                <w:rFonts w:hint="eastAsia"/>
                <w:szCs w:val="21"/>
                <w:lang w:val="zh-CN"/>
              </w:rPr>
              <w:t>排放浓度</w:t>
            </w:r>
            <w:r>
              <w:rPr>
                <w:rFonts w:hint="eastAsia"/>
              </w:rPr>
              <w:t>可以满足</w:t>
            </w:r>
            <w:bookmarkStart w:id="110" w:name="OLE_LINK698"/>
            <w:bookmarkStart w:id="111" w:name="OLE_LINK697"/>
            <w:r>
              <w:rPr>
                <w:rFonts w:hint="eastAsia"/>
              </w:rPr>
              <w:t>《污水综合排放标准》（GB8978-1996)表4三级标准</w:t>
            </w:r>
            <w:bookmarkEnd w:id="110"/>
            <w:bookmarkEnd w:id="111"/>
            <w:r>
              <w:rPr>
                <w:rFonts w:hint="eastAsia"/>
              </w:rPr>
              <w:t>，以及秦皇岛市抚宁区中冶水务有限公司（抚宁污水处理厂）收水水质要求</w:t>
            </w:r>
            <w:r>
              <w:rPr>
                <w:rFonts w:hint="eastAsia"/>
                <w:szCs w:val="21"/>
                <w:lang w:val="zh-CN"/>
              </w:rPr>
              <w:t>。</w:t>
            </w:r>
          </w:p>
          <w:p w14:paraId="727AA2B5">
            <w:pPr>
              <w:ind w:firstLine="420"/>
            </w:pPr>
            <w:r>
              <w:rPr>
                <w:rFonts w:hint="eastAsia"/>
              </w:rPr>
              <w:t>（3）污水处理站可行性分析</w:t>
            </w:r>
          </w:p>
          <w:p w14:paraId="17F96341">
            <w:pPr>
              <w:ind w:firstLine="420"/>
            </w:pPr>
            <w:r>
              <w:rPr>
                <w:rFonts w:hint="eastAsia"/>
              </w:rPr>
              <w:t>①污水处理站处理能力可行性分析</w:t>
            </w:r>
          </w:p>
          <w:p w14:paraId="1B8A3C96">
            <w:pPr>
              <w:ind w:firstLine="420"/>
            </w:pPr>
            <w:r>
              <w:rPr>
                <w:rFonts w:hint="eastAsia"/>
              </w:rPr>
              <w:t>本次改扩建项目罐头生产线废水产生量为3261.6t/a，15.53t/d，排入现有污水处理站进行处理。现有工程进入污水处理站废水量为5707.8t/a，27.18t/d，现有污水处理站处理规模为200m</w:t>
            </w:r>
            <w:r>
              <w:rPr>
                <w:rFonts w:hint="eastAsia"/>
                <w:vertAlign w:val="superscript"/>
              </w:rPr>
              <w:t>3</w:t>
            </w:r>
            <w:r>
              <w:rPr>
                <w:rFonts w:hint="eastAsia"/>
              </w:rPr>
              <w:t>/d，则污水处理站处理规模能满足本次改扩建项目废水处理要求。</w:t>
            </w:r>
          </w:p>
          <w:p w14:paraId="6C0CDB07">
            <w:pPr>
              <w:ind w:firstLine="420"/>
            </w:pPr>
            <w:r>
              <w:rPr>
                <w:rFonts w:hint="eastAsia"/>
              </w:rPr>
              <w:t>②</w:t>
            </w:r>
            <w:bookmarkStart w:id="112" w:name="OLE_LINK278"/>
            <w:bookmarkStart w:id="113" w:name="OLE_LINK277"/>
            <w:r>
              <w:rPr>
                <w:rFonts w:hint="eastAsia"/>
              </w:rPr>
              <w:t>污水处理站处理工艺可行性分析</w:t>
            </w:r>
          </w:p>
          <w:p w14:paraId="2D67EF94">
            <w:pPr>
              <w:ind w:firstLine="420"/>
            </w:pPr>
            <w:r>
              <w:rPr>
                <w:rFonts w:hint="eastAsia"/>
              </w:rPr>
              <w:t>污水处理站污水处理工艺：</w:t>
            </w:r>
          </w:p>
          <w:p w14:paraId="09DD5665">
            <w:pPr>
              <w:ind w:firstLine="420"/>
            </w:pPr>
            <w:r>
              <mc:AlternateContent>
                <mc:Choice Requires="wps">
                  <w:drawing>
                    <wp:anchor distT="0" distB="0" distL="114300" distR="114300" simplePos="0" relativeHeight="251761664" behindDoc="0" locked="0" layoutInCell="1" allowOverlap="1">
                      <wp:simplePos x="0" y="0"/>
                      <wp:positionH relativeFrom="column">
                        <wp:posOffset>247015</wp:posOffset>
                      </wp:positionH>
                      <wp:positionV relativeFrom="paragraph">
                        <wp:posOffset>2538730</wp:posOffset>
                      </wp:positionV>
                      <wp:extent cx="1536700" cy="440055"/>
                      <wp:effectExtent l="0" t="0" r="0" b="0"/>
                      <wp:wrapNone/>
                      <wp:docPr id="104" name="矩形 1128"/>
                      <wp:cNvGraphicFramePr/>
                      <a:graphic xmlns:a="http://schemas.openxmlformats.org/drawingml/2006/main">
                        <a:graphicData uri="http://schemas.microsoft.com/office/word/2010/wordprocessingShape">
                          <wps:wsp>
                            <wps:cNvSpPr/>
                            <wps:spPr>
                              <a:xfrm>
                                <a:off x="0" y="0"/>
                                <a:ext cx="1536700" cy="440055"/>
                              </a:xfrm>
                              <a:prstGeom prst="rect">
                                <a:avLst/>
                              </a:prstGeom>
                              <a:noFill/>
                              <a:ln w="19050">
                                <a:noFill/>
                              </a:ln>
                            </wps:spPr>
                            <wps:txbx>
                              <w:txbxContent>
                                <w:p w14:paraId="4A6165DC">
                                  <w:pPr>
                                    <w:spacing w:line="240" w:lineRule="auto"/>
                                    <w:ind w:firstLine="0" w:firstLineChars="0"/>
                                  </w:pPr>
                                  <w:r>
                                    <w:rPr>
                                      <w:rFonts w:hint="eastAsia"/>
                                      <w:bCs/>
                                      <w:szCs w:val="21"/>
                                    </w:rPr>
                                    <w:t>运至秦皇岛市抚宁区中冶水务有限公司</w:t>
                                  </w:r>
                                  <w:r>
                                    <w:rPr>
                                      <w:rFonts w:hint="eastAsia"/>
                                      <w:szCs w:val="21"/>
                                    </w:rPr>
                                    <w:t>处理</w:t>
                                  </w:r>
                                </w:p>
                              </w:txbxContent>
                            </wps:txbx>
                            <wps:bodyPr upright="1"/>
                          </wps:wsp>
                        </a:graphicData>
                      </a:graphic>
                    </wp:anchor>
                  </w:drawing>
                </mc:Choice>
                <mc:Fallback>
                  <w:pict>
                    <v:rect id="矩形 1128" o:spid="_x0000_s1026" o:spt="1" style="position:absolute;left:0pt;margin-left:19.45pt;margin-top:199.9pt;height:34.65pt;width:121pt;z-index:251761664;mso-width-relative:page;mso-height-relative:page;" filled="f" stroked="f" coordsize="21600,21600" o:gfxdata="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Cx&#10;b6M92gAAAAoBAAAPAAAAAAAAAAEAIAAAACIAAABkcnMvZG93bnJldi54bWxQSwECFAAUAAAACACH&#10;TuJA112jibABAABQAwAADgAAAAAAAAABACAAAAApAQAAZHJzL2Uyb0RvYy54bWxQSwUGAAAAAAYA&#10;BgBZAQAASwUAAAAA&#10;">
                      <v:fill on="f" focussize="0,0"/>
                      <v:stroke on="f" weight="1.5pt"/>
                      <v:imagedata o:title=""/>
                      <o:lock v:ext="edit" aspectratio="f"/>
                      <v:textbox>
                        <w:txbxContent>
                          <w:p w14:paraId="4A6165DC">
                            <w:pPr>
                              <w:spacing w:line="240" w:lineRule="auto"/>
                              <w:ind w:firstLine="0" w:firstLineChars="0"/>
                            </w:pPr>
                            <w:r>
                              <w:rPr>
                                <w:rFonts w:hint="eastAsia"/>
                                <w:bCs/>
                                <w:szCs w:val="21"/>
                              </w:rPr>
                              <w:t>运至秦皇岛市抚宁区中冶水务有限公司</w:t>
                            </w:r>
                            <w:r>
                              <w:rPr>
                                <w:rFonts w:hint="eastAsia"/>
                                <w:szCs w:val="21"/>
                              </w:rPr>
                              <w:t>处理</w:t>
                            </w:r>
                          </w:p>
                        </w:txbxContent>
                      </v:textbox>
                    </v:rect>
                  </w:pict>
                </mc:Fallback>
              </mc:AlternateContent>
            </w:r>
            <w:r>
              <mc:AlternateContent>
                <mc:Choice Requires="wps">
                  <w:drawing>
                    <wp:anchor distT="0" distB="0" distL="114300" distR="114300" simplePos="0" relativeHeight="251760640" behindDoc="0" locked="0" layoutInCell="1" allowOverlap="1">
                      <wp:simplePos x="0" y="0"/>
                      <wp:positionH relativeFrom="column">
                        <wp:posOffset>1050290</wp:posOffset>
                      </wp:positionH>
                      <wp:positionV relativeFrom="paragraph">
                        <wp:posOffset>1598930</wp:posOffset>
                      </wp:positionV>
                      <wp:extent cx="948690" cy="353695"/>
                      <wp:effectExtent l="0" t="0" r="0" b="0"/>
                      <wp:wrapNone/>
                      <wp:docPr id="103" name="矩形 1126"/>
                      <wp:cNvGraphicFramePr/>
                      <a:graphic xmlns:a="http://schemas.openxmlformats.org/drawingml/2006/main">
                        <a:graphicData uri="http://schemas.microsoft.com/office/word/2010/wordprocessingShape">
                          <wps:wsp>
                            <wps:cNvSpPr/>
                            <wps:spPr>
                              <a:xfrm>
                                <a:off x="0" y="0"/>
                                <a:ext cx="948690" cy="353695"/>
                              </a:xfrm>
                              <a:prstGeom prst="rect">
                                <a:avLst/>
                              </a:prstGeom>
                              <a:noFill/>
                              <a:ln w="19050">
                                <a:noFill/>
                              </a:ln>
                            </wps:spPr>
                            <wps:txbx>
                              <w:txbxContent>
                                <w:p w14:paraId="09439180">
                                  <w:pPr>
                                    <w:spacing w:line="240" w:lineRule="auto"/>
                                    <w:ind w:firstLine="0" w:firstLineChars="0"/>
                                  </w:pPr>
                                  <w:r>
                                    <w:rPr>
                                      <w:rFonts w:hint="eastAsia"/>
                                    </w:rPr>
                                    <w:t>委托处置</w:t>
                                  </w:r>
                                </w:p>
                              </w:txbxContent>
                            </wps:txbx>
                            <wps:bodyPr upright="1"/>
                          </wps:wsp>
                        </a:graphicData>
                      </a:graphic>
                    </wp:anchor>
                  </w:drawing>
                </mc:Choice>
                <mc:Fallback>
                  <w:pict>
                    <v:rect id="矩形 1126" o:spid="_x0000_s1026" o:spt="1" style="position:absolute;left:0pt;margin-left:82.7pt;margin-top:125.9pt;height:27.85pt;width:74.7pt;z-index:251760640;mso-width-relative:page;mso-height-relative:page;" filled="f" stroked="f" coordsize="21600,21600" o:gfxdata="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DrJ&#10;5HvaAAAACwEAAA8AAAAAAAAAAQAgAAAAIgAAAGRycy9kb3ducmV2LnhtbFBLAQIUABQAAAAIAIdO&#10;4kAml5ndrwEAAE8DAAAOAAAAAAAAAAEAIAAAACkBAABkcnMvZTJvRG9jLnhtbFBLBQYAAAAABgAG&#10;AFkBAABKBQAAAAA=&#10;">
                      <v:fill on="f" focussize="0,0"/>
                      <v:stroke on="f" weight="1.5pt"/>
                      <v:imagedata o:title=""/>
                      <o:lock v:ext="edit" aspectratio="f"/>
                      <v:textbox>
                        <w:txbxContent>
                          <w:p w14:paraId="09439180">
                            <w:pPr>
                              <w:spacing w:line="240" w:lineRule="auto"/>
                              <w:ind w:firstLine="0" w:firstLineChars="0"/>
                            </w:pPr>
                            <w:r>
                              <w:rPr>
                                <w:rFonts w:hint="eastAsia"/>
                              </w:rPr>
                              <w:t>委托处置</w:t>
                            </w:r>
                          </w:p>
                        </w:txbxContent>
                      </v:textbox>
                    </v:rect>
                  </w:pict>
                </mc:Fallback>
              </mc:AlternateContent>
            </w:r>
            <w:r>
              <w:drawing>
                <wp:inline distT="0" distB="0" distL="0" distR="0">
                  <wp:extent cx="4859655" cy="2809875"/>
                  <wp:effectExtent l="19050" t="0" r="0" b="0"/>
                  <wp:docPr id="5" name="图片 1" descr="E:\赵阳项目\环评\10天马食品厂\生产扩建项目初稿\7e84cc714e5fe9ff67ed9b41277d4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E:\赵阳项目\环评\10天马食品厂\生产扩建项目初稿\7e84cc714e5fe9ff67ed9b41277d490.jpg"/>
                          <pic:cNvPicPr>
                            <a:picLocks noChangeAspect="1" noChangeArrowheads="1"/>
                          </pic:cNvPicPr>
                        </pic:nvPicPr>
                        <pic:blipFill>
                          <a:blip r:embed="rId17" cstate="print"/>
                          <a:srcRect/>
                          <a:stretch>
                            <a:fillRect/>
                          </a:stretch>
                        </pic:blipFill>
                        <pic:spPr>
                          <a:xfrm>
                            <a:off x="0" y="0"/>
                            <a:ext cx="4866732" cy="2813940"/>
                          </a:xfrm>
                          <a:prstGeom prst="rect">
                            <a:avLst/>
                          </a:prstGeom>
                          <a:noFill/>
                          <a:ln w="9525">
                            <a:noFill/>
                            <a:miter lim="800000"/>
                            <a:headEnd/>
                            <a:tailEnd/>
                          </a:ln>
                        </pic:spPr>
                      </pic:pic>
                    </a:graphicData>
                  </a:graphic>
                </wp:inline>
              </w:drawing>
            </w:r>
          </w:p>
          <w:p w14:paraId="28D4C2E0">
            <w:pPr>
              <w:ind w:firstLine="420"/>
            </w:pPr>
          </w:p>
          <w:p w14:paraId="41F3D41F">
            <w:pPr>
              <w:ind w:firstLine="422"/>
              <w:jc w:val="center"/>
              <w:rPr>
                <w:b/>
              </w:rPr>
            </w:pPr>
            <w:r>
              <w:rPr>
                <w:rFonts w:hint="eastAsia"/>
                <w:b/>
              </w:rPr>
              <w:t>图4-1 污水处理站污水处理工艺流程图</w:t>
            </w:r>
          </w:p>
          <w:bookmarkEnd w:id="112"/>
          <w:bookmarkEnd w:id="113"/>
          <w:p w14:paraId="32A7890A">
            <w:pPr>
              <w:pStyle w:val="18"/>
              <w:adjustRightInd w:val="0"/>
              <w:ind w:firstLine="420"/>
              <w:rPr>
                <w:kern w:val="2"/>
                <w:sz w:val="21"/>
                <w:szCs w:val="21"/>
              </w:rPr>
            </w:pPr>
            <w:r>
              <w:rPr>
                <w:rFonts w:hint="eastAsia"/>
                <w:kern w:val="2"/>
                <w:sz w:val="21"/>
                <w:szCs w:val="21"/>
              </w:rPr>
              <w:t>本项目废水处理工艺采用“AC 厌氧塔＋气浮＋地埋式一体化污水处理装置（厌氧+二级接触氧化＋沉淀）＋过滤”工艺。</w:t>
            </w:r>
          </w:p>
          <w:p w14:paraId="1173B259">
            <w:pPr>
              <w:pStyle w:val="18"/>
              <w:adjustRightInd w:val="0"/>
              <w:ind w:firstLine="420"/>
              <w:rPr>
                <w:kern w:val="2"/>
                <w:sz w:val="21"/>
                <w:szCs w:val="21"/>
              </w:rPr>
            </w:pPr>
            <w:r>
              <w:rPr>
                <w:rFonts w:hint="eastAsia"/>
                <w:kern w:val="2"/>
                <w:sz w:val="21"/>
                <w:szCs w:val="21"/>
              </w:rPr>
              <w:t>生产废水首先经格栅去除大块杂质后，进入调节池调节水量及水质，然后进入 AC 厌氧塔进行厌氧处理，厌氧塔由混合区、污泥床、精处理区三个部分组成。厌氧塔也可以看成是由两层 UASB 叠加而成，底层为高负荷区，上层为低负荷区。进水由厌氧塔底部进入第一反应室与厌氧颗粒污泥均匀混合，大部分有机物要这里被降解，分离的泥水混合液将沿着回流管返回至第一反应室底部，并与底部的颗粒污泥和进水充分混合，实现混合液的内部循环。</w:t>
            </w:r>
          </w:p>
          <w:p w14:paraId="1D9BB156">
            <w:pPr>
              <w:pStyle w:val="18"/>
              <w:adjustRightInd w:val="0"/>
              <w:ind w:firstLine="420"/>
              <w:rPr>
                <w:kern w:val="2"/>
                <w:sz w:val="21"/>
                <w:szCs w:val="21"/>
              </w:rPr>
            </w:pPr>
            <w:r>
              <w:rPr>
                <w:rFonts w:hint="eastAsia"/>
                <w:kern w:val="2"/>
                <w:sz w:val="21"/>
                <w:szCs w:val="21"/>
              </w:rPr>
              <w:t>厌氧塔出水进入缓冲池调节水量，然后进气浮机处理。在气浮机内废水加入氢氧化钙和极性化合物络合剂进行搅拌，氢氧化钙与废水中的油酸、脂肪酸发生皂化反应，形成油酸钙、脂肪酸钙等不溶性化合物，而溶解于水中的极性化合物与加入的络合剂反应，生成不溶于水的络合物，然后加入絮凝剂，充分反应，再加入助凝剂聚丙烯酰胺，反应生成不溶性悬浮物。生成的不凝性悬浮物采用气浮系统分离，上浮杂质经刮板机刮除，清液则由底部排出，进入后续处理系统。</w:t>
            </w:r>
          </w:p>
          <w:p w14:paraId="2033DB39">
            <w:pPr>
              <w:ind w:firstLine="420"/>
            </w:pPr>
            <w:r>
              <w:rPr>
                <w:rFonts w:hint="eastAsia"/>
                <w:szCs w:val="21"/>
              </w:rPr>
              <w:t>气浮机出水进入地埋式一体化污水处理装置进一步处理，一体化装置内设置厌氧池、二级生物接触氧化池及沉淀池。废水中的污染物经厌氧池对有机物进行进步降解，提高污水可生化性，然后废水进入二级生物接触氧化池，二级生物接触氧化池采用推流式生物接触氧化，池内鼓风充氧，利用微生物代谢作用去除有机污染物。池内设高效曝气器供氧，设好氧生化填料保持生物量。填料支架采用角钢固定尼龙绳悬挂。接触氧化池出水进入沉淀池沉淀后出水进入石英砂过滤机进一步过滤深度处理后出水进入清水池暂存，清水池内废水定期抽走外运至秦皇岛市抚宁区中冶水务有限公司。</w:t>
            </w:r>
          </w:p>
          <w:p w14:paraId="2D734FC7">
            <w:pPr>
              <w:ind w:firstLine="420"/>
            </w:pPr>
            <w:r>
              <w:rPr>
                <w:rFonts w:hint="eastAsia"/>
              </w:rPr>
              <w:t>参考《排污许可证申请与核发技术规范 食品制造工业—方便食品、食品及饲料添加剂制造工业》（HJ1030.3-2019）中</w:t>
            </w:r>
            <w:r>
              <w:rPr>
                <w:rFonts w:hAnsi="宋体"/>
                <w:kern w:val="0"/>
                <w:szCs w:val="21"/>
              </w:rPr>
              <w:t>废</w:t>
            </w:r>
            <w:r>
              <w:rPr>
                <w:rFonts w:hint="eastAsia" w:hAnsi="宋体"/>
                <w:kern w:val="0"/>
                <w:szCs w:val="21"/>
              </w:rPr>
              <w:t>水</w:t>
            </w:r>
            <w:r>
              <w:rPr>
                <w:rFonts w:hAnsi="宋体"/>
                <w:kern w:val="0"/>
                <w:szCs w:val="21"/>
              </w:rPr>
              <w:t>污染防治可行技术</w:t>
            </w:r>
            <w:r>
              <w:rPr>
                <w:rFonts w:hint="eastAsia"/>
              </w:rPr>
              <w:t>，符合性见下表。</w:t>
            </w:r>
          </w:p>
          <w:p w14:paraId="64D859B3">
            <w:pPr>
              <w:pStyle w:val="75"/>
              <w:numPr>
                <w:ilvl w:val="0"/>
                <w:numId w:val="0"/>
              </w:numPr>
              <w:tabs>
                <w:tab w:val="left" w:pos="420"/>
                <w:tab w:val="clear" w:pos="3680"/>
              </w:tabs>
              <w:ind w:left="3260"/>
              <w:jc w:val="both"/>
            </w:pPr>
            <w:r>
              <w:rPr>
                <w:rFonts w:hint="eastAsia"/>
              </w:rPr>
              <w:t>表4-10 废水治理可行性分析表</w:t>
            </w:r>
          </w:p>
          <w:tbl>
            <w:tblPr>
              <w:tblStyle w:val="25"/>
              <w:tblW w:w="471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5"/>
              <w:gridCol w:w="1559"/>
              <w:gridCol w:w="3402"/>
              <w:gridCol w:w="1275"/>
              <w:gridCol w:w="766"/>
            </w:tblGrid>
            <w:tr w14:paraId="2656A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jc w:val="center"/>
              </w:trPr>
              <w:tc>
                <w:tcPr>
                  <w:tcW w:w="583" w:type="pct"/>
                  <w:shd w:val="clear" w:color="auto" w:fill="auto"/>
                  <w:vAlign w:val="center"/>
                </w:tcPr>
                <w:p w14:paraId="7C8EADC2">
                  <w:pPr>
                    <w:pStyle w:val="40"/>
                    <w:rPr>
                      <w:lang w:val="zh-CN"/>
                    </w:rPr>
                  </w:pPr>
                  <w:r>
                    <w:rPr>
                      <w:rFonts w:hint="eastAsia"/>
                      <w:lang w:val="zh-CN"/>
                    </w:rPr>
                    <w:t>废水类别</w:t>
                  </w:r>
                </w:p>
              </w:tc>
              <w:tc>
                <w:tcPr>
                  <w:tcW w:w="983" w:type="pct"/>
                  <w:shd w:val="clear" w:color="auto" w:fill="auto"/>
                  <w:vAlign w:val="center"/>
                </w:tcPr>
                <w:p w14:paraId="6C83F57B">
                  <w:pPr>
                    <w:pStyle w:val="40"/>
                    <w:rPr>
                      <w:lang w:val="zh-CN"/>
                    </w:rPr>
                  </w:pPr>
                  <w:r>
                    <w:rPr>
                      <w:rFonts w:hint="eastAsia"/>
                      <w:lang w:val="zh-CN"/>
                    </w:rPr>
                    <w:t>主要污染物</w:t>
                  </w:r>
                </w:p>
              </w:tc>
              <w:tc>
                <w:tcPr>
                  <w:tcW w:w="2146" w:type="pct"/>
                  <w:shd w:val="clear" w:color="auto" w:fill="auto"/>
                  <w:vAlign w:val="center"/>
                </w:tcPr>
                <w:p w14:paraId="19270958">
                  <w:pPr>
                    <w:pStyle w:val="40"/>
                    <w:rPr>
                      <w:lang w:val="zh-CN"/>
                    </w:rPr>
                  </w:pPr>
                  <w:r>
                    <w:rPr>
                      <w:rFonts w:hint="eastAsia"/>
                      <w:lang w:val="zh-CN"/>
                    </w:rPr>
                    <w:t>可行技术</w:t>
                  </w:r>
                </w:p>
              </w:tc>
              <w:tc>
                <w:tcPr>
                  <w:tcW w:w="804" w:type="pct"/>
                  <w:vAlign w:val="center"/>
                </w:tcPr>
                <w:p w14:paraId="7ADDBF95">
                  <w:pPr>
                    <w:pStyle w:val="40"/>
                    <w:rPr>
                      <w:lang w:val="zh-CN"/>
                    </w:rPr>
                  </w:pPr>
                  <w:r>
                    <w:rPr>
                      <w:rFonts w:hint="eastAsia"/>
                      <w:lang w:val="zh-CN"/>
                    </w:rPr>
                    <w:t>本项目拟采用技术</w:t>
                  </w:r>
                </w:p>
              </w:tc>
              <w:tc>
                <w:tcPr>
                  <w:tcW w:w="483" w:type="pct"/>
                  <w:vAlign w:val="center"/>
                </w:tcPr>
                <w:p w14:paraId="29F8FBC0">
                  <w:pPr>
                    <w:pStyle w:val="40"/>
                    <w:rPr>
                      <w:lang w:val="zh-CN"/>
                    </w:rPr>
                  </w:pPr>
                  <w:r>
                    <w:rPr>
                      <w:rFonts w:hint="eastAsia"/>
                    </w:rPr>
                    <w:t>符合性分析</w:t>
                  </w:r>
                </w:p>
              </w:tc>
            </w:tr>
            <w:tr w14:paraId="1A83C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5" w:hRule="atLeast"/>
                <w:jc w:val="center"/>
              </w:trPr>
              <w:tc>
                <w:tcPr>
                  <w:tcW w:w="583" w:type="pct"/>
                  <w:shd w:val="clear" w:color="auto" w:fill="auto"/>
                  <w:vAlign w:val="center"/>
                </w:tcPr>
                <w:p w14:paraId="34213C6F">
                  <w:pPr>
                    <w:pStyle w:val="40"/>
                    <w:rPr>
                      <w:lang w:val="zh-CN"/>
                    </w:rPr>
                  </w:pPr>
                  <w:r>
                    <w:rPr>
                      <w:rFonts w:hint="eastAsia"/>
                      <w:lang w:val="zh-CN"/>
                    </w:rPr>
                    <w:t>厂内综合污水站的的综合污水</w:t>
                  </w:r>
                </w:p>
              </w:tc>
              <w:tc>
                <w:tcPr>
                  <w:tcW w:w="983" w:type="pct"/>
                  <w:shd w:val="clear" w:color="auto" w:fill="auto"/>
                  <w:vAlign w:val="center"/>
                </w:tcPr>
                <w:p w14:paraId="3F1D4345">
                  <w:pPr>
                    <w:pStyle w:val="40"/>
                    <w:rPr>
                      <w:lang w:val="zh-CN"/>
                    </w:rPr>
                  </w:pPr>
                  <w:r>
                    <w:rPr>
                      <w:rFonts w:hint="eastAsia"/>
                      <w:lang w:val="zh-CN"/>
                    </w:rPr>
                    <w:t>pH值、化学需氧量、氨氮、悬浮物、五日生化需氧量、总磷</w:t>
                  </w:r>
                </w:p>
              </w:tc>
              <w:tc>
                <w:tcPr>
                  <w:tcW w:w="2146" w:type="pct"/>
                  <w:shd w:val="clear" w:color="auto" w:fill="auto"/>
                  <w:vAlign w:val="center"/>
                </w:tcPr>
                <w:p w14:paraId="1BCA4A0A">
                  <w:pPr>
                    <w:pStyle w:val="40"/>
                    <w:rPr>
                      <w:lang w:val="zh-CN"/>
                    </w:rPr>
                  </w:pPr>
                  <w:r>
                    <w:rPr>
                      <w:rFonts w:hint="eastAsia"/>
                      <w:lang w:val="zh-CN"/>
                    </w:rPr>
                    <w:t>1）预处理：粗（细）格栅：竖流或辐流式沅淀、混凝沉淀；气浮</w:t>
                  </w:r>
                </w:p>
                <w:p w14:paraId="4A406107">
                  <w:pPr>
                    <w:pStyle w:val="40"/>
                    <w:rPr>
                      <w:lang w:val="zh-CN"/>
                    </w:rPr>
                  </w:pPr>
                  <w:r>
                    <w:rPr>
                      <w:rFonts w:hint="eastAsia"/>
                      <w:lang w:val="zh-CN"/>
                    </w:rPr>
                    <w:t>2）生化处理：升流式厌氧污泥床 （UASB）；IC反应器或水解酸化技术；厌氧滤池（AF）；活性污泥法；氧化沟及其各类改型工艺；生物接触氧化法；序批式活性污泥法 （SBR）；缺氧/好氧活性污泥法 （A/O法）；厌氧-缺氧-好氧活性污泥法（A</w:t>
                  </w:r>
                  <w:r>
                    <w:rPr>
                      <w:rFonts w:hint="eastAsia"/>
                      <w:vertAlign w:val="superscript"/>
                      <w:lang w:val="zh-CN"/>
                    </w:rPr>
                    <w:t>2</w:t>
                  </w:r>
                  <w:r>
                    <w:rPr>
                      <w:rFonts w:hint="eastAsia"/>
                      <w:lang w:val="zh-CN"/>
                    </w:rPr>
                    <w:t>/O法）</w:t>
                  </w:r>
                </w:p>
              </w:tc>
              <w:tc>
                <w:tcPr>
                  <w:tcW w:w="804" w:type="pct"/>
                  <w:vAlign w:val="center"/>
                </w:tcPr>
                <w:p w14:paraId="3FA08CC9">
                  <w:pPr>
                    <w:pStyle w:val="40"/>
                    <w:rPr>
                      <w:lang w:val="zh-CN"/>
                    </w:rPr>
                  </w:pPr>
                  <w:r>
                    <w:rPr>
                      <w:rFonts w:hint="eastAsia"/>
                    </w:rPr>
                    <w:t>AC 厌氧塔＋气浮＋地埋式一体化污水处理装置（厌氧+二级接触氧化＋沉淀）＋过滤</w:t>
                  </w:r>
                </w:p>
              </w:tc>
              <w:tc>
                <w:tcPr>
                  <w:tcW w:w="483" w:type="pct"/>
                  <w:vAlign w:val="center"/>
                </w:tcPr>
                <w:p w14:paraId="194AD88E">
                  <w:pPr>
                    <w:pStyle w:val="40"/>
                    <w:rPr>
                      <w:lang w:val="zh-CN"/>
                    </w:rPr>
                  </w:pPr>
                  <w:r>
                    <w:rPr>
                      <w:rFonts w:hint="eastAsia"/>
                      <w:lang w:val="zh-CN"/>
                    </w:rPr>
                    <w:t>符合</w:t>
                  </w:r>
                </w:p>
              </w:tc>
            </w:tr>
          </w:tbl>
          <w:p w14:paraId="4C71EDD6">
            <w:pPr>
              <w:ind w:firstLine="420"/>
            </w:pPr>
            <w:r>
              <w:rPr>
                <w:rFonts w:hint="eastAsia"/>
              </w:rPr>
              <w:t>根据上表可知，本项目污水处理站采用的“AC 厌氧塔＋气浮＋地埋式一体化污水处理装置（厌氧+二级接触氧化＋沉淀）＋过滤”技术为可行性技术。</w:t>
            </w:r>
          </w:p>
          <w:p w14:paraId="08506FB1">
            <w:pPr>
              <w:ind w:firstLine="420"/>
            </w:pPr>
            <w:r>
              <w:rPr>
                <w:rFonts w:hint="eastAsia"/>
              </w:rPr>
              <w:t>综上所述，污水处理站处理工艺处理改扩建项目产生的废水可行。</w:t>
            </w:r>
          </w:p>
          <w:p w14:paraId="2089D7B2">
            <w:pPr>
              <w:ind w:firstLine="420"/>
            </w:pPr>
            <w:r>
              <w:rPr>
                <w:rFonts w:hint="eastAsia"/>
              </w:rPr>
              <w:t>（4）污水处理厂依托可行性分析</w:t>
            </w:r>
          </w:p>
          <w:p w14:paraId="5609F59D">
            <w:pPr>
              <w:ind w:firstLine="420"/>
            </w:pPr>
            <w:bookmarkStart w:id="114" w:name="OLE_LINK459"/>
            <w:bookmarkStart w:id="115" w:name="OLE_LINK460"/>
            <w:r>
              <w:rPr>
                <w:rFonts w:hint="eastAsia"/>
              </w:rPr>
              <w:t>秦皇岛市抚宁区中冶水务有限公司（抚宁污水处理厂）</w:t>
            </w:r>
            <w:bookmarkEnd w:id="114"/>
            <w:bookmarkEnd w:id="115"/>
            <w:r>
              <w:rPr>
                <w:rFonts w:hint="eastAsia"/>
              </w:rPr>
              <w:t>位于留守营镇东南，京山铁路以南、205国道以北，占地 90余亩，收水范围为抚宁城区、留守营地区造纸工业污水、开发区废水。采用“氧化沟+V 型滤池+紫外线消毒”处理工艺，其设计规模为 7.5 万立方米/日，实际建设处理能力 5万吨/日（一期），二期（2021~2030 年）计划扩建至 7.5 万吨/日，目前实际处理量约 4.3万吨/日。出水水质标准为《城镇污水处理厂污染物排放标准》（GB18918-2002）一级 A 标准。本项目位于收水范围内，污水水量不大，水质简单，污染物排放浓度满足收水标准，废水经污水站处理后通过罐车拉运至秦皇岛市抚宁区中冶水务有限公司集中处理达标排放，不直接排入地表水体，因此项目依托污染处理设施环境可行。</w:t>
            </w:r>
          </w:p>
          <w:p w14:paraId="785A2F4F">
            <w:pPr>
              <w:ind w:firstLine="420"/>
            </w:pPr>
            <w:r>
              <w:rPr>
                <w:rFonts w:hint="eastAsia"/>
              </w:rPr>
              <w:t>（5）项目污水采用的运输方式、频率路线及风险</w:t>
            </w:r>
          </w:p>
          <w:p w14:paraId="797F3A7C">
            <w:pPr>
              <w:ind w:firstLine="420"/>
            </w:pPr>
            <w:r>
              <w:rPr>
                <w:rFonts w:hint="eastAsia"/>
              </w:rPr>
              <w:t>项目生产废水经厂区污水处理站处理达标后，进入秦皇岛市抚宁区中冶水务有限公司处理。污水处理站设有调节池（容积约372m</w:t>
            </w:r>
            <w:r>
              <w:rPr>
                <w:rFonts w:hint="eastAsia"/>
                <w:vertAlign w:val="superscript"/>
              </w:rPr>
              <w:t>3</w:t>
            </w:r>
            <w:r>
              <w:rPr>
                <w:rFonts w:hint="eastAsia"/>
              </w:rPr>
              <w:t>）对处理前的污水进行暂存，同时经处理达标的水暂存于清水池（容积约20m</w:t>
            </w:r>
            <w:r>
              <w:rPr>
                <w:rFonts w:hint="eastAsia"/>
                <w:vertAlign w:val="superscript"/>
              </w:rPr>
              <w:t>3</w:t>
            </w:r>
            <w:r>
              <w:rPr>
                <w:rFonts w:hint="eastAsia"/>
              </w:rPr>
              <w:t>）内，即自身配备（372m</w:t>
            </w:r>
            <w:r>
              <w:rPr>
                <w:rFonts w:hint="eastAsia"/>
                <w:vertAlign w:val="superscript"/>
              </w:rPr>
              <w:t>3</w:t>
            </w:r>
            <w:r>
              <w:rPr>
                <w:rFonts w:hint="eastAsia"/>
              </w:rPr>
              <w:t>+20m</w:t>
            </w:r>
            <w:r>
              <w:rPr>
                <w:rFonts w:hint="eastAsia"/>
                <w:vertAlign w:val="superscript"/>
              </w:rPr>
              <w:t>3</w:t>
            </w:r>
            <w:r>
              <w:rPr>
                <w:rFonts w:hint="eastAsia"/>
              </w:rPr>
              <w:t>）/42.711m</w:t>
            </w:r>
            <w:r>
              <w:rPr>
                <w:rFonts w:hint="eastAsia"/>
                <w:vertAlign w:val="superscript"/>
              </w:rPr>
              <w:t>3</w:t>
            </w:r>
            <w:r>
              <w:rPr>
                <w:rFonts w:hint="eastAsia"/>
              </w:rPr>
              <w:t>/d≈9天协议水量的暂存设施，可服从污水厂的运行调度。经处理后的水通过20m</w:t>
            </w:r>
            <w:r>
              <w:rPr>
                <w:rFonts w:hint="eastAsia"/>
                <w:vertAlign w:val="superscript"/>
              </w:rPr>
              <w:t>3</w:t>
            </w:r>
            <w:r>
              <w:rPr>
                <w:rFonts w:hint="eastAsia"/>
              </w:rPr>
              <w:t>槽车进行拉运，根据项目的水量产生情况，项目每天进行拉运，拉运6次/天。</w:t>
            </w:r>
          </w:p>
          <w:p w14:paraId="30B3A538">
            <w:pPr>
              <w:ind w:firstLine="420"/>
            </w:pPr>
            <w:r>
              <w:rPr>
                <w:rFonts w:hint="eastAsia"/>
              </w:rPr>
              <w:t>污水拉运方案及可操作性：</w:t>
            </w:r>
          </w:p>
          <w:p w14:paraId="5B9C09A2">
            <w:pPr>
              <w:ind w:firstLine="420"/>
              <w:rPr>
                <w:szCs w:val="21"/>
              </w:rPr>
            </w:pPr>
            <w:r>
              <w:rPr>
                <w:rFonts w:hint="eastAsia"/>
                <w:szCs w:val="21"/>
              </w:rPr>
              <w:t>项目废水采用吸污车运输，由公司自行负责拉运，厂区距离秦皇岛市抚宁区中冶水务有限公司16000米，按照下图规定的路线进行运输，途经</w:t>
            </w:r>
            <w:bookmarkStart w:id="116" w:name="OLE_LINK223"/>
            <w:bookmarkStart w:id="117" w:name="OLE_LINK224"/>
            <w:r>
              <w:rPr>
                <w:rFonts w:hint="eastAsia"/>
                <w:szCs w:val="21"/>
              </w:rPr>
              <w:t>坟坨村</w:t>
            </w:r>
            <w:bookmarkEnd w:id="116"/>
            <w:bookmarkEnd w:id="117"/>
            <w:r>
              <w:rPr>
                <w:rFonts w:hint="eastAsia"/>
                <w:szCs w:val="21"/>
              </w:rPr>
              <w:t>、沿沟屯村、潘宫营村、黄义庄村、谭庄村、留守营镇等，交通便利，具有可操作性。</w:t>
            </w:r>
          </w:p>
          <w:p w14:paraId="39F794AE">
            <w:pPr>
              <w:ind w:firstLine="420"/>
              <w:rPr>
                <w:szCs w:val="21"/>
              </w:rPr>
            </w:pPr>
          </w:p>
          <w:p w14:paraId="2A57C33A">
            <w:pPr>
              <w:pStyle w:val="2"/>
              <w:ind w:firstLine="480"/>
            </w:pPr>
          </w:p>
          <w:p w14:paraId="2A846640">
            <w:pPr>
              <w:pStyle w:val="2"/>
              <w:ind w:firstLine="480"/>
            </w:pPr>
          </w:p>
          <w:p w14:paraId="081DB0F6">
            <w:pPr>
              <w:pStyle w:val="2"/>
              <w:ind w:firstLine="480"/>
            </w:pPr>
          </w:p>
          <w:p w14:paraId="0EA2F846">
            <w:pPr>
              <w:pStyle w:val="2"/>
              <w:ind w:firstLine="480"/>
            </w:pPr>
          </w:p>
          <w:p w14:paraId="735DB977">
            <w:pPr>
              <w:ind w:firstLine="420"/>
            </w:pPr>
          </w:p>
          <w:p w14:paraId="571EA76C">
            <w:pPr>
              <w:pStyle w:val="2"/>
              <w:ind w:firstLine="480"/>
            </w:pPr>
          </w:p>
          <w:p w14:paraId="4EB0F3DF">
            <w:pPr>
              <w:ind w:firstLine="420"/>
            </w:pPr>
          </w:p>
          <w:p w14:paraId="1A890C6E">
            <w:pPr>
              <w:pStyle w:val="2"/>
              <w:ind w:firstLine="480"/>
            </w:pPr>
          </w:p>
          <w:p w14:paraId="1CC96AD0">
            <w:pPr>
              <w:ind w:firstLine="420"/>
            </w:pPr>
          </w:p>
          <w:p w14:paraId="67A7C783">
            <w:pPr>
              <w:ind w:firstLine="420"/>
              <w:rPr>
                <w:szCs w:val="21"/>
              </w:rPr>
            </w:pPr>
          </w:p>
          <w:p w14:paraId="39BBB983">
            <w:pPr>
              <w:ind w:firstLine="420"/>
              <w:rPr>
                <w:szCs w:val="21"/>
              </w:rPr>
            </w:pPr>
          </w:p>
          <w:p w14:paraId="1986EECD">
            <w:pPr>
              <w:spacing w:line="240" w:lineRule="auto"/>
              <w:ind w:firstLine="0" w:firstLineChars="0"/>
            </w:pPr>
            <w:r>
              <w:rPr>
                <w:rFonts w:hint="eastAsia"/>
              </w:rPr>
              <w:drawing>
                <wp:inline distT="0" distB="0" distL="0" distR="0">
                  <wp:extent cx="5334000" cy="3438525"/>
                  <wp:effectExtent l="19050" t="0" r="0" b="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noChangeArrowheads="1"/>
                          </pic:cNvPicPr>
                        </pic:nvPicPr>
                        <pic:blipFill>
                          <a:blip r:embed="rId18"/>
                          <a:srcRect/>
                          <a:stretch>
                            <a:fillRect/>
                          </a:stretch>
                        </pic:blipFill>
                        <pic:spPr>
                          <a:xfrm>
                            <a:off x="0" y="0"/>
                            <a:ext cx="5334000" cy="3438525"/>
                          </a:xfrm>
                          <a:prstGeom prst="rect">
                            <a:avLst/>
                          </a:prstGeom>
                          <a:noFill/>
                          <a:ln w="9525">
                            <a:noFill/>
                            <a:miter lim="800000"/>
                            <a:headEnd/>
                            <a:tailEnd/>
                          </a:ln>
                        </pic:spPr>
                      </pic:pic>
                    </a:graphicData>
                  </a:graphic>
                </wp:inline>
              </w:drawing>
            </w:r>
          </w:p>
          <w:p w14:paraId="3CCF1BA5">
            <w:pPr>
              <w:ind w:firstLine="422"/>
              <w:jc w:val="center"/>
            </w:pPr>
            <w:r>
              <w:rPr>
                <w:rFonts w:hint="eastAsia"/>
                <w:b/>
              </w:rPr>
              <w:t>图4-2 污水运输路线图</w:t>
            </w:r>
          </w:p>
          <w:p w14:paraId="3ED5960F">
            <w:pPr>
              <w:ind w:firstLine="420"/>
            </w:pPr>
            <w:r>
              <w:rPr>
                <w:rFonts w:hint="eastAsia"/>
              </w:rPr>
              <w:t>运输路线描述：项目生产废水装车开出厂区大门后，从村道出发，向东行驶进入065乡道，沿乡道向东行驶约641m后左转进入滨河东路，行驶约1.8公里后右转进入宁海大道，行驶约3.7公里后右转进入L16省道，行驶约4.4公里后左前方转进入633县道，行驶约3.8公里后左转进入205国道，前方直行244m到达秦皇岛市抚宁区中冶水务有限公司。</w:t>
            </w:r>
          </w:p>
          <w:p w14:paraId="6F691879">
            <w:pPr>
              <w:ind w:firstLine="420"/>
            </w:pPr>
            <w:r>
              <w:rPr>
                <w:rFonts w:hint="eastAsia"/>
              </w:rPr>
              <w:t>污水外运的相关环境管理要求：</w:t>
            </w:r>
          </w:p>
          <w:p w14:paraId="6AE074B7">
            <w:pPr>
              <w:ind w:firstLine="420"/>
            </w:pPr>
            <w:r>
              <w:rPr>
                <w:rFonts w:hint="eastAsia"/>
              </w:rPr>
              <w:t>①污水运输车必须定点装、卸车；</w:t>
            </w:r>
          </w:p>
          <w:p w14:paraId="2041C59A">
            <w:pPr>
              <w:ind w:firstLine="420"/>
            </w:pPr>
            <w:r>
              <w:rPr>
                <w:rFonts w:hint="eastAsia"/>
              </w:rPr>
              <w:t>②污水运输车必须按照规定的路线限速行驶，不得随意更改路线，不得途中随意停留，严禁停靠于村镇、学校等人口密集区和水库、河流等危险路段；</w:t>
            </w:r>
          </w:p>
          <w:p w14:paraId="4FDD3071">
            <w:pPr>
              <w:ind w:firstLine="420"/>
            </w:pPr>
            <w:r>
              <w:rPr>
                <w:rFonts w:hint="eastAsia"/>
              </w:rPr>
              <w:t>③禁止沿途倾倒、泄放、漏失污水，同时需配备相应应急物资；</w:t>
            </w:r>
          </w:p>
          <w:p w14:paraId="47D40445">
            <w:pPr>
              <w:ind w:firstLine="420"/>
            </w:pPr>
            <w:r>
              <w:rPr>
                <w:rFonts w:hint="eastAsia"/>
              </w:rPr>
              <w:t>④车辆均采取严格的防渗防漏措施；</w:t>
            </w:r>
          </w:p>
          <w:p w14:paraId="335EC6AB">
            <w:pPr>
              <w:ind w:firstLine="420"/>
            </w:pPr>
            <w:r>
              <w:rPr>
                <w:rFonts w:hint="eastAsia"/>
              </w:rPr>
              <w:t>⑤确保污水符合进污水处理厂的要求。</w:t>
            </w:r>
          </w:p>
          <w:p w14:paraId="3E5F0D5B">
            <w:pPr>
              <w:ind w:firstLine="420"/>
            </w:pPr>
            <w:r>
              <w:rPr>
                <w:rFonts w:hint="eastAsia"/>
              </w:rPr>
              <w:t>在运输过程中需跨越洋河，车辆行驶在洋河上的桥面时，需减缓行驶速度，避免发生碰撞使车辆上运输的废水溢出进入河流，污染河流水质；此外，项目委托专业运输车辆对废水进行运输，车辆均采取严格的防渗防漏措施，可避免废水泄露而进入河流。综上所述，车辆运输废水经过洋河时，不会对洋河产生不良影响。同时要求企业做好转运台账记录，记录上须注明污水的名称、来源、数量、特性和包装容器的类别、产生时间、存放为准、外运日期及接受单位名称等详细信息，建立档案制度，详细记录废水的产生、储存、转运情况等信息，长期保存，供随时查阅。</w:t>
            </w:r>
          </w:p>
          <w:p w14:paraId="343220DC">
            <w:pPr>
              <w:ind w:firstLine="420"/>
            </w:pPr>
            <w:r>
              <w:rPr>
                <w:rFonts w:hint="eastAsia"/>
              </w:rPr>
              <w:t>（6）监测要求</w:t>
            </w:r>
          </w:p>
          <w:p w14:paraId="348B02CE">
            <w:pPr>
              <w:ind w:firstLine="420"/>
            </w:pPr>
            <w:r>
              <w:rPr>
                <w:rFonts w:hint="eastAsia"/>
              </w:rPr>
              <w:t>根据《排污单位自行监测技术指南总则》（HJ819-2017）和《排污单位自行监测技术指南 食品制造》（HJ1084—2020)，本项目废水监测情况要求如下。</w:t>
            </w:r>
          </w:p>
          <w:p w14:paraId="350F6584">
            <w:pPr>
              <w:pStyle w:val="75"/>
              <w:numPr>
                <w:ilvl w:val="0"/>
                <w:numId w:val="0"/>
                <w:ins w:id="1" w:author="S" w:date="2023-11-21T14:59:00Z"/>
              </w:numPr>
              <w:adjustRightInd w:val="0"/>
              <w:snapToGrid w:val="0"/>
              <w:ind w:left="420" w:firstLine="420"/>
            </w:pPr>
            <w:r>
              <w:rPr>
                <w:rFonts w:hint="eastAsia"/>
              </w:rPr>
              <w:t>表4-11 本项目废水排放标准及</w:t>
            </w:r>
            <w:r>
              <w:t>监测要求</w:t>
            </w:r>
          </w:p>
          <w:tbl>
            <w:tblPr>
              <w:tblStyle w:val="25"/>
              <w:tblpPr w:leftFromText="180" w:rightFromText="180" w:vertAnchor="text" w:tblpXSpec="center" w:tblpY="1"/>
              <w:tblOverlap w:val="never"/>
              <w:tblW w:w="491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2"/>
              <w:gridCol w:w="1276"/>
              <w:gridCol w:w="2268"/>
              <w:gridCol w:w="1276"/>
              <w:gridCol w:w="2883"/>
            </w:tblGrid>
            <w:tr w14:paraId="3C40A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jc w:val="center"/>
              </w:trPr>
              <w:tc>
                <w:tcPr>
                  <w:tcW w:w="340" w:type="pct"/>
                  <w:noWrap/>
                  <w:tcMar>
                    <w:top w:w="15" w:type="dxa"/>
                    <w:left w:w="15" w:type="dxa"/>
                    <w:right w:w="15" w:type="dxa"/>
                  </w:tcMar>
                  <w:vAlign w:val="center"/>
                </w:tcPr>
                <w:p w14:paraId="24A72C8D">
                  <w:pPr>
                    <w:pStyle w:val="40"/>
                  </w:pPr>
                  <w:r>
                    <w:rPr>
                      <w:rFonts w:hint="eastAsia"/>
                    </w:rPr>
                    <w:t>序号</w:t>
                  </w:r>
                </w:p>
              </w:tc>
              <w:tc>
                <w:tcPr>
                  <w:tcW w:w="772" w:type="pct"/>
                  <w:noWrap/>
                  <w:vAlign w:val="center"/>
                </w:tcPr>
                <w:p w14:paraId="312507EC">
                  <w:pPr>
                    <w:pStyle w:val="40"/>
                  </w:pPr>
                  <w:r>
                    <w:t>监测点位</w:t>
                  </w:r>
                </w:p>
              </w:tc>
              <w:tc>
                <w:tcPr>
                  <w:tcW w:w="1372" w:type="pct"/>
                  <w:noWrap/>
                  <w:vAlign w:val="center"/>
                </w:tcPr>
                <w:p w14:paraId="05C79C58">
                  <w:pPr>
                    <w:pStyle w:val="40"/>
                  </w:pPr>
                  <w:r>
                    <w:t>监测</w:t>
                  </w:r>
                  <w:r>
                    <w:rPr>
                      <w:rFonts w:hint="eastAsia"/>
                    </w:rPr>
                    <w:t>指标</w:t>
                  </w:r>
                </w:p>
              </w:tc>
              <w:tc>
                <w:tcPr>
                  <w:tcW w:w="772" w:type="pct"/>
                  <w:noWrap/>
                  <w:vAlign w:val="center"/>
                </w:tcPr>
                <w:p w14:paraId="0750D6B8">
                  <w:pPr>
                    <w:pStyle w:val="40"/>
                  </w:pPr>
                  <w:r>
                    <w:t>监测频次</w:t>
                  </w:r>
                </w:p>
              </w:tc>
              <w:tc>
                <w:tcPr>
                  <w:tcW w:w="1744" w:type="pct"/>
                  <w:noWrap/>
                  <w:vAlign w:val="center"/>
                </w:tcPr>
                <w:p w14:paraId="721A688B">
                  <w:pPr>
                    <w:pStyle w:val="40"/>
                  </w:pPr>
                  <w:r>
                    <w:rPr>
                      <w:rFonts w:hint="eastAsia"/>
                    </w:rPr>
                    <w:t>执行</w:t>
                  </w:r>
                  <w:r>
                    <w:t>排放标准</w:t>
                  </w:r>
                </w:p>
              </w:tc>
            </w:tr>
            <w:tr w14:paraId="55620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jc w:val="center"/>
              </w:trPr>
              <w:tc>
                <w:tcPr>
                  <w:tcW w:w="340" w:type="pct"/>
                  <w:noWrap/>
                  <w:tcMar>
                    <w:top w:w="15" w:type="dxa"/>
                    <w:left w:w="15" w:type="dxa"/>
                    <w:right w:w="15" w:type="dxa"/>
                  </w:tcMar>
                  <w:vAlign w:val="center"/>
                </w:tcPr>
                <w:p w14:paraId="27392C18">
                  <w:pPr>
                    <w:pStyle w:val="40"/>
                  </w:pPr>
                  <w:r>
                    <w:t>1</w:t>
                  </w:r>
                </w:p>
              </w:tc>
              <w:tc>
                <w:tcPr>
                  <w:tcW w:w="772" w:type="pct"/>
                  <w:noWrap/>
                  <w:tcMar>
                    <w:top w:w="15" w:type="dxa"/>
                    <w:left w:w="15" w:type="dxa"/>
                    <w:right w:w="15" w:type="dxa"/>
                  </w:tcMar>
                  <w:vAlign w:val="center"/>
                </w:tcPr>
                <w:p w14:paraId="1A1C3822">
                  <w:pPr>
                    <w:pStyle w:val="40"/>
                  </w:pPr>
                  <w:r>
                    <w:rPr>
                      <w:rFonts w:hint="eastAsia"/>
                    </w:rPr>
                    <w:t>废水总排放口</w:t>
                  </w:r>
                </w:p>
              </w:tc>
              <w:tc>
                <w:tcPr>
                  <w:tcW w:w="1372" w:type="pct"/>
                  <w:noWrap/>
                </w:tcPr>
                <w:p w14:paraId="0ED5C3E8">
                  <w:pPr>
                    <w:pStyle w:val="40"/>
                  </w:pPr>
                  <w:r>
                    <w:rPr>
                      <w:rFonts w:hint="eastAsia"/>
                    </w:rPr>
                    <w:t>流量、pH值、SS、BOD</w:t>
                  </w:r>
                  <w:r>
                    <w:rPr>
                      <w:rFonts w:hint="eastAsia"/>
                      <w:vertAlign w:val="subscript"/>
                    </w:rPr>
                    <w:t>5</w:t>
                  </w:r>
                  <w:r>
                    <w:rPr>
                      <w:rFonts w:hint="eastAsia"/>
                    </w:rPr>
                    <w:t>、CODcr、</w:t>
                  </w:r>
                </w:p>
                <w:p w14:paraId="0427A453">
                  <w:pPr>
                    <w:pStyle w:val="40"/>
                  </w:pPr>
                  <w:r>
                    <w:rPr>
                      <w:rFonts w:hint="eastAsia"/>
                    </w:rPr>
                    <w:t>NH</w:t>
                  </w:r>
                  <w:r>
                    <w:rPr>
                      <w:rFonts w:hint="eastAsia"/>
                      <w:vertAlign w:val="subscript"/>
                    </w:rPr>
                    <w:t>3</w:t>
                  </w:r>
                  <w:r>
                    <w:rPr>
                      <w:rFonts w:hint="eastAsia"/>
                    </w:rPr>
                    <w:t>-N、总磷、总氮</w:t>
                  </w:r>
                </w:p>
              </w:tc>
              <w:tc>
                <w:tcPr>
                  <w:tcW w:w="772" w:type="pct"/>
                  <w:noWrap/>
                  <w:vAlign w:val="center"/>
                </w:tcPr>
                <w:p w14:paraId="37D50C47">
                  <w:pPr>
                    <w:pStyle w:val="40"/>
                  </w:pPr>
                  <w:r>
                    <w:rPr>
                      <w:rFonts w:hint="eastAsia"/>
                    </w:rPr>
                    <w:t>1</w:t>
                  </w:r>
                  <w:r>
                    <w:t>次</w:t>
                  </w:r>
                  <w:r>
                    <w:rPr>
                      <w:rFonts w:hint="eastAsia"/>
                    </w:rPr>
                    <w:t>/半年</w:t>
                  </w:r>
                </w:p>
              </w:tc>
              <w:tc>
                <w:tcPr>
                  <w:tcW w:w="1744" w:type="pct"/>
                  <w:noWrap/>
                  <w:vAlign w:val="center"/>
                </w:tcPr>
                <w:p w14:paraId="27A39572">
                  <w:pPr>
                    <w:spacing w:line="240" w:lineRule="auto"/>
                    <w:ind w:firstLine="0" w:firstLineChars="0"/>
                    <w:jc w:val="center"/>
                  </w:pPr>
                  <w:r>
                    <w:rPr>
                      <w:rFonts w:hint="eastAsia"/>
                      <w:snapToGrid w:val="0"/>
                    </w:rPr>
                    <w:t>《污水综合排放标准》（GB8978-1996）中表 4 三级标准、</w:t>
                  </w:r>
                  <w:bookmarkStart w:id="118" w:name="OLE_LINK719"/>
                  <w:bookmarkStart w:id="119" w:name="OLE_LINK718"/>
                  <w:r>
                    <w:rPr>
                      <w:rFonts w:hint="eastAsia"/>
                    </w:rPr>
                    <w:t>秦皇岛市抚宁区中冶水务有限公司</w:t>
                  </w:r>
                  <w:bookmarkEnd w:id="118"/>
                  <w:bookmarkEnd w:id="119"/>
                  <w:r>
                    <w:rPr>
                      <w:rFonts w:hint="eastAsia"/>
                    </w:rPr>
                    <w:t>进水水质要求</w:t>
                  </w:r>
                </w:p>
              </w:tc>
            </w:tr>
          </w:tbl>
          <w:p w14:paraId="6328423F">
            <w:pPr>
              <w:ind w:firstLine="420"/>
            </w:pPr>
            <w:r>
              <w:rPr>
                <w:rFonts w:hint="eastAsia"/>
              </w:rPr>
              <w:t>（7）小</w:t>
            </w:r>
            <w:r>
              <w:t>结</w:t>
            </w:r>
          </w:p>
          <w:p w14:paraId="3F24DE73">
            <w:pPr>
              <w:snapToGrid w:val="0"/>
              <w:ind w:firstLine="420"/>
              <w:contextualSpacing/>
              <w:rPr>
                <w:szCs w:val="21"/>
              </w:rPr>
            </w:pPr>
            <w:r>
              <w:t>本项目生产废水</w:t>
            </w:r>
            <w:r>
              <w:rPr>
                <w:rFonts w:hint="eastAsia"/>
              </w:rPr>
              <w:t>经污水处理站处理达到</w:t>
            </w:r>
            <w:r>
              <w:rPr>
                <w:rFonts w:hint="eastAsia"/>
                <w:snapToGrid w:val="0"/>
              </w:rPr>
              <w:t>《污水综合排放标准》（</w:t>
            </w:r>
            <w:r>
              <w:rPr>
                <w:snapToGrid w:val="0"/>
              </w:rPr>
              <w:t>GB8978-1996</w:t>
            </w:r>
            <w:r>
              <w:rPr>
                <w:rFonts w:hint="eastAsia"/>
                <w:snapToGrid w:val="0"/>
              </w:rPr>
              <w:t>）中表</w:t>
            </w:r>
            <w:r>
              <w:rPr>
                <w:snapToGrid w:val="0"/>
              </w:rPr>
              <w:t xml:space="preserve"> 4 </w:t>
            </w:r>
            <w:r>
              <w:rPr>
                <w:rFonts w:hint="eastAsia"/>
                <w:snapToGrid w:val="0"/>
              </w:rPr>
              <w:t>三级标准并满足</w:t>
            </w:r>
            <w:r>
              <w:rPr>
                <w:rFonts w:hint="eastAsia"/>
              </w:rPr>
              <w:t>秦皇岛市抚宁区中冶水务有限公司进水水质要求后，通过罐车拉运至秦皇岛市抚宁区中冶水务有限公司进一步处理</w:t>
            </w:r>
            <w:r>
              <w:t>，对水环境影响</w:t>
            </w:r>
            <w:r>
              <w:rPr>
                <w:rFonts w:hint="eastAsia"/>
              </w:rPr>
              <w:t>较</w:t>
            </w:r>
            <w:r>
              <w:t>小。</w:t>
            </w:r>
          </w:p>
          <w:p w14:paraId="6B01BA59">
            <w:pPr>
              <w:numPr>
                <w:ilvl w:val="0"/>
                <w:numId w:val="6"/>
              </w:numPr>
              <w:snapToGrid w:val="0"/>
              <w:ind w:firstLine="422"/>
              <w:contextualSpacing/>
              <w:rPr>
                <w:b/>
                <w:bCs/>
              </w:rPr>
            </w:pPr>
            <w:r>
              <w:rPr>
                <w:b/>
                <w:bCs/>
              </w:rPr>
              <w:t>噪声对环境的影响分析</w:t>
            </w:r>
            <w:bookmarkStart w:id="120" w:name="_Toc60025731"/>
            <w:bookmarkStart w:id="121" w:name="_Toc60021814"/>
          </w:p>
          <w:p w14:paraId="5F85A43B">
            <w:pPr>
              <w:numPr>
                <w:ilvl w:val="0"/>
                <w:numId w:val="7"/>
              </w:numPr>
              <w:snapToGrid w:val="0"/>
              <w:ind w:firstLine="422"/>
              <w:contextualSpacing/>
              <w:rPr>
                <w:b/>
              </w:rPr>
            </w:pPr>
            <w:r>
              <w:rPr>
                <w:b/>
                <w:szCs w:val="21"/>
              </w:rPr>
              <w:t>噪声源</w:t>
            </w:r>
            <w:r>
              <w:rPr>
                <w:rFonts w:hint="eastAsia"/>
                <w:b/>
                <w:szCs w:val="21"/>
              </w:rPr>
              <w:t>强</w:t>
            </w:r>
            <w:r>
              <w:rPr>
                <w:b/>
              </w:rPr>
              <w:t>调查清单</w:t>
            </w:r>
            <w:bookmarkEnd w:id="120"/>
            <w:bookmarkEnd w:id="121"/>
          </w:p>
          <w:p w14:paraId="4432D1C2">
            <w:pPr>
              <w:snapToGrid w:val="0"/>
              <w:ind w:firstLine="420"/>
              <w:contextualSpacing/>
              <w:rPr>
                <w:bCs/>
                <w:szCs w:val="21"/>
              </w:rPr>
            </w:pPr>
            <w:r>
              <w:rPr>
                <w:rFonts w:hint="eastAsia"/>
                <w:bCs/>
                <w:szCs w:val="21"/>
              </w:rPr>
              <w:t>本</w:t>
            </w:r>
            <w:r>
              <w:rPr>
                <w:bCs/>
                <w:szCs w:val="21"/>
              </w:rPr>
              <w:t>项目产噪设备主要为</w:t>
            </w:r>
            <w:r>
              <w:rPr>
                <w:rFonts w:hint="eastAsia"/>
                <w:bCs/>
                <w:szCs w:val="21"/>
              </w:rPr>
              <w:t>生产设备、锅炉运行时风机、泵类等</w:t>
            </w:r>
            <w:r>
              <w:rPr>
                <w:bCs/>
                <w:szCs w:val="21"/>
              </w:rPr>
              <w:t>，源强约</w:t>
            </w:r>
            <w:r>
              <w:rPr>
                <w:rFonts w:hint="eastAsia"/>
                <w:bCs/>
                <w:szCs w:val="21"/>
              </w:rPr>
              <w:t>80</w:t>
            </w:r>
            <w:r>
              <w:rPr>
                <w:bCs/>
                <w:szCs w:val="21"/>
              </w:rPr>
              <w:t>~</w:t>
            </w:r>
            <w:r>
              <w:rPr>
                <w:rFonts w:hint="eastAsia"/>
                <w:bCs/>
                <w:szCs w:val="21"/>
              </w:rPr>
              <w:t>85</w:t>
            </w:r>
            <w:r>
              <w:rPr>
                <w:bCs/>
                <w:szCs w:val="21"/>
              </w:rPr>
              <w:t>dB(A)，项目优先选用低噪设备、基础减振、隔声等措施，降噪效果约25dB(A)；项目噪声源及噪声控制措施情况见下表。</w:t>
            </w:r>
          </w:p>
          <w:p w14:paraId="7FF8D3EB">
            <w:pPr>
              <w:pStyle w:val="75"/>
              <w:widowControl w:val="0"/>
              <w:numPr>
                <w:ilvl w:val="0"/>
                <w:numId w:val="0"/>
              </w:numPr>
              <w:spacing w:beforeLines="50"/>
              <w:ind w:firstLine="422"/>
            </w:pPr>
            <w:r>
              <w:rPr>
                <w:rFonts w:hint="eastAsia"/>
              </w:rPr>
              <w:t>表4-12工业企业噪声源强调查清单（室内声源）</w:t>
            </w: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7"/>
              <w:gridCol w:w="709"/>
              <w:gridCol w:w="714"/>
              <w:gridCol w:w="430"/>
              <w:gridCol w:w="702"/>
              <w:gridCol w:w="854"/>
              <w:gridCol w:w="849"/>
              <w:gridCol w:w="424"/>
              <w:gridCol w:w="575"/>
              <w:gridCol w:w="985"/>
              <w:gridCol w:w="842"/>
              <w:gridCol w:w="442"/>
            </w:tblGrid>
            <w:tr w14:paraId="68CEB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Merge w:val="restart"/>
                  <w:vAlign w:val="center"/>
                </w:tcPr>
                <w:p w14:paraId="3CA1D1FE">
                  <w:pPr>
                    <w:adjustRightInd w:val="0"/>
                    <w:snapToGrid w:val="0"/>
                    <w:spacing w:line="240" w:lineRule="auto"/>
                    <w:ind w:firstLine="0" w:firstLineChars="0"/>
                    <w:jc w:val="center"/>
                    <w:rPr>
                      <w:bCs/>
                      <w:szCs w:val="21"/>
                    </w:rPr>
                  </w:pPr>
                  <w:r>
                    <w:rPr>
                      <w:rFonts w:hint="eastAsia"/>
                      <w:bCs/>
                      <w:szCs w:val="21"/>
                    </w:rPr>
                    <w:t>名称</w:t>
                  </w:r>
                </w:p>
              </w:tc>
              <w:tc>
                <w:tcPr>
                  <w:tcW w:w="1103" w:type="pct"/>
                  <w:gridSpan w:val="3"/>
                  <w:vAlign w:val="center"/>
                </w:tcPr>
                <w:p w14:paraId="178B4CE0">
                  <w:pPr>
                    <w:adjustRightInd w:val="0"/>
                    <w:snapToGrid w:val="0"/>
                    <w:spacing w:line="240" w:lineRule="auto"/>
                    <w:ind w:firstLine="0" w:firstLineChars="0"/>
                    <w:jc w:val="center"/>
                    <w:rPr>
                      <w:bCs/>
                      <w:szCs w:val="21"/>
                    </w:rPr>
                  </w:pPr>
                  <w:r>
                    <w:rPr>
                      <w:bCs/>
                      <w:szCs w:val="21"/>
                    </w:rPr>
                    <w:t>空间相对位置/m</w:t>
                  </w:r>
                </w:p>
              </w:tc>
              <w:tc>
                <w:tcPr>
                  <w:tcW w:w="418" w:type="pct"/>
                  <w:vMerge w:val="restart"/>
                  <w:vAlign w:val="center"/>
                </w:tcPr>
                <w:p w14:paraId="57C687C2">
                  <w:pPr>
                    <w:adjustRightInd w:val="0"/>
                    <w:snapToGrid w:val="0"/>
                    <w:spacing w:line="240" w:lineRule="auto"/>
                    <w:ind w:firstLine="0" w:firstLineChars="0"/>
                    <w:jc w:val="center"/>
                    <w:rPr>
                      <w:bCs/>
                      <w:szCs w:val="21"/>
                    </w:rPr>
                  </w:pPr>
                  <w:r>
                    <w:rPr>
                      <w:bCs/>
                      <w:szCs w:val="21"/>
                    </w:rPr>
                    <w:t>声源源强dB（A）</w:t>
                  </w:r>
                </w:p>
              </w:tc>
              <w:tc>
                <w:tcPr>
                  <w:tcW w:w="508" w:type="pct"/>
                  <w:vMerge w:val="restart"/>
                  <w:vAlign w:val="center"/>
                </w:tcPr>
                <w:p w14:paraId="2F25E9C1">
                  <w:pPr>
                    <w:adjustRightInd w:val="0"/>
                    <w:snapToGrid w:val="0"/>
                    <w:spacing w:line="240" w:lineRule="auto"/>
                    <w:ind w:firstLine="0" w:firstLineChars="0"/>
                    <w:jc w:val="center"/>
                    <w:rPr>
                      <w:bCs/>
                      <w:szCs w:val="21"/>
                    </w:rPr>
                  </w:pPr>
                  <w:r>
                    <w:rPr>
                      <w:rFonts w:hint="eastAsia"/>
                      <w:bCs/>
                      <w:szCs w:val="21"/>
                    </w:rPr>
                    <w:t>距室内边界距离/</w:t>
                  </w:r>
                  <w:r>
                    <w:rPr>
                      <w:bCs/>
                      <w:szCs w:val="21"/>
                    </w:rPr>
                    <w:t>m</w:t>
                  </w:r>
                </w:p>
              </w:tc>
              <w:tc>
                <w:tcPr>
                  <w:tcW w:w="505" w:type="pct"/>
                  <w:vMerge w:val="restart"/>
                  <w:vAlign w:val="center"/>
                </w:tcPr>
                <w:p w14:paraId="249C4E6B">
                  <w:pPr>
                    <w:adjustRightInd w:val="0"/>
                    <w:snapToGrid w:val="0"/>
                    <w:spacing w:line="240" w:lineRule="auto"/>
                    <w:ind w:firstLine="0" w:firstLineChars="0"/>
                    <w:jc w:val="center"/>
                    <w:rPr>
                      <w:bCs/>
                      <w:szCs w:val="21"/>
                    </w:rPr>
                  </w:pPr>
                  <w:r>
                    <w:rPr>
                      <w:rFonts w:hint="eastAsia"/>
                      <w:bCs/>
                      <w:szCs w:val="21"/>
                    </w:rPr>
                    <w:t>室内边界声级/</w:t>
                  </w:r>
                  <w:r>
                    <w:rPr>
                      <w:bCs/>
                      <w:szCs w:val="21"/>
                    </w:rPr>
                    <w:t>dB</w:t>
                  </w:r>
                  <w:r>
                    <w:rPr>
                      <w:rFonts w:hint="eastAsia"/>
                      <w:bCs/>
                      <w:szCs w:val="21"/>
                    </w:rPr>
                    <w:t>(</w:t>
                  </w:r>
                  <w:r>
                    <w:rPr>
                      <w:bCs/>
                      <w:szCs w:val="21"/>
                    </w:rPr>
                    <w:t>A)</w:t>
                  </w:r>
                </w:p>
              </w:tc>
              <w:tc>
                <w:tcPr>
                  <w:tcW w:w="252" w:type="pct"/>
                  <w:vMerge w:val="restart"/>
                  <w:vAlign w:val="center"/>
                </w:tcPr>
                <w:p w14:paraId="671C3846">
                  <w:pPr>
                    <w:adjustRightInd w:val="0"/>
                    <w:snapToGrid w:val="0"/>
                    <w:spacing w:line="240" w:lineRule="auto"/>
                    <w:ind w:firstLine="0" w:firstLineChars="0"/>
                    <w:jc w:val="center"/>
                    <w:rPr>
                      <w:bCs/>
                      <w:szCs w:val="21"/>
                    </w:rPr>
                  </w:pPr>
                  <w:r>
                    <w:rPr>
                      <w:rFonts w:hint="eastAsia"/>
                      <w:bCs/>
                      <w:szCs w:val="21"/>
                    </w:rPr>
                    <w:t>发声特性</w:t>
                  </w:r>
                </w:p>
              </w:tc>
              <w:tc>
                <w:tcPr>
                  <w:tcW w:w="342" w:type="pct"/>
                  <w:vMerge w:val="restart"/>
                  <w:vAlign w:val="center"/>
                </w:tcPr>
                <w:p w14:paraId="2AF0B73E">
                  <w:pPr>
                    <w:adjustRightInd w:val="0"/>
                    <w:snapToGrid w:val="0"/>
                    <w:spacing w:line="240" w:lineRule="auto"/>
                    <w:ind w:firstLine="0" w:firstLineChars="0"/>
                    <w:jc w:val="center"/>
                    <w:rPr>
                      <w:bCs/>
                      <w:szCs w:val="21"/>
                    </w:rPr>
                  </w:pPr>
                  <w:r>
                    <w:rPr>
                      <w:rFonts w:hint="eastAsia"/>
                      <w:bCs/>
                      <w:szCs w:val="21"/>
                    </w:rPr>
                    <w:t>运行时段</w:t>
                  </w:r>
                </w:p>
              </w:tc>
              <w:tc>
                <w:tcPr>
                  <w:tcW w:w="586" w:type="pct"/>
                  <w:vMerge w:val="restart"/>
                  <w:vAlign w:val="center"/>
                </w:tcPr>
                <w:p w14:paraId="065D4773">
                  <w:pPr>
                    <w:adjustRightInd w:val="0"/>
                    <w:snapToGrid w:val="0"/>
                    <w:spacing w:line="240" w:lineRule="auto"/>
                    <w:ind w:firstLine="0" w:firstLineChars="0"/>
                    <w:jc w:val="center"/>
                    <w:rPr>
                      <w:bCs/>
                      <w:szCs w:val="21"/>
                    </w:rPr>
                  </w:pPr>
                  <w:r>
                    <w:rPr>
                      <w:rFonts w:hint="eastAsia"/>
                      <w:bCs/>
                      <w:szCs w:val="21"/>
                    </w:rPr>
                    <w:t>建筑物插入损失</w:t>
                  </w:r>
                  <w:r>
                    <w:rPr>
                      <w:bCs/>
                      <w:szCs w:val="21"/>
                    </w:rPr>
                    <w:t>dB（A）</w:t>
                  </w:r>
                </w:p>
              </w:tc>
              <w:tc>
                <w:tcPr>
                  <w:tcW w:w="764" w:type="pct"/>
                  <w:gridSpan w:val="2"/>
                  <w:vAlign w:val="center"/>
                </w:tcPr>
                <w:p w14:paraId="0CE77925">
                  <w:pPr>
                    <w:adjustRightInd w:val="0"/>
                    <w:snapToGrid w:val="0"/>
                    <w:spacing w:line="240" w:lineRule="auto"/>
                    <w:ind w:firstLine="0" w:firstLineChars="0"/>
                    <w:jc w:val="center"/>
                    <w:rPr>
                      <w:bCs/>
                      <w:szCs w:val="21"/>
                    </w:rPr>
                  </w:pPr>
                  <w:r>
                    <w:rPr>
                      <w:rFonts w:hint="eastAsia"/>
                      <w:bCs/>
                      <w:szCs w:val="21"/>
                    </w:rPr>
                    <w:t>建筑物外噪声</w:t>
                  </w:r>
                </w:p>
              </w:tc>
            </w:tr>
            <w:tr w14:paraId="41E86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Merge w:val="continue"/>
                  <w:vAlign w:val="center"/>
                </w:tcPr>
                <w:p w14:paraId="56E6758F">
                  <w:pPr>
                    <w:adjustRightInd w:val="0"/>
                    <w:snapToGrid w:val="0"/>
                    <w:spacing w:line="240" w:lineRule="auto"/>
                    <w:ind w:firstLine="0" w:firstLineChars="0"/>
                    <w:jc w:val="center"/>
                    <w:rPr>
                      <w:bCs/>
                      <w:szCs w:val="21"/>
                    </w:rPr>
                  </w:pPr>
                </w:p>
              </w:tc>
              <w:tc>
                <w:tcPr>
                  <w:tcW w:w="422" w:type="pct"/>
                  <w:vAlign w:val="center"/>
                </w:tcPr>
                <w:p w14:paraId="7DEB6444">
                  <w:pPr>
                    <w:adjustRightInd w:val="0"/>
                    <w:snapToGrid w:val="0"/>
                    <w:spacing w:line="240" w:lineRule="auto"/>
                    <w:ind w:firstLine="0" w:firstLineChars="0"/>
                    <w:jc w:val="center"/>
                    <w:rPr>
                      <w:bCs/>
                      <w:szCs w:val="21"/>
                    </w:rPr>
                  </w:pPr>
                  <w:r>
                    <w:rPr>
                      <w:bCs/>
                      <w:szCs w:val="21"/>
                    </w:rPr>
                    <w:t>X</w:t>
                  </w:r>
                </w:p>
              </w:tc>
              <w:tc>
                <w:tcPr>
                  <w:tcW w:w="425" w:type="pct"/>
                  <w:vAlign w:val="center"/>
                </w:tcPr>
                <w:p w14:paraId="0FF19B4F">
                  <w:pPr>
                    <w:adjustRightInd w:val="0"/>
                    <w:snapToGrid w:val="0"/>
                    <w:spacing w:line="240" w:lineRule="auto"/>
                    <w:ind w:firstLine="0" w:firstLineChars="0"/>
                    <w:jc w:val="center"/>
                    <w:rPr>
                      <w:bCs/>
                      <w:szCs w:val="21"/>
                    </w:rPr>
                  </w:pPr>
                  <w:r>
                    <w:rPr>
                      <w:bCs/>
                      <w:szCs w:val="21"/>
                    </w:rPr>
                    <w:t>Y</w:t>
                  </w:r>
                </w:p>
              </w:tc>
              <w:tc>
                <w:tcPr>
                  <w:tcW w:w="256" w:type="pct"/>
                  <w:vAlign w:val="center"/>
                </w:tcPr>
                <w:p w14:paraId="071F1165">
                  <w:pPr>
                    <w:adjustRightInd w:val="0"/>
                    <w:snapToGrid w:val="0"/>
                    <w:spacing w:line="240" w:lineRule="auto"/>
                    <w:ind w:firstLine="0" w:firstLineChars="0"/>
                    <w:jc w:val="center"/>
                    <w:rPr>
                      <w:bCs/>
                      <w:szCs w:val="21"/>
                    </w:rPr>
                  </w:pPr>
                  <w:r>
                    <w:rPr>
                      <w:bCs/>
                      <w:szCs w:val="21"/>
                    </w:rPr>
                    <w:t>z</w:t>
                  </w:r>
                </w:p>
              </w:tc>
              <w:tc>
                <w:tcPr>
                  <w:tcW w:w="418" w:type="pct"/>
                  <w:vMerge w:val="continue"/>
                  <w:vAlign w:val="center"/>
                </w:tcPr>
                <w:p w14:paraId="2089FEA2">
                  <w:pPr>
                    <w:adjustRightInd w:val="0"/>
                    <w:snapToGrid w:val="0"/>
                    <w:spacing w:line="240" w:lineRule="auto"/>
                    <w:ind w:firstLine="0" w:firstLineChars="0"/>
                    <w:jc w:val="center"/>
                    <w:rPr>
                      <w:bCs/>
                      <w:szCs w:val="21"/>
                    </w:rPr>
                  </w:pPr>
                </w:p>
              </w:tc>
              <w:tc>
                <w:tcPr>
                  <w:tcW w:w="508" w:type="pct"/>
                  <w:vMerge w:val="continue"/>
                  <w:vAlign w:val="center"/>
                </w:tcPr>
                <w:p w14:paraId="41810434">
                  <w:pPr>
                    <w:adjustRightInd w:val="0"/>
                    <w:snapToGrid w:val="0"/>
                    <w:spacing w:line="240" w:lineRule="auto"/>
                    <w:ind w:firstLine="0" w:firstLineChars="0"/>
                    <w:jc w:val="center"/>
                    <w:rPr>
                      <w:bCs/>
                      <w:szCs w:val="21"/>
                    </w:rPr>
                  </w:pPr>
                </w:p>
              </w:tc>
              <w:tc>
                <w:tcPr>
                  <w:tcW w:w="505" w:type="pct"/>
                  <w:vMerge w:val="continue"/>
                  <w:vAlign w:val="center"/>
                </w:tcPr>
                <w:p w14:paraId="238B642D">
                  <w:pPr>
                    <w:adjustRightInd w:val="0"/>
                    <w:snapToGrid w:val="0"/>
                    <w:spacing w:line="240" w:lineRule="auto"/>
                    <w:ind w:firstLine="0" w:firstLineChars="0"/>
                    <w:jc w:val="center"/>
                    <w:rPr>
                      <w:bCs/>
                      <w:szCs w:val="21"/>
                    </w:rPr>
                  </w:pPr>
                </w:p>
              </w:tc>
              <w:tc>
                <w:tcPr>
                  <w:tcW w:w="252" w:type="pct"/>
                  <w:vMerge w:val="continue"/>
                  <w:vAlign w:val="center"/>
                </w:tcPr>
                <w:p w14:paraId="6FE2A5F8">
                  <w:pPr>
                    <w:adjustRightInd w:val="0"/>
                    <w:snapToGrid w:val="0"/>
                    <w:spacing w:line="240" w:lineRule="auto"/>
                    <w:ind w:firstLine="0" w:firstLineChars="0"/>
                    <w:jc w:val="center"/>
                    <w:rPr>
                      <w:bCs/>
                      <w:szCs w:val="21"/>
                    </w:rPr>
                  </w:pPr>
                </w:p>
              </w:tc>
              <w:tc>
                <w:tcPr>
                  <w:tcW w:w="342" w:type="pct"/>
                  <w:vMerge w:val="continue"/>
                  <w:vAlign w:val="center"/>
                </w:tcPr>
                <w:p w14:paraId="708BB558">
                  <w:pPr>
                    <w:adjustRightInd w:val="0"/>
                    <w:snapToGrid w:val="0"/>
                    <w:spacing w:line="240" w:lineRule="auto"/>
                    <w:ind w:firstLine="0" w:firstLineChars="0"/>
                    <w:jc w:val="center"/>
                    <w:rPr>
                      <w:bCs/>
                      <w:szCs w:val="21"/>
                    </w:rPr>
                  </w:pPr>
                </w:p>
              </w:tc>
              <w:tc>
                <w:tcPr>
                  <w:tcW w:w="586" w:type="pct"/>
                  <w:vMerge w:val="continue"/>
                  <w:vAlign w:val="center"/>
                </w:tcPr>
                <w:p w14:paraId="11664901">
                  <w:pPr>
                    <w:adjustRightInd w:val="0"/>
                    <w:snapToGrid w:val="0"/>
                    <w:spacing w:line="240" w:lineRule="auto"/>
                    <w:ind w:firstLine="0" w:firstLineChars="0"/>
                    <w:jc w:val="center"/>
                    <w:rPr>
                      <w:bCs/>
                      <w:szCs w:val="21"/>
                    </w:rPr>
                  </w:pPr>
                </w:p>
              </w:tc>
              <w:tc>
                <w:tcPr>
                  <w:tcW w:w="501" w:type="pct"/>
                  <w:vAlign w:val="center"/>
                </w:tcPr>
                <w:p w14:paraId="555CF263">
                  <w:pPr>
                    <w:adjustRightInd w:val="0"/>
                    <w:snapToGrid w:val="0"/>
                    <w:spacing w:line="240" w:lineRule="auto"/>
                    <w:ind w:firstLine="0" w:firstLineChars="0"/>
                    <w:jc w:val="center"/>
                    <w:rPr>
                      <w:bCs/>
                      <w:szCs w:val="21"/>
                    </w:rPr>
                  </w:pPr>
                  <w:r>
                    <w:rPr>
                      <w:rFonts w:hint="eastAsia"/>
                      <w:bCs/>
                      <w:szCs w:val="21"/>
                    </w:rPr>
                    <w:t>声压级</w:t>
                  </w:r>
                  <w:r>
                    <w:rPr>
                      <w:bCs/>
                      <w:szCs w:val="21"/>
                    </w:rPr>
                    <w:t>dB（A）</w:t>
                  </w:r>
                </w:p>
              </w:tc>
              <w:tc>
                <w:tcPr>
                  <w:tcW w:w="263" w:type="pct"/>
                  <w:vAlign w:val="center"/>
                </w:tcPr>
                <w:p w14:paraId="4702FF6D">
                  <w:pPr>
                    <w:adjustRightInd w:val="0"/>
                    <w:snapToGrid w:val="0"/>
                    <w:spacing w:line="240" w:lineRule="auto"/>
                    <w:ind w:firstLine="0" w:firstLineChars="0"/>
                    <w:jc w:val="center"/>
                    <w:rPr>
                      <w:bCs/>
                      <w:szCs w:val="21"/>
                    </w:rPr>
                  </w:pPr>
                  <w:r>
                    <w:rPr>
                      <w:rFonts w:hint="eastAsia"/>
                      <w:bCs/>
                      <w:szCs w:val="21"/>
                    </w:rPr>
                    <w:t>建筑物外距离</w:t>
                  </w:r>
                </w:p>
              </w:tc>
            </w:tr>
            <w:tr w14:paraId="1D443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Align w:val="center"/>
                </w:tcPr>
                <w:p w14:paraId="0C0D65F9">
                  <w:pPr>
                    <w:pStyle w:val="40"/>
                  </w:pPr>
                  <w:r>
                    <w:rPr>
                      <w:rFonts w:hint="eastAsia"/>
                    </w:rPr>
                    <w:t>削皮器</w:t>
                  </w:r>
                </w:p>
              </w:tc>
              <w:tc>
                <w:tcPr>
                  <w:tcW w:w="422" w:type="pct"/>
                  <w:vAlign w:val="center"/>
                </w:tcPr>
                <w:p w14:paraId="3384F6E8">
                  <w:pPr>
                    <w:spacing w:line="240" w:lineRule="auto"/>
                    <w:ind w:firstLine="0" w:firstLineChars="0"/>
                    <w:jc w:val="center"/>
                  </w:pPr>
                  <w:r>
                    <w:t>24.59</w:t>
                  </w:r>
                </w:p>
              </w:tc>
              <w:tc>
                <w:tcPr>
                  <w:tcW w:w="425" w:type="pct"/>
                  <w:vAlign w:val="center"/>
                </w:tcPr>
                <w:p w14:paraId="1B0EAEDB">
                  <w:pPr>
                    <w:spacing w:line="240" w:lineRule="auto"/>
                    <w:ind w:firstLine="0" w:firstLineChars="0"/>
                    <w:jc w:val="center"/>
                  </w:pPr>
                  <w:r>
                    <w:t>37.4</w:t>
                  </w:r>
                </w:p>
              </w:tc>
              <w:tc>
                <w:tcPr>
                  <w:tcW w:w="256" w:type="pct"/>
                  <w:vAlign w:val="center"/>
                </w:tcPr>
                <w:p w14:paraId="78967FDE">
                  <w:pPr>
                    <w:spacing w:line="240" w:lineRule="auto"/>
                    <w:ind w:firstLine="0" w:firstLineChars="0"/>
                    <w:jc w:val="center"/>
                  </w:pPr>
                  <w:r>
                    <w:t>1</w:t>
                  </w:r>
                </w:p>
              </w:tc>
              <w:tc>
                <w:tcPr>
                  <w:tcW w:w="418" w:type="pct"/>
                  <w:vAlign w:val="center"/>
                </w:tcPr>
                <w:p w14:paraId="19EB9674">
                  <w:pPr>
                    <w:spacing w:line="240" w:lineRule="auto"/>
                    <w:ind w:firstLine="0" w:firstLineChars="0"/>
                    <w:jc w:val="center"/>
                  </w:pPr>
                  <w:r>
                    <w:rPr>
                      <w:rFonts w:hint="eastAsia"/>
                    </w:rPr>
                    <w:t>80</w:t>
                  </w:r>
                </w:p>
              </w:tc>
              <w:tc>
                <w:tcPr>
                  <w:tcW w:w="508" w:type="pct"/>
                  <w:vAlign w:val="center"/>
                </w:tcPr>
                <w:p w14:paraId="0E20283B">
                  <w:pPr>
                    <w:spacing w:line="240" w:lineRule="auto"/>
                    <w:ind w:firstLine="0" w:firstLineChars="0"/>
                    <w:jc w:val="center"/>
                  </w:pPr>
                  <w:r>
                    <w:rPr>
                      <w:rFonts w:hint="eastAsia"/>
                    </w:rPr>
                    <w:t>5.44-44.67</w:t>
                  </w:r>
                </w:p>
              </w:tc>
              <w:tc>
                <w:tcPr>
                  <w:tcW w:w="505" w:type="pct"/>
                  <w:vAlign w:val="center"/>
                </w:tcPr>
                <w:p w14:paraId="64DAA130">
                  <w:pPr>
                    <w:spacing w:line="240" w:lineRule="auto"/>
                    <w:ind w:firstLine="0" w:firstLineChars="0"/>
                    <w:jc w:val="center"/>
                  </w:pPr>
                  <w:r>
                    <w:rPr>
                      <w:rFonts w:hint="eastAsia"/>
                    </w:rPr>
                    <w:t>64.27-64.68</w:t>
                  </w:r>
                </w:p>
              </w:tc>
              <w:tc>
                <w:tcPr>
                  <w:tcW w:w="252" w:type="pct"/>
                  <w:vAlign w:val="center"/>
                </w:tcPr>
                <w:p w14:paraId="3C7C2AA9">
                  <w:pPr>
                    <w:spacing w:line="240" w:lineRule="auto"/>
                    <w:ind w:firstLine="0" w:firstLineChars="0"/>
                    <w:jc w:val="center"/>
                  </w:pPr>
                  <w:bookmarkStart w:id="122" w:name="OLE_LINK65"/>
                  <w:bookmarkStart w:id="123" w:name="OLE_LINK66"/>
                  <w:r>
                    <w:rPr>
                      <w:rFonts w:hint="eastAsia"/>
                    </w:rPr>
                    <w:t>连续</w:t>
                  </w:r>
                  <w:bookmarkEnd w:id="122"/>
                  <w:bookmarkEnd w:id="123"/>
                </w:p>
              </w:tc>
              <w:tc>
                <w:tcPr>
                  <w:tcW w:w="342" w:type="pct"/>
                  <w:vAlign w:val="center"/>
                </w:tcPr>
                <w:p w14:paraId="5BBA88BF">
                  <w:pPr>
                    <w:spacing w:line="240" w:lineRule="auto"/>
                    <w:ind w:firstLine="0" w:firstLineChars="0"/>
                    <w:jc w:val="center"/>
                  </w:pPr>
                  <w:r>
                    <w:rPr>
                      <w:rFonts w:hint="eastAsia"/>
                    </w:rPr>
                    <w:t>昼间</w:t>
                  </w:r>
                </w:p>
              </w:tc>
              <w:tc>
                <w:tcPr>
                  <w:tcW w:w="586" w:type="pct"/>
                  <w:vMerge w:val="restart"/>
                  <w:vAlign w:val="center"/>
                </w:tcPr>
                <w:p w14:paraId="6527CD8A">
                  <w:pPr>
                    <w:spacing w:line="240" w:lineRule="auto"/>
                    <w:ind w:firstLine="0" w:firstLineChars="0"/>
                    <w:jc w:val="center"/>
                  </w:pPr>
                  <w:r>
                    <w:rPr>
                      <w:rFonts w:hint="eastAsia"/>
                    </w:rPr>
                    <w:t>20</w:t>
                  </w:r>
                </w:p>
              </w:tc>
              <w:tc>
                <w:tcPr>
                  <w:tcW w:w="501" w:type="pct"/>
                  <w:vAlign w:val="center"/>
                </w:tcPr>
                <w:p w14:paraId="4A49ABA0">
                  <w:pPr>
                    <w:spacing w:line="240" w:lineRule="auto"/>
                    <w:ind w:firstLine="0" w:firstLineChars="0"/>
                    <w:jc w:val="center"/>
                  </w:pPr>
                  <w:r>
                    <w:rPr>
                      <w:rFonts w:hint="eastAsia"/>
                    </w:rPr>
                    <w:t>38.27-38.68</w:t>
                  </w:r>
                </w:p>
              </w:tc>
              <w:tc>
                <w:tcPr>
                  <w:tcW w:w="263" w:type="pct"/>
                  <w:vAlign w:val="center"/>
                </w:tcPr>
                <w:p w14:paraId="061B235F">
                  <w:pPr>
                    <w:spacing w:line="240" w:lineRule="auto"/>
                    <w:ind w:firstLine="0" w:firstLineChars="0"/>
                    <w:jc w:val="center"/>
                  </w:pPr>
                  <w:r>
                    <w:rPr>
                      <w:rFonts w:hint="eastAsia"/>
                    </w:rPr>
                    <w:t>1</w:t>
                  </w:r>
                </w:p>
              </w:tc>
            </w:tr>
            <w:tr w14:paraId="0ED50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Align w:val="center"/>
                </w:tcPr>
                <w:p w14:paraId="5024AEF1">
                  <w:pPr>
                    <w:pStyle w:val="40"/>
                  </w:pPr>
                  <w:r>
                    <w:rPr>
                      <w:rFonts w:hint="eastAsia"/>
                    </w:rPr>
                    <w:t>切半机</w:t>
                  </w:r>
                </w:p>
              </w:tc>
              <w:tc>
                <w:tcPr>
                  <w:tcW w:w="422" w:type="pct"/>
                  <w:vAlign w:val="center"/>
                </w:tcPr>
                <w:p w14:paraId="54376A03">
                  <w:pPr>
                    <w:spacing w:line="240" w:lineRule="auto"/>
                    <w:ind w:firstLine="0" w:firstLineChars="0"/>
                    <w:jc w:val="center"/>
                  </w:pPr>
                  <w:r>
                    <w:t>26.07</w:t>
                  </w:r>
                </w:p>
              </w:tc>
              <w:tc>
                <w:tcPr>
                  <w:tcW w:w="425" w:type="pct"/>
                  <w:vAlign w:val="center"/>
                </w:tcPr>
                <w:p w14:paraId="1239C84A">
                  <w:pPr>
                    <w:spacing w:line="240" w:lineRule="auto"/>
                    <w:ind w:firstLine="0" w:firstLineChars="0"/>
                    <w:jc w:val="center"/>
                  </w:pPr>
                  <w:r>
                    <w:t>37.32</w:t>
                  </w:r>
                </w:p>
              </w:tc>
              <w:tc>
                <w:tcPr>
                  <w:tcW w:w="256" w:type="pct"/>
                  <w:vAlign w:val="center"/>
                </w:tcPr>
                <w:p w14:paraId="63A4F2F5">
                  <w:pPr>
                    <w:spacing w:line="240" w:lineRule="auto"/>
                    <w:ind w:firstLine="0" w:firstLineChars="0"/>
                    <w:jc w:val="center"/>
                  </w:pPr>
                  <w:r>
                    <w:rPr>
                      <w:rFonts w:hint="eastAsia"/>
                    </w:rPr>
                    <w:t>1</w:t>
                  </w:r>
                </w:p>
              </w:tc>
              <w:tc>
                <w:tcPr>
                  <w:tcW w:w="418" w:type="pct"/>
                  <w:vAlign w:val="center"/>
                </w:tcPr>
                <w:p w14:paraId="084F9C8A">
                  <w:pPr>
                    <w:spacing w:line="240" w:lineRule="auto"/>
                    <w:ind w:firstLine="0" w:firstLineChars="0"/>
                    <w:jc w:val="center"/>
                  </w:pPr>
                  <w:r>
                    <w:rPr>
                      <w:rFonts w:hint="eastAsia"/>
                    </w:rPr>
                    <w:t>80</w:t>
                  </w:r>
                </w:p>
              </w:tc>
              <w:tc>
                <w:tcPr>
                  <w:tcW w:w="508" w:type="pct"/>
                  <w:vAlign w:val="center"/>
                </w:tcPr>
                <w:p w14:paraId="1D5876CC">
                  <w:pPr>
                    <w:spacing w:line="240" w:lineRule="auto"/>
                    <w:ind w:firstLine="0" w:firstLineChars="0"/>
                    <w:jc w:val="center"/>
                  </w:pPr>
                  <w:r>
                    <w:rPr>
                      <w:rFonts w:hint="eastAsia"/>
                    </w:rPr>
                    <w:t>3.96-43.19</w:t>
                  </w:r>
                </w:p>
              </w:tc>
              <w:tc>
                <w:tcPr>
                  <w:tcW w:w="505" w:type="pct"/>
                  <w:vAlign w:val="center"/>
                </w:tcPr>
                <w:p w14:paraId="34855260">
                  <w:pPr>
                    <w:spacing w:line="240" w:lineRule="auto"/>
                    <w:ind w:firstLine="0" w:firstLineChars="0"/>
                    <w:jc w:val="center"/>
                  </w:pPr>
                  <w:r>
                    <w:rPr>
                      <w:rFonts w:hint="eastAsia"/>
                    </w:rPr>
                    <w:t>64.27-65.02</w:t>
                  </w:r>
                </w:p>
              </w:tc>
              <w:tc>
                <w:tcPr>
                  <w:tcW w:w="252" w:type="pct"/>
                  <w:vAlign w:val="center"/>
                </w:tcPr>
                <w:p w14:paraId="5C060633">
                  <w:pPr>
                    <w:spacing w:line="240" w:lineRule="auto"/>
                    <w:ind w:firstLine="0" w:firstLineChars="0"/>
                    <w:jc w:val="center"/>
                  </w:pPr>
                  <w:r>
                    <w:rPr>
                      <w:rFonts w:hint="eastAsia"/>
                    </w:rPr>
                    <w:t>连续</w:t>
                  </w:r>
                </w:p>
              </w:tc>
              <w:tc>
                <w:tcPr>
                  <w:tcW w:w="342" w:type="pct"/>
                  <w:vAlign w:val="center"/>
                </w:tcPr>
                <w:p w14:paraId="3B124A1D">
                  <w:pPr>
                    <w:spacing w:line="240" w:lineRule="auto"/>
                    <w:ind w:firstLine="0" w:firstLineChars="0"/>
                    <w:jc w:val="center"/>
                  </w:pPr>
                  <w:r>
                    <w:rPr>
                      <w:rFonts w:hint="eastAsia"/>
                    </w:rPr>
                    <w:t>昼间</w:t>
                  </w:r>
                </w:p>
              </w:tc>
              <w:tc>
                <w:tcPr>
                  <w:tcW w:w="586" w:type="pct"/>
                  <w:vMerge w:val="continue"/>
                  <w:vAlign w:val="center"/>
                </w:tcPr>
                <w:p w14:paraId="3490223C">
                  <w:pPr>
                    <w:adjustRightInd w:val="0"/>
                    <w:snapToGrid w:val="0"/>
                    <w:ind w:firstLine="420"/>
                    <w:jc w:val="center"/>
                  </w:pPr>
                </w:p>
              </w:tc>
              <w:tc>
                <w:tcPr>
                  <w:tcW w:w="501" w:type="pct"/>
                  <w:vAlign w:val="center"/>
                </w:tcPr>
                <w:p w14:paraId="7AA9DDF5">
                  <w:pPr>
                    <w:spacing w:line="240" w:lineRule="auto"/>
                    <w:ind w:firstLine="0" w:firstLineChars="0"/>
                    <w:jc w:val="center"/>
                  </w:pPr>
                  <w:r>
                    <w:rPr>
                      <w:rFonts w:hint="eastAsia"/>
                    </w:rPr>
                    <w:t>38.27-39.02</w:t>
                  </w:r>
                </w:p>
              </w:tc>
              <w:tc>
                <w:tcPr>
                  <w:tcW w:w="263" w:type="pct"/>
                  <w:vAlign w:val="center"/>
                </w:tcPr>
                <w:p w14:paraId="702B1329">
                  <w:pPr>
                    <w:spacing w:line="240" w:lineRule="auto"/>
                    <w:ind w:firstLine="0" w:firstLineChars="0"/>
                    <w:jc w:val="center"/>
                  </w:pPr>
                  <w:r>
                    <w:rPr>
                      <w:rFonts w:hint="eastAsia"/>
                    </w:rPr>
                    <w:t>1</w:t>
                  </w:r>
                </w:p>
              </w:tc>
            </w:tr>
            <w:tr w14:paraId="6E71D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Align w:val="center"/>
                </w:tcPr>
                <w:p w14:paraId="33DBD0FB">
                  <w:pPr>
                    <w:pStyle w:val="40"/>
                  </w:pPr>
                  <w:r>
                    <w:rPr>
                      <w:rFonts w:hint="eastAsia"/>
                    </w:rPr>
                    <w:t>全自动挖核机</w:t>
                  </w:r>
                </w:p>
              </w:tc>
              <w:tc>
                <w:tcPr>
                  <w:tcW w:w="422" w:type="pct"/>
                  <w:vAlign w:val="center"/>
                </w:tcPr>
                <w:p w14:paraId="779B7C8F">
                  <w:pPr>
                    <w:spacing w:line="240" w:lineRule="auto"/>
                    <w:ind w:firstLine="0" w:firstLineChars="0"/>
                    <w:jc w:val="center"/>
                  </w:pPr>
                  <w:r>
                    <w:t>27.47</w:t>
                  </w:r>
                </w:p>
              </w:tc>
              <w:tc>
                <w:tcPr>
                  <w:tcW w:w="425" w:type="pct"/>
                  <w:vAlign w:val="center"/>
                </w:tcPr>
                <w:p w14:paraId="0C5E0635">
                  <w:pPr>
                    <w:spacing w:line="240" w:lineRule="auto"/>
                    <w:ind w:firstLine="0" w:firstLineChars="0"/>
                    <w:jc w:val="center"/>
                  </w:pPr>
                  <w:r>
                    <w:t>37.25</w:t>
                  </w:r>
                </w:p>
              </w:tc>
              <w:tc>
                <w:tcPr>
                  <w:tcW w:w="256" w:type="pct"/>
                  <w:vAlign w:val="center"/>
                </w:tcPr>
                <w:p w14:paraId="54537F2F">
                  <w:pPr>
                    <w:spacing w:line="240" w:lineRule="auto"/>
                    <w:ind w:firstLine="0" w:firstLineChars="0"/>
                    <w:jc w:val="center"/>
                  </w:pPr>
                  <w:r>
                    <w:rPr>
                      <w:rFonts w:hint="eastAsia"/>
                    </w:rPr>
                    <w:t>1</w:t>
                  </w:r>
                </w:p>
              </w:tc>
              <w:tc>
                <w:tcPr>
                  <w:tcW w:w="418" w:type="pct"/>
                  <w:vAlign w:val="center"/>
                </w:tcPr>
                <w:p w14:paraId="45176BAC">
                  <w:pPr>
                    <w:spacing w:line="240" w:lineRule="auto"/>
                    <w:ind w:firstLine="0" w:firstLineChars="0"/>
                    <w:jc w:val="center"/>
                  </w:pPr>
                  <w:r>
                    <w:rPr>
                      <w:rFonts w:hint="eastAsia"/>
                    </w:rPr>
                    <w:t>80</w:t>
                  </w:r>
                </w:p>
              </w:tc>
              <w:tc>
                <w:tcPr>
                  <w:tcW w:w="508" w:type="pct"/>
                  <w:vAlign w:val="center"/>
                </w:tcPr>
                <w:p w14:paraId="7A7B4454">
                  <w:pPr>
                    <w:spacing w:line="240" w:lineRule="auto"/>
                    <w:ind w:firstLine="0" w:firstLineChars="0"/>
                    <w:jc w:val="center"/>
                  </w:pPr>
                  <w:r>
                    <w:rPr>
                      <w:rFonts w:hint="eastAsia"/>
                    </w:rPr>
                    <w:t>2.57-41.79</w:t>
                  </w:r>
                </w:p>
              </w:tc>
              <w:tc>
                <w:tcPr>
                  <w:tcW w:w="505" w:type="pct"/>
                  <w:vAlign w:val="center"/>
                </w:tcPr>
                <w:p w14:paraId="70164011">
                  <w:pPr>
                    <w:spacing w:line="240" w:lineRule="auto"/>
                    <w:ind w:firstLine="0" w:firstLineChars="0"/>
                    <w:jc w:val="center"/>
                  </w:pPr>
                  <w:r>
                    <w:rPr>
                      <w:rFonts w:hint="eastAsia"/>
                    </w:rPr>
                    <w:t>64.27-65.88</w:t>
                  </w:r>
                </w:p>
              </w:tc>
              <w:tc>
                <w:tcPr>
                  <w:tcW w:w="252" w:type="pct"/>
                  <w:vAlign w:val="center"/>
                </w:tcPr>
                <w:p w14:paraId="66E5F319">
                  <w:pPr>
                    <w:spacing w:line="240" w:lineRule="auto"/>
                    <w:ind w:firstLine="0" w:firstLineChars="0"/>
                    <w:jc w:val="center"/>
                  </w:pPr>
                  <w:r>
                    <w:rPr>
                      <w:rFonts w:hint="eastAsia"/>
                    </w:rPr>
                    <w:t>连续</w:t>
                  </w:r>
                </w:p>
              </w:tc>
              <w:tc>
                <w:tcPr>
                  <w:tcW w:w="342" w:type="pct"/>
                  <w:vAlign w:val="center"/>
                </w:tcPr>
                <w:p w14:paraId="3BDACF71">
                  <w:pPr>
                    <w:spacing w:line="240" w:lineRule="auto"/>
                    <w:ind w:firstLine="0" w:firstLineChars="0"/>
                    <w:jc w:val="center"/>
                  </w:pPr>
                  <w:r>
                    <w:rPr>
                      <w:rFonts w:hint="eastAsia"/>
                    </w:rPr>
                    <w:t>昼间</w:t>
                  </w:r>
                </w:p>
              </w:tc>
              <w:tc>
                <w:tcPr>
                  <w:tcW w:w="586" w:type="pct"/>
                  <w:vMerge w:val="continue"/>
                  <w:vAlign w:val="center"/>
                </w:tcPr>
                <w:p w14:paraId="78B860E4">
                  <w:pPr>
                    <w:adjustRightInd w:val="0"/>
                    <w:snapToGrid w:val="0"/>
                    <w:ind w:firstLine="420"/>
                    <w:jc w:val="center"/>
                  </w:pPr>
                </w:p>
              </w:tc>
              <w:tc>
                <w:tcPr>
                  <w:tcW w:w="501" w:type="pct"/>
                  <w:vAlign w:val="center"/>
                </w:tcPr>
                <w:p w14:paraId="5301ECE9">
                  <w:pPr>
                    <w:spacing w:line="240" w:lineRule="auto"/>
                    <w:ind w:firstLine="0" w:firstLineChars="0"/>
                    <w:jc w:val="center"/>
                  </w:pPr>
                  <w:r>
                    <w:rPr>
                      <w:rFonts w:hint="eastAsia"/>
                    </w:rPr>
                    <w:t>38.27-39.88</w:t>
                  </w:r>
                </w:p>
              </w:tc>
              <w:tc>
                <w:tcPr>
                  <w:tcW w:w="263" w:type="pct"/>
                  <w:vAlign w:val="center"/>
                </w:tcPr>
                <w:p w14:paraId="7424BF6B">
                  <w:pPr>
                    <w:spacing w:line="240" w:lineRule="auto"/>
                    <w:ind w:firstLine="0" w:firstLineChars="0"/>
                    <w:jc w:val="center"/>
                  </w:pPr>
                  <w:r>
                    <w:rPr>
                      <w:rFonts w:hint="eastAsia"/>
                    </w:rPr>
                    <w:t>1</w:t>
                  </w:r>
                </w:p>
              </w:tc>
            </w:tr>
            <w:tr w14:paraId="03CAD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Align w:val="center"/>
                </w:tcPr>
                <w:p w14:paraId="2818E55A">
                  <w:pPr>
                    <w:pStyle w:val="40"/>
                  </w:pPr>
                  <w:r>
                    <w:rPr>
                      <w:rFonts w:hint="eastAsia"/>
                    </w:rPr>
                    <w:t>切条机</w:t>
                  </w:r>
                </w:p>
              </w:tc>
              <w:tc>
                <w:tcPr>
                  <w:tcW w:w="422" w:type="pct"/>
                  <w:vAlign w:val="center"/>
                </w:tcPr>
                <w:p w14:paraId="3A6D3421">
                  <w:pPr>
                    <w:spacing w:line="240" w:lineRule="auto"/>
                    <w:ind w:firstLine="0" w:firstLineChars="0"/>
                    <w:jc w:val="center"/>
                  </w:pPr>
                  <w:r>
                    <w:rPr>
                      <w:rFonts w:hint="eastAsia"/>
                    </w:rPr>
                    <w:t>28.84</w:t>
                  </w:r>
                </w:p>
              </w:tc>
              <w:tc>
                <w:tcPr>
                  <w:tcW w:w="425" w:type="pct"/>
                  <w:vAlign w:val="center"/>
                </w:tcPr>
                <w:p w14:paraId="564CD93C">
                  <w:pPr>
                    <w:spacing w:line="240" w:lineRule="auto"/>
                    <w:ind w:firstLine="0" w:firstLineChars="0"/>
                    <w:jc w:val="center"/>
                  </w:pPr>
                  <w:r>
                    <w:rPr>
                      <w:rFonts w:hint="eastAsia"/>
                    </w:rPr>
                    <w:t>37.3</w:t>
                  </w:r>
                </w:p>
              </w:tc>
              <w:tc>
                <w:tcPr>
                  <w:tcW w:w="256" w:type="pct"/>
                  <w:vAlign w:val="center"/>
                </w:tcPr>
                <w:p w14:paraId="3C7A3F40">
                  <w:pPr>
                    <w:spacing w:line="240" w:lineRule="auto"/>
                    <w:ind w:firstLine="0" w:firstLineChars="0"/>
                    <w:jc w:val="center"/>
                  </w:pPr>
                  <w:r>
                    <w:rPr>
                      <w:rFonts w:hint="eastAsia"/>
                    </w:rPr>
                    <w:t>1</w:t>
                  </w:r>
                </w:p>
              </w:tc>
              <w:tc>
                <w:tcPr>
                  <w:tcW w:w="418" w:type="pct"/>
                  <w:vAlign w:val="center"/>
                </w:tcPr>
                <w:p w14:paraId="4C2FA5CF">
                  <w:pPr>
                    <w:spacing w:line="240" w:lineRule="auto"/>
                    <w:ind w:firstLine="0" w:firstLineChars="0"/>
                    <w:jc w:val="center"/>
                  </w:pPr>
                  <w:r>
                    <w:rPr>
                      <w:rFonts w:hint="eastAsia"/>
                    </w:rPr>
                    <w:t>80</w:t>
                  </w:r>
                </w:p>
              </w:tc>
              <w:tc>
                <w:tcPr>
                  <w:tcW w:w="508" w:type="pct"/>
                  <w:vAlign w:val="center"/>
                </w:tcPr>
                <w:p w14:paraId="518CEE1E">
                  <w:pPr>
                    <w:spacing w:line="240" w:lineRule="auto"/>
                    <w:ind w:firstLine="0" w:firstLineChars="0"/>
                    <w:jc w:val="center"/>
                  </w:pPr>
                  <w:r>
                    <w:rPr>
                      <w:rFonts w:hint="eastAsia"/>
                    </w:rPr>
                    <w:t>1.20-40.42</w:t>
                  </w:r>
                </w:p>
              </w:tc>
              <w:tc>
                <w:tcPr>
                  <w:tcW w:w="505" w:type="pct"/>
                  <w:vAlign w:val="center"/>
                </w:tcPr>
                <w:p w14:paraId="4970B3F7">
                  <w:pPr>
                    <w:spacing w:line="240" w:lineRule="auto"/>
                    <w:ind w:firstLine="0" w:firstLineChars="0"/>
                    <w:jc w:val="center"/>
                  </w:pPr>
                  <w:r>
                    <w:rPr>
                      <w:rFonts w:hint="eastAsia"/>
                    </w:rPr>
                    <w:t>64.27-69.13</w:t>
                  </w:r>
                </w:p>
              </w:tc>
              <w:tc>
                <w:tcPr>
                  <w:tcW w:w="252" w:type="pct"/>
                  <w:vAlign w:val="center"/>
                </w:tcPr>
                <w:p w14:paraId="1B0CF251">
                  <w:pPr>
                    <w:spacing w:line="240" w:lineRule="auto"/>
                    <w:ind w:firstLine="0" w:firstLineChars="0"/>
                    <w:jc w:val="center"/>
                  </w:pPr>
                  <w:r>
                    <w:rPr>
                      <w:rFonts w:hint="eastAsia"/>
                    </w:rPr>
                    <w:t>连续</w:t>
                  </w:r>
                </w:p>
              </w:tc>
              <w:tc>
                <w:tcPr>
                  <w:tcW w:w="342" w:type="pct"/>
                  <w:vAlign w:val="center"/>
                </w:tcPr>
                <w:p w14:paraId="5E7988E3">
                  <w:pPr>
                    <w:spacing w:line="240" w:lineRule="auto"/>
                    <w:ind w:firstLine="0" w:firstLineChars="0"/>
                    <w:jc w:val="center"/>
                  </w:pPr>
                  <w:r>
                    <w:rPr>
                      <w:rFonts w:hint="eastAsia"/>
                    </w:rPr>
                    <w:t>昼间</w:t>
                  </w:r>
                </w:p>
              </w:tc>
              <w:tc>
                <w:tcPr>
                  <w:tcW w:w="586" w:type="pct"/>
                  <w:vMerge w:val="continue"/>
                  <w:vAlign w:val="center"/>
                </w:tcPr>
                <w:p w14:paraId="15778A18">
                  <w:pPr>
                    <w:adjustRightInd w:val="0"/>
                    <w:snapToGrid w:val="0"/>
                    <w:ind w:firstLine="420"/>
                    <w:jc w:val="center"/>
                  </w:pPr>
                </w:p>
              </w:tc>
              <w:tc>
                <w:tcPr>
                  <w:tcW w:w="501" w:type="pct"/>
                  <w:vAlign w:val="center"/>
                </w:tcPr>
                <w:p w14:paraId="4E36D752">
                  <w:pPr>
                    <w:spacing w:line="240" w:lineRule="auto"/>
                    <w:ind w:firstLine="0" w:firstLineChars="0"/>
                    <w:jc w:val="center"/>
                  </w:pPr>
                  <w:r>
                    <w:rPr>
                      <w:rFonts w:hint="eastAsia"/>
                    </w:rPr>
                    <w:t>38.27-43.13</w:t>
                  </w:r>
                </w:p>
              </w:tc>
              <w:tc>
                <w:tcPr>
                  <w:tcW w:w="263" w:type="pct"/>
                  <w:vAlign w:val="center"/>
                </w:tcPr>
                <w:p w14:paraId="1BFCC151">
                  <w:pPr>
                    <w:spacing w:line="240" w:lineRule="auto"/>
                    <w:ind w:firstLine="0" w:firstLineChars="0"/>
                    <w:jc w:val="center"/>
                  </w:pPr>
                  <w:r>
                    <w:rPr>
                      <w:rFonts w:hint="eastAsia"/>
                    </w:rPr>
                    <w:t>1</w:t>
                  </w:r>
                </w:p>
              </w:tc>
            </w:tr>
            <w:tr w14:paraId="530C3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Align w:val="center"/>
                </w:tcPr>
                <w:p w14:paraId="4229F1D2">
                  <w:pPr>
                    <w:pStyle w:val="40"/>
                  </w:pPr>
                  <w:r>
                    <w:rPr>
                      <w:rFonts w:hint="eastAsia"/>
                    </w:rPr>
                    <w:t>预煮线</w:t>
                  </w:r>
                </w:p>
              </w:tc>
              <w:tc>
                <w:tcPr>
                  <w:tcW w:w="422" w:type="pct"/>
                  <w:vAlign w:val="center"/>
                </w:tcPr>
                <w:p w14:paraId="6CB27595">
                  <w:pPr>
                    <w:spacing w:line="240" w:lineRule="auto"/>
                    <w:ind w:firstLine="0" w:firstLineChars="0"/>
                    <w:jc w:val="center"/>
                  </w:pPr>
                  <w:r>
                    <w:rPr>
                      <w:rFonts w:hint="eastAsia"/>
                    </w:rPr>
                    <w:t>34.28</w:t>
                  </w:r>
                </w:p>
              </w:tc>
              <w:tc>
                <w:tcPr>
                  <w:tcW w:w="425" w:type="pct"/>
                  <w:vAlign w:val="center"/>
                </w:tcPr>
                <w:p w14:paraId="341C0D2A">
                  <w:pPr>
                    <w:spacing w:line="240" w:lineRule="auto"/>
                    <w:ind w:firstLine="0" w:firstLineChars="0"/>
                    <w:jc w:val="center"/>
                  </w:pPr>
                  <w:r>
                    <w:rPr>
                      <w:rFonts w:hint="eastAsia"/>
                    </w:rPr>
                    <w:t>37.6</w:t>
                  </w:r>
                </w:p>
              </w:tc>
              <w:tc>
                <w:tcPr>
                  <w:tcW w:w="256" w:type="pct"/>
                  <w:vAlign w:val="center"/>
                </w:tcPr>
                <w:p w14:paraId="2369692D">
                  <w:pPr>
                    <w:spacing w:line="240" w:lineRule="auto"/>
                    <w:ind w:firstLine="0" w:firstLineChars="0"/>
                    <w:jc w:val="center"/>
                  </w:pPr>
                  <w:r>
                    <w:rPr>
                      <w:rFonts w:hint="eastAsia"/>
                    </w:rPr>
                    <w:t>1</w:t>
                  </w:r>
                </w:p>
              </w:tc>
              <w:tc>
                <w:tcPr>
                  <w:tcW w:w="418" w:type="pct"/>
                  <w:vAlign w:val="center"/>
                </w:tcPr>
                <w:p w14:paraId="219F2AA3">
                  <w:pPr>
                    <w:spacing w:line="240" w:lineRule="auto"/>
                    <w:ind w:firstLine="0" w:firstLineChars="0"/>
                    <w:jc w:val="center"/>
                  </w:pPr>
                  <w:r>
                    <w:rPr>
                      <w:rFonts w:hint="eastAsia"/>
                    </w:rPr>
                    <w:t>80</w:t>
                  </w:r>
                </w:p>
              </w:tc>
              <w:tc>
                <w:tcPr>
                  <w:tcW w:w="508" w:type="pct"/>
                  <w:vAlign w:val="center"/>
                </w:tcPr>
                <w:p w14:paraId="4C6A12B7">
                  <w:pPr>
                    <w:spacing w:line="240" w:lineRule="auto"/>
                    <w:ind w:firstLine="0" w:firstLineChars="0"/>
                    <w:jc w:val="center"/>
                  </w:pPr>
                  <w:r>
                    <w:rPr>
                      <w:rFonts w:hint="eastAsia"/>
                    </w:rPr>
                    <w:t>4.25-38.90</w:t>
                  </w:r>
                </w:p>
              </w:tc>
              <w:tc>
                <w:tcPr>
                  <w:tcW w:w="505" w:type="pct"/>
                  <w:vAlign w:val="center"/>
                </w:tcPr>
                <w:p w14:paraId="3108B999">
                  <w:pPr>
                    <w:spacing w:line="240" w:lineRule="auto"/>
                    <w:ind w:firstLine="0" w:firstLineChars="0"/>
                    <w:jc w:val="center"/>
                  </w:pPr>
                  <w:r>
                    <w:rPr>
                      <w:rFonts w:hint="eastAsia"/>
                    </w:rPr>
                    <w:t>69.33-69.37</w:t>
                  </w:r>
                </w:p>
              </w:tc>
              <w:tc>
                <w:tcPr>
                  <w:tcW w:w="252" w:type="pct"/>
                  <w:vAlign w:val="center"/>
                </w:tcPr>
                <w:p w14:paraId="70CB82AB">
                  <w:pPr>
                    <w:spacing w:line="240" w:lineRule="auto"/>
                    <w:ind w:firstLine="0" w:firstLineChars="0"/>
                    <w:jc w:val="center"/>
                  </w:pPr>
                  <w:r>
                    <w:rPr>
                      <w:rFonts w:hint="eastAsia"/>
                    </w:rPr>
                    <w:t>连续</w:t>
                  </w:r>
                </w:p>
              </w:tc>
              <w:tc>
                <w:tcPr>
                  <w:tcW w:w="342" w:type="pct"/>
                  <w:vAlign w:val="center"/>
                </w:tcPr>
                <w:p w14:paraId="0AB586F0">
                  <w:pPr>
                    <w:spacing w:line="240" w:lineRule="auto"/>
                    <w:ind w:firstLine="0" w:firstLineChars="0"/>
                    <w:jc w:val="center"/>
                  </w:pPr>
                  <w:r>
                    <w:rPr>
                      <w:rFonts w:hint="eastAsia"/>
                    </w:rPr>
                    <w:t>昼间</w:t>
                  </w:r>
                </w:p>
              </w:tc>
              <w:tc>
                <w:tcPr>
                  <w:tcW w:w="586" w:type="pct"/>
                  <w:vMerge w:val="continue"/>
                  <w:vAlign w:val="center"/>
                </w:tcPr>
                <w:p w14:paraId="7C33AD1A">
                  <w:pPr>
                    <w:adjustRightInd w:val="0"/>
                    <w:snapToGrid w:val="0"/>
                    <w:ind w:firstLine="420"/>
                    <w:jc w:val="center"/>
                  </w:pPr>
                </w:p>
              </w:tc>
              <w:tc>
                <w:tcPr>
                  <w:tcW w:w="501" w:type="pct"/>
                  <w:vAlign w:val="center"/>
                </w:tcPr>
                <w:p w14:paraId="6E32B484">
                  <w:pPr>
                    <w:spacing w:line="240" w:lineRule="auto"/>
                    <w:ind w:firstLine="0" w:firstLineChars="0"/>
                    <w:jc w:val="center"/>
                  </w:pPr>
                  <w:r>
                    <w:rPr>
                      <w:rFonts w:hint="eastAsia"/>
                    </w:rPr>
                    <w:t>43.33-43.37</w:t>
                  </w:r>
                </w:p>
              </w:tc>
              <w:tc>
                <w:tcPr>
                  <w:tcW w:w="263" w:type="pct"/>
                  <w:vAlign w:val="center"/>
                </w:tcPr>
                <w:p w14:paraId="73819159">
                  <w:pPr>
                    <w:spacing w:line="240" w:lineRule="auto"/>
                    <w:ind w:firstLine="0" w:firstLineChars="0"/>
                    <w:jc w:val="center"/>
                  </w:pPr>
                  <w:r>
                    <w:rPr>
                      <w:rFonts w:hint="eastAsia"/>
                    </w:rPr>
                    <w:t>1</w:t>
                  </w:r>
                </w:p>
              </w:tc>
            </w:tr>
            <w:tr w14:paraId="39183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Align w:val="center"/>
                </w:tcPr>
                <w:p w14:paraId="7D5DE299">
                  <w:pPr>
                    <w:pStyle w:val="40"/>
                  </w:pPr>
                  <w:r>
                    <w:rPr>
                      <w:rFonts w:hint="eastAsia"/>
                    </w:rPr>
                    <w:t>分选线</w:t>
                  </w:r>
                </w:p>
              </w:tc>
              <w:tc>
                <w:tcPr>
                  <w:tcW w:w="422" w:type="pct"/>
                  <w:vAlign w:val="center"/>
                </w:tcPr>
                <w:p w14:paraId="208C7BCA">
                  <w:pPr>
                    <w:spacing w:line="240" w:lineRule="auto"/>
                    <w:ind w:firstLine="0" w:firstLineChars="0"/>
                    <w:jc w:val="center"/>
                  </w:pPr>
                  <w:r>
                    <w:rPr>
                      <w:rFonts w:hint="eastAsia"/>
                    </w:rPr>
                    <w:t>38.8</w:t>
                  </w:r>
                </w:p>
              </w:tc>
              <w:tc>
                <w:tcPr>
                  <w:tcW w:w="425" w:type="pct"/>
                  <w:vAlign w:val="center"/>
                </w:tcPr>
                <w:p w14:paraId="0F730BBB">
                  <w:pPr>
                    <w:spacing w:line="240" w:lineRule="auto"/>
                    <w:ind w:firstLine="0" w:firstLineChars="0"/>
                    <w:jc w:val="center"/>
                  </w:pPr>
                  <w:r>
                    <w:rPr>
                      <w:rFonts w:hint="eastAsia"/>
                    </w:rPr>
                    <w:t>37.74</w:t>
                  </w:r>
                </w:p>
              </w:tc>
              <w:tc>
                <w:tcPr>
                  <w:tcW w:w="256" w:type="pct"/>
                  <w:vAlign w:val="center"/>
                </w:tcPr>
                <w:p w14:paraId="1FEE4CFF">
                  <w:pPr>
                    <w:spacing w:line="240" w:lineRule="auto"/>
                    <w:ind w:firstLine="0" w:firstLineChars="0"/>
                    <w:jc w:val="center"/>
                  </w:pPr>
                  <w:r>
                    <w:rPr>
                      <w:rFonts w:hint="eastAsia"/>
                    </w:rPr>
                    <w:t>1</w:t>
                  </w:r>
                </w:p>
              </w:tc>
              <w:tc>
                <w:tcPr>
                  <w:tcW w:w="418" w:type="pct"/>
                  <w:vAlign w:val="center"/>
                </w:tcPr>
                <w:p w14:paraId="00233768">
                  <w:pPr>
                    <w:spacing w:line="240" w:lineRule="auto"/>
                    <w:ind w:firstLine="0" w:firstLineChars="0"/>
                    <w:jc w:val="center"/>
                  </w:pPr>
                  <w:r>
                    <w:rPr>
                      <w:rFonts w:hint="eastAsia"/>
                    </w:rPr>
                    <w:t>80</w:t>
                  </w:r>
                </w:p>
              </w:tc>
              <w:tc>
                <w:tcPr>
                  <w:tcW w:w="508" w:type="pct"/>
                  <w:vAlign w:val="center"/>
                </w:tcPr>
                <w:p w14:paraId="2E883A9F">
                  <w:pPr>
                    <w:spacing w:line="240" w:lineRule="auto"/>
                    <w:ind w:firstLine="0" w:firstLineChars="0"/>
                    <w:jc w:val="center"/>
                  </w:pPr>
                  <w:r>
                    <w:rPr>
                      <w:rFonts w:hint="eastAsia"/>
                    </w:rPr>
                    <w:t>8.77-39.76</w:t>
                  </w:r>
                </w:p>
              </w:tc>
              <w:tc>
                <w:tcPr>
                  <w:tcW w:w="505" w:type="pct"/>
                  <w:vAlign w:val="center"/>
                </w:tcPr>
                <w:p w14:paraId="3FFE94DB">
                  <w:pPr>
                    <w:spacing w:line="240" w:lineRule="auto"/>
                    <w:ind w:firstLine="0" w:firstLineChars="0"/>
                    <w:jc w:val="center"/>
                  </w:pPr>
                  <w:r>
                    <w:rPr>
                      <w:rFonts w:hint="eastAsia"/>
                    </w:rPr>
                    <w:t>64.27-64.42</w:t>
                  </w:r>
                </w:p>
              </w:tc>
              <w:tc>
                <w:tcPr>
                  <w:tcW w:w="252" w:type="pct"/>
                  <w:vAlign w:val="center"/>
                </w:tcPr>
                <w:p w14:paraId="79C0876E">
                  <w:pPr>
                    <w:spacing w:line="240" w:lineRule="auto"/>
                    <w:ind w:firstLine="0" w:firstLineChars="0"/>
                    <w:jc w:val="center"/>
                  </w:pPr>
                  <w:r>
                    <w:rPr>
                      <w:rFonts w:hint="eastAsia"/>
                    </w:rPr>
                    <w:t>连续</w:t>
                  </w:r>
                </w:p>
              </w:tc>
              <w:tc>
                <w:tcPr>
                  <w:tcW w:w="342" w:type="pct"/>
                  <w:vAlign w:val="center"/>
                </w:tcPr>
                <w:p w14:paraId="7CAFB84B">
                  <w:pPr>
                    <w:spacing w:line="240" w:lineRule="auto"/>
                    <w:ind w:firstLine="0" w:firstLineChars="0"/>
                    <w:jc w:val="center"/>
                  </w:pPr>
                  <w:r>
                    <w:rPr>
                      <w:rFonts w:hint="eastAsia"/>
                    </w:rPr>
                    <w:t>昼间</w:t>
                  </w:r>
                </w:p>
              </w:tc>
              <w:tc>
                <w:tcPr>
                  <w:tcW w:w="586" w:type="pct"/>
                  <w:vMerge w:val="continue"/>
                  <w:vAlign w:val="center"/>
                </w:tcPr>
                <w:p w14:paraId="309E45B1">
                  <w:pPr>
                    <w:adjustRightInd w:val="0"/>
                    <w:snapToGrid w:val="0"/>
                    <w:ind w:firstLine="420"/>
                    <w:jc w:val="center"/>
                  </w:pPr>
                </w:p>
              </w:tc>
              <w:tc>
                <w:tcPr>
                  <w:tcW w:w="501" w:type="pct"/>
                  <w:vAlign w:val="center"/>
                </w:tcPr>
                <w:p w14:paraId="6E018B5E">
                  <w:pPr>
                    <w:spacing w:line="240" w:lineRule="auto"/>
                    <w:ind w:firstLine="0" w:firstLineChars="0"/>
                    <w:jc w:val="center"/>
                  </w:pPr>
                  <w:r>
                    <w:rPr>
                      <w:rFonts w:hint="eastAsia"/>
                    </w:rPr>
                    <w:t>38.27-38.42</w:t>
                  </w:r>
                </w:p>
              </w:tc>
              <w:tc>
                <w:tcPr>
                  <w:tcW w:w="263" w:type="pct"/>
                  <w:vAlign w:val="center"/>
                </w:tcPr>
                <w:p w14:paraId="72F8DC2D">
                  <w:pPr>
                    <w:spacing w:line="240" w:lineRule="auto"/>
                    <w:ind w:firstLine="0" w:firstLineChars="0"/>
                    <w:jc w:val="center"/>
                  </w:pPr>
                  <w:r>
                    <w:rPr>
                      <w:rFonts w:hint="eastAsia"/>
                    </w:rPr>
                    <w:t>1</w:t>
                  </w:r>
                </w:p>
              </w:tc>
            </w:tr>
            <w:tr w14:paraId="1D58E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Align w:val="center"/>
                </w:tcPr>
                <w:p w14:paraId="5294B28F">
                  <w:pPr>
                    <w:pStyle w:val="40"/>
                  </w:pPr>
                  <w:r>
                    <w:rPr>
                      <w:rFonts w:hint="eastAsia"/>
                    </w:rPr>
                    <w:t>装罐线</w:t>
                  </w:r>
                </w:p>
              </w:tc>
              <w:tc>
                <w:tcPr>
                  <w:tcW w:w="422" w:type="pct"/>
                  <w:vAlign w:val="center"/>
                </w:tcPr>
                <w:p w14:paraId="0BDDE660">
                  <w:pPr>
                    <w:spacing w:line="240" w:lineRule="auto"/>
                    <w:ind w:firstLine="0" w:firstLineChars="0"/>
                    <w:jc w:val="center"/>
                  </w:pPr>
                  <w:r>
                    <w:rPr>
                      <w:rFonts w:hint="eastAsia"/>
                    </w:rPr>
                    <w:t>37.85</w:t>
                  </w:r>
                </w:p>
              </w:tc>
              <w:tc>
                <w:tcPr>
                  <w:tcW w:w="425" w:type="pct"/>
                  <w:vAlign w:val="center"/>
                </w:tcPr>
                <w:p w14:paraId="72895BFB">
                  <w:pPr>
                    <w:spacing w:line="240" w:lineRule="auto"/>
                    <w:ind w:firstLine="0" w:firstLineChars="0"/>
                    <w:jc w:val="center"/>
                  </w:pPr>
                  <w:r>
                    <w:rPr>
                      <w:rFonts w:hint="eastAsia"/>
                    </w:rPr>
                    <w:t>29.79</w:t>
                  </w:r>
                </w:p>
              </w:tc>
              <w:tc>
                <w:tcPr>
                  <w:tcW w:w="256" w:type="pct"/>
                  <w:vAlign w:val="center"/>
                </w:tcPr>
                <w:p w14:paraId="7133B6A8">
                  <w:pPr>
                    <w:spacing w:line="240" w:lineRule="auto"/>
                    <w:ind w:firstLine="0" w:firstLineChars="0"/>
                    <w:jc w:val="center"/>
                  </w:pPr>
                  <w:r>
                    <w:rPr>
                      <w:rFonts w:hint="eastAsia"/>
                    </w:rPr>
                    <w:t>1</w:t>
                  </w:r>
                </w:p>
              </w:tc>
              <w:tc>
                <w:tcPr>
                  <w:tcW w:w="418" w:type="pct"/>
                  <w:vAlign w:val="center"/>
                </w:tcPr>
                <w:p w14:paraId="190E9DC0">
                  <w:pPr>
                    <w:spacing w:line="240" w:lineRule="auto"/>
                    <w:ind w:firstLine="0" w:firstLineChars="0"/>
                    <w:jc w:val="center"/>
                  </w:pPr>
                  <w:r>
                    <w:rPr>
                      <w:rFonts w:hint="eastAsia"/>
                    </w:rPr>
                    <w:t>80</w:t>
                  </w:r>
                </w:p>
              </w:tc>
              <w:tc>
                <w:tcPr>
                  <w:tcW w:w="508" w:type="pct"/>
                  <w:vAlign w:val="center"/>
                </w:tcPr>
                <w:p w14:paraId="74959238">
                  <w:pPr>
                    <w:spacing w:line="240" w:lineRule="auto"/>
                    <w:ind w:firstLine="0" w:firstLineChars="0"/>
                    <w:jc w:val="center"/>
                  </w:pPr>
                  <w:r>
                    <w:rPr>
                      <w:rFonts w:hint="eastAsia"/>
                    </w:rPr>
                    <w:t>7.40-46.79</w:t>
                  </w:r>
                </w:p>
              </w:tc>
              <w:tc>
                <w:tcPr>
                  <w:tcW w:w="505" w:type="pct"/>
                  <w:vAlign w:val="center"/>
                </w:tcPr>
                <w:p w14:paraId="709441F4">
                  <w:pPr>
                    <w:spacing w:line="240" w:lineRule="auto"/>
                    <w:ind w:firstLine="0" w:firstLineChars="0"/>
                    <w:jc w:val="center"/>
                  </w:pPr>
                  <w:r>
                    <w:rPr>
                      <w:rFonts w:hint="eastAsia"/>
                    </w:rPr>
                    <w:t>64.26-64.49</w:t>
                  </w:r>
                </w:p>
              </w:tc>
              <w:tc>
                <w:tcPr>
                  <w:tcW w:w="252" w:type="pct"/>
                  <w:vAlign w:val="center"/>
                </w:tcPr>
                <w:p w14:paraId="6AF5CB20">
                  <w:pPr>
                    <w:spacing w:line="240" w:lineRule="auto"/>
                    <w:ind w:firstLine="0" w:firstLineChars="0"/>
                    <w:jc w:val="center"/>
                  </w:pPr>
                  <w:r>
                    <w:rPr>
                      <w:rFonts w:hint="eastAsia"/>
                    </w:rPr>
                    <w:t>连续</w:t>
                  </w:r>
                </w:p>
              </w:tc>
              <w:tc>
                <w:tcPr>
                  <w:tcW w:w="342" w:type="pct"/>
                  <w:vAlign w:val="center"/>
                </w:tcPr>
                <w:p w14:paraId="3528E493">
                  <w:pPr>
                    <w:spacing w:line="240" w:lineRule="auto"/>
                    <w:ind w:firstLine="0" w:firstLineChars="0"/>
                    <w:jc w:val="center"/>
                  </w:pPr>
                  <w:r>
                    <w:rPr>
                      <w:rFonts w:hint="eastAsia"/>
                    </w:rPr>
                    <w:t>昼间</w:t>
                  </w:r>
                </w:p>
              </w:tc>
              <w:tc>
                <w:tcPr>
                  <w:tcW w:w="586" w:type="pct"/>
                  <w:vMerge w:val="continue"/>
                  <w:vAlign w:val="center"/>
                </w:tcPr>
                <w:p w14:paraId="62D6A667">
                  <w:pPr>
                    <w:adjustRightInd w:val="0"/>
                    <w:snapToGrid w:val="0"/>
                    <w:ind w:firstLine="420"/>
                    <w:jc w:val="center"/>
                  </w:pPr>
                </w:p>
              </w:tc>
              <w:tc>
                <w:tcPr>
                  <w:tcW w:w="501" w:type="pct"/>
                  <w:vAlign w:val="center"/>
                </w:tcPr>
                <w:p w14:paraId="7765CF56">
                  <w:pPr>
                    <w:spacing w:line="240" w:lineRule="auto"/>
                    <w:ind w:firstLine="0" w:firstLineChars="0"/>
                    <w:jc w:val="center"/>
                  </w:pPr>
                  <w:r>
                    <w:rPr>
                      <w:rFonts w:hint="eastAsia"/>
                    </w:rPr>
                    <w:t>38.26-38.49</w:t>
                  </w:r>
                </w:p>
              </w:tc>
              <w:tc>
                <w:tcPr>
                  <w:tcW w:w="263" w:type="pct"/>
                  <w:vAlign w:val="center"/>
                </w:tcPr>
                <w:p w14:paraId="49FDD1D8">
                  <w:pPr>
                    <w:spacing w:line="240" w:lineRule="auto"/>
                    <w:ind w:firstLine="0" w:firstLineChars="0"/>
                    <w:jc w:val="center"/>
                  </w:pPr>
                  <w:r>
                    <w:rPr>
                      <w:rFonts w:hint="eastAsia"/>
                    </w:rPr>
                    <w:t>1</w:t>
                  </w:r>
                </w:p>
              </w:tc>
            </w:tr>
            <w:tr w14:paraId="1178B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Align w:val="center"/>
                </w:tcPr>
                <w:p w14:paraId="56F6A7D8">
                  <w:pPr>
                    <w:pStyle w:val="40"/>
                  </w:pPr>
                  <w:r>
                    <w:rPr>
                      <w:rFonts w:hint="eastAsia"/>
                    </w:rPr>
                    <w:t>杀菌线</w:t>
                  </w:r>
                </w:p>
              </w:tc>
              <w:tc>
                <w:tcPr>
                  <w:tcW w:w="422" w:type="pct"/>
                  <w:vAlign w:val="center"/>
                </w:tcPr>
                <w:p w14:paraId="0756AE9A">
                  <w:pPr>
                    <w:spacing w:line="240" w:lineRule="auto"/>
                    <w:ind w:firstLine="0" w:firstLineChars="0"/>
                    <w:jc w:val="center"/>
                  </w:pPr>
                  <w:r>
                    <w:rPr>
                      <w:rFonts w:hint="eastAsia"/>
                    </w:rPr>
                    <w:t>21.88</w:t>
                  </w:r>
                </w:p>
              </w:tc>
              <w:tc>
                <w:tcPr>
                  <w:tcW w:w="425" w:type="pct"/>
                  <w:vAlign w:val="center"/>
                </w:tcPr>
                <w:p w14:paraId="789656F3">
                  <w:pPr>
                    <w:spacing w:line="240" w:lineRule="auto"/>
                    <w:ind w:firstLine="0" w:firstLineChars="0"/>
                    <w:jc w:val="center"/>
                  </w:pPr>
                  <w:r>
                    <w:rPr>
                      <w:rFonts w:hint="eastAsia"/>
                    </w:rPr>
                    <w:t>30.83</w:t>
                  </w:r>
                </w:p>
              </w:tc>
              <w:tc>
                <w:tcPr>
                  <w:tcW w:w="256" w:type="pct"/>
                  <w:vAlign w:val="center"/>
                </w:tcPr>
                <w:p w14:paraId="6D026C64">
                  <w:pPr>
                    <w:spacing w:line="240" w:lineRule="auto"/>
                    <w:ind w:firstLine="0" w:firstLineChars="0"/>
                    <w:jc w:val="center"/>
                  </w:pPr>
                  <w:r>
                    <w:rPr>
                      <w:rFonts w:hint="eastAsia"/>
                    </w:rPr>
                    <w:t>1</w:t>
                  </w:r>
                </w:p>
              </w:tc>
              <w:tc>
                <w:tcPr>
                  <w:tcW w:w="418" w:type="pct"/>
                  <w:vAlign w:val="center"/>
                </w:tcPr>
                <w:p w14:paraId="33C0811C">
                  <w:pPr>
                    <w:spacing w:line="240" w:lineRule="auto"/>
                    <w:ind w:firstLine="0" w:firstLineChars="0"/>
                    <w:jc w:val="center"/>
                  </w:pPr>
                  <w:r>
                    <w:rPr>
                      <w:rFonts w:hint="eastAsia"/>
                    </w:rPr>
                    <w:t>80</w:t>
                  </w:r>
                </w:p>
              </w:tc>
              <w:tc>
                <w:tcPr>
                  <w:tcW w:w="508" w:type="pct"/>
                  <w:vAlign w:val="center"/>
                </w:tcPr>
                <w:p w14:paraId="54F51CC4">
                  <w:pPr>
                    <w:spacing w:line="240" w:lineRule="auto"/>
                    <w:ind w:firstLine="0" w:firstLineChars="0"/>
                    <w:jc w:val="center"/>
                  </w:pPr>
                  <w:r>
                    <w:rPr>
                      <w:rFonts w:hint="eastAsia"/>
                    </w:rPr>
                    <w:t>8.49-47.41</w:t>
                  </w:r>
                </w:p>
              </w:tc>
              <w:tc>
                <w:tcPr>
                  <w:tcW w:w="505" w:type="pct"/>
                  <w:vAlign w:val="center"/>
                </w:tcPr>
                <w:p w14:paraId="2A3B2570">
                  <w:pPr>
                    <w:spacing w:line="240" w:lineRule="auto"/>
                    <w:ind w:firstLine="0" w:firstLineChars="0"/>
                    <w:jc w:val="center"/>
                  </w:pPr>
                  <w:r>
                    <w:rPr>
                      <w:rFonts w:hint="eastAsia"/>
                    </w:rPr>
                    <w:t>64.26-64.44</w:t>
                  </w:r>
                </w:p>
              </w:tc>
              <w:tc>
                <w:tcPr>
                  <w:tcW w:w="252" w:type="pct"/>
                  <w:vAlign w:val="center"/>
                </w:tcPr>
                <w:p w14:paraId="1409B30C">
                  <w:pPr>
                    <w:spacing w:line="240" w:lineRule="auto"/>
                    <w:ind w:firstLine="0" w:firstLineChars="0"/>
                    <w:jc w:val="center"/>
                  </w:pPr>
                  <w:r>
                    <w:rPr>
                      <w:rFonts w:hint="eastAsia"/>
                    </w:rPr>
                    <w:t>连续</w:t>
                  </w:r>
                </w:p>
              </w:tc>
              <w:tc>
                <w:tcPr>
                  <w:tcW w:w="342" w:type="pct"/>
                  <w:vAlign w:val="center"/>
                </w:tcPr>
                <w:p w14:paraId="78B2E351">
                  <w:pPr>
                    <w:spacing w:line="240" w:lineRule="auto"/>
                    <w:ind w:firstLine="0" w:firstLineChars="0"/>
                    <w:jc w:val="center"/>
                  </w:pPr>
                  <w:r>
                    <w:rPr>
                      <w:rFonts w:hint="eastAsia"/>
                    </w:rPr>
                    <w:t>昼间</w:t>
                  </w:r>
                </w:p>
              </w:tc>
              <w:tc>
                <w:tcPr>
                  <w:tcW w:w="586" w:type="pct"/>
                  <w:vMerge w:val="continue"/>
                  <w:vAlign w:val="center"/>
                </w:tcPr>
                <w:p w14:paraId="34B29C67">
                  <w:pPr>
                    <w:adjustRightInd w:val="0"/>
                    <w:snapToGrid w:val="0"/>
                    <w:ind w:firstLine="420"/>
                    <w:jc w:val="center"/>
                  </w:pPr>
                </w:p>
              </w:tc>
              <w:tc>
                <w:tcPr>
                  <w:tcW w:w="501" w:type="pct"/>
                  <w:vAlign w:val="center"/>
                </w:tcPr>
                <w:p w14:paraId="74A95025">
                  <w:pPr>
                    <w:spacing w:line="240" w:lineRule="auto"/>
                    <w:ind w:firstLine="0" w:firstLineChars="0"/>
                    <w:jc w:val="center"/>
                  </w:pPr>
                  <w:r>
                    <w:rPr>
                      <w:rFonts w:hint="eastAsia"/>
                    </w:rPr>
                    <w:t>38.26-38.44</w:t>
                  </w:r>
                </w:p>
              </w:tc>
              <w:tc>
                <w:tcPr>
                  <w:tcW w:w="263" w:type="pct"/>
                  <w:vAlign w:val="center"/>
                </w:tcPr>
                <w:p w14:paraId="6D064EC5">
                  <w:pPr>
                    <w:spacing w:line="240" w:lineRule="auto"/>
                    <w:ind w:firstLine="0" w:firstLineChars="0"/>
                    <w:jc w:val="center"/>
                  </w:pPr>
                  <w:r>
                    <w:rPr>
                      <w:rFonts w:hint="eastAsia"/>
                    </w:rPr>
                    <w:t>1</w:t>
                  </w:r>
                </w:p>
              </w:tc>
            </w:tr>
            <w:tr w14:paraId="11BD6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Align w:val="center"/>
                </w:tcPr>
                <w:p w14:paraId="424F456C">
                  <w:pPr>
                    <w:pStyle w:val="40"/>
                  </w:pPr>
                  <w:bookmarkStart w:id="124" w:name="_Hlk171951759"/>
                  <w:bookmarkStart w:id="125" w:name="_Hlk171951217"/>
                  <w:r>
                    <w:rPr>
                      <w:rFonts w:hint="eastAsia"/>
                    </w:rPr>
                    <w:t>风机</w:t>
                  </w:r>
                </w:p>
              </w:tc>
              <w:tc>
                <w:tcPr>
                  <w:tcW w:w="422" w:type="pct"/>
                  <w:vAlign w:val="center"/>
                </w:tcPr>
                <w:p w14:paraId="09EF342B">
                  <w:pPr>
                    <w:adjustRightInd w:val="0"/>
                    <w:snapToGrid w:val="0"/>
                    <w:spacing w:line="240" w:lineRule="auto"/>
                    <w:ind w:firstLine="0" w:firstLineChars="0"/>
                    <w:jc w:val="center"/>
                    <w:rPr>
                      <w:bCs/>
                      <w:szCs w:val="21"/>
                    </w:rPr>
                  </w:pPr>
                  <w:r>
                    <w:rPr>
                      <w:rFonts w:hint="eastAsia"/>
                      <w:bCs/>
                      <w:szCs w:val="21"/>
                    </w:rPr>
                    <w:t>9.29</w:t>
                  </w:r>
                </w:p>
              </w:tc>
              <w:tc>
                <w:tcPr>
                  <w:tcW w:w="425" w:type="pct"/>
                  <w:vAlign w:val="center"/>
                </w:tcPr>
                <w:p w14:paraId="33D7F855">
                  <w:pPr>
                    <w:adjustRightInd w:val="0"/>
                    <w:snapToGrid w:val="0"/>
                    <w:spacing w:line="240" w:lineRule="auto"/>
                    <w:ind w:firstLine="0" w:firstLineChars="0"/>
                    <w:jc w:val="center"/>
                    <w:rPr>
                      <w:bCs/>
                      <w:szCs w:val="21"/>
                    </w:rPr>
                  </w:pPr>
                  <w:r>
                    <w:rPr>
                      <w:rFonts w:hint="eastAsia"/>
                      <w:bCs/>
                      <w:szCs w:val="21"/>
                    </w:rPr>
                    <w:t>39.35</w:t>
                  </w:r>
                </w:p>
              </w:tc>
              <w:tc>
                <w:tcPr>
                  <w:tcW w:w="256" w:type="pct"/>
                  <w:vAlign w:val="center"/>
                </w:tcPr>
                <w:p w14:paraId="78E096AD">
                  <w:pPr>
                    <w:adjustRightInd w:val="0"/>
                    <w:snapToGrid w:val="0"/>
                    <w:spacing w:line="240" w:lineRule="auto"/>
                    <w:ind w:firstLine="0" w:firstLineChars="0"/>
                    <w:jc w:val="center"/>
                    <w:rPr>
                      <w:bCs/>
                      <w:szCs w:val="21"/>
                    </w:rPr>
                  </w:pPr>
                  <w:r>
                    <w:rPr>
                      <w:rFonts w:hint="eastAsia"/>
                      <w:bCs/>
                      <w:szCs w:val="21"/>
                    </w:rPr>
                    <w:t>1</w:t>
                  </w:r>
                </w:p>
              </w:tc>
              <w:tc>
                <w:tcPr>
                  <w:tcW w:w="418" w:type="pct"/>
                  <w:vAlign w:val="center"/>
                </w:tcPr>
                <w:p w14:paraId="02FBF1ED">
                  <w:pPr>
                    <w:adjustRightInd w:val="0"/>
                    <w:snapToGrid w:val="0"/>
                    <w:spacing w:line="240" w:lineRule="auto"/>
                    <w:ind w:firstLine="0" w:firstLineChars="0"/>
                    <w:jc w:val="center"/>
                    <w:rPr>
                      <w:bCs/>
                      <w:szCs w:val="21"/>
                    </w:rPr>
                  </w:pPr>
                  <w:r>
                    <w:rPr>
                      <w:rFonts w:hint="eastAsia"/>
                      <w:bCs/>
                      <w:szCs w:val="21"/>
                    </w:rPr>
                    <w:t>80</w:t>
                  </w:r>
                </w:p>
              </w:tc>
              <w:tc>
                <w:tcPr>
                  <w:tcW w:w="508" w:type="pct"/>
                  <w:vAlign w:val="center"/>
                </w:tcPr>
                <w:p w14:paraId="6C70CF23">
                  <w:pPr>
                    <w:adjustRightInd w:val="0"/>
                    <w:snapToGrid w:val="0"/>
                    <w:spacing w:line="240" w:lineRule="auto"/>
                    <w:ind w:firstLine="0" w:firstLineChars="0"/>
                    <w:jc w:val="center"/>
                    <w:rPr>
                      <w:bCs/>
                      <w:szCs w:val="21"/>
                    </w:rPr>
                  </w:pPr>
                  <w:r>
                    <w:rPr>
                      <w:rFonts w:hint="eastAsia"/>
                      <w:bCs/>
                      <w:szCs w:val="21"/>
                    </w:rPr>
                    <w:t>10.25-59.96</w:t>
                  </w:r>
                </w:p>
              </w:tc>
              <w:tc>
                <w:tcPr>
                  <w:tcW w:w="505" w:type="pct"/>
                  <w:vAlign w:val="center"/>
                </w:tcPr>
                <w:p w14:paraId="2AA70CF8">
                  <w:pPr>
                    <w:adjustRightInd w:val="0"/>
                    <w:snapToGrid w:val="0"/>
                    <w:spacing w:line="240" w:lineRule="auto"/>
                    <w:ind w:firstLine="0" w:firstLineChars="0"/>
                    <w:jc w:val="center"/>
                    <w:rPr>
                      <w:bCs/>
                      <w:szCs w:val="21"/>
                    </w:rPr>
                  </w:pPr>
                  <w:r>
                    <w:rPr>
                      <w:rFonts w:hint="eastAsia"/>
                      <w:bCs/>
                      <w:szCs w:val="21"/>
                    </w:rPr>
                    <w:t>64.26-64.38</w:t>
                  </w:r>
                </w:p>
              </w:tc>
              <w:tc>
                <w:tcPr>
                  <w:tcW w:w="252" w:type="pct"/>
                  <w:vMerge w:val="restart"/>
                  <w:vAlign w:val="center"/>
                </w:tcPr>
                <w:p w14:paraId="667CF95B">
                  <w:pPr>
                    <w:adjustRightInd w:val="0"/>
                    <w:snapToGrid w:val="0"/>
                    <w:spacing w:line="240" w:lineRule="auto"/>
                    <w:ind w:firstLine="0" w:firstLineChars="0"/>
                    <w:jc w:val="center"/>
                    <w:rPr>
                      <w:bCs/>
                      <w:szCs w:val="21"/>
                    </w:rPr>
                  </w:pPr>
                  <w:r>
                    <w:rPr>
                      <w:rFonts w:hint="eastAsia"/>
                      <w:bCs/>
                      <w:szCs w:val="21"/>
                    </w:rPr>
                    <w:t>连续</w:t>
                  </w:r>
                </w:p>
              </w:tc>
              <w:tc>
                <w:tcPr>
                  <w:tcW w:w="342" w:type="pct"/>
                  <w:vAlign w:val="center"/>
                </w:tcPr>
                <w:p w14:paraId="329DB497">
                  <w:pPr>
                    <w:adjustRightInd w:val="0"/>
                    <w:snapToGrid w:val="0"/>
                    <w:spacing w:line="240" w:lineRule="auto"/>
                    <w:ind w:firstLine="0" w:firstLineChars="0"/>
                    <w:jc w:val="center"/>
                    <w:rPr>
                      <w:bCs/>
                      <w:szCs w:val="21"/>
                    </w:rPr>
                  </w:pPr>
                  <w:r>
                    <w:rPr>
                      <w:rFonts w:hint="eastAsia"/>
                      <w:bCs/>
                      <w:szCs w:val="21"/>
                    </w:rPr>
                    <w:t>昼间</w:t>
                  </w:r>
                </w:p>
              </w:tc>
              <w:tc>
                <w:tcPr>
                  <w:tcW w:w="586" w:type="pct"/>
                  <w:vMerge w:val="continue"/>
                  <w:vAlign w:val="center"/>
                </w:tcPr>
                <w:p w14:paraId="1B263139">
                  <w:pPr>
                    <w:adjustRightInd w:val="0"/>
                    <w:snapToGrid w:val="0"/>
                    <w:spacing w:line="240" w:lineRule="auto"/>
                    <w:ind w:firstLine="0" w:firstLineChars="0"/>
                    <w:jc w:val="center"/>
                    <w:rPr>
                      <w:bCs/>
                      <w:szCs w:val="21"/>
                    </w:rPr>
                  </w:pPr>
                </w:p>
              </w:tc>
              <w:tc>
                <w:tcPr>
                  <w:tcW w:w="501" w:type="pct"/>
                  <w:vAlign w:val="center"/>
                </w:tcPr>
                <w:p w14:paraId="066D9F04">
                  <w:pPr>
                    <w:adjustRightInd w:val="0"/>
                    <w:snapToGrid w:val="0"/>
                    <w:spacing w:line="240" w:lineRule="auto"/>
                    <w:ind w:firstLine="0" w:firstLineChars="0"/>
                    <w:jc w:val="center"/>
                    <w:rPr>
                      <w:bCs/>
                      <w:szCs w:val="21"/>
                    </w:rPr>
                  </w:pPr>
                  <w:bookmarkStart w:id="126" w:name="OLE_LINK14"/>
                  <w:bookmarkStart w:id="127" w:name="OLE_LINK15"/>
                  <w:r>
                    <w:rPr>
                      <w:rFonts w:hint="eastAsia"/>
                      <w:bCs/>
                      <w:szCs w:val="21"/>
                    </w:rPr>
                    <w:t>38.26-</w:t>
                  </w:r>
                  <w:bookmarkEnd w:id="126"/>
                  <w:bookmarkEnd w:id="127"/>
                  <w:r>
                    <w:rPr>
                      <w:rFonts w:hint="eastAsia"/>
                      <w:bCs/>
                      <w:szCs w:val="21"/>
                    </w:rPr>
                    <w:t>38.38</w:t>
                  </w:r>
                </w:p>
              </w:tc>
              <w:tc>
                <w:tcPr>
                  <w:tcW w:w="263" w:type="pct"/>
                  <w:vAlign w:val="center"/>
                </w:tcPr>
                <w:p w14:paraId="3E3D7C22">
                  <w:pPr>
                    <w:adjustRightInd w:val="0"/>
                    <w:snapToGrid w:val="0"/>
                    <w:spacing w:line="240" w:lineRule="auto"/>
                    <w:ind w:firstLine="0" w:firstLineChars="0"/>
                    <w:jc w:val="center"/>
                    <w:rPr>
                      <w:bCs/>
                      <w:szCs w:val="21"/>
                    </w:rPr>
                  </w:pPr>
                  <w:r>
                    <w:rPr>
                      <w:rFonts w:hint="eastAsia"/>
                      <w:bCs/>
                      <w:szCs w:val="21"/>
                    </w:rPr>
                    <w:t>1</w:t>
                  </w:r>
                </w:p>
              </w:tc>
            </w:tr>
            <w:bookmarkEnd w:id="124"/>
            <w:bookmarkEnd w:id="125"/>
            <w:tr w14:paraId="4A2D6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2" w:type="pct"/>
                  <w:vAlign w:val="center"/>
                </w:tcPr>
                <w:p w14:paraId="41D504C9">
                  <w:pPr>
                    <w:adjustRightInd w:val="0"/>
                    <w:snapToGrid w:val="0"/>
                    <w:spacing w:line="240" w:lineRule="auto"/>
                    <w:ind w:firstLine="0" w:firstLineChars="0"/>
                    <w:jc w:val="center"/>
                    <w:rPr>
                      <w:szCs w:val="21"/>
                    </w:rPr>
                  </w:pPr>
                  <w:bookmarkStart w:id="128" w:name="OLE_LINK7"/>
                  <w:bookmarkStart w:id="129" w:name="OLE_LINK6"/>
                  <w:r>
                    <w:rPr>
                      <w:rFonts w:hint="eastAsia"/>
                      <w:szCs w:val="21"/>
                    </w:rPr>
                    <w:t>泵类</w:t>
                  </w:r>
                  <w:bookmarkEnd w:id="128"/>
                  <w:bookmarkEnd w:id="129"/>
                </w:p>
              </w:tc>
              <w:tc>
                <w:tcPr>
                  <w:tcW w:w="422" w:type="pct"/>
                  <w:vAlign w:val="center"/>
                </w:tcPr>
                <w:p w14:paraId="5EE9CF3C">
                  <w:pPr>
                    <w:adjustRightInd w:val="0"/>
                    <w:snapToGrid w:val="0"/>
                    <w:spacing w:line="240" w:lineRule="auto"/>
                    <w:ind w:firstLine="0" w:firstLineChars="0"/>
                    <w:jc w:val="center"/>
                    <w:rPr>
                      <w:bCs/>
                      <w:szCs w:val="21"/>
                    </w:rPr>
                  </w:pPr>
                  <w:r>
                    <w:rPr>
                      <w:rFonts w:hint="eastAsia"/>
                      <w:bCs/>
                      <w:szCs w:val="21"/>
                    </w:rPr>
                    <w:t>9.31</w:t>
                  </w:r>
                </w:p>
              </w:tc>
              <w:tc>
                <w:tcPr>
                  <w:tcW w:w="425" w:type="pct"/>
                  <w:vAlign w:val="center"/>
                </w:tcPr>
                <w:p w14:paraId="14EFD191">
                  <w:pPr>
                    <w:adjustRightInd w:val="0"/>
                    <w:snapToGrid w:val="0"/>
                    <w:spacing w:line="240" w:lineRule="auto"/>
                    <w:ind w:firstLine="0" w:firstLineChars="0"/>
                    <w:jc w:val="center"/>
                    <w:rPr>
                      <w:bCs/>
                      <w:szCs w:val="21"/>
                    </w:rPr>
                  </w:pPr>
                  <w:r>
                    <w:rPr>
                      <w:rFonts w:hint="eastAsia"/>
                      <w:bCs/>
                      <w:szCs w:val="21"/>
                    </w:rPr>
                    <w:t>40.35</w:t>
                  </w:r>
                </w:p>
              </w:tc>
              <w:tc>
                <w:tcPr>
                  <w:tcW w:w="256" w:type="pct"/>
                  <w:vAlign w:val="center"/>
                </w:tcPr>
                <w:p w14:paraId="3FAE0C1F">
                  <w:pPr>
                    <w:adjustRightInd w:val="0"/>
                    <w:snapToGrid w:val="0"/>
                    <w:spacing w:line="240" w:lineRule="auto"/>
                    <w:ind w:firstLine="0" w:firstLineChars="0"/>
                    <w:jc w:val="center"/>
                    <w:rPr>
                      <w:bCs/>
                      <w:szCs w:val="21"/>
                    </w:rPr>
                  </w:pPr>
                  <w:r>
                    <w:rPr>
                      <w:rFonts w:hint="eastAsia"/>
                      <w:bCs/>
                      <w:szCs w:val="21"/>
                    </w:rPr>
                    <w:t>1</w:t>
                  </w:r>
                </w:p>
              </w:tc>
              <w:tc>
                <w:tcPr>
                  <w:tcW w:w="418" w:type="pct"/>
                  <w:vAlign w:val="center"/>
                </w:tcPr>
                <w:p w14:paraId="06C0537F">
                  <w:pPr>
                    <w:adjustRightInd w:val="0"/>
                    <w:snapToGrid w:val="0"/>
                    <w:spacing w:line="240" w:lineRule="auto"/>
                    <w:ind w:firstLine="0" w:firstLineChars="0"/>
                    <w:jc w:val="center"/>
                    <w:rPr>
                      <w:bCs/>
                      <w:szCs w:val="21"/>
                    </w:rPr>
                  </w:pPr>
                  <w:r>
                    <w:rPr>
                      <w:rFonts w:hint="eastAsia"/>
                      <w:bCs/>
                      <w:szCs w:val="21"/>
                    </w:rPr>
                    <w:t>85</w:t>
                  </w:r>
                </w:p>
              </w:tc>
              <w:tc>
                <w:tcPr>
                  <w:tcW w:w="508" w:type="pct"/>
                  <w:vAlign w:val="center"/>
                </w:tcPr>
                <w:p w14:paraId="6C1714C6">
                  <w:pPr>
                    <w:adjustRightInd w:val="0"/>
                    <w:snapToGrid w:val="0"/>
                    <w:spacing w:line="240" w:lineRule="auto"/>
                    <w:ind w:firstLine="0" w:firstLineChars="0"/>
                    <w:jc w:val="center"/>
                    <w:rPr>
                      <w:bCs/>
                      <w:szCs w:val="21"/>
                    </w:rPr>
                  </w:pPr>
                  <w:r>
                    <w:rPr>
                      <w:rFonts w:hint="eastAsia"/>
                      <w:bCs/>
                      <w:szCs w:val="21"/>
                    </w:rPr>
                    <w:t>10.27-59.94</w:t>
                  </w:r>
                </w:p>
              </w:tc>
              <w:tc>
                <w:tcPr>
                  <w:tcW w:w="505" w:type="pct"/>
                  <w:vAlign w:val="center"/>
                </w:tcPr>
                <w:p w14:paraId="508042DA">
                  <w:pPr>
                    <w:adjustRightInd w:val="0"/>
                    <w:snapToGrid w:val="0"/>
                    <w:spacing w:line="240" w:lineRule="auto"/>
                    <w:ind w:firstLine="0" w:firstLineChars="0"/>
                    <w:jc w:val="center"/>
                    <w:rPr>
                      <w:bCs/>
                      <w:szCs w:val="21"/>
                    </w:rPr>
                  </w:pPr>
                  <w:r>
                    <w:rPr>
                      <w:rFonts w:hint="eastAsia"/>
                      <w:bCs/>
                      <w:szCs w:val="21"/>
                    </w:rPr>
                    <w:t>69.26-69.38</w:t>
                  </w:r>
                </w:p>
              </w:tc>
              <w:tc>
                <w:tcPr>
                  <w:tcW w:w="252" w:type="pct"/>
                  <w:vMerge w:val="continue"/>
                  <w:vAlign w:val="center"/>
                </w:tcPr>
                <w:p w14:paraId="6500351B">
                  <w:pPr>
                    <w:adjustRightInd w:val="0"/>
                    <w:snapToGrid w:val="0"/>
                    <w:ind w:firstLine="420"/>
                    <w:jc w:val="center"/>
                    <w:rPr>
                      <w:bCs/>
                      <w:szCs w:val="21"/>
                    </w:rPr>
                  </w:pPr>
                </w:p>
              </w:tc>
              <w:tc>
                <w:tcPr>
                  <w:tcW w:w="342" w:type="pct"/>
                  <w:vAlign w:val="center"/>
                </w:tcPr>
                <w:p w14:paraId="5277A66E">
                  <w:pPr>
                    <w:adjustRightInd w:val="0"/>
                    <w:snapToGrid w:val="0"/>
                    <w:spacing w:line="240" w:lineRule="auto"/>
                    <w:ind w:firstLine="0" w:firstLineChars="0"/>
                    <w:jc w:val="center"/>
                    <w:rPr>
                      <w:bCs/>
                      <w:szCs w:val="21"/>
                    </w:rPr>
                  </w:pPr>
                  <w:r>
                    <w:rPr>
                      <w:rFonts w:hint="eastAsia"/>
                    </w:rPr>
                    <w:t>昼间</w:t>
                  </w:r>
                </w:p>
              </w:tc>
              <w:tc>
                <w:tcPr>
                  <w:tcW w:w="586" w:type="pct"/>
                  <w:vMerge w:val="continue"/>
                  <w:vAlign w:val="center"/>
                </w:tcPr>
                <w:p w14:paraId="7A4C4B9B">
                  <w:pPr>
                    <w:adjustRightInd w:val="0"/>
                    <w:snapToGrid w:val="0"/>
                    <w:ind w:firstLine="420"/>
                    <w:jc w:val="center"/>
                    <w:rPr>
                      <w:bCs/>
                      <w:szCs w:val="21"/>
                    </w:rPr>
                  </w:pPr>
                </w:p>
              </w:tc>
              <w:tc>
                <w:tcPr>
                  <w:tcW w:w="501" w:type="pct"/>
                  <w:vAlign w:val="center"/>
                </w:tcPr>
                <w:p w14:paraId="087A2DA8">
                  <w:pPr>
                    <w:adjustRightInd w:val="0"/>
                    <w:snapToGrid w:val="0"/>
                    <w:spacing w:line="240" w:lineRule="auto"/>
                    <w:ind w:firstLine="0" w:firstLineChars="0"/>
                    <w:jc w:val="center"/>
                    <w:rPr>
                      <w:bCs/>
                      <w:szCs w:val="21"/>
                    </w:rPr>
                  </w:pPr>
                  <w:r>
                    <w:rPr>
                      <w:rFonts w:hint="eastAsia"/>
                      <w:bCs/>
                      <w:szCs w:val="21"/>
                    </w:rPr>
                    <w:t>43.26-43.38</w:t>
                  </w:r>
                </w:p>
              </w:tc>
              <w:tc>
                <w:tcPr>
                  <w:tcW w:w="263" w:type="pct"/>
                  <w:vAlign w:val="center"/>
                </w:tcPr>
                <w:p w14:paraId="58DD2EDA">
                  <w:pPr>
                    <w:adjustRightInd w:val="0"/>
                    <w:snapToGrid w:val="0"/>
                    <w:spacing w:line="240" w:lineRule="auto"/>
                    <w:ind w:firstLine="0" w:firstLineChars="0"/>
                    <w:jc w:val="center"/>
                    <w:rPr>
                      <w:bCs/>
                      <w:szCs w:val="21"/>
                    </w:rPr>
                  </w:pPr>
                  <w:r>
                    <w:rPr>
                      <w:rFonts w:hint="eastAsia"/>
                      <w:bCs/>
                      <w:szCs w:val="21"/>
                    </w:rPr>
                    <w:t>1</w:t>
                  </w:r>
                </w:p>
              </w:tc>
            </w:tr>
          </w:tbl>
          <w:p w14:paraId="0D0AFCAF">
            <w:pPr>
              <w:adjustRightInd w:val="0"/>
              <w:snapToGrid w:val="0"/>
              <w:spacing w:line="400" w:lineRule="exact"/>
              <w:ind w:firstLine="422"/>
              <w:rPr>
                <w:b/>
                <w:szCs w:val="21"/>
              </w:rPr>
            </w:pPr>
            <w:r>
              <w:rPr>
                <w:rFonts w:hint="eastAsia"/>
                <w:b/>
                <w:szCs w:val="21"/>
              </w:rPr>
              <w:t>注：以厂界西南角为坐标原点，东西方向为X，东为正方向，南北方向为Y，北为正方向。</w:t>
            </w:r>
          </w:p>
          <w:p w14:paraId="1002DA14">
            <w:pPr>
              <w:suppressAutoHyphens/>
              <w:adjustRightInd w:val="0"/>
              <w:snapToGrid w:val="0"/>
              <w:spacing w:beforeLines="50"/>
              <w:ind w:firstLine="420"/>
              <w:textAlignment w:val="center"/>
            </w:pPr>
            <w:r>
              <w:rPr>
                <w:rFonts w:hint="eastAsia"/>
              </w:rPr>
              <w:t>（2）环境数据</w:t>
            </w:r>
          </w:p>
          <w:p w14:paraId="15E05797">
            <w:pPr>
              <w:suppressAutoHyphens/>
              <w:adjustRightInd w:val="0"/>
              <w:snapToGrid w:val="0"/>
              <w:ind w:firstLine="420"/>
              <w:textAlignment w:val="center"/>
            </w:pPr>
            <w:r>
              <w:rPr>
                <w:rFonts w:hint="eastAsia"/>
              </w:rPr>
              <w:t>项目噪声环境影响预测基础数据，见下表。</w:t>
            </w:r>
          </w:p>
          <w:p w14:paraId="49F9974E">
            <w:pPr>
              <w:pStyle w:val="75"/>
              <w:numPr>
                <w:ilvl w:val="0"/>
                <w:numId w:val="0"/>
              </w:numPr>
              <w:tabs>
                <w:tab w:val="left" w:pos="420"/>
                <w:tab w:val="clear" w:pos="3680"/>
              </w:tabs>
              <w:ind w:left="454"/>
            </w:pPr>
            <w:r>
              <w:rPr>
                <w:rFonts w:hint="eastAsia"/>
              </w:rPr>
              <w:t>表4-13</w:t>
            </w:r>
            <w:r>
              <w:t>项目噪声环境影响预测基础数据表</w:t>
            </w:r>
          </w:p>
          <w:tbl>
            <w:tblPr>
              <w:tblStyle w:val="25"/>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26"/>
              <w:gridCol w:w="1927"/>
              <w:gridCol w:w="1927"/>
              <w:gridCol w:w="1927"/>
            </w:tblGrid>
            <w:tr w14:paraId="1F280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1926" w:type="dxa"/>
                  <w:tcBorders>
                    <w:top w:val="single" w:color="auto" w:sz="4" w:space="0"/>
                    <w:left w:val="single" w:color="auto" w:sz="4" w:space="0"/>
                    <w:bottom w:val="single" w:color="auto" w:sz="4" w:space="0"/>
                    <w:right w:val="single" w:color="auto" w:sz="4" w:space="0"/>
                  </w:tcBorders>
                  <w:vAlign w:val="center"/>
                </w:tcPr>
                <w:p w14:paraId="78702065">
                  <w:pPr>
                    <w:pStyle w:val="40"/>
                  </w:pPr>
                  <w:r>
                    <w:t>序号</w:t>
                  </w:r>
                </w:p>
              </w:tc>
              <w:tc>
                <w:tcPr>
                  <w:tcW w:w="1927" w:type="dxa"/>
                  <w:tcBorders>
                    <w:top w:val="single" w:color="auto" w:sz="4" w:space="0"/>
                    <w:left w:val="single" w:color="auto" w:sz="4" w:space="0"/>
                    <w:bottom w:val="single" w:color="auto" w:sz="4" w:space="0"/>
                    <w:right w:val="single" w:color="auto" w:sz="4" w:space="0"/>
                  </w:tcBorders>
                  <w:vAlign w:val="center"/>
                </w:tcPr>
                <w:p w14:paraId="70384DD5">
                  <w:pPr>
                    <w:pStyle w:val="40"/>
                  </w:pPr>
                  <w:r>
                    <w:t>名称</w:t>
                  </w:r>
                </w:p>
              </w:tc>
              <w:tc>
                <w:tcPr>
                  <w:tcW w:w="1927" w:type="dxa"/>
                  <w:tcBorders>
                    <w:top w:val="single" w:color="auto" w:sz="4" w:space="0"/>
                    <w:left w:val="single" w:color="auto" w:sz="4" w:space="0"/>
                    <w:bottom w:val="single" w:color="auto" w:sz="4" w:space="0"/>
                    <w:right w:val="single" w:color="auto" w:sz="4" w:space="0"/>
                  </w:tcBorders>
                  <w:vAlign w:val="center"/>
                </w:tcPr>
                <w:p w14:paraId="2198CFB5">
                  <w:pPr>
                    <w:pStyle w:val="40"/>
                  </w:pPr>
                  <w:r>
                    <w:t>单位</w:t>
                  </w:r>
                </w:p>
              </w:tc>
              <w:tc>
                <w:tcPr>
                  <w:tcW w:w="1927" w:type="dxa"/>
                  <w:tcBorders>
                    <w:top w:val="single" w:color="auto" w:sz="4" w:space="0"/>
                    <w:left w:val="single" w:color="auto" w:sz="4" w:space="0"/>
                    <w:bottom w:val="single" w:color="auto" w:sz="4" w:space="0"/>
                    <w:right w:val="single" w:color="auto" w:sz="4" w:space="0"/>
                  </w:tcBorders>
                  <w:vAlign w:val="center"/>
                </w:tcPr>
                <w:p w14:paraId="390661BE">
                  <w:pPr>
                    <w:pStyle w:val="40"/>
                  </w:pPr>
                  <w:r>
                    <w:t>数据</w:t>
                  </w:r>
                </w:p>
              </w:tc>
            </w:tr>
            <w:tr w14:paraId="554F3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1926" w:type="dxa"/>
                  <w:tcBorders>
                    <w:top w:val="single" w:color="auto" w:sz="4" w:space="0"/>
                    <w:left w:val="single" w:color="auto" w:sz="4" w:space="0"/>
                    <w:bottom w:val="single" w:color="auto" w:sz="4" w:space="0"/>
                    <w:right w:val="single" w:color="auto" w:sz="4" w:space="0"/>
                  </w:tcBorders>
                  <w:vAlign w:val="center"/>
                </w:tcPr>
                <w:p w14:paraId="744365C1">
                  <w:pPr>
                    <w:pStyle w:val="40"/>
                  </w:pPr>
                  <w:r>
                    <w:t>1</w:t>
                  </w:r>
                </w:p>
              </w:tc>
              <w:tc>
                <w:tcPr>
                  <w:tcW w:w="1927" w:type="dxa"/>
                  <w:tcBorders>
                    <w:top w:val="single" w:color="auto" w:sz="4" w:space="0"/>
                    <w:left w:val="single" w:color="auto" w:sz="4" w:space="0"/>
                    <w:bottom w:val="single" w:color="auto" w:sz="4" w:space="0"/>
                    <w:right w:val="single" w:color="auto" w:sz="4" w:space="0"/>
                  </w:tcBorders>
                  <w:vAlign w:val="center"/>
                </w:tcPr>
                <w:p w14:paraId="72D82464">
                  <w:pPr>
                    <w:pStyle w:val="40"/>
                  </w:pPr>
                  <w:r>
                    <w:t>年平均风速</w:t>
                  </w:r>
                </w:p>
              </w:tc>
              <w:tc>
                <w:tcPr>
                  <w:tcW w:w="1927" w:type="dxa"/>
                  <w:tcBorders>
                    <w:top w:val="single" w:color="auto" w:sz="4" w:space="0"/>
                    <w:left w:val="single" w:color="auto" w:sz="4" w:space="0"/>
                    <w:bottom w:val="single" w:color="auto" w:sz="4" w:space="0"/>
                    <w:right w:val="single" w:color="auto" w:sz="4" w:space="0"/>
                  </w:tcBorders>
                  <w:vAlign w:val="center"/>
                </w:tcPr>
                <w:p w14:paraId="65D45E53">
                  <w:pPr>
                    <w:pStyle w:val="40"/>
                  </w:pPr>
                  <w:r>
                    <w:t>m/s</w:t>
                  </w:r>
                </w:p>
              </w:tc>
              <w:tc>
                <w:tcPr>
                  <w:tcW w:w="1927" w:type="dxa"/>
                  <w:tcBorders>
                    <w:top w:val="single" w:color="auto" w:sz="4" w:space="0"/>
                    <w:left w:val="single" w:color="auto" w:sz="4" w:space="0"/>
                    <w:bottom w:val="single" w:color="auto" w:sz="4" w:space="0"/>
                    <w:right w:val="single" w:color="auto" w:sz="4" w:space="0"/>
                  </w:tcBorders>
                  <w:vAlign w:val="center"/>
                </w:tcPr>
                <w:p w14:paraId="5A84B138">
                  <w:pPr>
                    <w:pStyle w:val="40"/>
                  </w:pPr>
                  <w:r>
                    <w:t>2</w:t>
                  </w:r>
                </w:p>
              </w:tc>
            </w:tr>
            <w:tr w14:paraId="42AD5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1926" w:type="dxa"/>
                  <w:tcBorders>
                    <w:top w:val="single" w:color="auto" w:sz="4" w:space="0"/>
                    <w:left w:val="single" w:color="auto" w:sz="4" w:space="0"/>
                    <w:bottom w:val="single" w:color="auto" w:sz="4" w:space="0"/>
                    <w:right w:val="single" w:color="auto" w:sz="4" w:space="0"/>
                  </w:tcBorders>
                  <w:vAlign w:val="center"/>
                </w:tcPr>
                <w:p w14:paraId="23A1FC32">
                  <w:pPr>
                    <w:pStyle w:val="40"/>
                  </w:pPr>
                  <w:r>
                    <w:t>2</w:t>
                  </w:r>
                </w:p>
              </w:tc>
              <w:tc>
                <w:tcPr>
                  <w:tcW w:w="1927" w:type="dxa"/>
                  <w:tcBorders>
                    <w:top w:val="single" w:color="auto" w:sz="4" w:space="0"/>
                    <w:left w:val="single" w:color="auto" w:sz="4" w:space="0"/>
                    <w:bottom w:val="single" w:color="auto" w:sz="4" w:space="0"/>
                    <w:right w:val="single" w:color="auto" w:sz="4" w:space="0"/>
                  </w:tcBorders>
                  <w:vAlign w:val="center"/>
                </w:tcPr>
                <w:p w14:paraId="4E9FC49A">
                  <w:pPr>
                    <w:pStyle w:val="40"/>
                  </w:pPr>
                  <w:r>
                    <w:t>主导风向</w:t>
                  </w:r>
                </w:p>
              </w:tc>
              <w:tc>
                <w:tcPr>
                  <w:tcW w:w="1927" w:type="dxa"/>
                  <w:tcBorders>
                    <w:top w:val="single" w:color="auto" w:sz="4" w:space="0"/>
                    <w:left w:val="single" w:color="auto" w:sz="4" w:space="0"/>
                    <w:bottom w:val="single" w:color="auto" w:sz="4" w:space="0"/>
                    <w:right w:val="single" w:color="auto" w:sz="4" w:space="0"/>
                  </w:tcBorders>
                  <w:vAlign w:val="center"/>
                </w:tcPr>
                <w:p w14:paraId="1A8BF510">
                  <w:pPr>
                    <w:pStyle w:val="40"/>
                  </w:pPr>
                  <w:r>
                    <w:t>/</w:t>
                  </w:r>
                </w:p>
              </w:tc>
              <w:tc>
                <w:tcPr>
                  <w:tcW w:w="1927" w:type="dxa"/>
                  <w:tcBorders>
                    <w:top w:val="single" w:color="auto" w:sz="4" w:space="0"/>
                    <w:left w:val="single" w:color="auto" w:sz="4" w:space="0"/>
                    <w:bottom w:val="single" w:color="auto" w:sz="4" w:space="0"/>
                    <w:right w:val="single" w:color="auto" w:sz="4" w:space="0"/>
                  </w:tcBorders>
                  <w:vAlign w:val="center"/>
                </w:tcPr>
                <w:p w14:paraId="58456AA2">
                  <w:pPr>
                    <w:pStyle w:val="40"/>
                  </w:pPr>
                  <w:r>
                    <w:t>东北风</w:t>
                  </w:r>
                </w:p>
              </w:tc>
            </w:tr>
            <w:tr w14:paraId="6ABA0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1926" w:type="dxa"/>
                  <w:tcBorders>
                    <w:top w:val="single" w:color="auto" w:sz="4" w:space="0"/>
                    <w:left w:val="single" w:color="auto" w:sz="4" w:space="0"/>
                    <w:bottom w:val="single" w:color="auto" w:sz="4" w:space="0"/>
                    <w:right w:val="single" w:color="auto" w:sz="4" w:space="0"/>
                  </w:tcBorders>
                  <w:vAlign w:val="center"/>
                </w:tcPr>
                <w:p w14:paraId="514BCD1B">
                  <w:pPr>
                    <w:pStyle w:val="40"/>
                  </w:pPr>
                  <w:r>
                    <w:t>3</w:t>
                  </w:r>
                </w:p>
              </w:tc>
              <w:tc>
                <w:tcPr>
                  <w:tcW w:w="1927" w:type="dxa"/>
                  <w:tcBorders>
                    <w:top w:val="single" w:color="auto" w:sz="4" w:space="0"/>
                    <w:left w:val="single" w:color="auto" w:sz="4" w:space="0"/>
                    <w:bottom w:val="single" w:color="auto" w:sz="4" w:space="0"/>
                    <w:right w:val="single" w:color="auto" w:sz="4" w:space="0"/>
                  </w:tcBorders>
                  <w:vAlign w:val="center"/>
                </w:tcPr>
                <w:p w14:paraId="3E0D2FD2">
                  <w:pPr>
                    <w:pStyle w:val="40"/>
                  </w:pPr>
                  <w:r>
                    <w:t>年平均气温</w:t>
                  </w:r>
                </w:p>
              </w:tc>
              <w:tc>
                <w:tcPr>
                  <w:tcW w:w="1927" w:type="dxa"/>
                  <w:tcBorders>
                    <w:top w:val="single" w:color="auto" w:sz="4" w:space="0"/>
                    <w:left w:val="single" w:color="auto" w:sz="4" w:space="0"/>
                    <w:bottom w:val="single" w:color="auto" w:sz="4" w:space="0"/>
                    <w:right w:val="single" w:color="auto" w:sz="4" w:space="0"/>
                  </w:tcBorders>
                  <w:vAlign w:val="center"/>
                </w:tcPr>
                <w:p w14:paraId="5CE877D7">
                  <w:pPr>
                    <w:pStyle w:val="40"/>
                  </w:pPr>
                  <w:r>
                    <w:rPr>
                      <w:rFonts w:hint="eastAsia"/>
                    </w:rPr>
                    <w:t>℃</w:t>
                  </w:r>
                </w:p>
              </w:tc>
              <w:tc>
                <w:tcPr>
                  <w:tcW w:w="1927" w:type="dxa"/>
                  <w:tcBorders>
                    <w:top w:val="single" w:color="auto" w:sz="4" w:space="0"/>
                    <w:left w:val="single" w:color="auto" w:sz="4" w:space="0"/>
                    <w:bottom w:val="single" w:color="auto" w:sz="4" w:space="0"/>
                    <w:right w:val="single" w:color="auto" w:sz="4" w:space="0"/>
                  </w:tcBorders>
                  <w:vAlign w:val="center"/>
                </w:tcPr>
                <w:p w14:paraId="203E446F">
                  <w:pPr>
                    <w:pStyle w:val="40"/>
                  </w:pPr>
                  <w:r>
                    <w:t>20</w:t>
                  </w:r>
                </w:p>
              </w:tc>
            </w:tr>
            <w:tr w14:paraId="4D88D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1926" w:type="dxa"/>
                  <w:tcBorders>
                    <w:top w:val="single" w:color="auto" w:sz="4" w:space="0"/>
                    <w:left w:val="single" w:color="auto" w:sz="4" w:space="0"/>
                    <w:bottom w:val="single" w:color="auto" w:sz="4" w:space="0"/>
                    <w:right w:val="single" w:color="auto" w:sz="4" w:space="0"/>
                  </w:tcBorders>
                  <w:vAlign w:val="center"/>
                </w:tcPr>
                <w:p w14:paraId="4B876169">
                  <w:pPr>
                    <w:pStyle w:val="40"/>
                  </w:pPr>
                  <w:r>
                    <w:t>4</w:t>
                  </w:r>
                </w:p>
              </w:tc>
              <w:tc>
                <w:tcPr>
                  <w:tcW w:w="1927" w:type="dxa"/>
                  <w:tcBorders>
                    <w:top w:val="single" w:color="auto" w:sz="4" w:space="0"/>
                    <w:left w:val="single" w:color="auto" w:sz="4" w:space="0"/>
                    <w:bottom w:val="single" w:color="auto" w:sz="4" w:space="0"/>
                    <w:right w:val="single" w:color="auto" w:sz="4" w:space="0"/>
                  </w:tcBorders>
                  <w:vAlign w:val="center"/>
                </w:tcPr>
                <w:p w14:paraId="67D2FA19">
                  <w:pPr>
                    <w:pStyle w:val="40"/>
                  </w:pPr>
                  <w:r>
                    <w:t>年平均相对湿度</w:t>
                  </w:r>
                </w:p>
              </w:tc>
              <w:tc>
                <w:tcPr>
                  <w:tcW w:w="1927" w:type="dxa"/>
                  <w:tcBorders>
                    <w:top w:val="single" w:color="auto" w:sz="4" w:space="0"/>
                    <w:left w:val="single" w:color="auto" w:sz="4" w:space="0"/>
                    <w:bottom w:val="single" w:color="auto" w:sz="4" w:space="0"/>
                    <w:right w:val="single" w:color="auto" w:sz="4" w:space="0"/>
                  </w:tcBorders>
                  <w:vAlign w:val="center"/>
                </w:tcPr>
                <w:p w14:paraId="7BC7FC0C">
                  <w:pPr>
                    <w:pStyle w:val="40"/>
                  </w:pPr>
                  <w:r>
                    <w:t>%</w:t>
                  </w:r>
                </w:p>
              </w:tc>
              <w:tc>
                <w:tcPr>
                  <w:tcW w:w="1927" w:type="dxa"/>
                  <w:tcBorders>
                    <w:top w:val="single" w:color="auto" w:sz="4" w:space="0"/>
                    <w:left w:val="single" w:color="auto" w:sz="4" w:space="0"/>
                    <w:bottom w:val="single" w:color="auto" w:sz="4" w:space="0"/>
                    <w:right w:val="single" w:color="auto" w:sz="4" w:space="0"/>
                  </w:tcBorders>
                  <w:vAlign w:val="center"/>
                </w:tcPr>
                <w:p w14:paraId="4A0981B1">
                  <w:pPr>
                    <w:pStyle w:val="40"/>
                  </w:pPr>
                  <w:r>
                    <w:t>50</w:t>
                  </w:r>
                </w:p>
              </w:tc>
            </w:tr>
            <w:tr w14:paraId="0DEAD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926" w:type="dxa"/>
                  <w:tcBorders>
                    <w:top w:val="single" w:color="auto" w:sz="4" w:space="0"/>
                    <w:left w:val="single" w:color="auto" w:sz="4" w:space="0"/>
                    <w:bottom w:val="single" w:color="auto" w:sz="4" w:space="0"/>
                    <w:right w:val="single" w:color="auto" w:sz="4" w:space="0"/>
                  </w:tcBorders>
                  <w:vAlign w:val="center"/>
                </w:tcPr>
                <w:p w14:paraId="3D29AB94">
                  <w:pPr>
                    <w:pStyle w:val="40"/>
                  </w:pPr>
                  <w:r>
                    <w:t>5</w:t>
                  </w:r>
                </w:p>
              </w:tc>
              <w:tc>
                <w:tcPr>
                  <w:tcW w:w="1927" w:type="dxa"/>
                  <w:tcBorders>
                    <w:top w:val="single" w:color="auto" w:sz="4" w:space="0"/>
                    <w:left w:val="single" w:color="auto" w:sz="4" w:space="0"/>
                    <w:bottom w:val="single" w:color="auto" w:sz="4" w:space="0"/>
                    <w:right w:val="single" w:color="auto" w:sz="4" w:space="0"/>
                  </w:tcBorders>
                  <w:vAlign w:val="center"/>
                </w:tcPr>
                <w:p w14:paraId="440D12A7">
                  <w:pPr>
                    <w:pStyle w:val="40"/>
                  </w:pPr>
                  <w:r>
                    <w:t>大气压强</w:t>
                  </w:r>
                </w:p>
              </w:tc>
              <w:tc>
                <w:tcPr>
                  <w:tcW w:w="1927" w:type="dxa"/>
                  <w:tcBorders>
                    <w:top w:val="single" w:color="auto" w:sz="4" w:space="0"/>
                    <w:left w:val="single" w:color="auto" w:sz="4" w:space="0"/>
                    <w:bottom w:val="single" w:color="auto" w:sz="4" w:space="0"/>
                    <w:right w:val="single" w:color="auto" w:sz="4" w:space="0"/>
                  </w:tcBorders>
                  <w:vAlign w:val="center"/>
                </w:tcPr>
                <w:p w14:paraId="0F373457">
                  <w:pPr>
                    <w:pStyle w:val="40"/>
                  </w:pPr>
                  <w:r>
                    <w:t>atm</w:t>
                  </w:r>
                </w:p>
              </w:tc>
              <w:tc>
                <w:tcPr>
                  <w:tcW w:w="1927" w:type="dxa"/>
                  <w:tcBorders>
                    <w:top w:val="single" w:color="auto" w:sz="4" w:space="0"/>
                    <w:left w:val="single" w:color="auto" w:sz="4" w:space="0"/>
                    <w:bottom w:val="single" w:color="auto" w:sz="4" w:space="0"/>
                    <w:right w:val="single" w:color="auto" w:sz="4" w:space="0"/>
                  </w:tcBorders>
                  <w:vAlign w:val="center"/>
                </w:tcPr>
                <w:p w14:paraId="683EE043">
                  <w:pPr>
                    <w:pStyle w:val="40"/>
                  </w:pPr>
                  <w:r>
                    <w:t>1</w:t>
                  </w:r>
                </w:p>
              </w:tc>
            </w:tr>
          </w:tbl>
          <w:p w14:paraId="6D8969A6">
            <w:pPr>
              <w:suppressAutoHyphens/>
              <w:adjustRightInd w:val="0"/>
              <w:snapToGrid w:val="0"/>
              <w:spacing w:beforeLines="50"/>
              <w:ind w:firstLine="420"/>
              <w:textAlignment w:val="center"/>
            </w:pPr>
            <w:r>
              <w:t>（3）噪声预测模式</w:t>
            </w:r>
          </w:p>
          <w:p w14:paraId="0E6C52AB">
            <w:pPr>
              <w:suppressAutoHyphens/>
              <w:adjustRightInd w:val="0"/>
              <w:snapToGrid w:val="0"/>
              <w:ind w:firstLine="420"/>
              <w:textAlignment w:val="center"/>
            </w:pPr>
            <w:r>
              <w:t>1）对室外噪声源主要考虑噪声的几何发散衰减及环境影响衰减：</w:t>
            </w:r>
          </w:p>
          <w:p w14:paraId="4303DC97">
            <w:pPr>
              <w:suppressAutoHyphens/>
              <w:adjustRightInd w:val="0"/>
              <w:snapToGrid w:val="0"/>
              <w:ind w:firstLine="420"/>
              <w:jc w:val="center"/>
              <w:textAlignment w:val="center"/>
            </w:pPr>
            <w:r>
              <w:t>L</w:t>
            </w:r>
            <w:r>
              <w:rPr>
                <w:vertAlign w:val="subscript"/>
              </w:rPr>
              <w:t>p</w:t>
            </w:r>
            <w:r>
              <w:t>(r)＝L</w:t>
            </w:r>
            <w:r>
              <w:rPr>
                <w:vertAlign w:val="subscript"/>
              </w:rPr>
              <w:t>w</w:t>
            </w:r>
            <w:r>
              <w:t>+D</w:t>
            </w:r>
            <w:r>
              <w:rPr>
                <w:vertAlign w:val="subscript"/>
              </w:rPr>
              <w:t>C</w:t>
            </w:r>
            <w:r>
              <w:t>－(A</w:t>
            </w:r>
            <w:r>
              <w:rPr>
                <w:vertAlign w:val="subscript"/>
              </w:rPr>
              <w:t>div</w:t>
            </w:r>
            <w:r>
              <w:t>＋A</w:t>
            </w:r>
            <w:r>
              <w:rPr>
                <w:vertAlign w:val="subscript"/>
              </w:rPr>
              <w:t>atm</w:t>
            </w:r>
            <w:r>
              <w:t>＋A</w:t>
            </w:r>
            <w:r>
              <w:rPr>
                <w:vertAlign w:val="subscript"/>
              </w:rPr>
              <w:t>gr</w:t>
            </w:r>
            <w:r>
              <w:t>＋A</w:t>
            </w:r>
            <w:r>
              <w:rPr>
                <w:vertAlign w:val="subscript"/>
              </w:rPr>
              <w:t>bar</w:t>
            </w:r>
            <w:r>
              <w:t>＋A</w:t>
            </w:r>
            <w:r>
              <w:rPr>
                <w:vertAlign w:val="subscript"/>
              </w:rPr>
              <w:t>misc</w:t>
            </w:r>
            <w:r>
              <w:t>)</w:t>
            </w:r>
          </w:p>
          <w:p w14:paraId="053EB015">
            <w:pPr>
              <w:suppressAutoHyphens/>
              <w:adjustRightInd w:val="0"/>
              <w:snapToGrid w:val="0"/>
              <w:ind w:firstLine="420"/>
              <w:textAlignment w:val="center"/>
            </w:pPr>
            <w:r>
              <w:t>式中：L</w:t>
            </w:r>
            <w:r>
              <w:rPr>
                <w:vertAlign w:val="subscript"/>
              </w:rPr>
              <w:t>p</w:t>
            </w:r>
            <w:r>
              <w:t xml:space="preserve">(r)——预测点处声压级，dB； </w:t>
            </w:r>
          </w:p>
          <w:p w14:paraId="3DBFB1FB">
            <w:pPr>
              <w:suppressAutoHyphens/>
              <w:adjustRightInd w:val="0"/>
              <w:snapToGrid w:val="0"/>
              <w:ind w:firstLine="420"/>
              <w:textAlignment w:val="center"/>
            </w:pPr>
            <w:r>
              <w:t>L</w:t>
            </w:r>
            <w:r>
              <w:rPr>
                <w:vertAlign w:val="subscript"/>
              </w:rPr>
              <w:t xml:space="preserve">w </w:t>
            </w:r>
            <w:r>
              <w:t xml:space="preserve">——由点声源产生的声功率级（A计权或倍频带），dB； </w:t>
            </w:r>
          </w:p>
          <w:p w14:paraId="194788CE">
            <w:pPr>
              <w:suppressAutoHyphens/>
              <w:adjustRightInd w:val="0"/>
              <w:snapToGrid w:val="0"/>
              <w:ind w:firstLine="420"/>
              <w:textAlignment w:val="center"/>
            </w:pPr>
            <w:r>
              <w:t>D</w:t>
            </w:r>
            <w:r>
              <w:rPr>
                <w:vertAlign w:val="subscript"/>
              </w:rPr>
              <w:t>C</w:t>
            </w:r>
            <w:r>
              <w:t xml:space="preserve"> ——指向性校正，它描述点声源的等效连续声压级与产生声功率级Lw的全向点声源在规定方向的声级的偏差程度，dB； </w:t>
            </w:r>
          </w:p>
          <w:p w14:paraId="2887D4CC">
            <w:pPr>
              <w:suppressAutoHyphens/>
              <w:adjustRightInd w:val="0"/>
              <w:snapToGrid w:val="0"/>
              <w:ind w:firstLine="420"/>
              <w:textAlignment w:val="center"/>
            </w:pPr>
            <w:r>
              <w:t>A</w:t>
            </w:r>
            <w:r>
              <w:rPr>
                <w:vertAlign w:val="subscript"/>
              </w:rPr>
              <w:t>div</w:t>
            </w:r>
            <w:r>
              <w:t xml:space="preserve"> ——几何发散引起的衰减，dB； </w:t>
            </w:r>
          </w:p>
          <w:p w14:paraId="6998ED59">
            <w:pPr>
              <w:suppressAutoHyphens/>
              <w:adjustRightInd w:val="0"/>
              <w:snapToGrid w:val="0"/>
              <w:ind w:firstLine="420"/>
              <w:textAlignment w:val="center"/>
            </w:pPr>
            <w:r>
              <w:t>A</w:t>
            </w:r>
            <w:r>
              <w:rPr>
                <w:vertAlign w:val="subscript"/>
              </w:rPr>
              <w:t>atm</w:t>
            </w:r>
            <w:r>
              <w:t>——大气吸收引起的衰减，dB；</w:t>
            </w:r>
          </w:p>
          <w:p w14:paraId="0AC6595D">
            <w:pPr>
              <w:suppressAutoHyphens/>
              <w:adjustRightInd w:val="0"/>
              <w:snapToGrid w:val="0"/>
              <w:ind w:firstLine="420"/>
              <w:textAlignment w:val="center"/>
            </w:pPr>
            <w:r>
              <w:t>A</w:t>
            </w:r>
            <w:r>
              <w:rPr>
                <w:vertAlign w:val="subscript"/>
              </w:rPr>
              <w:t>gr</w:t>
            </w:r>
            <w:r>
              <w:t>——地面效应引起的衰减，dB；</w:t>
            </w:r>
          </w:p>
          <w:p w14:paraId="555399C8">
            <w:pPr>
              <w:suppressAutoHyphens/>
              <w:adjustRightInd w:val="0"/>
              <w:snapToGrid w:val="0"/>
              <w:ind w:firstLine="420"/>
              <w:textAlignment w:val="center"/>
            </w:pPr>
            <w:r>
              <w:t>A</w:t>
            </w:r>
            <w:r>
              <w:rPr>
                <w:vertAlign w:val="subscript"/>
              </w:rPr>
              <w:t>bar</w:t>
            </w:r>
            <w:r>
              <w:t xml:space="preserve"> ——障碍物屏蔽引起的衰减，dB；</w:t>
            </w:r>
          </w:p>
          <w:p w14:paraId="7B566BA1">
            <w:pPr>
              <w:suppressAutoHyphens/>
              <w:adjustRightInd w:val="0"/>
              <w:snapToGrid w:val="0"/>
              <w:ind w:firstLine="420"/>
              <w:textAlignment w:val="center"/>
            </w:pPr>
            <w:r>
              <w:t>A</w:t>
            </w:r>
            <w:r>
              <w:rPr>
                <w:vertAlign w:val="subscript"/>
              </w:rPr>
              <w:t>misc</w:t>
            </w:r>
            <w:r>
              <w:t>——其他多方面效应引起的衰减，dB</w:t>
            </w:r>
          </w:p>
          <w:p w14:paraId="7A28205D">
            <w:pPr>
              <w:suppressAutoHyphens/>
              <w:adjustRightInd w:val="0"/>
              <w:snapToGrid w:val="0"/>
              <w:ind w:firstLine="420"/>
              <w:textAlignment w:val="center"/>
            </w:pPr>
            <w:r>
              <w:t>2）室内声源等效室外声源声功率级计算方法：</w:t>
            </w:r>
          </w:p>
          <w:p w14:paraId="10D63437">
            <w:pPr>
              <w:suppressAutoHyphens/>
              <w:adjustRightInd w:val="0"/>
              <w:snapToGrid w:val="0"/>
              <w:ind w:firstLine="420"/>
              <w:jc w:val="center"/>
              <w:textAlignment w:val="center"/>
            </w:pPr>
            <w:r>
              <w:t>L</w:t>
            </w:r>
            <w:r>
              <w:rPr>
                <w:vertAlign w:val="subscript"/>
              </w:rPr>
              <w:t>p2</w:t>
            </w:r>
            <w:r>
              <w:t>= L</w:t>
            </w:r>
            <w:r>
              <w:rPr>
                <w:vertAlign w:val="subscript"/>
              </w:rPr>
              <w:t>p1</w:t>
            </w:r>
            <w:r>
              <w:t>-（TL+6）</w:t>
            </w:r>
          </w:p>
          <w:p w14:paraId="0EBB85EC">
            <w:pPr>
              <w:suppressAutoHyphens/>
              <w:adjustRightInd w:val="0"/>
              <w:snapToGrid w:val="0"/>
              <w:ind w:firstLine="420"/>
              <w:textAlignment w:val="center"/>
            </w:pPr>
            <w:r>
              <w:t>式中：L</w:t>
            </w:r>
            <w:r>
              <w:rPr>
                <w:vertAlign w:val="subscript"/>
              </w:rPr>
              <w:t>p1</w:t>
            </w:r>
            <w:r>
              <w:t>——靠近开口处（或窗户）室内某倍频带的声压级或A声级，dB；</w:t>
            </w:r>
          </w:p>
          <w:p w14:paraId="1DC7E819">
            <w:pPr>
              <w:suppressAutoHyphens/>
              <w:adjustRightInd w:val="0"/>
              <w:snapToGrid w:val="0"/>
              <w:ind w:firstLine="420"/>
              <w:textAlignment w:val="center"/>
            </w:pPr>
            <w:r>
              <w:t>L</w:t>
            </w:r>
            <w:r>
              <w:rPr>
                <w:vertAlign w:val="subscript"/>
              </w:rPr>
              <w:t>p2</w:t>
            </w:r>
            <w:r>
              <w:t>——靠近开口处（或窗户）室外某倍频带的声压级或A声级，dB；</w:t>
            </w:r>
          </w:p>
          <w:p w14:paraId="38DEA776">
            <w:pPr>
              <w:suppressAutoHyphens/>
              <w:adjustRightInd w:val="0"/>
              <w:snapToGrid w:val="0"/>
              <w:ind w:firstLine="420"/>
              <w:textAlignment w:val="center"/>
            </w:pPr>
            <w:r>
              <w:t>TL——隔墙（或窗户）倍频带或A 声级的隔声量，dB。</w:t>
            </w:r>
          </w:p>
          <w:p w14:paraId="67671417">
            <w:pPr>
              <w:suppressAutoHyphens/>
              <w:adjustRightInd w:val="0"/>
              <w:snapToGrid w:val="0"/>
              <w:ind w:firstLine="420"/>
              <w:textAlignment w:val="center"/>
            </w:pPr>
            <w:r>
              <w:t>3）与背景值叠加预测点总声压级采用下面公式：</w:t>
            </w:r>
          </w:p>
          <w:p w14:paraId="5F370A01">
            <w:pPr>
              <w:suppressAutoHyphens/>
              <w:adjustRightInd w:val="0"/>
              <w:snapToGrid w:val="0"/>
              <w:ind w:firstLine="420"/>
              <w:jc w:val="center"/>
              <w:textAlignment w:val="center"/>
            </w:pPr>
            <w:r>
              <w:t>Leq=10Lg[10</w:t>
            </w:r>
            <w:r>
              <w:rPr>
                <w:vertAlign w:val="superscript"/>
              </w:rPr>
              <w:t>0.1Leqg</w:t>
            </w:r>
            <w:r>
              <w:t>+10</w:t>
            </w:r>
            <w:r>
              <w:rPr>
                <w:vertAlign w:val="superscript"/>
              </w:rPr>
              <w:t>0.1Leqb</w:t>
            </w:r>
            <w:r>
              <w:t>]</w:t>
            </w:r>
          </w:p>
          <w:p w14:paraId="3BA44A7A">
            <w:pPr>
              <w:suppressAutoHyphens/>
              <w:adjustRightInd w:val="0"/>
              <w:snapToGrid w:val="0"/>
              <w:ind w:firstLine="420"/>
              <w:textAlignment w:val="center"/>
            </w:pPr>
            <w:r>
              <w:t>式中：L</w:t>
            </w:r>
            <w:r>
              <w:rPr>
                <w:vertAlign w:val="subscript"/>
              </w:rPr>
              <w:t>eq</w:t>
            </w:r>
            <w:r>
              <w:t>——预测点噪声预测值；</w:t>
            </w:r>
          </w:p>
          <w:p w14:paraId="27684743">
            <w:pPr>
              <w:suppressAutoHyphens/>
              <w:adjustRightInd w:val="0"/>
              <w:snapToGrid w:val="0"/>
              <w:ind w:firstLine="1050" w:firstLineChars="500"/>
              <w:textAlignment w:val="center"/>
            </w:pPr>
            <w:r>
              <w:t>Leqg——建设项目声源在预测点产生的噪声贡献值；</w:t>
            </w:r>
          </w:p>
          <w:p w14:paraId="3447FFC2">
            <w:pPr>
              <w:ind w:firstLine="420"/>
              <w:rPr>
                <w:rFonts w:ascii="宋体" w:hAnsi="宋体" w:cs="宋体"/>
              </w:rPr>
            </w:pPr>
            <w:r>
              <w:t>Leqb——预测点的背景噪声值。</w:t>
            </w:r>
          </w:p>
          <w:p w14:paraId="7CF095AA">
            <w:pPr>
              <w:adjustRightInd w:val="0"/>
              <w:snapToGrid w:val="0"/>
              <w:spacing w:line="400" w:lineRule="exact"/>
              <w:ind w:firstLine="420"/>
              <w:rPr>
                <w:bCs/>
                <w:szCs w:val="21"/>
              </w:rPr>
            </w:pPr>
            <w:r>
              <w:rPr>
                <w:rFonts w:hint="eastAsia"/>
                <w:bCs/>
                <w:szCs w:val="21"/>
              </w:rPr>
              <w:t>（4）预测结果及影响分析</w:t>
            </w:r>
          </w:p>
          <w:p w14:paraId="736EE5B5">
            <w:pPr>
              <w:adjustRightInd w:val="0"/>
              <w:snapToGrid w:val="0"/>
              <w:spacing w:line="400" w:lineRule="exact"/>
              <w:ind w:firstLine="420"/>
              <w:rPr>
                <w:snapToGrid w:val="0"/>
                <w:szCs w:val="21"/>
              </w:rPr>
            </w:pPr>
            <w:r>
              <w:rPr>
                <w:rFonts w:hint="eastAsia"/>
                <w:bCs/>
                <w:szCs w:val="21"/>
              </w:rPr>
              <w:t>采用环安噪声环境影响评价系统，进行预测后，厂界噪声贡献值及达标分析，如下：</w:t>
            </w:r>
          </w:p>
          <w:p w14:paraId="04D39C95">
            <w:pPr>
              <w:pStyle w:val="75"/>
              <w:widowControl w:val="0"/>
              <w:numPr>
                <w:ilvl w:val="0"/>
                <w:numId w:val="0"/>
              </w:numPr>
              <w:spacing w:beforeLines="50"/>
              <w:ind w:firstLine="422"/>
            </w:pPr>
            <w:r>
              <w:rPr>
                <w:rFonts w:hint="eastAsia"/>
                <w:bCs/>
                <w:snapToGrid w:val="0"/>
              </w:rPr>
              <w:t>表4-14</w:t>
            </w:r>
            <w:r>
              <w:t>项目</w:t>
            </w:r>
            <w:r>
              <w:rPr>
                <w:rFonts w:hint="eastAsia"/>
              </w:rPr>
              <w:t>昼间厂界</w:t>
            </w:r>
            <w:r>
              <w:t>噪声</w:t>
            </w:r>
            <w:r>
              <w:rPr>
                <w:rFonts w:hint="eastAsia"/>
              </w:rPr>
              <w:t>最大贡献值</w:t>
            </w:r>
            <w:r>
              <w:t>预测结果与达标分析</w:t>
            </w:r>
          </w:p>
          <w:tbl>
            <w:tblPr>
              <w:tblStyle w:val="25"/>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16"/>
              <w:gridCol w:w="951"/>
              <w:gridCol w:w="791"/>
              <w:gridCol w:w="792"/>
              <w:gridCol w:w="792"/>
              <w:gridCol w:w="1040"/>
              <w:gridCol w:w="1336"/>
              <w:gridCol w:w="983"/>
            </w:tblGrid>
            <w:tr w14:paraId="73AB4D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1616" w:type="dxa"/>
                  <w:vMerge w:val="restart"/>
                  <w:shd w:val="clear" w:color="auto" w:fill="auto"/>
                  <w:noWrap/>
                  <w:vAlign w:val="center"/>
                </w:tcPr>
                <w:p w14:paraId="7BF5CBC4">
                  <w:pPr>
                    <w:pStyle w:val="40"/>
                  </w:pPr>
                  <w:bookmarkStart w:id="130" w:name="_Hlk171950220"/>
                  <w:r>
                    <w:rPr>
                      <w:rFonts w:hint="eastAsia"/>
                    </w:rPr>
                    <w:t>名称</w:t>
                  </w:r>
                </w:p>
              </w:tc>
              <w:tc>
                <w:tcPr>
                  <w:tcW w:w="951" w:type="dxa"/>
                  <w:vMerge w:val="restart"/>
                  <w:shd w:val="clear" w:color="auto" w:fill="auto"/>
                  <w:noWrap/>
                  <w:vAlign w:val="center"/>
                </w:tcPr>
                <w:p w14:paraId="03B56E58">
                  <w:pPr>
                    <w:pStyle w:val="40"/>
                  </w:pPr>
                  <w:r>
                    <w:rPr>
                      <w:rFonts w:hint="eastAsia"/>
                    </w:rPr>
                    <w:t>X(m)</w:t>
                  </w:r>
                </w:p>
              </w:tc>
              <w:tc>
                <w:tcPr>
                  <w:tcW w:w="791" w:type="dxa"/>
                  <w:vMerge w:val="restart"/>
                  <w:shd w:val="clear" w:color="auto" w:fill="auto"/>
                  <w:noWrap/>
                  <w:vAlign w:val="center"/>
                </w:tcPr>
                <w:p w14:paraId="653C6985">
                  <w:pPr>
                    <w:pStyle w:val="40"/>
                  </w:pPr>
                  <w:r>
                    <w:rPr>
                      <w:rFonts w:hint="eastAsia"/>
                    </w:rPr>
                    <w:t>Y(m)</w:t>
                  </w:r>
                </w:p>
              </w:tc>
              <w:tc>
                <w:tcPr>
                  <w:tcW w:w="792" w:type="dxa"/>
                  <w:vMerge w:val="restart"/>
                  <w:shd w:val="clear" w:color="auto" w:fill="auto"/>
                  <w:noWrap/>
                  <w:vAlign w:val="center"/>
                </w:tcPr>
                <w:p w14:paraId="369C40FD">
                  <w:pPr>
                    <w:pStyle w:val="40"/>
                  </w:pPr>
                  <w:r>
                    <w:rPr>
                      <w:rFonts w:hint="eastAsia"/>
                    </w:rPr>
                    <w:t>地面高程(m)</w:t>
                  </w:r>
                </w:p>
              </w:tc>
              <w:tc>
                <w:tcPr>
                  <w:tcW w:w="792" w:type="dxa"/>
                  <w:vMerge w:val="restart"/>
                  <w:shd w:val="clear" w:color="auto" w:fill="auto"/>
                  <w:noWrap/>
                  <w:vAlign w:val="center"/>
                </w:tcPr>
                <w:p w14:paraId="4CE288D9">
                  <w:pPr>
                    <w:pStyle w:val="40"/>
                  </w:pPr>
                  <w:r>
                    <w:rPr>
                      <w:rFonts w:hint="eastAsia"/>
                    </w:rPr>
                    <w:t>离地高度(m)</w:t>
                  </w:r>
                </w:p>
              </w:tc>
              <w:tc>
                <w:tcPr>
                  <w:tcW w:w="1040" w:type="dxa"/>
                  <w:vMerge w:val="restart"/>
                  <w:vAlign w:val="center"/>
                </w:tcPr>
                <w:p w14:paraId="1676DB9E">
                  <w:pPr>
                    <w:pStyle w:val="40"/>
                  </w:pPr>
                  <w:r>
                    <w:rPr>
                      <w:rFonts w:hint="eastAsia"/>
                    </w:rPr>
                    <w:t>昼间贡献值(dB)</w:t>
                  </w:r>
                </w:p>
              </w:tc>
              <w:tc>
                <w:tcPr>
                  <w:tcW w:w="1336" w:type="dxa"/>
                  <w:shd w:val="clear" w:color="auto" w:fill="auto"/>
                  <w:noWrap/>
                  <w:vAlign w:val="center"/>
                </w:tcPr>
                <w:p w14:paraId="2EF36D57">
                  <w:pPr>
                    <w:pStyle w:val="40"/>
                  </w:pPr>
                  <w:r>
                    <w:rPr>
                      <w:rFonts w:hint="eastAsia"/>
                    </w:rPr>
                    <w:t>厂界标准值(dB)</w:t>
                  </w:r>
                </w:p>
              </w:tc>
              <w:tc>
                <w:tcPr>
                  <w:tcW w:w="983" w:type="dxa"/>
                  <w:vMerge w:val="restart"/>
                  <w:shd w:val="clear" w:color="auto" w:fill="auto"/>
                  <w:noWrap/>
                  <w:vAlign w:val="center"/>
                </w:tcPr>
                <w:p w14:paraId="006371A8">
                  <w:pPr>
                    <w:pStyle w:val="40"/>
                  </w:pPr>
                  <w:r>
                    <w:rPr>
                      <w:rFonts w:hint="eastAsia"/>
                    </w:rPr>
                    <w:t>是否达标</w:t>
                  </w:r>
                </w:p>
              </w:tc>
            </w:tr>
            <w:tr w14:paraId="13F40B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 w:hRule="atLeast"/>
              </w:trPr>
              <w:tc>
                <w:tcPr>
                  <w:tcW w:w="1616" w:type="dxa"/>
                  <w:vMerge w:val="continue"/>
                  <w:shd w:val="clear" w:color="auto" w:fill="auto"/>
                  <w:noWrap/>
                  <w:vAlign w:val="center"/>
                </w:tcPr>
                <w:p w14:paraId="61E5DE9F">
                  <w:pPr>
                    <w:pStyle w:val="40"/>
                  </w:pPr>
                </w:p>
              </w:tc>
              <w:tc>
                <w:tcPr>
                  <w:tcW w:w="951" w:type="dxa"/>
                  <w:vMerge w:val="continue"/>
                  <w:shd w:val="clear" w:color="auto" w:fill="auto"/>
                  <w:noWrap/>
                  <w:vAlign w:val="center"/>
                </w:tcPr>
                <w:p w14:paraId="6B45DAEE">
                  <w:pPr>
                    <w:pStyle w:val="40"/>
                  </w:pPr>
                </w:p>
              </w:tc>
              <w:tc>
                <w:tcPr>
                  <w:tcW w:w="791" w:type="dxa"/>
                  <w:vMerge w:val="continue"/>
                  <w:shd w:val="clear" w:color="auto" w:fill="auto"/>
                  <w:noWrap/>
                  <w:vAlign w:val="center"/>
                </w:tcPr>
                <w:p w14:paraId="1400052C">
                  <w:pPr>
                    <w:pStyle w:val="40"/>
                  </w:pPr>
                </w:p>
              </w:tc>
              <w:tc>
                <w:tcPr>
                  <w:tcW w:w="792" w:type="dxa"/>
                  <w:vMerge w:val="continue"/>
                  <w:shd w:val="clear" w:color="auto" w:fill="auto"/>
                  <w:noWrap/>
                  <w:vAlign w:val="center"/>
                </w:tcPr>
                <w:p w14:paraId="70BF7254">
                  <w:pPr>
                    <w:pStyle w:val="40"/>
                  </w:pPr>
                </w:p>
              </w:tc>
              <w:tc>
                <w:tcPr>
                  <w:tcW w:w="792" w:type="dxa"/>
                  <w:vMerge w:val="continue"/>
                  <w:shd w:val="clear" w:color="auto" w:fill="auto"/>
                  <w:noWrap/>
                  <w:vAlign w:val="center"/>
                </w:tcPr>
                <w:p w14:paraId="031239A1">
                  <w:pPr>
                    <w:pStyle w:val="40"/>
                  </w:pPr>
                </w:p>
              </w:tc>
              <w:tc>
                <w:tcPr>
                  <w:tcW w:w="1040" w:type="dxa"/>
                  <w:vMerge w:val="continue"/>
                  <w:vAlign w:val="center"/>
                </w:tcPr>
                <w:p w14:paraId="3ADEC4F6">
                  <w:pPr>
                    <w:pStyle w:val="40"/>
                  </w:pPr>
                </w:p>
              </w:tc>
              <w:tc>
                <w:tcPr>
                  <w:tcW w:w="1336" w:type="dxa"/>
                  <w:shd w:val="clear" w:color="auto" w:fill="auto"/>
                  <w:noWrap/>
                  <w:vAlign w:val="center"/>
                </w:tcPr>
                <w:p w14:paraId="220F67D3">
                  <w:pPr>
                    <w:pStyle w:val="40"/>
                  </w:pPr>
                  <w:r>
                    <w:rPr>
                      <w:rFonts w:hint="eastAsia"/>
                    </w:rPr>
                    <w:t>昼间</w:t>
                  </w:r>
                </w:p>
              </w:tc>
              <w:tc>
                <w:tcPr>
                  <w:tcW w:w="983" w:type="dxa"/>
                  <w:vMerge w:val="continue"/>
                  <w:shd w:val="clear" w:color="auto" w:fill="auto"/>
                  <w:noWrap/>
                  <w:vAlign w:val="center"/>
                </w:tcPr>
                <w:p w14:paraId="56F05D86">
                  <w:pPr>
                    <w:pStyle w:val="40"/>
                  </w:pPr>
                </w:p>
              </w:tc>
            </w:tr>
            <w:tr w14:paraId="785069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7" w:hRule="atLeast"/>
              </w:trPr>
              <w:tc>
                <w:tcPr>
                  <w:tcW w:w="1616" w:type="dxa"/>
                  <w:shd w:val="clear" w:color="auto" w:fill="auto"/>
                  <w:noWrap/>
                  <w:vAlign w:val="center"/>
                </w:tcPr>
                <w:p w14:paraId="3ED08944">
                  <w:pPr>
                    <w:pStyle w:val="40"/>
                  </w:pPr>
                  <w:r>
                    <w:rPr>
                      <w:rFonts w:hint="eastAsia"/>
                    </w:rPr>
                    <w:t>第1边（东厂界）的贡献最大值</w:t>
                  </w:r>
                </w:p>
              </w:tc>
              <w:tc>
                <w:tcPr>
                  <w:tcW w:w="951" w:type="dxa"/>
                  <w:shd w:val="clear" w:color="auto" w:fill="auto"/>
                  <w:noWrap/>
                  <w:vAlign w:val="center"/>
                </w:tcPr>
                <w:p w14:paraId="06C43232">
                  <w:pPr>
                    <w:pStyle w:val="40"/>
                  </w:pPr>
                  <w:r>
                    <w:t>69.42</w:t>
                  </w:r>
                </w:p>
              </w:tc>
              <w:tc>
                <w:tcPr>
                  <w:tcW w:w="791" w:type="dxa"/>
                  <w:shd w:val="clear" w:color="auto" w:fill="auto"/>
                  <w:noWrap/>
                  <w:vAlign w:val="center"/>
                </w:tcPr>
                <w:p w14:paraId="2E1CB6F5">
                  <w:pPr>
                    <w:pStyle w:val="40"/>
                  </w:pPr>
                  <w:r>
                    <w:t>-1.41</w:t>
                  </w:r>
                </w:p>
              </w:tc>
              <w:tc>
                <w:tcPr>
                  <w:tcW w:w="792" w:type="dxa"/>
                  <w:shd w:val="clear" w:color="auto" w:fill="auto"/>
                  <w:noWrap/>
                  <w:vAlign w:val="center"/>
                </w:tcPr>
                <w:p w14:paraId="5C80AB4B">
                  <w:pPr>
                    <w:pStyle w:val="40"/>
                  </w:pPr>
                  <w:r>
                    <w:t>0.00</w:t>
                  </w:r>
                </w:p>
              </w:tc>
              <w:tc>
                <w:tcPr>
                  <w:tcW w:w="792" w:type="dxa"/>
                  <w:shd w:val="clear" w:color="auto" w:fill="auto"/>
                  <w:noWrap/>
                  <w:vAlign w:val="center"/>
                </w:tcPr>
                <w:p w14:paraId="165EC8FD">
                  <w:pPr>
                    <w:pStyle w:val="40"/>
                  </w:pPr>
                  <w:r>
                    <w:t>1.20</w:t>
                  </w:r>
                </w:p>
              </w:tc>
              <w:tc>
                <w:tcPr>
                  <w:tcW w:w="1040" w:type="dxa"/>
                  <w:vAlign w:val="center"/>
                </w:tcPr>
                <w:p w14:paraId="170865BA">
                  <w:pPr>
                    <w:pStyle w:val="40"/>
                  </w:pPr>
                  <w:r>
                    <w:t>56.56</w:t>
                  </w:r>
                </w:p>
              </w:tc>
              <w:tc>
                <w:tcPr>
                  <w:tcW w:w="1336" w:type="dxa"/>
                  <w:shd w:val="clear" w:color="auto" w:fill="auto"/>
                  <w:noWrap/>
                  <w:vAlign w:val="center"/>
                </w:tcPr>
                <w:p w14:paraId="54F27FB1">
                  <w:pPr>
                    <w:pStyle w:val="40"/>
                  </w:pPr>
                  <w:r>
                    <w:rPr>
                      <w:rFonts w:hint="eastAsia"/>
                    </w:rPr>
                    <w:t>60</w:t>
                  </w:r>
                </w:p>
              </w:tc>
              <w:tc>
                <w:tcPr>
                  <w:tcW w:w="983" w:type="dxa"/>
                  <w:shd w:val="clear" w:color="auto" w:fill="auto"/>
                  <w:noWrap/>
                  <w:vAlign w:val="center"/>
                </w:tcPr>
                <w:p w14:paraId="460F4618">
                  <w:pPr>
                    <w:pStyle w:val="40"/>
                  </w:pPr>
                  <w:r>
                    <w:rPr>
                      <w:rFonts w:hint="eastAsia"/>
                    </w:rPr>
                    <w:t>是</w:t>
                  </w:r>
                </w:p>
              </w:tc>
            </w:tr>
            <w:tr w14:paraId="38897D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7" w:hRule="atLeast"/>
              </w:trPr>
              <w:tc>
                <w:tcPr>
                  <w:tcW w:w="1616" w:type="dxa"/>
                  <w:shd w:val="clear" w:color="auto" w:fill="auto"/>
                  <w:noWrap/>
                  <w:vAlign w:val="center"/>
                </w:tcPr>
                <w:p w14:paraId="0D9EB887">
                  <w:pPr>
                    <w:pStyle w:val="40"/>
                  </w:pPr>
                  <w:r>
                    <w:rPr>
                      <w:rFonts w:hint="eastAsia"/>
                    </w:rPr>
                    <w:t>第2边（南厂界）的贡献最大值</w:t>
                  </w:r>
                </w:p>
              </w:tc>
              <w:tc>
                <w:tcPr>
                  <w:tcW w:w="951" w:type="dxa"/>
                  <w:shd w:val="clear" w:color="auto" w:fill="auto"/>
                  <w:noWrap/>
                  <w:vAlign w:val="center"/>
                </w:tcPr>
                <w:p w14:paraId="19E79D9D">
                  <w:pPr>
                    <w:pStyle w:val="40"/>
                  </w:pPr>
                  <w:r>
                    <w:t>69.42</w:t>
                  </w:r>
                </w:p>
              </w:tc>
              <w:tc>
                <w:tcPr>
                  <w:tcW w:w="791" w:type="dxa"/>
                  <w:shd w:val="clear" w:color="auto" w:fill="auto"/>
                  <w:noWrap/>
                  <w:vAlign w:val="center"/>
                </w:tcPr>
                <w:p w14:paraId="5BF2DC94">
                  <w:pPr>
                    <w:pStyle w:val="40"/>
                  </w:pPr>
                  <w:r>
                    <w:t>-1.41</w:t>
                  </w:r>
                </w:p>
              </w:tc>
              <w:tc>
                <w:tcPr>
                  <w:tcW w:w="792" w:type="dxa"/>
                  <w:shd w:val="clear" w:color="auto" w:fill="auto"/>
                  <w:noWrap/>
                  <w:vAlign w:val="center"/>
                </w:tcPr>
                <w:p w14:paraId="5CC29E24">
                  <w:pPr>
                    <w:pStyle w:val="40"/>
                  </w:pPr>
                  <w:r>
                    <w:t>0.00</w:t>
                  </w:r>
                </w:p>
              </w:tc>
              <w:tc>
                <w:tcPr>
                  <w:tcW w:w="792" w:type="dxa"/>
                  <w:shd w:val="clear" w:color="auto" w:fill="auto"/>
                  <w:noWrap/>
                  <w:vAlign w:val="center"/>
                </w:tcPr>
                <w:p w14:paraId="27D43023">
                  <w:pPr>
                    <w:pStyle w:val="40"/>
                  </w:pPr>
                  <w:r>
                    <w:t>1.20</w:t>
                  </w:r>
                </w:p>
              </w:tc>
              <w:tc>
                <w:tcPr>
                  <w:tcW w:w="1040" w:type="dxa"/>
                  <w:vAlign w:val="center"/>
                </w:tcPr>
                <w:p w14:paraId="1859B557">
                  <w:pPr>
                    <w:pStyle w:val="40"/>
                  </w:pPr>
                  <w:r>
                    <w:t>56.56</w:t>
                  </w:r>
                </w:p>
              </w:tc>
              <w:tc>
                <w:tcPr>
                  <w:tcW w:w="1336" w:type="dxa"/>
                  <w:shd w:val="clear" w:color="auto" w:fill="auto"/>
                  <w:noWrap/>
                  <w:vAlign w:val="center"/>
                </w:tcPr>
                <w:p w14:paraId="7CE25C69">
                  <w:pPr>
                    <w:pStyle w:val="40"/>
                  </w:pPr>
                  <w:r>
                    <w:rPr>
                      <w:rFonts w:hint="eastAsia"/>
                    </w:rPr>
                    <w:t>60</w:t>
                  </w:r>
                </w:p>
              </w:tc>
              <w:tc>
                <w:tcPr>
                  <w:tcW w:w="983" w:type="dxa"/>
                  <w:shd w:val="clear" w:color="auto" w:fill="auto"/>
                  <w:noWrap/>
                  <w:vAlign w:val="center"/>
                </w:tcPr>
                <w:p w14:paraId="4997F0AB">
                  <w:pPr>
                    <w:pStyle w:val="40"/>
                  </w:pPr>
                  <w:r>
                    <w:rPr>
                      <w:rFonts w:hint="eastAsia"/>
                    </w:rPr>
                    <w:t>是</w:t>
                  </w:r>
                </w:p>
              </w:tc>
            </w:tr>
            <w:tr w14:paraId="1237FC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7" w:hRule="atLeast"/>
              </w:trPr>
              <w:tc>
                <w:tcPr>
                  <w:tcW w:w="1616" w:type="dxa"/>
                  <w:shd w:val="clear" w:color="auto" w:fill="auto"/>
                  <w:noWrap/>
                  <w:vAlign w:val="center"/>
                </w:tcPr>
                <w:p w14:paraId="35B6CDFB">
                  <w:pPr>
                    <w:pStyle w:val="40"/>
                  </w:pPr>
                  <w:r>
                    <w:rPr>
                      <w:rFonts w:hint="eastAsia"/>
                    </w:rPr>
                    <w:t>第3边（西厂界）的贡献最大值</w:t>
                  </w:r>
                </w:p>
              </w:tc>
              <w:tc>
                <w:tcPr>
                  <w:tcW w:w="951" w:type="dxa"/>
                  <w:shd w:val="clear" w:color="auto" w:fill="auto"/>
                  <w:noWrap/>
                  <w:vAlign w:val="center"/>
                </w:tcPr>
                <w:p w14:paraId="6CAC2514">
                  <w:pPr>
                    <w:pStyle w:val="40"/>
                  </w:pPr>
                  <w:r>
                    <w:t>-1.93</w:t>
                  </w:r>
                </w:p>
              </w:tc>
              <w:tc>
                <w:tcPr>
                  <w:tcW w:w="791" w:type="dxa"/>
                  <w:shd w:val="clear" w:color="auto" w:fill="auto"/>
                  <w:noWrap/>
                  <w:vAlign w:val="center"/>
                </w:tcPr>
                <w:p w14:paraId="51CA1784">
                  <w:pPr>
                    <w:pStyle w:val="40"/>
                  </w:pPr>
                  <w:r>
                    <w:t>-0.96</w:t>
                  </w:r>
                </w:p>
              </w:tc>
              <w:tc>
                <w:tcPr>
                  <w:tcW w:w="792" w:type="dxa"/>
                  <w:shd w:val="clear" w:color="auto" w:fill="auto"/>
                  <w:noWrap/>
                  <w:vAlign w:val="center"/>
                </w:tcPr>
                <w:p w14:paraId="17A67DFB">
                  <w:pPr>
                    <w:pStyle w:val="40"/>
                  </w:pPr>
                  <w:r>
                    <w:t>0.00</w:t>
                  </w:r>
                </w:p>
              </w:tc>
              <w:tc>
                <w:tcPr>
                  <w:tcW w:w="792" w:type="dxa"/>
                  <w:shd w:val="clear" w:color="auto" w:fill="auto"/>
                  <w:noWrap/>
                  <w:vAlign w:val="center"/>
                </w:tcPr>
                <w:p w14:paraId="2C77E2E1">
                  <w:pPr>
                    <w:pStyle w:val="40"/>
                  </w:pPr>
                  <w:r>
                    <w:t>1.20</w:t>
                  </w:r>
                </w:p>
              </w:tc>
              <w:tc>
                <w:tcPr>
                  <w:tcW w:w="1040" w:type="dxa"/>
                  <w:vAlign w:val="center"/>
                </w:tcPr>
                <w:p w14:paraId="6F849E38">
                  <w:pPr>
                    <w:pStyle w:val="40"/>
                  </w:pPr>
                  <w:r>
                    <w:t>56.27</w:t>
                  </w:r>
                </w:p>
              </w:tc>
              <w:tc>
                <w:tcPr>
                  <w:tcW w:w="1336" w:type="dxa"/>
                  <w:shd w:val="clear" w:color="auto" w:fill="auto"/>
                  <w:noWrap/>
                  <w:vAlign w:val="center"/>
                </w:tcPr>
                <w:p w14:paraId="3E356BD8">
                  <w:pPr>
                    <w:pStyle w:val="40"/>
                  </w:pPr>
                  <w:r>
                    <w:rPr>
                      <w:rFonts w:hint="eastAsia"/>
                    </w:rPr>
                    <w:t>60</w:t>
                  </w:r>
                </w:p>
              </w:tc>
              <w:tc>
                <w:tcPr>
                  <w:tcW w:w="983" w:type="dxa"/>
                  <w:shd w:val="clear" w:color="auto" w:fill="auto"/>
                  <w:noWrap/>
                  <w:vAlign w:val="center"/>
                </w:tcPr>
                <w:p w14:paraId="4ABB4452">
                  <w:pPr>
                    <w:pStyle w:val="40"/>
                  </w:pPr>
                  <w:r>
                    <w:rPr>
                      <w:rFonts w:hint="eastAsia"/>
                    </w:rPr>
                    <w:t>是</w:t>
                  </w:r>
                </w:p>
              </w:tc>
            </w:tr>
            <w:tr w14:paraId="3A1DD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7" w:hRule="atLeast"/>
              </w:trPr>
              <w:tc>
                <w:tcPr>
                  <w:tcW w:w="1616" w:type="dxa"/>
                  <w:shd w:val="clear" w:color="auto" w:fill="auto"/>
                  <w:noWrap/>
                  <w:vAlign w:val="center"/>
                </w:tcPr>
                <w:p w14:paraId="79347E0A">
                  <w:pPr>
                    <w:pStyle w:val="40"/>
                  </w:pPr>
                  <w:r>
                    <w:rPr>
                      <w:rFonts w:hint="eastAsia"/>
                    </w:rPr>
                    <w:t>第4边（北厂界）的贡献最大值</w:t>
                  </w:r>
                </w:p>
              </w:tc>
              <w:tc>
                <w:tcPr>
                  <w:tcW w:w="951" w:type="dxa"/>
                  <w:shd w:val="clear" w:color="auto" w:fill="auto"/>
                  <w:noWrap/>
                  <w:vAlign w:val="center"/>
                </w:tcPr>
                <w:p w14:paraId="18A5E29D">
                  <w:pPr>
                    <w:pStyle w:val="40"/>
                  </w:pPr>
                  <w:r>
                    <w:t>29.09</w:t>
                  </w:r>
                </w:p>
              </w:tc>
              <w:tc>
                <w:tcPr>
                  <w:tcW w:w="791" w:type="dxa"/>
                  <w:shd w:val="clear" w:color="auto" w:fill="auto"/>
                  <w:noWrap/>
                  <w:vAlign w:val="center"/>
                </w:tcPr>
                <w:p w14:paraId="1E6B7B92">
                  <w:pPr>
                    <w:pStyle w:val="40"/>
                  </w:pPr>
                  <w:r>
                    <w:t>74.51</w:t>
                  </w:r>
                </w:p>
              </w:tc>
              <w:tc>
                <w:tcPr>
                  <w:tcW w:w="792" w:type="dxa"/>
                  <w:shd w:val="clear" w:color="auto" w:fill="auto"/>
                  <w:noWrap/>
                  <w:vAlign w:val="center"/>
                </w:tcPr>
                <w:p w14:paraId="7BC45184">
                  <w:pPr>
                    <w:pStyle w:val="40"/>
                  </w:pPr>
                  <w:r>
                    <w:t>0.00</w:t>
                  </w:r>
                </w:p>
              </w:tc>
              <w:tc>
                <w:tcPr>
                  <w:tcW w:w="792" w:type="dxa"/>
                  <w:shd w:val="clear" w:color="auto" w:fill="auto"/>
                  <w:noWrap/>
                  <w:vAlign w:val="center"/>
                </w:tcPr>
                <w:p w14:paraId="03B6A511">
                  <w:pPr>
                    <w:pStyle w:val="40"/>
                  </w:pPr>
                  <w:r>
                    <w:t>1.20</w:t>
                  </w:r>
                </w:p>
              </w:tc>
              <w:tc>
                <w:tcPr>
                  <w:tcW w:w="1040" w:type="dxa"/>
                  <w:vAlign w:val="center"/>
                </w:tcPr>
                <w:p w14:paraId="646753E4">
                  <w:pPr>
                    <w:pStyle w:val="40"/>
                  </w:pPr>
                  <w:r>
                    <w:t>56.76</w:t>
                  </w:r>
                </w:p>
              </w:tc>
              <w:tc>
                <w:tcPr>
                  <w:tcW w:w="1336" w:type="dxa"/>
                  <w:shd w:val="clear" w:color="auto" w:fill="auto"/>
                  <w:noWrap/>
                  <w:vAlign w:val="center"/>
                </w:tcPr>
                <w:p w14:paraId="18BB8BEA">
                  <w:pPr>
                    <w:pStyle w:val="40"/>
                  </w:pPr>
                  <w:r>
                    <w:rPr>
                      <w:rFonts w:hint="eastAsia"/>
                    </w:rPr>
                    <w:t>60</w:t>
                  </w:r>
                </w:p>
              </w:tc>
              <w:tc>
                <w:tcPr>
                  <w:tcW w:w="983" w:type="dxa"/>
                  <w:shd w:val="clear" w:color="auto" w:fill="auto"/>
                  <w:noWrap/>
                  <w:vAlign w:val="center"/>
                </w:tcPr>
                <w:p w14:paraId="7225A281">
                  <w:pPr>
                    <w:pStyle w:val="40"/>
                  </w:pPr>
                  <w:r>
                    <w:rPr>
                      <w:rFonts w:hint="eastAsia"/>
                    </w:rPr>
                    <w:t>是</w:t>
                  </w:r>
                </w:p>
              </w:tc>
            </w:tr>
            <w:bookmarkEnd w:id="130"/>
          </w:tbl>
          <w:p w14:paraId="2215EE67">
            <w:pPr>
              <w:pStyle w:val="75"/>
              <w:widowControl w:val="0"/>
              <w:numPr>
                <w:ilvl w:val="0"/>
                <w:numId w:val="0"/>
              </w:numPr>
              <w:spacing w:beforeLines="50"/>
              <w:ind w:firstLine="422"/>
            </w:pPr>
            <w:r>
              <w:rPr>
                <w:rFonts w:hint="eastAsia"/>
                <w:bCs/>
                <w:snapToGrid w:val="0"/>
              </w:rPr>
              <w:t>表4-15</w:t>
            </w:r>
            <w:r>
              <w:rPr>
                <w:rFonts w:hint="eastAsia"/>
              </w:rPr>
              <w:t>敏感点昼间</w:t>
            </w:r>
            <w:r>
              <w:t>噪声预测结果与达标分析</w:t>
            </w:r>
          </w:p>
          <w:tbl>
            <w:tblPr>
              <w:tblStyle w:val="25"/>
              <w:tblW w:w="825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21"/>
              <w:gridCol w:w="709"/>
              <w:gridCol w:w="732"/>
              <w:gridCol w:w="685"/>
              <w:gridCol w:w="709"/>
              <w:gridCol w:w="709"/>
              <w:gridCol w:w="992"/>
              <w:gridCol w:w="1134"/>
              <w:gridCol w:w="850"/>
              <w:gridCol w:w="709"/>
            </w:tblGrid>
            <w:tr w14:paraId="1C0C8E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1021" w:type="dxa"/>
                  <w:vMerge w:val="restart"/>
                  <w:shd w:val="clear" w:color="auto" w:fill="auto"/>
                  <w:noWrap/>
                  <w:vAlign w:val="center"/>
                </w:tcPr>
                <w:p w14:paraId="79D48EA3">
                  <w:pPr>
                    <w:pStyle w:val="40"/>
                  </w:pPr>
                  <w:r>
                    <w:rPr>
                      <w:rFonts w:hint="eastAsia"/>
                    </w:rPr>
                    <w:t>名称</w:t>
                  </w:r>
                </w:p>
              </w:tc>
              <w:tc>
                <w:tcPr>
                  <w:tcW w:w="709" w:type="dxa"/>
                  <w:vMerge w:val="restart"/>
                  <w:shd w:val="clear" w:color="auto" w:fill="auto"/>
                  <w:noWrap/>
                  <w:vAlign w:val="center"/>
                </w:tcPr>
                <w:p w14:paraId="1DA98CC4">
                  <w:pPr>
                    <w:pStyle w:val="40"/>
                  </w:pPr>
                  <w:r>
                    <w:rPr>
                      <w:rFonts w:hint="eastAsia"/>
                    </w:rPr>
                    <w:t>X(m)</w:t>
                  </w:r>
                </w:p>
              </w:tc>
              <w:tc>
                <w:tcPr>
                  <w:tcW w:w="732" w:type="dxa"/>
                  <w:vMerge w:val="restart"/>
                  <w:shd w:val="clear" w:color="auto" w:fill="auto"/>
                  <w:noWrap/>
                  <w:vAlign w:val="center"/>
                </w:tcPr>
                <w:p w14:paraId="515A70A3">
                  <w:pPr>
                    <w:pStyle w:val="40"/>
                  </w:pPr>
                  <w:r>
                    <w:rPr>
                      <w:rFonts w:hint="eastAsia"/>
                    </w:rPr>
                    <w:t>Y(m)</w:t>
                  </w:r>
                </w:p>
              </w:tc>
              <w:tc>
                <w:tcPr>
                  <w:tcW w:w="685" w:type="dxa"/>
                  <w:vMerge w:val="restart"/>
                  <w:shd w:val="clear" w:color="auto" w:fill="auto"/>
                  <w:noWrap/>
                  <w:vAlign w:val="center"/>
                </w:tcPr>
                <w:p w14:paraId="1D928D49">
                  <w:pPr>
                    <w:pStyle w:val="40"/>
                  </w:pPr>
                  <w:r>
                    <w:rPr>
                      <w:rFonts w:hint="eastAsia"/>
                    </w:rPr>
                    <w:t>地面高程(m)</w:t>
                  </w:r>
                </w:p>
              </w:tc>
              <w:tc>
                <w:tcPr>
                  <w:tcW w:w="709" w:type="dxa"/>
                  <w:vMerge w:val="restart"/>
                  <w:shd w:val="clear" w:color="auto" w:fill="auto"/>
                  <w:noWrap/>
                  <w:vAlign w:val="center"/>
                </w:tcPr>
                <w:p w14:paraId="02E9A472">
                  <w:pPr>
                    <w:pStyle w:val="40"/>
                  </w:pPr>
                  <w:r>
                    <w:rPr>
                      <w:rFonts w:hint="eastAsia"/>
                    </w:rPr>
                    <w:t>离地高度(m)</w:t>
                  </w:r>
                </w:p>
              </w:tc>
              <w:tc>
                <w:tcPr>
                  <w:tcW w:w="709" w:type="dxa"/>
                  <w:vMerge w:val="restart"/>
                  <w:vAlign w:val="center"/>
                </w:tcPr>
                <w:p w14:paraId="3BD5DEE5">
                  <w:pPr>
                    <w:pStyle w:val="40"/>
                  </w:pPr>
                  <w:r>
                    <w:rPr>
                      <w:rFonts w:hint="eastAsia"/>
                    </w:rPr>
                    <w:t>昼间贡献值(dB)</w:t>
                  </w:r>
                </w:p>
              </w:tc>
              <w:tc>
                <w:tcPr>
                  <w:tcW w:w="992" w:type="dxa"/>
                  <w:vMerge w:val="restart"/>
                  <w:vAlign w:val="center"/>
                </w:tcPr>
                <w:p w14:paraId="03217A12">
                  <w:pPr>
                    <w:pStyle w:val="40"/>
                    <w:rPr>
                      <w:kern w:val="2"/>
                    </w:rPr>
                  </w:pPr>
                  <w:r>
                    <w:rPr>
                      <w:rFonts w:hint="eastAsia"/>
                    </w:rPr>
                    <w:t>昼间</w:t>
                  </w:r>
                  <w:r>
                    <w:rPr>
                      <w:rFonts w:hint="eastAsia"/>
                      <w:kern w:val="2"/>
                    </w:rPr>
                    <w:t>背景值</w:t>
                  </w:r>
                  <w:r>
                    <w:rPr>
                      <w:kern w:val="2"/>
                    </w:rPr>
                    <w:t>(dB)</w:t>
                  </w:r>
                </w:p>
              </w:tc>
              <w:tc>
                <w:tcPr>
                  <w:tcW w:w="1134" w:type="dxa"/>
                  <w:vMerge w:val="restart"/>
                  <w:vAlign w:val="center"/>
                </w:tcPr>
                <w:p w14:paraId="739F024B">
                  <w:pPr>
                    <w:pStyle w:val="40"/>
                  </w:pPr>
                  <w:r>
                    <w:rPr>
                      <w:rFonts w:hint="eastAsia"/>
                    </w:rPr>
                    <w:t>昼间</w:t>
                  </w:r>
                  <w:r>
                    <w:rPr>
                      <w:rFonts w:hint="eastAsia"/>
                      <w:kern w:val="2"/>
                    </w:rPr>
                    <w:t>叠加值</w:t>
                  </w:r>
                  <w:r>
                    <w:rPr>
                      <w:kern w:val="2"/>
                    </w:rPr>
                    <w:t>(dB)</w:t>
                  </w:r>
                </w:p>
              </w:tc>
              <w:tc>
                <w:tcPr>
                  <w:tcW w:w="850" w:type="dxa"/>
                  <w:shd w:val="clear" w:color="auto" w:fill="auto"/>
                  <w:noWrap/>
                  <w:vAlign w:val="center"/>
                </w:tcPr>
                <w:p w14:paraId="0BC7DAA4">
                  <w:pPr>
                    <w:pStyle w:val="40"/>
                  </w:pPr>
                  <w:r>
                    <w:rPr>
                      <w:rFonts w:hint="eastAsia"/>
                    </w:rPr>
                    <w:t>标准值(dB)</w:t>
                  </w:r>
                </w:p>
              </w:tc>
              <w:tc>
                <w:tcPr>
                  <w:tcW w:w="709" w:type="dxa"/>
                  <w:vMerge w:val="restart"/>
                  <w:shd w:val="clear" w:color="auto" w:fill="auto"/>
                  <w:noWrap/>
                  <w:vAlign w:val="center"/>
                </w:tcPr>
                <w:p w14:paraId="3125B31B">
                  <w:pPr>
                    <w:pStyle w:val="40"/>
                  </w:pPr>
                  <w:r>
                    <w:rPr>
                      <w:rFonts w:hint="eastAsia"/>
                    </w:rPr>
                    <w:t>是否达标</w:t>
                  </w:r>
                </w:p>
              </w:tc>
            </w:tr>
            <w:tr w14:paraId="0DF47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 w:hRule="atLeast"/>
              </w:trPr>
              <w:tc>
                <w:tcPr>
                  <w:tcW w:w="1021" w:type="dxa"/>
                  <w:vMerge w:val="continue"/>
                  <w:shd w:val="clear" w:color="auto" w:fill="auto"/>
                  <w:noWrap/>
                  <w:vAlign w:val="center"/>
                </w:tcPr>
                <w:p w14:paraId="05AC9765">
                  <w:pPr>
                    <w:pStyle w:val="40"/>
                  </w:pPr>
                </w:p>
              </w:tc>
              <w:tc>
                <w:tcPr>
                  <w:tcW w:w="709" w:type="dxa"/>
                  <w:vMerge w:val="continue"/>
                  <w:shd w:val="clear" w:color="auto" w:fill="auto"/>
                  <w:noWrap/>
                  <w:vAlign w:val="center"/>
                </w:tcPr>
                <w:p w14:paraId="094676DD">
                  <w:pPr>
                    <w:pStyle w:val="40"/>
                  </w:pPr>
                </w:p>
              </w:tc>
              <w:tc>
                <w:tcPr>
                  <w:tcW w:w="732" w:type="dxa"/>
                  <w:vMerge w:val="continue"/>
                  <w:shd w:val="clear" w:color="auto" w:fill="auto"/>
                  <w:noWrap/>
                  <w:vAlign w:val="center"/>
                </w:tcPr>
                <w:p w14:paraId="554C4696">
                  <w:pPr>
                    <w:pStyle w:val="40"/>
                  </w:pPr>
                </w:p>
              </w:tc>
              <w:tc>
                <w:tcPr>
                  <w:tcW w:w="685" w:type="dxa"/>
                  <w:vMerge w:val="continue"/>
                  <w:shd w:val="clear" w:color="auto" w:fill="auto"/>
                  <w:noWrap/>
                  <w:vAlign w:val="center"/>
                </w:tcPr>
                <w:p w14:paraId="36A803EC">
                  <w:pPr>
                    <w:pStyle w:val="40"/>
                  </w:pPr>
                </w:p>
              </w:tc>
              <w:tc>
                <w:tcPr>
                  <w:tcW w:w="709" w:type="dxa"/>
                  <w:vMerge w:val="continue"/>
                  <w:shd w:val="clear" w:color="auto" w:fill="auto"/>
                  <w:noWrap/>
                  <w:vAlign w:val="center"/>
                </w:tcPr>
                <w:p w14:paraId="70119D33">
                  <w:pPr>
                    <w:pStyle w:val="40"/>
                  </w:pPr>
                </w:p>
              </w:tc>
              <w:tc>
                <w:tcPr>
                  <w:tcW w:w="709" w:type="dxa"/>
                  <w:vMerge w:val="continue"/>
                  <w:vAlign w:val="center"/>
                </w:tcPr>
                <w:p w14:paraId="7E28E322">
                  <w:pPr>
                    <w:pStyle w:val="40"/>
                  </w:pPr>
                </w:p>
              </w:tc>
              <w:tc>
                <w:tcPr>
                  <w:tcW w:w="992" w:type="dxa"/>
                  <w:vMerge w:val="continue"/>
                  <w:vAlign w:val="center"/>
                </w:tcPr>
                <w:p w14:paraId="4980C5B0">
                  <w:pPr>
                    <w:pStyle w:val="40"/>
                  </w:pPr>
                </w:p>
              </w:tc>
              <w:tc>
                <w:tcPr>
                  <w:tcW w:w="1134" w:type="dxa"/>
                  <w:vMerge w:val="continue"/>
                </w:tcPr>
                <w:p w14:paraId="215F6B85">
                  <w:pPr>
                    <w:pStyle w:val="40"/>
                  </w:pPr>
                </w:p>
              </w:tc>
              <w:tc>
                <w:tcPr>
                  <w:tcW w:w="850" w:type="dxa"/>
                  <w:shd w:val="clear" w:color="auto" w:fill="auto"/>
                  <w:noWrap/>
                  <w:vAlign w:val="center"/>
                </w:tcPr>
                <w:p w14:paraId="380AD07E">
                  <w:pPr>
                    <w:pStyle w:val="40"/>
                  </w:pPr>
                  <w:r>
                    <w:rPr>
                      <w:rFonts w:hint="eastAsia"/>
                    </w:rPr>
                    <w:t>昼间</w:t>
                  </w:r>
                </w:p>
              </w:tc>
              <w:tc>
                <w:tcPr>
                  <w:tcW w:w="709" w:type="dxa"/>
                  <w:vMerge w:val="continue"/>
                  <w:shd w:val="clear" w:color="auto" w:fill="auto"/>
                  <w:noWrap/>
                  <w:vAlign w:val="center"/>
                </w:tcPr>
                <w:p w14:paraId="34D7221B">
                  <w:pPr>
                    <w:pStyle w:val="40"/>
                  </w:pPr>
                </w:p>
              </w:tc>
            </w:tr>
            <w:tr w14:paraId="20576B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56" w:hRule="atLeast"/>
              </w:trPr>
              <w:tc>
                <w:tcPr>
                  <w:tcW w:w="1021" w:type="dxa"/>
                  <w:shd w:val="clear" w:color="auto" w:fill="auto"/>
                  <w:noWrap/>
                  <w:vAlign w:val="center"/>
                </w:tcPr>
                <w:p w14:paraId="4C1FEC13">
                  <w:pPr>
                    <w:pStyle w:val="40"/>
                  </w:pPr>
                  <w:r>
                    <w:rPr>
                      <w:rFonts w:hint="eastAsia"/>
                    </w:rPr>
                    <w:t>西侧坟坨小学</w:t>
                  </w:r>
                </w:p>
              </w:tc>
              <w:tc>
                <w:tcPr>
                  <w:tcW w:w="709" w:type="dxa"/>
                  <w:shd w:val="clear" w:color="auto" w:fill="auto"/>
                  <w:noWrap/>
                  <w:vAlign w:val="center"/>
                </w:tcPr>
                <w:p w14:paraId="307B1B6F">
                  <w:pPr>
                    <w:pStyle w:val="40"/>
                  </w:pPr>
                  <w:r>
                    <w:rPr>
                      <w:rFonts w:hint="eastAsia"/>
                    </w:rPr>
                    <w:t>-9.96</w:t>
                  </w:r>
                </w:p>
              </w:tc>
              <w:tc>
                <w:tcPr>
                  <w:tcW w:w="732" w:type="dxa"/>
                  <w:shd w:val="clear" w:color="auto" w:fill="auto"/>
                  <w:noWrap/>
                  <w:vAlign w:val="center"/>
                </w:tcPr>
                <w:p w14:paraId="665D62C8">
                  <w:pPr>
                    <w:pStyle w:val="40"/>
                  </w:pPr>
                  <w:r>
                    <w:rPr>
                      <w:rFonts w:hint="eastAsia"/>
                    </w:rPr>
                    <w:t>34.26</w:t>
                  </w:r>
                </w:p>
              </w:tc>
              <w:tc>
                <w:tcPr>
                  <w:tcW w:w="685" w:type="dxa"/>
                  <w:shd w:val="clear" w:color="auto" w:fill="auto"/>
                  <w:noWrap/>
                  <w:vAlign w:val="center"/>
                </w:tcPr>
                <w:p w14:paraId="73C06FF2">
                  <w:pPr>
                    <w:pStyle w:val="40"/>
                  </w:pPr>
                  <w:r>
                    <w:rPr>
                      <w:rFonts w:hint="eastAsia"/>
                    </w:rPr>
                    <w:t>0.00</w:t>
                  </w:r>
                </w:p>
              </w:tc>
              <w:tc>
                <w:tcPr>
                  <w:tcW w:w="709" w:type="dxa"/>
                  <w:shd w:val="clear" w:color="auto" w:fill="auto"/>
                  <w:noWrap/>
                  <w:vAlign w:val="center"/>
                </w:tcPr>
                <w:p w14:paraId="6244C85D">
                  <w:pPr>
                    <w:pStyle w:val="40"/>
                  </w:pPr>
                  <w:r>
                    <w:rPr>
                      <w:rFonts w:hint="eastAsia"/>
                    </w:rPr>
                    <w:t>1.20</w:t>
                  </w:r>
                </w:p>
              </w:tc>
              <w:tc>
                <w:tcPr>
                  <w:tcW w:w="709" w:type="dxa"/>
                  <w:vAlign w:val="center"/>
                </w:tcPr>
                <w:p w14:paraId="09FF8C1A">
                  <w:pPr>
                    <w:pStyle w:val="40"/>
                  </w:pPr>
                  <w:r>
                    <w:rPr>
                      <w:rFonts w:hint="eastAsia"/>
                    </w:rPr>
                    <w:t>52.98</w:t>
                  </w:r>
                </w:p>
              </w:tc>
              <w:tc>
                <w:tcPr>
                  <w:tcW w:w="992" w:type="dxa"/>
                  <w:vAlign w:val="center"/>
                </w:tcPr>
                <w:p w14:paraId="5E3E1D99">
                  <w:pPr>
                    <w:pStyle w:val="40"/>
                  </w:pPr>
                  <w:r>
                    <w:rPr>
                      <w:rFonts w:hint="eastAsia"/>
                    </w:rPr>
                    <w:t>51.80</w:t>
                  </w:r>
                </w:p>
              </w:tc>
              <w:tc>
                <w:tcPr>
                  <w:tcW w:w="1134" w:type="dxa"/>
                  <w:vAlign w:val="center"/>
                </w:tcPr>
                <w:p w14:paraId="402A0DD0">
                  <w:pPr>
                    <w:pStyle w:val="40"/>
                  </w:pPr>
                  <w:r>
                    <w:rPr>
                      <w:rFonts w:hint="eastAsia"/>
                    </w:rPr>
                    <w:t>55.44</w:t>
                  </w:r>
                </w:p>
              </w:tc>
              <w:tc>
                <w:tcPr>
                  <w:tcW w:w="850" w:type="dxa"/>
                  <w:shd w:val="clear" w:color="auto" w:fill="auto"/>
                  <w:noWrap/>
                  <w:vAlign w:val="center"/>
                </w:tcPr>
                <w:p w14:paraId="4B8D26F2">
                  <w:pPr>
                    <w:pStyle w:val="40"/>
                  </w:pPr>
                  <w:r>
                    <w:rPr>
                      <w:rFonts w:hint="eastAsia"/>
                    </w:rPr>
                    <w:t>60</w:t>
                  </w:r>
                </w:p>
              </w:tc>
              <w:tc>
                <w:tcPr>
                  <w:tcW w:w="709" w:type="dxa"/>
                  <w:shd w:val="clear" w:color="auto" w:fill="auto"/>
                  <w:noWrap/>
                  <w:vAlign w:val="center"/>
                </w:tcPr>
                <w:p w14:paraId="6DC56E71">
                  <w:pPr>
                    <w:pStyle w:val="40"/>
                  </w:pPr>
                  <w:r>
                    <w:rPr>
                      <w:rFonts w:hint="eastAsia"/>
                    </w:rPr>
                    <w:t>是</w:t>
                  </w:r>
                </w:p>
              </w:tc>
            </w:tr>
            <w:tr w14:paraId="152BDB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 w:hRule="atLeast"/>
              </w:trPr>
              <w:tc>
                <w:tcPr>
                  <w:tcW w:w="1021" w:type="dxa"/>
                  <w:shd w:val="clear" w:color="auto" w:fill="auto"/>
                  <w:noWrap/>
                  <w:vAlign w:val="center"/>
                </w:tcPr>
                <w:p w14:paraId="1710B25F">
                  <w:pPr>
                    <w:pStyle w:val="40"/>
                  </w:pPr>
                  <w:r>
                    <w:rPr>
                      <w:rFonts w:hint="eastAsia"/>
                    </w:rPr>
                    <w:t>南侧坟坨村居民住宅</w:t>
                  </w:r>
                </w:p>
              </w:tc>
              <w:tc>
                <w:tcPr>
                  <w:tcW w:w="709" w:type="dxa"/>
                  <w:shd w:val="clear" w:color="auto" w:fill="auto"/>
                  <w:noWrap/>
                  <w:vAlign w:val="center"/>
                </w:tcPr>
                <w:p w14:paraId="0A33505D">
                  <w:pPr>
                    <w:pStyle w:val="40"/>
                  </w:pPr>
                  <w:r>
                    <w:rPr>
                      <w:rFonts w:hint="eastAsia"/>
                    </w:rPr>
                    <w:t>4.68</w:t>
                  </w:r>
                </w:p>
              </w:tc>
              <w:tc>
                <w:tcPr>
                  <w:tcW w:w="732" w:type="dxa"/>
                  <w:shd w:val="clear" w:color="auto" w:fill="auto"/>
                  <w:noWrap/>
                  <w:vAlign w:val="center"/>
                </w:tcPr>
                <w:p w14:paraId="668D0FE3">
                  <w:pPr>
                    <w:pStyle w:val="40"/>
                  </w:pPr>
                  <w:r>
                    <w:rPr>
                      <w:rFonts w:hint="eastAsia"/>
                    </w:rPr>
                    <w:t>-13.47</w:t>
                  </w:r>
                </w:p>
              </w:tc>
              <w:tc>
                <w:tcPr>
                  <w:tcW w:w="685" w:type="dxa"/>
                  <w:shd w:val="clear" w:color="auto" w:fill="auto"/>
                  <w:noWrap/>
                  <w:vAlign w:val="center"/>
                </w:tcPr>
                <w:p w14:paraId="6A9A8E91">
                  <w:pPr>
                    <w:pStyle w:val="40"/>
                  </w:pPr>
                  <w:r>
                    <w:rPr>
                      <w:rFonts w:hint="eastAsia"/>
                    </w:rPr>
                    <w:t>0.00</w:t>
                  </w:r>
                </w:p>
              </w:tc>
              <w:tc>
                <w:tcPr>
                  <w:tcW w:w="709" w:type="dxa"/>
                  <w:shd w:val="clear" w:color="auto" w:fill="auto"/>
                  <w:noWrap/>
                  <w:vAlign w:val="center"/>
                </w:tcPr>
                <w:p w14:paraId="318EBEDF">
                  <w:pPr>
                    <w:pStyle w:val="40"/>
                  </w:pPr>
                  <w:r>
                    <w:rPr>
                      <w:rFonts w:hint="eastAsia"/>
                    </w:rPr>
                    <w:t>1.20</w:t>
                  </w:r>
                </w:p>
              </w:tc>
              <w:tc>
                <w:tcPr>
                  <w:tcW w:w="709" w:type="dxa"/>
                  <w:vAlign w:val="center"/>
                </w:tcPr>
                <w:p w14:paraId="1533C894">
                  <w:pPr>
                    <w:pStyle w:val="40"/>
                  </w:pPr>
                  <w:r>
                    <w:rPr>
                      <w:rFonts w:hint="eastAsia"/>
                    </w:rPr>
                    <w:t>50.36</w:t>
                  </w:r>
                </w:p>
              </w:tc>
              <w:tc>
                <w:tcPr>
                  <w:tcW w:w="992" w:type="dxa"/>
                  <w:vAlign w:val="center"/>
                </w:tcPr>
                <w:p w14:paraId="2ECFC91E">
                  <w:pPr>
                    <w:pStyle w:val="40"/>
                  </w:pPr>
                  <w:r>
                    <w:rPr>
                      <w:rFonts w:hint="eastAsia"/>
                    </w:rPr>
                    <w:t>52.90</w:t>
                  </w:r>
                </w:p>
              </w:tc>
              <w:tc>
                <w:tcPr>
                  <w:tcW w:w="1134" w:type="dxa"/>
                  <w:vAlign w:val="center"/>
                </w:tcPr>
                <w:p w14:paraId="517B104E">
                  <w:pPr>
                    <w:pStyle w:val="40"/>
                  </w:pPr>
                  <w:r>
                    <w:rPr>
                      <w:rFonts w:hint="eastAsia"/>
                    </w:rPr>
                    <w:t>54.82</w:t>
                  </w:r>
                </w:p>
              </w:tc>
              <w:tc>
                <w:tcPr>
                  <w:tcW w:w="850" w:type="dxa"/>
                  <w:shd w:val="clear" w:color="auto" w:fill="auto"/>
                  <w:noWrap/>
                  <w:vAlign w:val="center"/>
                </w:tcPr>
                <w:p w14:paraId="180BB839">
                  <w:pPr>
                    <w:pStyle w:val="40"/>
                  </w:pPr>
                  <w:r>
                    <w:rPr>
                      <w:rFonts w:hint="eastAsia"/>
                    </w:rPr>
                    <w:t>60</w:t>
                  </w:r>
                </w:p>
              </w:tc>
              <w:tc>
                <w:tcPr>
                  <w:tcW w:w="709" w:type="dxa"/>
                  <w:shd w:val="clear" w:color="auto" w:fill="auto"/>
                  <w:noWrap/>
                  <w:vAlign w:val="center"/>
                </w:tcPr>
                <w:p w14:paraId="53DBD61F">
                  <w:pPr>
                    <w:pStyle w:val="40"/>
                  </w:pPr>
                  <w:r>
                    <w:rPr>
                      <w:rFonts w:hint="eastAsia"/>
                    </w:rPr>
                    <w:t>是</w:t>
                  </w:r>
                </w:p>
              </w:tc>
            </w:tr>
            <w:tr w14:paraId="2F71C9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9" w:hRule="atLeast"/>
              </w:trPr>
              <w:tc>
                <w:tcPr>
                  <w:tcW w:w="1021" w:type="dxa"/>
                  <w:shd w:val="clear" w:color="auto" w:fill="auto"/>
                  <w:noWrap/>
                  <w:vAlign w:val="center"/>
                </w:tcPr>
                <w:p w14:paraId="7540209E">
                  <w:pPr>
                    <w:pStyle w:val="40"/>
                  </w:pPr>
                  <w:r>
                    <w:rPr>
                      <w:rFonts w:hint="eastAsia"/>
                    </w:rPr>
                    <w:t>东侧坟坨村居民住宅</w:t>
                  </w:r>
                </w:p>
              </w:tc>
              <w:tc>
                <w:tcPr>
                  <w:tcW w:w="709" w:type="dxa"/>
                  <w:shd w:val="clear" w:color="auto" w:fill="auto"/>
                  <w:noWrap/>
                  <w:vAlign w:val="center"/>
                </w:tcPr>
                <w:p w14:paraId="3FDC00C3">
                  <w:pPr>
                    <w:pStyle w:val="40"/>
                  </w:pPr>
                  <w:r>
                    <w:rPr>
                      <w:rFonts w:hint="eastAsia"/>
                    </w:rPr>
                    <w:t>75.14</w:t>
                  </w:r>
                </w:p>
              </w:tc>
              <w:tc>
                <w:tcPr>
                  <w:tcW w:w="732" w:type="dxa"/>
                  <w:shd w:val="clear" w:color="auto" w:fill="auto"/>
                  <w:noWrap/>
                  <w:vAlign w:val="center"/>
                </w:tcPr>
                <w:p w14:paraId="616004EA">
                  <w:pPr>
                    <w:pStyle w:val="40"/>
                  </w:pPr>
                  <w:r>
                    <w:rPr>
                      <w:rFonts w:hint="eastAsia"/>
                    </w:rPr>
                    <w:t>56.49</w:t>
                  </w:r>
                </w:p>
              </w:tc>
              <w:tc>
                <w:tcPr>
                  <w:tcW w:w="685" w:type="dxa"/>
                  <w:shd w:val="clear" w:color="auto" w:fill="auto"/>
                  <w:noWrap/>
                  <w:vAlign w:val="center"/>
                </w:tcPr>
                <w:p w14:paraId="5C7261E4">
                  <w:pPr>
                    <w:pStyle w:val="40"/>
                  </w:pPr>
                  <w:r>
                    <w:rPr>
                      <w:rFonts w:hint="eastAsia"/>
                    </w:rPr>
                    <w:t>0.00</w:t>
                  </w:r>
                </w:p>
              </w:tc>
              <w:tc>
                <w:tcPr>
                  <w:tcW w:w="709" w:type="dxa"/>
                  <w:shd w:val="clear" w:color="auto" w:fill="auto"/>
                  <w:noWrap/>
                  <w:vAlign w:val="center"/>
                </w:tcPr>
                <w:p w14:paraId="5782DD37">
                  <w:pPr>
                    <w:pStyle w:val="40"/>
                  </w:pPr>
                  <w:r>
                    <w:rPr>
                      <w:rFonts w:hint="eastAsia"/>
                    </w:rPr>
                    <w:t>1.20</w:t>
                  </w:r>
                </w:p>
              </w:tc>
              <w:tc>
                <w:tcPr>
                  <w:tcW w:w="709" w:type="dxa"/>
                  <w:vAlign w:val="center"/>
                </w:tcPr>
                <w:p w14:paraId="3C838633">
                  <w:pPr>
                    <w:pStyle w:val="40"/>
                  </w:pPr>
                  <w:r>
                    <w:rPr>
                      <w:rFonts w:hint="eastAsia"/>
                    </w:rPr>
                    <w:t>54.30</w:t>
                  </w:r>
                </w:p>
              </w:tc>
              <w:tc>
                <w:tcPr>
                  <w:tcW w:w="992" w:type="dxa"/>
                  <w:vAlign w:val="center"/>
                </w:tcPr>
                <w:p w14:paraId="48B04911">
                  <w:pPr>
                    <w:pStyle w:val="40"/>
                  </w:pPr>
                  <w:r>
                    <w:rPr>
                      <w:rFonts w:hint="eastAsia"/>
                    </w:rPr>
                    <w:t>53.90</w:t>
                  </w:r>
                </w:p>
              </w:tc>
              <w:tc>
                <w:tcPr>
                  <w:tcW w:w="1134" w:type="dxa"/>
                  <w:vAlign w:val="center"/>
                </w:tcPr>
                <w:p w14:paraId="292B990F">
                  <w:pPr>
                    <w:pStyle w:val="40"/>
                  </w:pPr>
                  <w:r>
                    <w:rPr>
                      <w:rFonts w:hint="eastAsia"/>
                    </w:rPr>
                    <w:t>57.12</w:t>
                  </w:r>
                </w:p>
              </w:tc>
              <w:tc>
                <w:tcPr>
                  <w:tcW w:w="850" w:type="dxa"/>
                  <w:shd w:val="clear" w:color="auto" w:fill="auto"/>
                  <w:noWrap/>
                  <w:vAlign w:val="center"/>
                </w:tcPr>
                <w:p w14:paraId="437082EA">
                  <w:pPr>
                    <w:pStyle w:val="40"/>
                  </w:pPr>
                  <w:r>
                    <w:rPr>
                      <w:rFonts w:hint="eastAsia"/>
                    </w:rPr>
                    <w:t>60</w:t>
                  </w:r>
                </w:p>
              </w:tc>
              <w:tc>
                <w:tcPr>
                  <w:tcW w:w="709" w:type="dxa"/>
                  <w:shd w:val="clear" w:color="auto" w:fill="auto"/>
                  <w:noWrap/>
                  <w:vAlign w:val="center"/>
                </w:tcPr>
                <w:p w14:paraId="23FB4629">
                  <w:pPr>
                    <w:pStyle w:val="40"/>
                  </w:pPr>
                  <w:r>
                    <w:rPr>
                      <w:rFonts w:hint="eastAsia"/>
                    </w:rPr>
                    <w:t>是</w:t>
                  </w:r>
                </w:p>
              </w:tc>
            </w:tr>
            <w:tr w14:paraId="299CE8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 w:hRule="atLeast"/>
              </w:trPr>
              <w:tc>
                <w:tcPr>
                  <w:tcW w:w="1021" w:type="dxa"/>
                  <w:shd w:val="clear" w:color="auto" w:fill="auto"/>
                  <w:noWrap/>
                  <w:vAlign w:val="center"/>
                </w:tcPr>
                <w:p w14:paraId="5A055290">
                  <w:pPr>
                    <w:pStyle w:val="40"/>
                  </w:pPr>
                  <w:r>
                    <w:rPr>
                      <w:rFonts w:hint="eastAsia"/>
                    </w:rPr>
                    <w:t>北侧坟坨村居民住宅</w:t>
                  </w:r>
                </w:p>
              </w:tc>
              <w:tc>
                <w:tcPr>
                  <w:tcW w:w="709" w:type="dxa"/>
                  <w:shd w:val="clear" w:color="auto" w:fill="auto"/>
                  <w:noWrap/>
                  <w:vAlign w:val="center"/>
                </w:tcPr>
                <w:p w14:paraId="77FB6398">
                  <w:pPr>
                    <w:pStyle w:val="40"/>
                  </w:pPr>
                  <w:r>
                    <w:rPr>
                      <w:rFonts w:hint="eastAsia"/>
                    </w:rPr>
                    <w:t>41.15</w:t>
                  </w:r>
                </w:p>
              </w:tc>
              <w:tc>
                <w:tcPr>
                  <w:tcW w:w="732" w:type="dxa"/>
                  <w:shd w:val="clear" w:color="auto" w:fill="auto"/>
                  <w:noWrap/>
                  <w:vAlign w:val="center"/>
                </w:tcPr>
                <w:p w14:paraId="173ABA5E">
                  <w:pPr>
                    <w:pStyle w:val="40"/>
                  </w:pPr>
                  <w:r>
                    <w:rPr>
                      <w:rFonts w:hint="eastAsia"/>
                    </w:rPr>
                    <w:t>78.57</w:t>
                  </w:r>
                </w:p>
              </w:tc>
              <w:tc>
                <w:tcPr>
                  <w:tcW w:w="685" w:type="dxa"/>
                  <w:shd w:val="clear" w:color="auto" w:fill="auto"/>
                  <w:noWrap/>
                  <w:vAlign w:val="center"/>
                </w:tcPr>
                <w:p w14:paraId="291AE95B">
                  <w:pPr>
                    <w:pStyle w:val="40"/>
                  </w:pPr>
                  <w:r>
                    <w:rPr>
                      <w:rFonts w:hint="eastAsia"/>
                    </w:rPr>
                    <w:t>0.00</w:t>
                  </w:r>
                </w:p>
              </w:tc>
              <w:tc>
                <w:tcPr>
                  <w:tcW w:w="709" w:type="dxa"/>
                  <w:shd w:val="clear" w:color="auto" w:fill="auto"/>
                  <w:noWrap/>
                  <w:vAlign w:val="center"/>
                </w:tcPr>
                <w:p w14:paraId="3FA6F214">
                  <w:pPr>
                    <w:pStyle w:val="40"/>
                  </w:pPr>
                  <w:r>
                    <w:rPr>
                      <w:rFonts w:hint="eastAsia"/>
                    </w:rPr>
                    <w:t>1.20</w:t>
                  </w:r>
                </w:p>
              </w:tc>
              <w:tc>
                <w:tcPr>
                  <w:tcW w:w="709" w:type="dxa"/>
                  <w:vAlign w:val="center"/>
                </w:tcPr>
                <w:p w14:paraId="5FF328C6">
                  <w:pPr>
                    <w:pStyle w:val="40"/>
                  </w:pPr>
                  <w:r>
                    <w:rPr>
                      <w:rFonts w:hint="eastAsia"/>
                    </w:rPr>
                    <w:t>53.93</w:t>
                  </w:r>
                </w:p>
              </w:tc>
              <w:tc>
                <w:tcPr>
                  <w:tcW w:w="992" w:type="dxa"/>
                  <w:vAlign w:val="center"/>
                </w:tcPr>
                <w:p w14:paraId="545B1A43">
                  <w:pPr>
                    <w:pStyle w:val="40"/>
                  </w:pPr>
                  <w:r>
                    <w:rPr>
                      <w:rFonts w:hint="eastAsia"/>
                    </w:rPr>
                    <w:t>52.60</w:t>
                  </w:r>
                </w:p>
              </w:tc>
              <w:tc>
                <w:tcPr>
                  <w:tcW w:w="1134" w:type="dxa"/>
                  <w:vAlign w:val="center"/>
                </w:tcPr>
                <w:p w14:paraId="208610F4">
                  <w:pPr>
                    <w:pStyle w:val="40"/>
                  </w:pPr>
                  <w:r>
                    <w:rPr>
                      <w:rFonts w:hint="eastAsia"/>
                    </w:rPr>
                    <w:t>56.33</w:t>
                  </w:r>
                </w:p>
              </w:tc>
              <w:tc>
                <w:tcPr>
                  <w:tcW w:w="850" w:type="dxa"/>
                  <w:shd w:val="clear" w:color="auto" w:fill="auto"/>
                  <w:noWrap/>
                  <w:vAlign w:val="center"/>
                </w:tcPr>
                <w:p w14:paraId="4461991A">
                  <w:pPr>
                    <w:pStyle w:val="40"/>
                  </w:pPr>
                  <w:r>
                    <w:rPr>
                      <w:rFonts w:hint="eastAsia"/>
                    </w:rPr>
                    <w:t>60</w:t>
                  </w:r>
                </w:p>
              </w:tc>
              <w:tc>
                <w:tcPr>
                  <w:tcW w:w="709" w:type="dxa"/>
                  <w:shd w:val="clear" w:color="auto" w:fill="auto"/>
                  <w:noWrap/>
                  <w:vAlign w:val="center"/>
                </w:tcPr>
                <w:p w14:paraId="22B1F9BA">
                  <w:pPr>
                    <w:pStyle w:val="40"/>
                  </w:pPr>
                  <w:r>
                    <w:rPr>
                      <w:rFonts w:hint="eastAsia"/>
                    </w:rPr>
                    <w:t>是</w:t>
                  </w:r>
                </w:p>
              </w:tc>
            </w:tr>
          </w:tbl>
          <w:p w14:paraId="621C18AB">
            <w:pPr>
              <w:widowControl/>
              <w:ind w:firstLine="420"/>
              <w:jc w:val="left"/>
              <w:rPr>
                <w:rFonts w:hAnsi="宋体"/>
                <w:szCs w:val="21"/>
              </w:rPr>
            </w:pPr>
          </w:p>
          <w:p w14:paraId="2F54294A">
            <w:pPr>
              <w:widowControl/>
              <w:ind w:firstLine="420"/>
              <w:jc w:val="left"/>
              <w:rPr>
                <w:b/>
                <w:bCs/>
                <w:szCs w:val="21"/>
              </w:rPr>
            </w:pPr>
            <w:r>
              <w:rPr>
                <w:rFonts w:hAnsi="宋体"/>
                <w:szCs w:val="21"/>
              </w:rPr>
              <w:t>从</w:t>
            </w:r>
            <w:r>
              <w:rPr>
                <w:rFonts w:hint="eastAsia" w:hAnsi="宋体"/>
                <w:szCs w:val="21"/>
              </w:rPr>
              <w:t>上表</w:t>
            </w:r>
            <w:r>
              <w:rPr>
                <w:rFonts w:hAnsi="宋体"/>
                <w:szCs w:val="21"/>
              </w:rPr>
              <w:t>的预测结果可以看出，项目</w:t>
            </w:r>
            <w:r>
              <w:rPr>
                <w:rFonts w:hint="eastAsia" w:hAnsi="宋体"/>
                <w:szCs w:val="21"/>
              </w:rPr>
              <w:t>营运期东、南、西、北侧厂界</w:t>
            </w:r>
            <w:r>
              <w:rPr>
                <w:rFonts w:hAnsi="宋体"/>
                <w:szCs w:val="21"/>
              </w:rPr>
              <w:t>环境噪声</w:t>
            </w:r>
            <w:r>
              <w:rPr>
                <w:rFonts w:hint="eastAsia" w:hAnsi="宋体"/>
                <w:szCs w:val="21"/>
              </w:rPr>
              <w:t>最大</w:t>
            </w:r>
            <w:r>
              <w:rPr>
                <w:rFonts w:hAnsi="宋体"/>
                <w:szCs w:val="21"/>
              </w:rPr>
              <w:t>贡献值昼间达到《工业企业厂界环境噪声排放标准》（GB12348-2008）</w:t>
            </w:r>
            <w:r>
              <w:rPr>
                <w:rFonts w:hint="eastAsia" w:hAnsi="宋体"/>
                <w:szCs w:val="21"/>
              </w:rPr>
              <w:t>2</w:t>
            </w:r>
            <w:r>
              <w:rPr>
                <w:rFonts w:hAnsi="宋体"/>
                <w:szCs w:val="21"/>
              </w:rPr>
              <w:t>类标准</w:t>
            </w:r>
            <w:r>
              <w:rPr>
                <w:rFonts w:hint="eastAsia"/>
                <w:bCs/>
                <w:szCs w:val="21"/>
              </w:rPr>
              <w:t>要求，</w:t>
            </w:r>
            <w:r>
              <w:rPr>
                <w:rFonts w:hint="eastAsia" w:ascii="宋体" w:hAnsi="宋体" w:cs="宋体"/>
                <w:kern w:val="0"/>
                <w:szCs w:val="21"/>
              </w:rPr>
              <w:t>敏感点声环境质量可满足 《声环境质量标准》（</w:t>
            </w:r>
            <w:r>
              <w:rPr>
                <w:kern w:val="0"/>
                <w:szCs w:val="21"/>
              </w:rPr>
              <w:t>GB3096-2008</w:t>
            </w:r>
            <w:r>
              <w:rPr>
                <w:rFonts w:hint="eastAsia" w:ascii="宋体" w:hAnsi="宋体" w:cs="宋体"/>
                <w:kern w:val="0"/>
                <w:szCs w:val="21"/>
              </w:rPr>
              <w:t xml:space="preserve">）表 </w:t>
            </w:r>
            <w:r>
              <w:rPr>
                <w:kern w:val="0"/>
                <w:szCs w:val="21"/>
              </w:rPr>
              <w:t xml:space="preserve">1 </w:t>
            </w:r>
            <w:r>
              <w:rPr>
                <w:rFonts w:hint="eastAsia" w:ascii="宋体" w:hAnsi="宋体" w:cs="宋体"/>
                <w:kern w:val="0"/>
                <w:szCs w:val="21"/>
              </w:rPr>
              <w:t xml:space="preserve">中 </w:t>
            </w:r>
            <w:r>
              <w:rPr>
                <w:kern w:val="0"/>
                <w:szCs w:val="21"/>
              </w:rPr>
              <w:t xml:space="preserve">2 </w:t>
            </w:r>
            <w:r>
              <w:rPr>
                <w:rFonts w:hint="eastAsia" w:ascii="宋体" w:hAnsi="宋体" w:cs="宋体"/>
                <w:kern w:val="0"/>
                <w:szCs w:val="21"/>
              </w:rPr>
              <w:t>类环境噪声限值要求，</w:t>
            </w:r>
            <w:r>
              <w:rPr>
                <w:rFonts w:hint="eastAsia"/>
                <w:bCs/>
                <w:szCs w:val="21"/>
              </w:rPr>
              <w:t>对周边声环境影响很小。</w:t>
            </w:r>
          </w:p>
          <w:p w14:paraId="7FA45C22">
            <w:pPr>
              <w:adjustRightInd w:val="0"/>
              <w:snapToGrid w:val="0"/>
              <w:ind w:firstLine="420"/>
              <w:rPr>
                <w:bCs/>
                <w:szCs w:val="21"/>
              </w:rPr>
            </w:pPr>
            <w:r>
              <w:rPr>
                <w:rFonts w:hint="eastAsia"/>
                <w:bCs/>
                <w:szCs w:val="21"/>
              </w:rPr>
              <w:t>（5）噪声自行监测要求</w:t>
            </w:r>
          </w:p>
          <w:p w14:paraId="488BF0EB">
            <w:pPr>
              <w:adjustRightInd w:val="0"/>
              <w:snapToGrid w:val="0"/>
              <w:ind w:firstLine="420"/>
              <w:rPr>
                <w:bCs/>
                <w:szCs w:val="21"/>
              </w:rPr>
            </w:pPr>
            <w:r>
              <w:rPr>
                <w:rFonts w:hint="eastAsia"/>
              </w:rPr>
              <w:t>根据《排污单位自行监测技术指南 总则》（HJ 819-2017）、《排污许可证申请与核发技术规范 工业噪声》（HJ 1301—2023）等文件，本次评价提出如下噪声监测要求：</w:t>
            </w:r>
          </w:p>
          <w:p w14:paraId="059BFAA7">
            <w:pPr>
              <w:pStyle w:val="75"/>
              <w:numPr>
                <w:ilvl w:val="0"/>
                <w:numId w:val="0"/>
              </w:numPr>
            </w:pPr>
            <w:r>
              <w:t>表</w:t>
            </w:r>
            <w:r>
              <w:rPr>
                <w:rFonts w:hint="eastAsia"/>
              </w:rPr>
              <w:t>4</w:t>
            </w:r>
            <w:r>
              <w:t>-</w:t>
            </w:r>
            <w:r>
              <w:rPr>
                <w:rFonts w:hint="eastAsia"/>
              </w:rPr>
              <w:t>16 噪声监测要求</w:t>
            </w:r>
          </w:p>
          <w:tbl>
            <w:tblPr>
              <w:tblStyle w:val="25"/>
              <w:tblW w:w="476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3"/>
              <w:gridCol w:w="2840"/>
              <w:gridCol w:w="2091"/>
              <w:gridCol w:w="1656"/>
            </w:tblGrid>
            <w:tr w14:paraId="39C7E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88" w:type="pct"/>
                  <w:noWrap/>
                  <w:vAlign w:val="center"/>
                </w:tcPr>
                <w:p w14:paraId="12B74BD6">
                  <w:pPr>
                    <w:pStyle w:val="40"/>
                  </w:pPr>
                  <w:r>
                    <w:t>名称</w:t>
                  </w:r>
                </w:p>
              </w:tc>
              <w:tc>
                <w:tcPr>
                  <w:tcW w:w="1773" w:type="pct"/>
                  <w:noWrap/>
                  <w:vAlign w:val="center"/>
                </w:tcPr>
                <w:p w14:paraId="486D273D">
                  <w:pPr>
                    <w:pStyle w:val="40"/>
                  </w:pPr>
                  <w:r>
                    <w:t>监测点位</w:t>
                  </w:r>
                </w:p>
              </w:tc>
              <w:tc>
                <w:tcPr>
                  <w:tcW w:w="1305" w:type="pct"/>
                  <w:noWrap/>
                  <w:vAlign w:val="center"/>
                </w:tcPr>
                <w:p w14:paraId="1639E3B9">
                  <w:pPr>
                    <w:pStyle w:val="40"/>
                  </w:pPr>
                  <w:r>
                    <w:t>监测因子</w:t>
                  </w:r>
                </w:p>
              </w:tc>
              <w:tc>
                <w:tcPr>
                  <w:tcW w:w="1034" w:type="pct"/>
                  <w:noWrap/>
                  <w:vAlign w:val="center"/>
                </w:tcPr>
                <w:p w14:paraId="5AD72A80">
                  <w:pPr>
                    <w:pStyle w:val="40"/>
                  </w:pPr>
                  <w:r>
                    <w:t>监测频次</w:t>
                  </w:r>
                </w:p>
              </w:tc>
            </w:tr>
            <w:tr w14:paraId="6C7D1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888" w:type="pct"/>
                  <w:noWrap/>
                  <w:vAlign w:val="center"/>
                </w:tcPr>
                <w:p w14:paraId="64B175C1">
                  <w:pPr>
                    <w:pStyle w:val="40"/>
                  </w:pPr>
                  <w:r>
                    <w:t>厂界噪声</w:t>
                  </w:r>
                </w:p>
              </w:tc>
              <w:tc>
                <w:tcPr>
                  <w:tcW w:w="1773" w:type="pct"/>
                  <w:noWrap/>
                  <w:vAlign w:val="center"/>
                </w:tcPr>
                <w:p w14:paraId="40192961">
                  <w:pPr>
                    <w:pStyle w:val="40"/>
                  </w:pPr>
                  <w:r>
                    <w:t>东、南、西、北厂界外1m</w:t>
                  </w:r>
                </w:p>
              </w:tc>
              <w:tc>
                <w:tcPr>
                  <w:tcW w:w="1305" w:type="pct"/>
                  <w:noWrap/>
                  <w:vAlign w:val="center"/>
                </w:tcPr>
                <w:p w14:paraId="14F0219B">
                  <w:pPr>
                    <w:pStyle w:val="40"/>
                  </w:pPr>
                  <w:r>
                    <w:t>等效连续A声级</w:t>
                  </w:r>
                </w:p>
              </w:tc>
              <w:tc>
                <w:tcPr>
                  <w:tcW w:w="1034" w:type="pct"/>
                  <w:noWrap/>
                  <w:vAlign w:val="center"/>
                </w:tcPr>
                <w:p w14:paraId="254B6F1A">
                  <w:pPr>
                    <w:pStyle w:val="40"/>
                  </w:pPr>
                  <w:r>
                    <w:t>1次/季度</w:t>
                  </w:r>
                </w:p>
              </w:tc>
            </w:tr>
          </w:tbl>
          <w:p w14:paraId="678584BB">
            <w:pPr>
              <w:adjustRightInd w:val="0"/>
              <w:snapToGrid w:val="0"/>
              <w:spacing w:line="400" w:lineRule="exact"/>
              <w:ind w:firstLine="422"/>
              <w:rPr>
                <w:b/>
                <w:szCs w:val="21"/>
              </w:rPr>
            </w:pPr>
            <w:r>
              <w:rPr>
                <w:rFonts w:hint="eastAsia"/>
                <w:b/>
                <w:szCs w:val="21"/>
              </w:rPr>
              <w:t>4、固体废物</w:t>
            </w:r>
          </w:p>
          <w:p w14:paraId="640C69DE">
            <w:pPr>
              <w:adjustRightInd w:val="0"/>
              <w:snapToGrid w:val="0"/>
              <w:spacing w:line="400" w:lineRule="exact"/>
              <w:ind w:firstLine="420"/>
              <w:rPr>
                <w:bCs/>
                <w:szCs w:val="21"/>
              </w:rPr>
            </w:pPr>
            <w:r>
              <w:rPr>
                <w:rFonts w:hint="eastAsia"/>
                <w:bCs/>
                <w:szCs w:val="21"/>
              </w:rPr>
              <w:t>本</w:t>
            </w:r>
            <w:r>
              <w:rPr>
                <w:bCs/>
                <w:szCs w:val="21"/>
              </w:rPr>
              <w:t>项目</w:t>
            </w:r>
            <w:r>
              <w:rPr>
                <w:rFonts w:hint="eastAsia"/>
                <w:bCs/>
                <w:szCs w:val="21"/>
              </w:rPr>
              <w:t>产生的固体废物主要为</w:t>
            </w:r>
            <w:r>
              <w:rPr>
                <w:rFonts w:hint="eastAsia"/>
              </w:rPr>
              <w:t>不合格水果、果皮、果核、软烂果块、不合格品、</w:t>
            </w:r>
            <w:r>
              <w:t>布袋收尘灰、锅炉灰渣</w:t>
            </w:r>
            <w:r>
              <w:rPr>
                <w:rFonts w:hint="eastAsia"/>
              </w:rPr>
              <w:t>、废离子树脂、废活性炭</w:t>
            </w:r>
            <w:r>
              <w:rPr>
                <w:rFonts w:hint="eastAsia"/>
                <w:bCs/>
                <w:szCs w:val="21"/>
              </w:rPr>
              <w:t>。</w:t>
            </w:r>
          </w:p>
          <w:p w14:paraId="3FE7EA99">
            <w:pPr>
              <w:adjustRightInd w:val="0"/>
              <w:snapToGrid w:val="0"/>
              <w:spacing w:line="400" w:lineRule="exact"/>
              <w:ind w:firstLine="420"/>
              <w:rPr>
                <w:bCs/>
                <w:szCs w:val="21"/>
              </w:rPr>
            </w:pPr>
            <w:r>
              <w:rPr>
                <w:rFonts w:hint="eastAsia"/>
                <w:bCs/>
                <w:szCs w:val="21"/>
              </w:rPr>
              <w:t>①</w:t>
            </w:r>
            <w:r>
              <w:rPr>
                <w:rFonts w:hint="eastAsia"/>
              </w:rPr>
              <w:t>不合格水果、果皮、果核、软烂果块、不合格品</w:t>
            </w:r>
          </w:p>
          <w:p w14:paraId="3A3C1E99">
            <w:pPr>
              <w:adjustRightInd w:val="0"/>
              <w:snapToGrid w:val="0"/>
              <w:spacing w:line="400" w:lineRule="exact"/>
              <w:ind w:firstLine="420"/>
              <w:rPr>
                <w:bCs/>
                <w:szCs w:val="21"/>
              </w:rPr>
            </w:pPr>
            <w:r>
              <w:rPr>
                <w:rFonts w:hint="eastAsia"/>
              </w:rPr>
              <w:t>不合格水果、果皮、果核、软烂果块、不合格品</w:t>
            </w:r>
            <w:r>
              <w:rPr>
                <w:rFonts w:hint="eastAsia"/>
                <w:bCs/>
                <w:szCs w:val="21"/>
              </w:rPr>
              <w:t>产生量为1.5t/a，</w:t>
            </w:r>
            <w:r>
              <w:rPr>
                <w:rFonts w:hint="eastAsia"/>
              </w:rPr>
              <w:t>外售农民综合利用。</w:t>
            </w:r>
          </w:p>
          <w:p w14:paraId="6A786C42">
            <w:pPr>
              <w:adjustRightInd w:val="0"/>
              <w:snapToGrid w:val="0"/>
              <w:spacing w:line="400" w:lineRule="exact"/>
              <w:ind w:firstLine="420"/>
            </w:pPr>
            <w:r>
              <w:rPr>
                <w:rFonts w:hint="eastAsia"/>
                <w:bCs/>
                <w:szCs w:val="21"/>
              </w:rPr>
              <w:t>②</w:t>
            </w:r>
            <w:r>
              <w:t>布袋收尘灰</w:t>
            </w:r>
          </w:p>
          <w:p w14:paraId="5A25CAD4">
            <w:pPr>
              <w:adjustRightInd w:val="0"/>
              <w:snapToGrid w:val="0"/>
              <w:spacing w:line="400" w:lineRule="exact"/>
              <w:ind w:firstLine="420"/>
              <w:rPr>
                <w:bCs/>
                <w:szCs w:val="21"/>
              </w:rPr>
            </w:pPr>
            <w:r>
              <w:rPr>
                <w:rFonts w:hint="eastAsia"/>
                <w:bCs/>
                <w:szCs w:val="21"/>
              </w:rPr>
              <w:t>本项目</w:t>
            </w:r>
            <w:r>
              <w:t>布袋收尘灰</w:t>
            </w:r>
            <w:r>
              <w:rPr>
                <w:rFonts w:hint="eastAsia"/>
                <w:bCs/>
                <w:szCs w:val="21"/>
              </w:rPr>
              <w:t>产生量为18.02t/a，</w:t>
            </w:r>
            <w:r>
              <w:t>统一收集外售</w:t>
            </w:r>
            <w:r>
              <w:rPr>
                <w:rFonts w:hint="eastAsia"/>
              </w:rPr>
              <w:t>做建材。</w:t>
            </w:r>
          </w:p>
          <w:p w14:paraId="231EA402">
            <w:pPr>
              <w:suppressAutoHyphens/>
              <w:adjustRightInd w:val="0"/>
              <w:snapToGrid w:val="0"/>
              <w:spacing w:line="400" w:lineRule="exact"/>
              <w:ind w:firstLine="420"/>
            </w:pPr>
            <w:r>
              <w:rPr>
                <w:rFonts w:hint="eastAsia"/>
              </w:rPr>
              <w:t>③</w:t>
            </w:r>
            <w:r>
              <w:t>锅炉灰渣</w:t>
            </w:r>
          </w:p>
          <w:p w14:paraId="01C59BE0">
            <w:pPr>
              <w:suppressAutoHyphens/>
              <w:adjustRightInd w:val="0"/>
              <w:snapToGrid w:val="0"/>
              <w:spacing w:line="400" w:lineRule="exact"/>
              <w:ind w:firstLine="420"/>
              <w:rPr>
                <w:szCs w:val="21"/>
              </w:rPr>
            </w:pPr>
            <w:r>
              <w:rPr>
                <w:szCs w:val="21"/>
              </w:rPr>
              <w:t>根据《污染源源强核算技术指南 锅炉》（HJ 991—2018），燃生物质锅炉灰渣产生量可根据灰渣平衡按式计算。</w:t>
            </w:r>
          </w:p>
          <w:p w14:paraId="21636DBB">
            <w:pPr>
              <w:adjustRightInd w:val="0"/>
              <w:snapToGrid w:val="0"/>
              <w:ind w:firstLine="420"/>
              <w:jc w:val="center"/>
              <w:rPr>
                <w:szCs w:val="21"/>
              </w:rPr>
            </w:pPr>
            <w:r>
              <w:rPr>
                <w:szCs w:val="21"/>
              </w:rPr>
              <w:drawing>
                <wp:inline distT="0" distB="0" distL="114300" distR="114300">
                  <wp:extent cx="1885950" cy="371475"/>
                  <wp:effectExtent l="0" t="0" r="0" b="9525"/>
                  <wp:docPr id="3" name="图片 1" descr="0477932343d83bc30b99fc72aae94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0477932343d83bc30b99fc72aae94d1"/>
                          <pic:cNvPicPr>
                            <a:picLocks noChangeAspect="1"/>
                          </pic:cNvPicPr>
                        </pic:nvPicPr>
                        <pic:blipFill>
                          <a:blip r:embed="rId19"/>
                          <a:stretch>
                            <a:fillRect/>
                          </a:stretch>
                        </pic:blipFill>
                        <pic:spPr>
                          <a:xfrm>
                            <a:off x="0" y="0"/>
                            <a:ext cx="1885950" cy="371475"/>
                          </a:xfrm>
                          <a:prstGeom prst="rect">
                            <a:avLst/>
                          </a:prstGeom>
                          <a:noFill/>
                          <a:ln>
                            <a:noFill/>
                          </a:ln>
                        </pic:spPr>
                      </pic:pic>
                    </a:graphicData>
                  </a:graphic>
                </wp:inline>
              </w:drawing>
            </w:r>
          </w:p>
          <w:p w14:paraId="72C568C6">
            <w:pPr>
              <w:adjustRightInd w:val="0"/>
              <w:snapToGrid w:val="0"/>
              <w:ind w:firstLine="420"/>
              <w:rPr>
                <w:szCs w:val="21"/>
              </w:rPr>
            </w:pPr>
            <w:r>
              <w:rPr>
                <w:szCs w:val="21"/>
              </w:rPr>
              <w:t>式中：</w:t>
            </w:r>
          </w:p>
          <w:p w14:paraId="159A5D01">
            <w:pPr>
              <w:adjustRightInd w:val="0"/>
              <w:snapToGrid w:val="0"/>
              <w:ind w:firstLine="420"/>
              <w:rPr>
                <w:szCs w:val="21"/>
              </w:rPr>
            </w:pPr>
            <w:r>
              <w:rPr>
                <w:szCs w:val="21"/>
              </w:rPr>
              <w:t>E</w:t>
            </w:r>
            <w:r>
              <w:rPr>
                <w:szCs w:val="21"/>
                <w:vertAlign w:val="subscript"/>
              </w:rPr>
              <w:t>hz</w:t>
            </w:r>
            <w:r>
              <w:rPr>
                <w:szCs w:val="21"/>
              </w:rPr>
              <w:t>——核算时段内灰渣产生量，t；</w:t>
            </w:r>
          </w:p>
          <w:p w14:paraId="6652B28D">
            <w:pPr>
              <w:adjustRightInd w:val="0"/>
              <w:snapToGrid w:val="0"/>
              <w:ind w:firstLine="420"/>
              <w:rPr>
                <w:szCs w:val="21"/>
              </w:rPr>
            </w:pPr>
            <w:r>
              <w:rPr>
                <w:szCs w:val="21"/>
              </w:rPr>
              <w:t>R——核算时段内锅炉燃料耗量，t；</w:t>
            </w:r>
          </w:p>
          <w:p w14:paraId="09987BEF">
            <w:pPr>
              <w:adjustRightInd w:val="0"/>
              <w:snapToGrid w:val="0"/>
              <w:ind w:firstLine="420"/>
              <w:rPr>
                <w:szCs w:val="21"/>
              </w:rPr>
            </w:pPr>
            <w:r>
              <w:rPr>
                <w:szCs w:val="21"/>
              </w:rPr>
              <w:t>A</w:t>
            </w:r>
            <w:r>
              <w:rPr>
                <w:szCs w:val="21"/>
                <w:vertAlign w:val="subscript"/>
              </w:rPr>
              <w:t>ar</w:t>
            </w:r>
            <w:r>
              <w:rPr>
                <w:szCs w:val="21"/>
              </w:rPr>
              <w:t>——收到基灰分的质量分数，%；</w:t>
            </w:r>
          </w:p>
          <w:p w14:paraId="47AF808B">
            <w:pPr>
              <w:adjustRightInd w:val="0"/>
              <w:snapToGrid w:val="0"/>
              <w:ind w:firstLine="420"/>
              <w:rPr>
                <w:szCs w:val="21"/>
              </w:rPr>
            </w:pPr>
            <w:r>
              <w:rPr>
                <w:szCs w:val="21"/>
              </w:rPr>
              <w:t>q</w:t>
            </w:r>
            <w:r>
              <w:rPr>
                <w:szCs w:val="21"/>
                <w:vertAlign w:val="subscript"/>
              </w:rPr>
              <w:t>4</w:t>
            </w:r>
            <w:r>
              <w:rPr>
                <w:szCs w:val="21"/>
              </w:rPr>
              <w:t>——锅炉机械不完全燃烧热损失，%；</w:t>
            </w:r>
          </w:p>
          <w:p w14:paraId="0CE9950E">
            <w:pPr>
              <w:adjustRightInd w:val="0"/>
              <w:snapToGrid w:val="0"/>
              <w:ind w:firstLine="420"/>
              <w:rPr>
                <w:szCs w:val="21"/>
              </w:rPr>
            </w:pPr>
            <w:r>
              <w:rPr>
                <w:szCs w:val="21"/>
              </w:rPr>
              <w:t>Q</w:t>
            </w:r>
            <w:r>
              <w:rPr>
                <w:szCs w:val="21"/>
                <w:vertAlign w:val="subscript"/>
              </w:rPr>
              <w:t>net,ar</w:t>
            </w:r>
            <w:r>
              <w:rPr>
                <w:szCs w:val="21"/>
              </w:rPr>
              <w:t>——收到基低位发热量，kJ/kg。</w:t>
            </w:r>
          </w:p>
          <w:p w14:paraId="506A9179">
            <w:pPr>
              <w:adjustRightInd w:val="0"/>
              <w:snapToGrid w:val="0"/>
              <w:ind w:firstLine="420"/>
              <w:rPr>
                <w:szCs w:val="21"/>
              </w:rPr>
            </w:pPr>
            <w:r>
              <w:rPr>
                <w:szCs w:val="21"/>
              </w:rPr>
              <w:t>项目年消耗生物质燃料R为</w:t>
            </w:r>
            <w:r>
              <w:rPr>
                <w:rFonts w:hint="eastAsia"/>
                <w:szCs w:val="21"/>
              </w:rPr>
              <w:t>8</w:t>
            </w:r>
            <w:r>
              <w:rPr>
                <w:szCs w:val="21"/>
              </w:rPr>
              <w:t>0</w:t>
            </w:r>
            <w:r>
              <w:rPr>
                <w:bCs/>
                <w:szCs w:val="21"/>
              </w:rPr>
              <w:t>0</w:t>
            </w:r>
            <w:r>
              <w:rPr>
                <w:szCs w:val="21"/>
              </w:rPr>
              <w:t>t</w:t>
            </w:r>
            <w:r>
              <w:rPr>
                <w:rFonts w:hint="eastAsia"/>
                <w:szCs w:val="21"/>
              </w:rPr>
              <w:t>，</w:t>
            </w:r>
            <w:r>
              <w:rPr>
                <w:szCs w:val="21"/>
              </w:rPr>
              <w:t>生物质颗粒A</w:t>
            </w:r>
            <w:r>
              <w:rPr>
                <w:szCs w:val="21"/>
                <w:vertAlign w:val="subscript"/>
              </w:rPr>
              <w:t>ar</w:t>
            </w:r>
            <w:r>
              <w:rPr>
                <w:szCs w:val="21"/>
              </w:rPr>
              <w:t>取</w:t>
            </w:r>
            <w:r>
              <w:rPr>
                <w:rFonts w:hint="eastAsia"/>
                <w:szCs w:val="21"/>
              </w:rPr>
              <w:t>4.30</w:t>
            </w:r>
            <w:r>
              <w:rPr>
                <w:szCs w:val="21"/>
              </w:rPr>
              <w:t>%。根据《污染源源强核算技术指南 锅炉》（HJ 991—2018）附录B，B.1，生物质锅炉q</w:t>
            </w:r>
            <w:r>
              <w:rPr>
                <w:szCs w:val="21"/>
                <w:vertAlign w:val="subscript"/>
              </w:rPr>
              <w:t>4</w:t>
            </w:r>
            <w:r>
              <w:rPr>
                <w:szCs w:val="21"/>
              </w:rPr>
              <w:t>取值为</w:t>
            </w:r>
            <w:r>
              <w:rPr>
                <w:rFonts w:hint="eastAsia"/>
                <w:szCs w:val="21"/>
              </w:rPr>
              <w:t>15，</w:t>
            </w:r>
            <w:r>
              <w:rPr>
                <w:szCs w:val="21"/>
              </w:rPr>
              <w:t>项目生物质燃料热值为1</w:t>
            </w:r>
            <w:r>
              <w:rPr>
                <w:rFonts w:hint="eastAsia"/>
                <w:szCs w:val="21"/>
              </w:rPr>
              <w:t>7.2</w:t>
            </w:r>
            <w:r>
              <w:rPr>
                <w:szCs w:val="21"/>
              </w:rPr>
              <w:t>8MJ/kg</w:t>
            </w:r>
            <w:r>
              <w:rPr>
                <w:rFonts w:hint="eastAsia"/>
                <w:szCs w:val="21"/>
              </w:rPr>
              <w:t>，</w:t>
            </w:r>
            <w:r>
              <w:rPr>
                <w:szCs w:val="21"/>
              </w:rPr>
              <w:t>则项目灰渣产生量E</w:t>
            </w:r>
            <w:r>
              <w:rPr>
                <w:szCs w:val="21"/>
                <w:vertAlign w:val="subscript"/>
              </w:rPr>
              <w:t>hz</w:t>
            </w:r>
            <w:r>
              <w:rPr>
                <w:szCs w:val="21"/>
              </w:rPr>
              <w:t>为</w:t>
            </w:r>
            <w:r>
              <w:rPr>
                <w:rFonts w:hint="eastAsia"/>
                <w:szCs w:val="21"/>
              </w:rPr>
              <w:t>34.46</w:t>
            </w:r>
            <w:r>
              <w:rPr>
                <w:szCs w:val="21"/>
              </w:rPr>
              <w:t>t/a。</w:t>
            </w:r>
          </w:p>
          <w:p w14:paraId="27A1EE75">
            <w:pPr>
              <w:adjustRightInd w:val="0"/>
              <w:snapToGrid w:val="0"/>
              <w:ind w:firstLine="420"/>
              <w:rPr>
                <w:szCs w:val="21"/>
              </w:rPr>
            </w:pPr>
            <w:r>
              <w:rPr>
                <w:rFonts w:hint="eastAsia"/>
                <w:bCs/>
                <w:szCs w:val="21"/>
              </w:rPr>
              <w:t>本项目</w:t>
            </w:r>
            <w:r>
              <w:t>锅炉灰渣统一收集外售</w:t>
            </w:r>
            <w:r>
              <w:rPr>
                <w:rFonts w:hint="eastAsia"/>
              </w:rPr>
              <w:t>做建材</w:t>
            </w:r>
            <w:r>
              <w:rPr>
                <w:szCs w:val="21"/>
              </w:rPr>
              <w:t>。</w:t>
            </w:r>
          </w:p>
          <w:p w14:paraId="4999A231">
            <w:pPr>
              <w:adjustRightInd w:val="0"/>
              <w:snapToGrid w:val="0"/>
              <w:ind w:firstLine="420"/>
            </w:pPr>
            <w:r>
              <w:rPr>
                <w:rFonts w:hint="eastAsia"/>
              </w:rPr>
              <w:t>④废离子树脂</w:t>
            </w:r>
          </w:p>
          <w:p w14:paraId="78B14DD1">
            <w:pPr>
              <w:adjustRightInd w:val="0"/>
              <w:snapToGrid w:val="0"/>
              <w:ind w:firstLine="420"/>
              <w:rPr>
                <w:bCs/>
                <w:szCs w:val="21"/>
              </w:rPr>
            </w:pPr>
            <w:r>
              <w:rPr>
                <w:kern w:val="0"/>
                <w:szCs w:val="21"/>
              </w:rPr>
              <w:t>本项目锅炉软水</w:t>
            </w:r>
            <w:r>
              <w:rPr>
                <w:rFonts w:hint="eastAsia"/>
                <w:kern w:val="0"/>
                <w:szCs w:val="21"/>
              </w:rPr>
              <w:t>制备过程</w:t>
            </w:r>
            <w:r>
              <w:rPr>
                <w:kern w:val="0"/>
                <w:szCs w:val="21"/>
              </w:rPr>
              <w:t>会产生一定量的废离子交换树脂，根据《国家危险废物名录（2021版）》锅炉软化水制备装置产生的废离子交换树脂不属于危险废物，因此该废离子交换树脂属于一般工业固体废物，根据建设单位提供的资料，本项目废离子交换树脂的产生量为0.2t/3a，由厂家负责更换，并回收产生的废离子交换树脂</w:t>
            </w:r>
            <w:r>
              <w:rPr>
                <w:rFonts w:hint="eastAsia"/>
                <w:kern w:val="0"/>
                <w:szCs w:val="21"/>
              </w:rPr>
              <w:t>，不在厂区贮存</w:t>
            </w:r>
            <w:r>
              <w:rPr>
                <w:kern w:val="0"/>
                <w:szCs w:val="21"/>
              </w:rPr>
              <w:t>。</w:t>
            </w:r>
          </w:p>
          <w:p w14:paraId="315A6889">
            <w:pPr>
              <w:adjustRightInd w:val="0"/>
              <w:snapToGrid w:val="0"/>
              <w:ind w:firstLine="420"/>
              <w:rPr>
                <w:bCs/>
                <w:szCs w:val="21"/>
              </w:rPr>
            </w:pPr>
            <w:r>
              <w:rPr>
                <w:rFonts w:hint="eastAsia"/>
              </w:rPr>
              <w:t>⑤废活性炭</w:t>
            </w:r>
          </w:p>
          <w:p w14:paraId="6F3F70CF">
            <w:pPr>
              <w:adjustRightInd w:val="0"/>
              <w:snapToGrid w:val="0"/>
              <w:ind w:firstLine="420"/>
              <w:rPr>
                <w:kern w:val="0"/>
                <w:szCs w:val="21"/>
              </w:rPr>
            </w:pPr>
            <w:r>
              <w:rPr>
                <w:rFonts w:hint="eastAsia"/>
              </w:rPr>
              <w:t>废活性炭</w:t>
            </w:r>
            <w:r>
              <w:rPr>
                <w:kern w:val="0"/>
                <w:szCs w:val="21"/>
              </w:rPr>
              <w:t>产生量为0.</w:t>
            </w:r>
            <w:r>
              <w:rPr>
                <w:rFonts w:hint="eastAsia"/>
                <w:kern w:val="0"/>
                <w:szCs w:val="21"/>
              </w:rPr>
              <w:t>0</w:t>
            </w:r>
            <w:r>
              <w:rPr>
                <w:kern w:val="0"/>
                <w:szCs w:val="21"/>
              </w:rPr>
              <w:t>2</w:t>
            </w:r>
            <w:r>
              <w:rPr>
                <w:rFonts w:hint="eastAsia"/>
                <w:kern w:val="0"/>
                <w:szCs w:val="21"/>
              </w:rPr>
              <w:t>75</w:t>
            </w:r>
            <w:r>
              <w:rPr>
                <w:kern w:val="0"/>
                <w:szCs w:val="21"/>
              </w:rPr>
              <w:t>t/a，由厂家</w:t>
            </w:r>
            <w:r>
              <w:rPr>
                <w:rFonts w:hint="eastAsia"/>
                <w:kern w:val="0"/>
                <w:szCs w:val="21"/>
              </w:rPr>
              <w:t>回收。</w:t>
            </w:r>
          </w:p>
          <w:p w14:paraId="5C14C90A">
            <w:pPr>
              <w:ind w:firstLine="420"/>
            </w:pPr>
            <w:r>
              <w:rPr>
                <w:rFonts w:hint="eastAsia"/>
              </w:rPr>
              <w:t>⑥污水处理站污泥</w:t>
            </w:r>
          </w:p>
          <w:p w14:paraId="191CD385">
            <w:pPr>
              <w:ind w:firstLine="420"/>
              <w:rPr>
                <w:highlight w:val="yellow"/>
              </w:rPr>
            </w:pPr>
            <w:r>
              <w:rPr>
                <w:rFonts w:hint="eastAsia"/>
              </w:rPr>
              <w:t>污水处理设施按照每削减 1kgBOD</w:t>
            </w:r>
            <w:r>
              <w:rPr>
                <w:rFonts w:hint="eastAsia"/>
                <w:vertAlign w:val="subscript"/>
              </w:rPr>
              <w:t>5</w:t>
            </w:r>
            <w:r>
              <w:rPr>
                <w:rFonts w:hint="eastAsia"/>
              </w:rPr>
              <w:t>约产生0.6kg干泥，压滤后污泥含水率为 60%计算，本项目年处理 BOD</w:t>
            </w:r>
            <w:r>
              <w:rPr>
                <w:rFonts w:hint="eastAsia"/>
                <w:vertAlign w:val="subscript"/>
              </w:rPr>
              <w:t>5</w:t>
            </w:r>
            <w:r>
              <w:rPr>
                <w:rFonts w:hint="eastAsia"/>
              </w:rPr>
              <w:t xml:space="preserve"> 为0.97t/a，则污泥产生量约0.97*0.6/（100%-60%）=1.455t/a，用桶装收集后临时堆放于污泥间，定期交专业公司回收作为有机肥料的原料。</w:t>
            </w:r>
          </w:p>
          <w:p w14:paraId="729402F1">
            <w:pPr>
              <w:adjustRightInd w:val="0"/>
              <w:snapToGrid w:val="0"/>
              <w:ind w:firstLine="420"/>
              <w:rPr>
                <w:bCs/>
                <w:szCs w:val="21"/>
              </w:rPr>
            </w:pPr>
            <w:r>
              <w:rPr>
                <w:rFonts w:hint="eastAsia"/>
                <w:bCs/>
                <w:szCs w:val="21"/>
              </w:rPr>
              <w:t>本项目固体废物产生及处置情况如下：</w:t>
            </w:r>
          </w:p>
          <w:p w14:paraId="69BC5B21">
            <w:pPr>
              <w:pStyle w:val="75"/>
              <w:numPr>
                <w:ilvl w:val="0"/>
                <w:numId w:val="0"/>
              </w:numPr>
              <w:tabs>
                <w:tab w:val="left" w:pos="420"/>
                <w:tab w:val="clear" w:pos="3680"/>
              </w:tabs>
              <w:ind w:left="454"/>
            </w:pPr>
            <w:r>
              <w:rPr>
                <w:rFonts w:hint="eastAsia"/>
              </w:rPr>
              <w:t>表4-17固体废物产生及贮存、处置情况一览表</w:t>
            </w: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1"/>
              <w:gridCol w:w="1585"/>
              <w:gridCol w:w="1435"/>
              <w:gridCol w:w="1049"/>
              <w:gridCol w:w="1402"/>
              <w:gridCol w:w="2341"/>
            </w:tblGrid>
            <w:tr w14:paraId="52306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2" w:type="pct"/>
                  <w:vAlign w:val="center"/>
                </w:tcPr>
                <w:p w14:paraId="1B860D0E">
                  <w:pPr>
                    <w:pStyle w:val="40"/>
                  </w:pPr>
                  <w:r>
                    <w:rPr>
                      <w:rFonts w:hint="eastAsia"/>
                    </w:rPr>
                    <w:t>序号</w:t>
                  </w:r>
                </w:p>
              </w:tc>
              <w:tc>
                <w:tcPr>
                  <w:tcW w:w="943" w:type="pct"/>
                  <w:vAlign w:val="center"/>
                </w:tcPr>
                <w:p w14:paraId="6AB5A710">
                  <w:pPr>
                    <w:pStyle w:val="40"/>
                  </w:pPr>
                  <w:r>
                    <w:rPr>
                      <w:rFonts w:hint="eastAsia"/>
                    </w:rPr>
                    <w:t>种类</w:t>
                  </w:r>
                </w:p>
              </w:tc>
              <w:tc>
                <w:tcPr>
                  <w:tcW w:w="853" w:type="pct"/>
                  <w:vAlign w:val="center"/>
                </w:tcPr>
                <w:p w14:paraId="1CD5C40A">
                  <w:pPr>
                    <w:pStyle w:val="40"/>
                  </w:pPr>
                  <w:r>
                    <w:rPr>
                      <w:rFonts w:hint="eastAsia"/>
                    </w:rPr>
                    <w:t>代码</w:t>
                  </w:r>
                </w:p>
              </w:tc>
              <w:tc>
                <w:tcPr>
                  <w:tcW w:w="624" w:type="pct"/>
                  <w:vAlign w:val="center"/>
                </w:tcPr>
                <w:p w14:paraId="461C7D5F">
                  <w:pPr>
                    <w:pStyle w:val="40"/>
                  </w:pPr>
                  <w:r>
                    <w:t>产生量</w:t>
                  </w:r>
                  <w:r>
                    <w:rPr>
                      <w:rFonts w:hint="eastAsia"/>
                    </w:rPr>
                    <w:t>（t/a）</w:t>
                  </w:r>
                </w:p>
              </w:tc>
              <w:tc>
                <w:tcPr>
                  <w:tcW w:w="833" w:type="pct"/>
                  <w:vAlign w:val="center"/>
                </w:tcPr>
                <w:p w14:paraId="252E12BC">
                  <w:pPr>
                    <w:pStyle w:val="40"/>
                  </w:pPr>
                  <w:r>
                    <w:rPr>
                      <w:rFonts w:hint="eastAsia"/>
                    </w:rPr>
                    <w:t>暂存措施</w:t>
                  </w:r>
                </w:p>
              </w:tc>
              <w:tc>
                <w:tcPr>
                  <w:tcW w:w="1392" w:type="pct"/>
                  <w:vAlign w:val="center"/>
                </w:tcPr>
                <w:p w14:paraId="485D093E">
                  <w:pPr>
                    <w:pStyle w:val="40"/>
                  </w:pPr>
                  <w:r>
                    <w:rPr>
                      <w:rFonts w:hint="eastAsia"/>
                    </w:rPr>
                    <w:t>最终去向</w:t>
                  </w:r>
                </w:p>
              </w:tc>
            </w:tr>
            <w:tr w14:paraId="066A4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2" w:type="pct"/>
                  <w:vAlign w:val="center"/>
                </w:tcPr>
                <w:p w14:paraId="17903EE4">
                  <w:pPr>
                    <w:pStyle w:val="40"/>
                  </w:pPr>
                  <w:r>
                    <w:rPr>
                      <w:rFonts w:hint="eastAsia"/>
                    </w:rPr>
                    <w:t>1</w:t>
                  </w:r>
                </w:p>
              </w:tc>
              <w:tc>
                <w:tcPr>
                  <w:tcW w:w="943" w:type="pct"/>
                  <w:vAlign w:val="center"/>
                </w:tcPr>
                <w:p w14:paraId="32207FAB">
                  <w:pPr>
                    <w:pStyle w:val="40"/>
                  </w:pPr>
                  <w:r>
                    <w:rPr>
                      <w:rFonts w:hint="eastAsia"/>
                    </w:rPr>
                    <w:t>不合格水果、果皮、果核、软烂果块、不合格品</w:t>
                  </w:r>
                </w:p>
              </w:tc>
              <w:tc>
                <w:tcPr>
                  <w:tcW w:w="853" w:type="pct"/>
                  <w:vAlign w:val="center"/>
                </w:tcPr>
                <w:p w14:paraId="3C58CFD7">
                  <w:pPr>
                    <w:pStyle w:val="40"/>
                  </w:pPr>
                  <w:r>
                    <w:t>900-099-S</w:t>
                  </w:r>
                  <w:r>
                    <w:rPr>
                      <w:rFonts w:hint="eastAsia"/>
                    </w:rPr>
                    <w:t>1</w:t>
                  </w:r>
                  <w:r>
                    <w:t>3</w:t>
                  </w:r>
                </w:p>
              </w:tc>
              <w:tc>
                <w:tcPr>
                  <w:tcW w:w="624" w:type="pct"/>
                  <w:vAlign w:val="center"/>
                </w:tcPr>
                <w:p w14:paraId="46297D7F">
                  <w:pPr>
                    <w:pStyle w:val="40"/>
                  </w:pPr>
                  <w:r>
                    <w:rPr>
                      <w:rFonts w:hint="eastAsia"/>
                    </w:rPr>
                    <w:t>1.5</w:t>
                  </w:r>
                </w:p>
              </w:tc>
              <w:tc>
                <w:tcPr>
                  <w:tcW w:w="833" w:type="pct"/>
                  <w:vAlign w:val="center"/>
                </w:tcPr>
                <w:p w14:paraId="55131189">
                  <w:pPr>
                    <w:pStyle w:val="40"/>
                  </w:pPr>
                  <w:r>
                    <w:rPr>
                      <w:rFonts w:hint="eastAsia"/>
                    </w:rPr>
                    <w:t>一般固废暂存间</w:t>
                  </w:r>
                </w:p>
              </w:tc>
              <w:tc>
                <w:tcPr>
                  <w:tcW w:w="1392" w:type="pct"/>
                  <w:vAlign w:val="center"/>
                </w:tcPr>
                <w:p w14:paraId="4C746B62">
                  <w:pPr>
                    <w:pStyle w:val="40"/>
                  </w:pPr>
                  <w:r>
                    <w:rPr>
                      <w:rFonts w:hint="eastAsia"/>
                    </w:rPr>
                    <w:t>外售农民综合利用</w:t>
                  </w:r>
                </w:p>
              </w:tc>
            </w:tr>
            <w:tr w14:paraId="158AF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2" w:type="pct"/>
                  <w:vAlign w:val="center"/>
                </w:tcPr>
                <w:p w14:paraId="0261EA48">
                  <w:pPr>
                    <w:pStyle w:val="40"/>
                  </w:pPr>
                  <w:r>
                    <w:rPr>
                      <w:rFonts w:hint="eastAsia"/>
                    </w:rPr>
                    <w:t>2</w:t>
                  </w:r>
                </w:p>
              </w:tc>
              <w:tc>
                <w:tcPr>
                  <w:tcW w:w="943" w:type="pct"/>
                  <w:vAlign w:val="center"/>
                </w:tcPr>
                <w:p w14:paraId="0B76C308">
                  <w:pPr>
                    <w:pStyle w:val="40"/>
                  </w:pPr>
                  <w:r>
                    <w:t>布袋收尘灰</w:t>
                  </w:r>
                </w:p>
              </w:tc>
              <w:tc>
                <w:tcPr>
                  <w:tcW w:w="853" w:type="pct"/>
                  <w:vAlign w:val="center"/>
                </w:tcPr>
                <w:p w14:paraId="7CC2777B">
                  <w:pPr>
                    <w:pStyle w:val="40"/>
                  </w:pPr>
                  <w:r>
                    <w:t>900-0</w:t>
                  </w:r>
                  <w:r>
                    <w:rPr>
                      <w:rFonts w:hint="eastAsia"/>
                    </w:rPr>
                    <w:t>99</w:t>
                  </w:r>
                  <w:r>
                    <w:t>-S59</w:t>
                  </w:r>
                </w:p>
              </w:tc>
              <w:tc>
                <w:tcPr>
                  <w:tcW w:w="624" w:type="pct"/>
                  <w:vAlign w:val="center"/>
                </w:tcPr>
                <w:p w14:paraId="2E9CBA14">
                  <w:pPr>
                    <w:pStyle w:val="40"/>
                  </w:pPr>
                  <w:r>
                    <w:rPr>
                      <w:rFonts w:hint="eastAsia"/>
                    </w:rPr>
                    <w:t>18.02</w:t>
                  </w:r>
                </w:p>
              </w:tc>
              <w:tc>
                <w:tcPr>
                  <w:tcW w:w="833" w:type="pct"/>
                  <w:vAlign w:val="center"/>
                </w:tcPr>
                <w:p w14:paraId="68CA014D">
                  <w:pPr>
                    <w:pStyle w:val="40"/>
                  </w:pPr>
                  <w:r>
                    <w:rPr>
                      <w:rFonts w:hint="eastAsia"/>
                    </w:rPr>
                    <w:t>一般固废暂存间</w:t>
                  </w:r>
                </w:p>
              </w:tc>
              <w:tc>
                <w:tcPr>
                  <w:tcW w:w="1392" w:type="pct"/>
                  <w:vAlign w:val="center"/>
                </w:tcPr>
                <w:p w14:paraId="7039B4DB">
                  <w:pPr>
                    <w:pStyle w:val="40"/>
                  </w:pPr>
                  <w:r>
                    <w:t>统一收集外售</w:t>
                  </w:r>
                  <w:r>
                    <w:rPr>
                      <w:rFonts w:hint="eastAsia"/>
                    </w:rPr>
                    <w:t>做建材</w:t>
                  </w:r>
                </w:p>
              </w:tc>
            </w:tr>
            <w:tr w14:paraId="000EE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2" w:type="pct"/>
                  <w:vAlign w:val="center"/>
                </w:tcPr>
                <w:p w14:paraId="65AF57BB">
                  <w:pPr>
                    <w:pStyle w:val="40"/>
                  </w:pPr>
                  <w:r>
                    <w:rPr>
                      <w:rFonts w:hint="eastAsia"/>
                    </w:rPr>
                    <w:t>3</w:t>
                  </w:r>
                </w:p>
              </w:tc>
              <w:tc>
                <w:tcPr>
                  <w:tcW w:w="943" w:type="pct"/>
                  <w:vAlign w:val="center"/>
                </w:tcPr>
                <w:p w14:paraId="283F892F">
                  <w:pPr>
                    <w:pStyle w:val="40"/>
                  </w:pPr>
                  <w:r>
                    <w:t>锅炉灰渣</w:t>
                  </w:r>
                </w:p>
              </w:tc>
              <w:tc>
                <w:tcPr>
                  <w:tcW w:w="853" w:type="pct"/>
                  <w:vAlign w:val="center"/>
                </w:tcPr>
                <w:p w14:paraId="0C8BE5F4">
                  <w:pPr>
                    <w:pStyle w:val="40"/>
                  </w:pPr>
                  <w:r>
                    <w:rPr>
                      <w:rFonts w:hint="eastAsia"/>
                    </w:rPr>
                    <w:t>900-099-S03</w:t>
                  </w:r>
                </w:p>
              </w:tc>
              <w:tc>
                <w:tcPr>
                  <w:tcW w:w="624" w:type="pct"/>
                  <w:vAlign w:val="center"/>
                </w:tcPr>
                <w:p w14:paraId="2BEA0E9E">
                  <w:pPr>
                    <w:pStyle w:val="40"/>
                  </w:pPr>
                  <w:r>
                    <w:rPr>
                      <w:rFonts w:hint="eastAsia"/>
                    </w:rPr>
                    <w:t>34.46</w:t>
                  </w:r>
                </w:p>
              </w:tc>
              <w:tc>
                <w:tcPr>
                  <w:tcW w:w="833" w:type="pct"/>
                  <w:vAlign w:val="center"/>
                </w:tcPr>
                <w:p w14:paraId="7ABEFB7C">
                  <w:pPr>
                    <w:pStyle w:val="40"/>
                  </w:pPr>
                  <w:r>
                    <w:rPr>
                      <w:rFonts w:hint="eastAsia"/>
                    </w:rPr>
                    <w:t>一般固废暂存间</w:t>
                  </w:r>
                </w:p>
              </w:tc>
              <w:tc>
                <w:tcPr>
                  <w:tcW w:w="1392" w:type="pct"/>
                  <w:vAlign w:val="center"/>
                </w:tcPr>
                <w:p w14:paraId="584DF862">
                  <w:pPr>
                    <w:pStyle w:val="40"/>
                  </w:pPr>
                  <w:r>
                    <w:t>统一收集外售</w:t>
                  </w:r>
                  <w:r>
                    <w:rPr>
                      <w:rFonts w:hint="eastAsia"/>
                    </w:rPr>
                    <w:t>做建材</w:t>
                  </w:r>
                </w:p>
              </w:tc>
            </w:tr>
            <w:tr w14:paraId="39BB4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2" w:type="pct"/>
                  <w:vAlign w:val="center"/>
                </w:tcPr>
                <w:p w14:paraId="26510212">
                  <w:pPr>
                    <w:pStyle w:val="40"/>
                  </w:pPr>
                  <w:r>
                    <w:rPr>
                      <w:rFonts w:hint="eastAsia"/>
                    </w:rPr>
                    <w:t>4</w:t>
                  </w:r>
                </w:p>
              </w:tc>
              <w:tc>
                <w:tcPr>
                  <w:tcW w:w="943" w:type="pct"/>
                  <w:vAlign w:val="center"/>
                </w:tcPr>
                <w:p w14:paraId="59E58599">
                  <w:pPr>
                    <w:pStyle w:val="40"/>
                  </w:pPr>
                  <w:r>
                    <w:rPr>
                      <w:rFonts w:hint="eastAsia"/>
                    </w:rPr>
                    <w:t>废离子树脂</w:t>
                  </w:r>
                </w:p>
              </w:tc>
              <w:tc>
                <w:tcPr>
                  <w:tcW w:w="853" w:type="pct"/>
                  <w:vAlign w:val="center"/>
                </w:tcPr>
                <w:p w14:paraId="2D22C2B5">
                  <w:pPr>
                    <w:pStyle w:val="40"/>
                  </w:pPr>
                  <w:r>
                    <w:rPr>
                      <w:rFonts w:hint="eastAsia"/>
                    </w:rPr>
                    <w:t>900-008-S59</w:t>
                  </w:r>
                </w:p>
              </w:tc>
              <w:tc>
                <w:tcPr>
                  <w:tcW w:w="624" w:type="pct"/>
                  <w:vAlign w:val="center"/>
                </w:tcPr>
                <w:p w14:paraId="0F278965">
                  <w:pPr>
                    <w:pStyle w:val="40"/>
                  </w:pPr>
                  <w:r>
                    <w:rPr>
                      <w:rFonts w:hint="eastAsia"/>
                    </w:rPr>
                    <w:t>0.2t</w:t>
                  </w:r>
                  <w:r>
                    <w:t>/3a</w:t>
                  </w:r>
                </w:p>
              </w:tc>
              <w:tc>
                <w:tcPr>
                  <w:tcW w:w="833" w:type="pct"/>
                  <w:vAlign w:val="center"/>
                </w:tcPr>
                <w:p w14:paraId="068AFEC0">
                  <w:pPr>
                    <w:pStyle w:val="40"/>
                  </w:pPr>
                  <w:r>
                    <w:rPr>
                      <w:rFonts w:hint="eastAsia"/>
                    </w:rPr>
                    <w:t>不在厂区贮存</w:t>
                  </w:r>
                </w:p>
              </w:tc>
              <w:tc>
                <w:tcPr>
                  <w:tcW w:w="1392" w:type="pct"/>
                  <w:vAlign w:val="center"/>
                </w:tcPr>
                <w:p w14:paraId="3F458DDA">
                  <w:pPr>
                    <w:pStyle w:val="40"/>
                  </w:pPr>
                  <w:r>
                    <w:rPr>
                      <w:rFonts w:hint="eastAsia"/>
                    </w:rPr>
                    <w:t>厂家回收</w:t>
                  </w:r>
                </w:p>
              </w:tc>
            </w:tr>
            <w:tr w14:paraId="479E4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2" w:type="pct"/>
                  <w:vAlign w:val="center"/>
                </w:tcPr>
                <w:p w14:paraId="011961F3">
                  <w:pPr>
                    <w:pStyle w:val="40"/>
                  </w:pPr>
                  <w:r>
                    <w:rPr>
                      <w:rFonts w:hint="eastAsia"/>
                    </w:rPr>
                    <w:t>5</w:t>
                  </w:r>
                </w:p>
              </w:tc>
              <w:tc>
                <w:tcPr>
                  <w:tcW w:w="943" w:type="pct"/>
                  <w:vAlign w:val="center"/>
                </w:tcPr>
                <w:p w14:paraId="23A33630">
                  <w:pPr>
                    <w:pStyle w:val="40"/>
                  </w:pPr>
                  <w:r>
                    <w:rPr>
                      <w:rFonts w:hint="eastAsia"/>
                    </w:rPr>
                    <w:t>废活性炭</w:t>
                  </w:r>
                </w:p>
              </w:tc>
              <w:tc>
                <w:tcPr>
                  <w:tcW w:w="853" w:type="pct"/>
                  <w:vAlign w:val="center"/>
                </w:tcPr>
                <w:p w14:paraId="03EDCF29">
                  <w:pPr>
                    <w:pStyle w:val="40"/>
                  </w:pPr>
                  <w:bookmarkStart w:id="131" w:name="OLE_LINK72"/>
                  <w:bookmarkStart w:id="132" w:name="OLE_LINK73"/>
                  <w:r>
                    <w:rPr>
                      <w:rFonts w:hint="eastAsia"/>
                    </w:rPr>
                    <w:t>900-008-S59</w:t>
                  </w:r>
                  <w:bookmarkEnd w:id="131"/>
                  <w:bookmarkEnd w:id="132"/>
                </w:p>
              </w:tc>
              <w:tc>
                <w:tcPr>
                  <w:tcW w:w="624" w:type="pct"/>
                  <w:vAlign w:val="center"/>
                </w:tcPr>
                <w:p w14:paraId="07874526">
                  <w:pPr>
                    <w:pStyle w:val="40"/>
                  </w:pPr>
                  <w:r>
                    <w:t>0.</w:t>
                  </w:r>
                  <w:r>
                    <w:rPr>
                      <w:rFonts w:hint="eastAsia"/>
                    </w:rPr>
                    <w:t>0</w:t>
                  </w:r>
                  <w:r>
                    <w:t>2</w:t>
                  </w:r>
                  <w:r>
                    <w:rPr>
                      <w:rFonts w:hint="eastAsia"/>
                    </w:rPr>
                    <w:t>75</w:t>
                  </w:r>
                </w:p>
              </w:tc>
              <w:tc>
                <w:tcPr>
                  <w:tcW w:w="833" w:type="pct"/>
                  <w:vAlign w:val="center"/>
                </w:tcPr>
                <w:p w14:paraId="48A6FC64">
                  <w:pPr>
                    <w:pStyle w:val="40"/>
                  </w:pPr>
                  <w:r>
                    <w:rPr>
                      <w:rFonts w:hint="eastAsia"/>
                    </w:rPr>
                    <w:t>一般固废暂存间</w:t>
                  </w:r>
                </w:p>
              </w:tc>
              <w:tc>
                <w:tcPr>
                  <w:tcW w:w="1392" w:type="pct"/>
                  <w:vAlign w:val="center"/>
                </w:tcPr>
                <w:p w14:paraId="576811BB">
                  <w:pPr>
                    <w:pStyle w:val="40"/>
                  </w:pPr>
                  <w:r>
                    <w:t>厂家</w:t>
                  </w:r>
                  <w:r>
                    <w:rPr>
                      <w:rFonts w:hint="eastAsia"/>
                    </w:rPr>
                    <w:t>回收</w:t>
                  </w:r>
                </w:p>
              </w:tc>
            </w:tr>
            <w:tr w14:paraId="2AD7A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2" w:type="pct"/>
                  <w:vAlign w:val="center"/>
                </w:tcPr>
                <w:p w14:paraId="3264FFE6">
                  <w:pPr>
                    <w:pStyle w:val="40"/>
                  </w:pPr>
                  <w:r>
                    <w:rPr>
                      <w:rFonts w:hint="eastAsia"/>
                    </w:rPr>
                    <w:t>6</w:t>
                  </w:r>
                </w:p>
              </w:tc>
              <w:tc>
                <w:tcPr>
                  <w:tcW w:w="943" w:type="pct"/>
                  <w:vAlign w:val="center"/>
                </w:tcPr>
                <w:p w14:paraId="3C11C7B7">
                  <w:pPr>
                    <w:pStyle w:val="40"/>
                  </w:pPr>
                  <w:r>
                    <w:rPr>
                      <w:rFonts w:hint="eastAsia"/>
                    </w:rPr>
                    <w:t>污水处理站污泥</w:t>
                  </w:r>
                </w:p>
              </w:tc>
              <w:tc>
                <w:tcPr>
                  <w:tcW w:w="853" w:type="pct"/>
                  <w:vAlign w:val="center"/>
                </w:tcPr>
                <w:p w14:paraId="540E4DD4">
                  <w:pPr>
                    <w:pStyle w:val="40"/>
                  </w:pPr>
                  <w:r>
                    <w:rPr>
                      <w:rFonts w:hint="eastAsia"/>
                    </w:rPr>
                    <w:t>900-001-S07</w:t>
                  </w:r>
                </w:p>
              </w:tc>
              <w:tc>
                <w:tcPr>
                  <w:tcW w:w="624" w:type="pct"/>
                  <w:vAlign w:val="center"/>
                </w:tcPr>
                <w:p w14:paraId="003B64C6">
                  <w:pPr>
                    <w:pStyle w:val="40"/>
                  </w:pPr>
                  <w:r>
                    <w:rPr>
                      <w:rFonts w:hint="eastAsia"/>
                    </w:rPr>
                    <w:t>1.455</w:t>
                  </w:r>
                </w:p>
              </w:tc>
              <w:tc>
                <w:tcPr>
                  <w:tcW w:w="833" w:type="pct"/>
                  <w:vAlign w:val="center"/>
                </w:tcPr>
                <w:p w14:paraId="6CD7CF6D">
                  <w:pPr>
                    <w:pStyle w:val="40"/>
                  </w:pPr>
                  <w:r>
                    <w:rPr>
                      <w:rFonts w:hint="eastAsia"/>
                    </w:rPr>
                    <w:t>污泥间</w:t>
                  </w:r>
                </w:p>
              </w:tc>
              <w:tc>
                <w:tcPr>
                  <w:tcW w:w="1392" w:type="pct"/>
                  <w:vAlign w:val="center"/>
                </w:tcPr>
                <w:p w14:paraId="4AF35C74">
                  <w:pPr>
                    <w:pStyle w:val="40"/>
                  </w:pPr>
                  <w:r>
                    <w:rPr>
                      <w:rFonts w:hint="eastAsia"/>
                    </w:rPr>
                    <w:t>委托环保手续齐全，具备污泥处理主体资格和技术能力的单位进行处置</w:t>
                  </w:r>
                </w:p>
              </w:tc>
            </w:tr>
          </w:tbl>
          <w:p w14:paraId="7DFEEDBC">
            <w:pPr>
              <w:pStyle w:val="105"/>
              <w:spacing w:beforeLines="50" w:line="360" w:lineRule="auto"/>
              <w:ind w:left="420" w:firstLine="0" w:firstLineChars="0"/>
              <w:rPr>
                <w:sz w:val="21"/>
                <w:szCs w:val="21"/>
              </w:rPr>
            </w:pPr>
            <w:r>
              <w:rPr>
                <w:rFonts w:hint="eastAsia"/>
                <w:sz w:val="21"/>
                <w:szCs w:val="21"/>
              </w:rPr>
              <w:t>（2）一般固废暂存间环境管理要求</w:t>
            </w:r>
          </w:p>
          <w:p w14:paraId="10945025">
            <w:pPr>
              <w:pStyle w:val="105"/>
              <w:spacing w:line="360" w:lineRule="auto"/>
              <w:ind w:firstLine="420"/>
              <w:rPr>
                <w:sz w:val="21"/>
                <w:szCs w:val="21"/>
              </w:rPr>
            </w:pPr>
            <w:r>
              <w:rPr>
                <w:rFonts w:hint="eastAsia"/>
                <w:sz w:val="21"/>
                <w:szCs w:val="21"/>
              </w:rPr>
              <w:t>一般固体废弃物的贮存应按照《一般工业固体废物贮存和填埋污染控制标准》（GB 18599-2020）要求满足相应防渗漏、防雨淋、防扬尘等环境保护要求。</w:t>
            </w:r>
          </w:p>
          <w:p w14:paraId="7083F5AD">
            <w:pPr>
              <w:adjustRightInd w:val="0"/>
              <w:snapToGrid w:val="0"/>
              <w:ind w:firstLine="420"/>
              <w:rPr>
                <w:szCs w:val="21"/>
              </w:rPr>
            </w:pPr>
            <w:r>
              <w:rPr>
                <w:rFonts w:hint="eastAsia"/>
                <w:szCs w:val="21"/>
              </w:rPr>
              <w:t>（3）日常管理要求</w:t>
            </w:r>
          </w:p>
          <w:p w14:paraId="066CE851">
            <w:pPr>
              <w:adjustRightInd w:val="0"/>
              <w:snapToGrid w:val="0"/>
              <w:ind w:firstLine="420"/>
              <w:rPr>
                <w:bCs/>
                <w:szCs w:val="21"/>
              </w:rPr>
            </w:pPr>
            <w:r>
              <w:rPr>
                <w:rFonts w:hint="eastAsia"/>
                <w:bCs/>
                <w:szCs w:val="21"/>
              </w:rPr>
              <w:t>按照《中华人民共和国</w:t>
            </w:r>
            <w:r>
              <w:rPr>
                <w:rFonts w:hint="eastAsia"/>
                <w:bCs/>
                <w:szCs w:val="21"/>
                <w:lang w:eastAsia="zh-CN"/>
              </w:rPr>
              <w:t>固体废物污染环境防治法</w:t>
            </w:r>
            <w:r>
              <w:rPr>
                <w:rFonts w:hint="eastAsia"/>
                <w:bCs/>
                <w:szCs w:val="21"/>
              </w:rPr>
              <w:t>》（2020.4.29修订）要求，按照“减量化、资源化和无害化”的原则，应当及时依法及时公开固体废物污染环境防治信息，主动接受社会监督，同时建立健全工业固体废物产生、收集、贮存、运输、利用和处置全过程污染环境防治责任制度，建立工业固体废物管理台账，如实记录产生工业固体废物的种类、数量、流向、贮存、利用、处置等信息，实现工业固体废物可追溯、可查询，并采取防治工业固体废物污染环境的措施。并且禁止向生活垃圾中投放工业固体废物。</w:t>
            </w:r>
          </w:p>
          <w:p w14:paraId="1799720D">
            <w:pPr>
              <w:adjustRightInd w:val="0"/>
              <w:snapToGrid w:val="0"/>
              <w:ind w:firstLine="420"/>
              <w:rPr>
                <w:bCs/>
                <w:szCs w:val="21"/>
              </w:rPr>
            </w:pPr>
            <w:r>
              <w:rPr>
                <w:rFonts w:hint="eastAsia"/>
                <w:bCs/>
                <w:szCs w:val="21"/>
              </w:rPr>
              <w:t>同时项目需按照《一般工业固体废物管理台账制定指南》（试行）的相关要求，如实记录工业固体废物的种类、数量、流向、贮存、利用、处置等信息，可以实现工业固体废物可追溯、可查询的目的，推动企业提升固体废物管理水平。</w:t>
            </w:r>
          </w:p>
          <w:p w14:paraId="0D73BAE6">
            <w:pPr>
              <w:adjustRightInd w:val="0"/>
              <w:snapToGrid w:val="0"/>
              <w:ind w:firstLine="420"/>
              <w:rPr>
                <w:bCs/>
                <w:szCs w:val="21"/>
              </w:rPr>
            </w:pPr>
            <w:r>
              <w:rPr>
                <w:rFonts w:hint="eastAsia"/>
                <w:bCs/>
                <w:szCs w:val="21"/>
              </w:rPr>
              <w:t>综上，本项目固体废物对环境的影响很小。</w:t>
            </w:r>
          </w:p>
          <w:p w14:paraId="45C52355">
            <w:pPr>
              <w:adjustRightInd w:val="0"/>
              <w:snapToGrid w:val="0"/>
              <w:ind w:firstLine="422"/>
              <w:rPr>
                <w:b/>
                <w:snapToGrid w:val="0"/>
              </w:rPr>
            </w:pPr>
            <w:bookmarkStart w:id="133" w:name="_Hlk112163433"/>
            <w:r>
              <w:rPr>
                <w:rFonts w:hint="eastAsia"/>
                <w:b/>
                <w:snapToGrid w:val="0"/>
              </w:rPr>
              <w:t>5、</w:t>
            </w:r>
            <w:r>
              <w:rPr>
                <w:b/>
                <w:snapToGrid w:val="0"/>
              </w:rPr>
              <w:t>地下水、土壤</w:t>
            </w:r>
          </w:p>
          <w:p w14:paraId="31F9E25C">
            <w:pPr>
              <w:widowControl/>
              <w:ind w:firstLine="420"/>
              <w:jc w:val="left"/>
              <w:rPr>
                <w:rFonts w:ascii="宋体" w:hAnsi="宋体" w:cs="宋体"/>
                <w:kern w:val="0"/>
                <w:szCs w:val="21"/>
              </w:rPr>
            </w:pPr>
            <w:r>
              <w:rPr>
                <w:rFonts w:hint="eastAsia" w:ascii="宋体" w:hAnsi="宋体" w:cs="宋体"/>
                <w:kern w:val="0"/>
                <w:szCs w:val="21"/>
              </w:rPr>
              <w:t>本项目可能对地下水、土壤造成污染的途径主要是污水处理站、排水管道等破裂导致污水流入地下水和土壤，则可能导致土壤、地下水的污染。项目废水主要为生产废水、锅炉排污水，正常工况下对地下水和土壤影响较小。厂区现有的污水处理站、厂房已采取了一般防渗措施，项目营运期不会对地下水、土壤环境产生明显的影响。</w:t>
            </w:r>
          </w:p>
          <w:p w14:paraId="3C5C019F">
            <w:pPr>
              <w:adjustRightInd w:val="0"/>
              <w:snapToGrid w:val="0"/>
              <w:ind w:firstLine="422"/>
              <w:rPr>
                <w:b/>
                <w:snapToGrid w:val="0"/>
              </w:rPr>
            </w:pPr>
            <w:r>
              <w:rPr>
                <w:rFonts w:hint="eastAsia"/>
                <w:b/>
                <w:snapToGrid w:val="0"/>
              </w:rPr>
              <w:t>6</w:t>
            </w:r>
            <w:r>
              <w:rPr>
                <w:b/>
                <w:snapToGrid w:val="0"/>
              </w:rPr>
              <w:t>、环境风险</w:t>
            </w:r>
          </w:p>
          <w:p w14:paraId="04592E27">
            <w:pPr>
              <w:widowControl/>
              <w:ind w:firstLine="420"/>
              <w:jc w:val="left"/>
            </w:pPr>
            <w:r>
              <w:rPr>
                <w:rFonts w:hint="eastAsia" w:ascii="宋体" w:hAnsi="宋体" w:cs="宋体"/>
                <w:kern w:val="0"/>
                <w:szCs w:val="21"/>
              </w:rPr>
              <w:t>本项目使用的原辅材料均不属于有毒有害环境危险物质。因此本项目不涉及环境风险。</w:t>
            </w:r>
          </w:p>
          <w:p w14:paraId="08EC308F">
            <w:pPr>
              <w:adjustRightInd w:val="0"/>
              <w:snapToGrid w:val="0"/>
              <w:spacing w:beforeLines="50"/>
              <w:ind w:firstLine="422"/>
              <w:rPr>
                <w:b/>
                <w:bCs/>
              </w:rPr>
            </w:pPr>
            <w:r>
              <w:rPr>
                <w:rFonts w:hint="eastAsia"/>
                <w:b/>
                <w:bCs/>
              </w:rPr>
              <w:t>7、碳排放环境影响评价</w:t>
            </w:r>
          </w:p>
          <w:p w14:paraId="19C33541">
            <w:pPr>
              <w:ind w:firstLine="420"/>
              <w:rPr>
                <w:b/>
                <w:bCs/>
              </w:rPr>
            </w:pPr>
            <w:r>
              <w:rPr>
                <w:rFonts w:hint="eastAsia"/>
                <w:bCs/>
                <w:szCs w:val="21"/>
              </w:rPr>
              <w:t>国务院关于印发《“十三五”控制温室气体排放工作方案的通知》(国发[2016]61 号)中提出：“顺应绿色低碳发展国际潮流，把低碳发展作为我国经济社会发展的重大战略和生态文明建设的重要途径，采取积极措施，有效控制温室气体排放。加快科技创新和制度创新，健全激励和约束机制，发挥市场配置资源的决定性作用和更好发挥政府作用，加强碳排放和大气污染物排放协同控制，强化低碳引领，推动能源革命和产业革命，推动供给侧结构性改革和消费端转型，推动区域协调发展，深度参与全球气候治理，为促进我国经济社会可持续发展和维护全球生态安全作出新贡献”。</w:t>
            </w:r>
          </w:p>
          <w:p w14:paraId="17229CE2">
            <w:pPr>
              <w:adjustRightInd w:val="0"/>
              <w:snapToGrid w:val="0"/>
              <w:ind w:firstLine="420"/>
              <w:rPr>
                <w:bCs/>
                <w:szCs w:val="21"/>
              </w:rPr>
            </w:pPr>
            <w:r>
              <w:rPr>
                <w:rFonts w:hint="eastAsia"/>
                <w:bCs/>
                <w:szCs w:val="21"/>
              </w:rPr>
              <w:t>为贯彻落实“碳达峰、碳中和”相关文件决策部署和文件精神，以及地方政策要求，进行了本项目碳排放评价，如下：</w:t>
            </w:r>
          </w:p>
          <w:p w14:paraId="3E847ECA">
            <w:pPr>
              <w:adjustRightInd w:val="0"/>
              <w:snapToGrid w:val="0"/>
              <w:ind w:firstLine="420"/>
              <w:rPr>
                <w:szCs w:val="21"/>
              </w:rPr>
            </w:pPr>
            <w:r>
              <w:rPr>
                <w:rFonts w:hint="eastAsia"/>
                <w:szCs w:val="21"/>
              </w:rPr>
              <w:t>（1）政策符合性分析</w:t>
            </w:r>
          </w:p>
          <w:p w14:paraId="15958337">
            <w:pPr>
              <w:adjustRightInd w:val="0"/>
              <w:snapToGrid w:val="0"/>
              <w:ind w:firstLine="420"/>
              <w:rPr>
                <w:bCs/>
                <w:szCs w:val="21"/>
              </w:rPr>
            </w:pPr>
            <w:r>
              <w:rPr>
                <w:rFonts w:hint="eastAsia"/>
                <w:bCs/>
                <w:szCs w:val="21"/>
              </w:rPr>
              <w:t>本项目不属于碳排放相关要求中提到的“重点行业”，但为响应国家和地方政策要求，参照《重点行业建设项目碳排放环境影响评价试点技术指南（试行）》进行本次评价，符合政策要求。</w:t>
            </w:r>
          </w:p>
          <w:p w14:paraId="22237BE0">
            <w:pPr>
              <w:adjustRightInd w:val="0"/>
              <w:snapToGrid w:val="0"/>
              <w:spacing w:line="400" w:lineRule="exact"/>
              <w:ind w:firstLine="420"/>
              <w:rPr>
                <w:szCs w:val="21"/>
              </w:rPr>
            </w:pPr>
            <w:r>
              <w:rPr>
                <w:rFonts w:hint="eastAsia"/>
                <w:szCs w:val="21"/>
              </w:rPr>
              <w:t>（2）工程分析</w:t>
            </w:r>
          </w:p>
          <w:p w14:paraId="47F49C6C">
            <w:pPr>
              <w:adjustRightInd w:val="0"/>
              <w:snapToGrid w:val="0"/>
              <w:spacing w:line="400" w:lineRule="exact"/>
              <w:ind w:firstLine="420"/>
              <w:rPr>
                <w:bCs/>
                <w:szCs w:val="21"/>
              </w:rPr>
            </w:pPr>
            <w:r>
              <w:rPr>
                <w:rFonts w:hint="eastAsia"/>
                <w:bCs/>
                <w:szCs w:val="21"/>
              </w:rPr>
              <w:t>根据前述工程分析可知，识别本项目自身的碳排放节点为净购入电力。</w:t>
            </w:r>
          </w:p>
          <w:p w14:paraId="7C0125F7">
            <w:pPr>
              <w:adjustRightInd w:val="0"/>
              <w:snapToGrid w:val="0"/>
              <w:spacing w:line="400" w:lineRule="exact"/>
              <w:ind w:firstLine="420"/>
              <w:rPr>
                <w:szCs w:val="21"/>
              </w:rPr>
            </w:pPr>
            <w:r>
              <w:rPr>
                <w:rFonts w:hint="eastAsia"/>
                <w:szCs w:val="21"/>
              </w:rPr>
              <w:t>（3）核算边界</w:t>
            </w:r>
          </w:p>
          <w:p w14:paraId="2ECD0A40">
            <w:pPr>
              <w:adjustRightInd w:val="0"/>
              <w:snapToGrid w:val="0"/>
              <w:spacing w:line="400" w:lineRule="exact"/>
              <w:ind w:firstLine="420"/>
              <w:rPr>
                <w:bCs/>
                <w:szCs w:val="21"/>
              </w:rPr>
            </w:pPr>
            <w:r>
              <w:rPr>
                <w:rFonts w:hint="eastAsia"/>
                <w:bCs/>
                <w:szCs w:val="21"/>
              </w:rPr>
              <w:t>本次核算边界定位本项目自身，温室气体排放源为净购入电力。</w:t>
            </w:r>
          </w:p>
          <w:p w14:paraId="2C16AF70">
            <w:pPr>
              <w:adjustRightInd w:val="0"/>
              <w:snapToGrid w:val="0"/>
              <w:spacing w:line="400" w:lineRule="exact"/>
              <w:ind w:firstLine="420"/>
              <w:rPr>
                <w:szCs w:val="21"/>
              </w:rPr>
            </w:pPr>
            <w:r>
              <w:rPr>
                <w:rFonts w:hint="eastAsia"/>
                <w:szCs w:val="21"/>
              </w:rPr>
              <w:t>（4）碳排放绩效核算</w:t>
            </w:r>
          </w:p>
          <w:p w14:paraId="0D51C894">
            <w:pPr>
              <w:adjustRightInd w:val="0"/>
              <w:snapToGrid w:val="0"/>
              <w:spacing w:beforeLines="50"/>
              <w:ind w:firstLine="420"/>
              <w:rPr>
                <w:bCs/>
                <w:szCs w:val="21"/>
              </w:rPr>
            </w:pPr>
            <w:r>
              <w:rPr>
                <w:rFonts w:hint="eastAsia"/>
                <w:bCs/>
                <w:szCs w:val="21"/>
              </w:rPr>
              <w:t>①净购入电力</w:t>
            </w:r>
          </w:p>
          <w:p w14:paraId="1A547F4A">
            <w:pPr>
              <w:adjustRightInd w:val="0"/>
              <w:snapToGrid w:val="0"/>
              <w:ind w:firstLine="420"/>
              <w:rPr>
                <w:bCs/>
                <w:szCs w:val="21"/>
              </w:rPr>
            </w:pPr>
            <w:r>
              <w:rPr>
                <w:rFonts w:hint="eastAsia"/>
                <w:bCs/>
                <w:szCs w:val="21"/>
              </w:rPr>
              <w:t>核算边界内，净购入电力所对应的碳排放，核算公式如下：</w:t>
            </w:r>
          </w:p>
          <w:p w14:paraId="68808188">
            <w:pPr>
              <w:adjustRightInd w:val="0"/>
              <w:snapToGrid w:val="0"/>
              <w:ind w:firstLine="420"/>
              <w:rPr>
                <w:bCs/>
                <w:szCs w:val="21"/>
              </w:rPr>
            </w:pPr>
            <m:oMathPara>
              <m:oMath>
                <m:sSub>
                  <m:sSubPr>
                    <m:ctrlPr>
                      <w:rPr>
                        <w:rFonts w:ascii="Cambria Math" w:hAnsi="Cambria Math"/>
                        <w:bCs/>
                        <w:i/>
                        <w:szCs w:val="21"/>
                      </w:rPr>
                    </m:ctrlPr>
                  </m:sSubPr>
                  <m:e>
                    <m:r>
                      <m:rPr/>
                      <w:rPr>
                        <w:rFonts w:ascii="Cambria Math" w:hAnsi="Cambria Math"/>
                        <w:szCs w:val="21"/>
                      </w:rPr>
                      <m:t>E</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r>
                  <m:rPr/>
                  <w:rPr>
                    <w:rFonts w:hint="eastAsia" w:ascii="Cambria Math" w:hAnsi="Cambria Math"/>
                    <w:szCs w:val="21"/>
                  </w:rPr>
                  <m:t>=</m:t>
                </m:r>
                <m:sSub>
                  <m:sSubPr>
                    <m:ctrlPr>
                      <w:rPr>
                        <w:rFonts w:ascii="Cambria Math" w:hAnsi="Cambria Math"/>
                        <w:bCs/>
                        <w:i/>
                        <w:szCs w:val="21"/>
                      </w:rPr>
                    </m:ctrlPr>
                  </m:sSubPr>
                  <m:e>
                    <m:r>
                      <m:rPr/>
                      <w:rPr>
                        <w:rFonts w:ascii="Cambria Math" w:hAnsi="Cambria Math"/>
                        <w:szCs w:val="21"/>
                      </w:rPr>
                      <m:t>AD</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r>
                  <m:rPr/>
                  <w:rPr>
                    <w:rFonts w:ascii="Cambria Math" w:hAnsi="Cambria Math"/>
                    <w:szCs w:val="21"/>
                  </w:rPr>
                  <m:t>×</m:t>
                </m:r>
                <m:sSub>
                  <m:sSubPr>
                    <m:ctrlPr>
                      <w:rPr>
                        <w:rFonts w:ascii="Cambria Math" w:hAnsi="Cambria Math"/>
                        <w:bCs/>
                        <w:i/>
                        <w:szCs w:val="21"/>
                      </w:rPr>
                    </m:ctrlPr>
                  </m:sSubPr>
                  <m:e>
                    <m:r>
                      <m:rPr/>
                      <w:rPr>
                        <w:rFonts w:ascii="Cambria Math" w:hAnsi="Cambria Math"/>
                        <w:szCs w:val="21"/>
                      </w:rPr>
                      <m:t>EF</m:t>
                    </m:r>
                    <m:ctrlPr>
                      <w:rPr>
                        <w:rFonts w:ascii="Cambria Math" w:hAnsi="Cambria Math"/>
                        <w:bCs/>
                        <w:i/>
                        <w:szCs w:val="21"/>
                      </w:rPr>
                    </m:ctrlPr>
                  </m:e>
                  <m:sub>
                    <m:r>
                      <m:rPr/>
                      <w:rPr>
                        <w:rFonts w:hint="eastAsia" w:ascii="Cambria Math" w:hAnsi="Cambria Math"/>
                        <w:szCs w:val="21"/>
                      </w:rPr>
                      <m:t>电</m:t>
                    </m:r>
                    <m:ctrlPr>
                      <w:rPr>
                        <w:rFonts w:ascii="Cambria Math" w:hAnsi="Cambria Math"/>
                        <w:bCs/>
                        <w:i/>
                        <w:szCs w:val="21"/>
                      </w:rPr>
                    </m:ctrlPr>
                  </m:sub>
                </m:sSub>
              </m:oMath>
            </m:oMathPara>
          </w:p>
          <w:p w14:paraId="71F153B0">
            <w:pPr>
              <w:adjustRightInd w:val="0"/>
              <w:snapToGrid w:val="0"/>
              <w:ind w:firstLine="420"/>
              <w:rPr>
                <w:bCs/>
                <w:szCs w:val="21"/>
              </w:rPr>
            </w:pPr>
            <m:oMath>
              <m:sSub>
                <m:sSubPr>
                  <m:ctrlPr>
                    <w:rPr>
                      <w:rFonts w:ascii="Cambria Math" w:hAnsi="Cambria Math"/>
                      <w:bCs/>
                      <w:i/>
                      <w:szCs w:val="21"/>
                    </w:rPr>
                  </m:ctrlPr>
                </m:sSubPr>
                <m:e>
                  <m:r>
                    <m:rPr/>
                    <w:rPr>
                      <w:rFonts w:ascii="Cambria Math" w:hAnsi="Cambria Math"/>
                      <w:szCs w:val="21"/>
                    </w:rPr>
                    <m:t>E</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oMath>
            <w:r>
              <w:rPr>
                <w:rFonts w:hint="eastAsia"/>
                <w:bCs/>
                <w:szCs w:val="21"/>
              </w:rPr>
              <w:t>——购入的电力所产生的二氧化碳排放，单位为吨二氧化碳（t</w:t>
            </w:r>
            <w:r>
              <w:rPr>
                <w:bCs/>
                <w:szCs w:val="21"/>
              </w:rPr>
              <w:t>CO</w:t>
            </w:r>
            <w:r>
              <w:rPr>
                <w:bCs/>
                <w:szCs w:val="21"/>
                <w:vertAlign w:val="subscript"/>
              </w:rPr>
              <w:t>2</w:t>
            </w:r>
            <w:r>
              <w:rPr>
                <w:rFonts w:hint="eastAsia"/>
                <w:bCs/>
                <w:szCs w:val="21"/>
              </w:rPr>
              <w:t>）</w:t>
            </w:r>
          </w:p>
          <w:p w14:paraId="3FEB966D">
            <w:pPr>
              <w:adjustRightInd w:val="0"/>
              <w:snapToGrid w:val="0"/>
              <w:ind w:firstLine="420"/>
              <w:rPr>
                <w:bCs/>
                <w:szCs w:val="21"/>
              </w:rPr>
            </w:pPr>
            <m:oMath>
              <m:sSub>
                <m:sSubPr>
                  <m:ctrlPr>
                    <w:rPr>
                      <w:rFonts w:ascii="Cambria Math" w:hAnsi="Cambria Math"/>
                      <w:bCs/>
                      <w:i/>
                      <w:szCs w:val="21"/>
                    </w:rPr>
                  </m:ctrlPr>
                </m:sSubPr>
                <m:e>
                  <m:r>
                    <m:rPr/>
                    <w:rPr>
                      <w:rFonts w:ascii="Cambria Math" w:hAnsi="Cambria Math"/>
                      <w:szCs w:val="21"/>
                    </w:rPr>
                    <m:t>AD</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oMath>
            <w:r>
              <w:rPr>
                <w:rFonts w:hint="eastAsia"/>
                <w:bCs/>
                <w:szCs w:val="21"/>
              </w:rPr>
              <w:t>——购入的电力量，单位为兆瓦时（M</w:t>
            </w:r>
            <w:r>
              <w:rPr>
                <w:bCs/>
                <w:szCs w:val="21"/>
              </w:rPr>
              <w:t>Wh</w:t>
            </w:r>
            <w:r>
              <w:rPr>
                <w:rFonts w:hint="eastAsia"/>
                <w:bCs/>
                <w:szCs w:val="21"/>
              </w:rPr>
              <w:t>）；</w:t>
            </w:r>
          </w:p>
          <w:p w14:paraId="7262A49A">
            <w:pPr>
              <w:adjustRightInd w:val="0"/>
              <w:snapToGrid w:val="0"/>
              <w:ind w:firstLine="420"/>
              <w:rPr>
                <w:bCs/>
                <w:szCs w:val="21"/>
              </w:rPr>
            </w:pPr>
            <m:oMath>
              <m:sSub>
                <m:sSubPr>
                  <m:ctrlPr>
                    <w:rPr>
                      <w:rFonts w:ascii="Cambria Math" w:hAnsi="Cambria Math"/>
                      <w:bCs/>
                      <w:i/>
                      <w:szCs w:val="21"/>
                    </w:rPr>
                  </m:ctrlPr>
                </m:sSubPr>
                <m:e>
                  <m:r>
                    <m:rPr/>
                    <w:rPr>
                      <w:rFonts w:ascii="Cambria Math" w:hAnsi="Cambria Math"/>
                      <w:szCs w:val="21"/>
                    </w:rPr>
                    <m:t>EF</m:t>
                  </m:r>
                  <m:ctrlPr>
                    <w:rPr>
                      <w:rFonts w:ascii="Cambria Math" w:hAnsi="Cambria Math"/>
                      <w:bCs/>
                      <w:i/>
                      <w:szCs w:val="21"/>
                    </w:rPr>
                  </m:ctrlPr>
                </m:e>
                <m:sub>
                  <m:r>
                    <m:rPr/>
                    <w:rPr>
                      <w:rFonts w:hint="eastAsia" w:ascii="Cambria Math" w:hAnsi="Cambria Math"/>
                      <w:szCs w:val="21"/>
                    </w:rPr>
                    <m:t>电</m:t>
                  </m:r>
                  <m:ctrlPr>
                    <w:rPr>
                      <w:rFonts w:ascii="Cambria Math" w:hAnsi="Cambria Math"/>
                      <w:bCs/>
                      <w:i/>
                      <w:szCs w:val="21"/>
                    </w:rPr>
                  </m:ctrlPr>
                </m:sub>
              </m:sSub>
            </m:oMath>
            <w:r>
              <w:rPr>
                <w:rFonts w:hint="eastAsia"/>
                <w:bCs/>
                <w:szCs w:val="21"/>
              </w:rPr>
              <w:t>——电力生产排放因子，单位为吨二氧化碳每兆瓦时（t</w:t>
            </w:r>
            <w:r>
              <w:rPr>
                <w:bCs/>
                <w:szCs w:val="21"/>
              </w:rPr>
              <w:t>CO</w:t>
            </w:r>
            <w:r>
              <w:rPr>
                <w:bCs/>
                <w:szCs w:val="21"/>
                <w:vertAlign w:val="subscript"/>
              </w:rPr>
              <w:t>2</w:t>
            </w:r>
            <w:r>
              <w:rPr>
                <w:bCs/>
                <w:szCs w:val="21"/>
              </w:rPr>
              <w:t>/</w:t>
            </w:r>
            <w:r>
              <w:rPr>
                <w:rFonts w:hint="eastAsia"/>
                <w:bCs/>
                <w:szCs w:val="21"/>
              </w:rPr>
              <w:t xml:space="preserve"> M</w:t>
            </w:r>
            <w:r>
              <w:rPr>
                <w:bCs/>
                <w:szCs w:val="21"/>
              </w:rPr>
              <w:t>Wh</w:t>
            </w:r>
            <w:r>
              <w:rPr>
                <w:rFonts w:hint="eastAsia"/>
                <w:bCs/>
                <w:szCs w:val="21"/>
              </w:rPr>
              <w:t>）</w:t>
            </w:r>
          </w:p>
          <w:p w14:paraId="5BA35E2D">
            <w:pPr>
              <w:adjustRightInd w:val="0"/>
              <w:snapToGrid w:val="0"/>
              <w:ind w:firstLine="420"/>
              <w:rPr>
                <w:bCs/>
                <w:szCs w:val="21"/>
              </w:rPr>
            </w:pPr>
            <w:r>
              <w:rPr>
                <w:rFonts w:hint="eastAsia"/>
                <w:bCs/>
                <w:szCs w:val="21"/>
              </w:rPr>
              <w:t>本项目建成后，全厂年用电量9万KW·h/a，则年净购入电力为90M</w:t>
            </w:r>
            <w:r>
              <w:rPr>
                <w:bCs/>
                <w:szCs w:val="21"/>
              </w:rPr>
              <w:t>Wh</w:t>
            </w:r>
            <w:r>
              <w:rPr>
                <w:rFonts w:hint="eastAsia"/>
                <w:bCs/>
                <w:szCs w:val="21"/>
              </w:rPr>
              <w:t>，</w:t>
            </w:r>
            <m:oMath>
              <m:sSub>
                <m:sSubPr>
                  <m:ctrlPr>
                    <w:rPr>
                      <w:rFonts w:ascii="Cambria Math" w:hAnsi="Cambria Math"/>
                      <w:bCs/>
                      <w:i/>
                      <w:szCs w:val="21"/>
                    </w:rPr>
                  </m:ctrlPr>
                </m:sSubPr>
                <m:e>
                  <m:r>
                    <m:rPr/>
                    <w:rPr>
                      <w:rFonts w:ascii="Cambria Math" w:hAnsi="Cambria Math"/>
                      <w:szCs w:val="21"/>
                    </w:rPr>
                    <m:t>EF</m:t>
                  </m:r>
                  <m:ctrlPr>
                    <w:rPr>
                      <w:rFonts w:ascii="Cambria Math" w:hAnsi="Cambria Math"/>
                      <w:bCs/>
                      <w:i/>
                      <w:szCs w:val="21"/>
                    </w:rPr>
                  </m:ctrlPr>
                </m:e>
                <m:sub>
                  <m:r>
                    <m:rPr/>
                    <w:rPr>
                      <w:rFonts w:hint="eastAsia" w:ascii="Cambria Math" w:hAnsi="Cambria Math"/>
                      <w:szCs w:val="21"/>
                    </w:rPr>
                    <m:t>电</m:t>
                  </m:r>
                  <m:ctrlPr>
                    <w:rPr>
                      <w:rFonts w:ascii="Cambria Math" w:hAnsi="Cambria Math"/>
                      <w:bCs/>
                      <w:i/>
                      <w:szCs w:val="21"/>
                    </w:rPr>
                  </m:ctrlPr>
                </m:sub>
              </m:sSub>
            </m:oMath>
            <w:r>
              <w:rPr>
                <w:bCs/>
                <w:szCs w:val="21"/>
              </w:rPr>
              <w:fldChar w:fldCharType="begin"/>
            </w:r>
            <w:r>
              <w:rPr>
                <w:bCs/>
                <w:szCs w:val="21"/>
              </w:rPr>
              <w:instrText xml:space="preserve"> QUOTE </w:instrText>
            </w:r>
            <m:oMath>
              <m:sSub>
                <m:sSubPr>
                  <m:ctrlPr>
                    <w:rPr>
                      <w:rFonts w:ascii="Cambria Math" w:hAnsi="Cambria Math"/>
                      <w:bCs/>
                      <w:szCs w:val="21"/>
                    </w:rPr>
                  </m:ctrlPr>
                </m:sSubPr>
                <m:e>
                  <m:r>
                    <m:rPr/>
                    <w:rPr>
                      <w:rFonts w:ascii="Cambria Math" w:hAnsi="Cambria Math"/>
                      <w:szCs w:val="21"/>
                    </w:rPr>
                    <m:t xml:space="preserve">𝐸𝐹</m:t>
                  </m:r>
                  <m:ctrlPr>
                    <w:rPr>
                      <w:rFonts w:ascii="Cambria Math" w:hAnsi="Cambria Math"/>
                      <w:bCs/>
                      <w:szCs w:val="21"/>
                    </w:rPr>
                  </m:ctrlPr>
                </m:e>
                <m:sub>
                  <m:r>
                    <m:rPr>
                      <m:sty m:val="p"/>
                    </m:rPr>
                    <w:rPr>
                      <w:rFonts w:hint="eastAsia" w:ascii="Cambria Math" w:hAnsi="Cambria Math"/>
                      <w:szCs w:val="21"/>
                    </w:rPr>
                    <m:t xml:space="preserve">电</m:t>
                  </m:r>
                  <m:ctrlPr>
                    <w:rPr>
                      <w:rFonts w:ascii="Cambria Math" w:hAnsi="Cambria Math"/>
                      <w:bCs/>
                      <w:szCs w:val="21"/>
                    </w:rPr>
                  </m:ctrlPr>
                </m:sub>
              </m:sSub>
            </m:oMath>
            <w:r>
              <w:rPr>
                <w:bCs/>
                <w:szCs w:val="21"/>
              </w:rPr>
              <w:fldChar w:fldCharType="end"/>
            </w:r>
            <w:r>
              <w:rPr>
                <w:rFonts w:hint="eastAsia"/>
                <w:bCs/>
                <w:szCs w:val="21"/>
              </w:rPr>
              <w:t>取0</w:t>
            </w:r>
            <w:r>
              <w:rPr>
                <w:bCs/>
                <w:szCs w:val="21"/>
              </w:rPr>
              <w:t>.5703 kg/kW</w:t>
            </w:r>
            <w:r>
              <w:rPr>
                <w:rFonts w:hint="eastAsia"/>
                <w:bCs/>
                <w:szCs w:val="21"/>
              </w:rPr>
              <w:t>h（即</w:t>
            </w:r>
            <w:r>
              <w:rPr>
                <w:bCs/>
                <w:szCs w:val="21"/>
              </w:rPr>
              <w:t>0.5703 t/MW</w:t>
            </w:r>
            <w:r>
              <w:rPr>
                <w:rFonts w:hint="eastAsia"/>
                <w:bCs/>
                <w:szCs w:val="21"/>
              </w:rPr>
              <w:t>h）。净购入电力对应的碳排放量=90M</w:t>
            </w:r>
            <w:r>
              <w:rPr>
                <w:bCs/>
                <w:szCs w:val="21"/>
              </w:rPr>
              <w:t xml:space="preserve">Wh </w:t>
            </w:r>
            <w:r>
              <w:rPr>
                <w:rFonts w:hint="eastAsia" w:ascii="宋体" w:hAnsi="宋体"/>
                <w:bCs/>
                <w:szCs w:val="21"/>
              </w:rPr>
              <w:t>×</w:t>
            </w:r>
            <w:r>
              <w:rPr>
                <w:bCs/>
                <w:szCs w:val="21"/>
              </w:rPr>
              <w:fldChar w:fldCharType="begin"/>
            </w:r>
            <w:r>
              <w:rPr>
                <w:bCs/>
                <w:szCs w:val="21"/>
              </w:rPr>
              <w:instrText xml:space="preserve"> QUOTE </w:instrText>
            </w:r>
            <m:oMath>
              <m:r>
                <m:rPr>
                  <m:sty m:val="p"/>
                </m:rPr>
                <w:rPr>
                  <w:rFonts w:hint="eastAsia" w:ascii="Cambria Math" w:hAnsi="Cambria Math"/>
                  <w:szCs w:val="21"/>
                </w:rPr>
                <m:t xml:space="preserve">M</m:t>
              </m:r>
              <m:r>
                <m:rPr>
                  <m:sty m:val="p"/>
                </m:rPr>
                <w:rPr>
                  <w:rFonts w:ascii="Cambria Math" w:hAnsi="Cambria Math"/>
                  <w:szCs w:val="21"/>
                </w:rPr>
                <m:t xml:space="preserve">Wh</m:t>
              </m:r>
              <m:r>
                <m:rPr/>
                <w:rPr>
                  <w:rFonts w:ascii="Cambria Math" w:hAnsi="Cambria Math"/>
                  <w:szCs w:val="21"/>
                </w:rPr>
                <m:t xml:space="preserve">×</m:t>
              </m:r>
            </m:oMath>
            <w:r>
              <w:rPr>
                <w:bCs/>
                <w:szCs w:val="21"/>
              </w:rPr>
              <w:fldChar w:fldCharType="end"/>
            </w:r>
            <w:r>
              <w:rPr>
                <w:rFonts w:hint="eastAsia"/>
                <w:bCs/>
                <w:szCs w:val="21"/>
              </w:rPr>
              <w:t>0</w:t>
            </w:r>
            <w:r>
              <w:rPr>
                <w:bCs/>
                <w:szCs w:val="21"/>
              </w:rPr>
              <w:t>.5703 t/MW</w:t>
            </w:r>
            <w:r>
              <w:rPr>
                <w:rFonts w:hint="eastAsia"/>
                <w:bCs/>
                <w:szCs w:val="21"/>
              </w:rPr>
              <w:t>h =51.327 t</w:t>
            </w:r>
            <w:r>
              <w:rPr>
                <w:bCs/>
                <w:szCs w:val="21"/>
              </w:rPr>
              <w:t>CO2</w:t>
            </w:r>
            <w:r>
              <w:rPr>
                <w:rFonts w:hint="eastAsia"/>
                <w:bCs/>
                <w:szCs w:val="21"/>
              </w:rPr>
              <w:t>。</w:t>
            </w:r>
          </w:p>
          <w:p w14:paraId="7F9068A1">
            <w:pPr>
              <w:adjustRightInd w:val="0"/>
              <w:snapToGrid w:val="0"/>
              <w:ind w:firstLine="420"/>
              <w:rPr>
                <w:szCs w:val="21"/>
              </w:rPr>
            </w:pPr>
            <w:r>
              <w:rPr>
                <w:rFonts w:hint="eastAsia"/>
                <w:szCs w:val="21"/>
              </w:rPr>
              <w:t>（5）碳排放管理与监测计划</w:t>
            </w:r>
          </w:p>
          <w:p w14:paraId="785564A4">
            <w:pPr>
              <w:adjustRightInd w:val="0"/>
              <w:snapToGrid w:val="0"/>
              <w:ind w:firstLine="420"/>
              <w:rPr>
                <w:bCs/>
                <w:szCs w:val="21"/>
              </w:rPr>
            </w:pPr>
            <w:r>
              <w:rPr>
                <w:rFonts w:hint="eastAsia"/>
                <w:bCs/>
                <w:szCs w:val="21"/>
              </w:rPr>
              <w:t>项目主要通过设备选型，加强设备日常维护，并按班次记录产量、用电量、耗油量等参数的监测计划，作为生产绩效考核指标，严格日常管理，使其保存良好使用状态等管理方式进行减排。</w:t>
            </w:r>
          </w:p>
          <w:p w14:paraId="00D992E4">
            <w:pPr>
              <w:adjustRightInd w:val="0"/>
              <w:snapToGrid w:val="0"/>
              <w:ind w:firstLine="420"/>
              <w:rPr>
                <w:szCs w:val="21"/>
              </w:rPr>
            </w:pPr>
            <w:r>
              <w:rPr>
                <w:rFonts w:hint="eastAsia"/>
                <w:szCs w:val="21"/>
              </w:rPr>
              <w:t>（6）碳排放环境影响评价结论</w:t>
            </w:r>
          </w:p>
          <w:p w14:paraId="2A9A7D8B">
            <w:pPr>
              <w:adjustRightInd w:val="0"/>
              <w:snapToGrid w:val="0"/>
              <w:ind w:firstLine="420"/>
              <w:rPr>
                <w:bCs/>
                <w:szCs w:val="21"/>
              </w:rPr>
            </w:pPr>
            <w:r>
              <w:rPr>
                <w:rFonts w:hint="eastAsia"/>
                <w:bCs/>
                <w:szCs w:val="21"/>
              </w:rPr>
              <w:t>项目建设符合碳排放相关政策要求，在设备选型等方面落实减排理念，并通过日常原料、电力消耗与产能等指标作为绩效考核要求，加强日常管理，逐步降低碳排放水平。同时项目净购入电力占比为100%，清洁能源占比较高。</w:t>
            </w:r>
          </w:p>
          <w:p w14:paraId="25C49FE3">
            <w:pPr>
              <w:adjustRightInd w:val="0"/>
              <w:snapToGrid w:val="0"/>
              <w:ind w:firstLine="420"/>
              <w:rPr>
                <w:bCs/>
                <w:szCs w:val="21"/>
              </w:rPr>
            </w:pPr>
            <w:r>
              <w:rPr>
                <w:rFonts w:hint="eastAsia"/>
                <w:bCs/>
                <w:szCs w:val="21"/>
              </w:rPr>
              <w:t>综合分析，项目建设符合碳排放管理要求。</w:t>
            </w:r>
          </w:p>
          <w:bookmarkEnd w:id="133"/>
          <w:p w14:paraId="2B52A072">
            <w:pPr>
              <w:adjustRightInd w:val="0"/>
              <w:snapToGrid w:val="0"/>
              <w:ind w:firstLine="422"/>
              <w:rPr>
                <w:b/>
                <w:szCs w:val="21"/>
              </w:rPr>
            </w:pPr>
            <w:r>
              <w:rPr>
                <w:rFonts w:hint="eastAsia"/>
                <w:b/>
                <w:szCs w:val="21"/>
              </w:rPr>
              <w:t>8</w:t>
            </w:r>
            <w:r>
              <w:rPr>
                <w:b/>
                <w:szCs w:val="21"/>
              </w:rPr>
              <w:t>、排污口规范化</w:t>
            </w:r>
          </w:p>
          <w:p w14:paraId="384D91A0">
            <w:pPr>
              <w:adjustRightInd w:val="0"/>
              <w:snapToGrid w:val="0"/>
              <w:ind w:firstLine="420"/>
              <w:rPr>
                <w:bCs/>
                <w:szCs w:val="21"/>
              </w:rPr>
            </w:pPr>
            <w:r>
              <w:rPr>
                <w:bCs/>
                <w:szCs w:val="21"/>
              </w:rPr>
              <w:t>根据原国家环保总局下发《关于开展排放口规范化整治工作的通知》（环发[1999]24号）的要求，各废气、</w:t>
            </w:r>
            <w:r>
              <w:rPr>
                <w:rFonts w:hint="eastAsia"/>
                <w:bCs/>
                <w:szCs w:val="21"/>
              </w:rPr>
              <w:t>固废、</w:t>
            </w:r>
            <w:r>
              <w:rPr>
                <w:bCs/>
                <w:szCs w:val="21"/>
              </w:rPr>
              <w:t>噪声等排放口需要进行规范化。</w:t>
            </w:r>
          </w:p>
          <w:p w14:paraId="469468EE">
            <w:pPr>
              <w:adjustRightInd w:val="0"/>
              <w:snapToGrid w:val="0"/>
              <w:ind w:firstLine="420"/>
              <w:rPr>
                <w:bCs/>
                <w:szCs w:val="21"/>
              </w:rPr>
            </w:pPr>
            <w:r>
              <w:rPr>
                <w:bCs/>
                <w:szCs w:val="21"/>
              </w:rPr>
              <w:t>（1）污染源排放口要遵循便于采集样品、便于监测计量、便于日常监督管理的原则，严格按排放口规范化整治要求进行。</w:t>
            </w:r>
          </w:p>
          <w:p w14:paraId="34A1C732">
            <w:pPr>
              <w:adjustRightInd w:val="0"/>
              <w:snapToGrid w:val="0"/>
              <w:ind w:firstLine="420"/>
              <w:rPr>
                <w:bCs/>
                <w:szCs w:val="21"/>
              </w:rPr>
            </w:pPr>
            <w:r>
              <w:rPr>
                <w:bCs/>
                <w:szCs w:val="21"/>
              </w:rPr>
              <w:t>（2）污染源排放口必须按照国家颁布的有关污染物强制性排放标准的要求，监测点位处设置监测平台，设置排放口标志牌。</w:t>
            </w:r>
          </w:p>
          <w:p w14:paraId="6DF0FB47">
            <w:pPr>
              <w:adjustRightInd w:val="0"/>
              <w:snapToGrid w:val="0"/>
              <w:ind w:firstLine="420"/>
              <w:rPr>
                <w:bCs/>
                <w:szCs w:val="21"/>
              </w:rPr>
            </w:pPr>
            <w:r>
              <w:rPr>
                <w:bCs/>
                <w:szCs w:val="21"/>
              </w:rPr>
              <w:t>（3）建立规范化排污口档案，内容包括排污单位名称，排污口性质及编号，排污口的地理位置（GPS定位经纬度），排污口所排放的主要污染物种类、数量、浓度及排放去向，</w:t>
            </w:r>
            <w:r>
              <w:rPr>
                <w:rFonts w:hint="eastAsia"/>
                <w:bCs/>
                <w:szCs w:val="21"/>
              </w:rPr>
              <w:t>立</w:t>
            </w:r>
            <w:r>
              <w:rPr>
                <w:bCs/>
                <w:szCs w:val="21"/>
              </w:rPr>
              <w:t>标情况，设施运行及日常现场监督检查记录等有关资料和记录，同时上报</w:t>
            </w:r>
            <w:r>
              <w:rPr>
                <w:rFonts w:hint="eastAsia"/>
                <w:bCs/>
                <w:szCs w:val="21"/>
              </w:rPr>
              <w:t>抚宁</w:t>
            </w:r>
            <w:r>
              <w:rPr>
                <w:bCs/>
                <w:szCs w:val="21"/>
              </w:rPr>
              <w:t>区分局建档以便统一管理。</w:t>
            </w:r>
          </w:p>
          <w:p w14:paraId="675DE124">
            <w:pPr>
              <w:adjustRightInd w:val="0"/>
              <w:snapToGrid w:val="0"/>
              <w:ind w:firstLine="420"/>
              <w:rPr>
                <w:bCs/>
                <w:szCs w:val="21"/>
              </w:rPr>
            </w:pPr>
            <w:r>
              <w:rPr>
                <w:rFonts w:hint="eastAsia"/>
                <w:bCs/>
                <w:szCs w:val="21"/>
              </w:rPr>
              <w:t>（4）</w:t>
            </w:r>
            <w:r>
              <w:rPr>
                <w:bCs/>
                <w:szCs w:val="21"/>
              </w:rPr>
              <w:t>各排放口设置标志牌如下：</w:t>
            </w:r>
          </w:p>
          <w:p w14:paraId="3D441A23">
            <w:pPr>
              <w:spacing w:line="240" w:lineRule="auto"/>
              <w:ind w:firstLine="422"/>
              <w:jc w:val="center"/>
              <w:rPr>
                <w:b/>
                <w:szCs w:val="21"/>
              </w:rPr>
            </w:pPr>
            <w:r>
              <w:rPr>
                <w:b/>
                <w:szCs w:val="21"/>
              </w:rPr>
              <w:t>表4-</w:t>
            </w:r>
            <w:r>
              <w:rPr>
                <w:rFonts w:hint="eastAsia"/>
                <w:b/>
                <w:szCs w:val="21"/>
              </w:rPr>
              <w:t>18</w:t>
            </w:r>
            <w:r>
              <w:rPr>
                <w:b/>
                <w:szCs w:val="21"/>
              </w:rPr>
              <w:t>排放口标志牌示例</w:t>
            </w:r>
          </w:p>
          <w:tbl>
            <w:tblPr>
              <w:tblStyle w:val="2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01"/>
              <w:gridCol w:w="2802"/>
              <w:gridCol w:w="2800"/>
            </w:tblGrid>
            <w:tr w14:paraId="73034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1667" w:type="pct"/>
                  <w:vAlign w:val="center"/>
                </w:tcPr>
                <w:p w14:paraId="540B070F">
                  <w:pPr>
                    <w:adjustRightInd w:val="0"/>
                    <w:snapToGrid w:val="0"/>
                    <w:spacing w:line="240" w:lineRule="auto"/>
                    <w:ind w:firstLine="0" w:firstLineChars="0"/>
                    <w:jc w:val="center"/>
                    <w:rPr>
                      <w:bCs/>
                      <w:szCs w:val="21"/>
                    </w:rPr>
                  </w:pPr>
                  <w:r>
                    <w:rPr>
                      <w:rFonts w:hint="eastAsia"/>
                      <w:bCs/>
                      <w:szCs w:val="21"/>
                    </w:rPr>
                    <w:t>废气排放口</w:t>
                  </w:r>
                </w:p>
              </w:tc>
              <w:tc>
                <w:tcPr>
                  <w:tcW w:w="1667" w:type="pct"/>
                  <w:vAlign w:val="center"/>
                </w:tcPr>
                <w:p w14:paraId="7410372B">
                  <w:pPr>
                    <w:adjustRightInd w:val="0"/>
                    <w:snapToGrid w:val="0"/>
                    <w:spacing w:line="240" w:lineRule="auto"/>
                    <w:ind w:firstLine="0" w:firstLineChars="0"/>
                    <w:jc w:val="center"/>
                    <w:rPr>
                      <w:bCs/>
                      <w:szCs w:val="21"/>
                    </w:rPr>
                  </w:pPr>
                  <w:r>
                    <w:rPr>
                      <w:bCs/>
                      <w:szCs w:val="21"/>
                    </w:rPr>
                    <w:t>噪声源</w:t>
                  </w:r>
                </w:p>
              </w:tc>
              <w:tc>
                <w:tcPr>
                  <w:tcW w:w="1666" w:type="pct"/>
                  <w:vAlign w:val="center"/>
                </w:tcPr>
                <w:p w14:paraId="778F3BCB">
                  <w:pPr>
                    <w:adjustRightInd w:val="0"/>
                    <w:snapToGrid w:val="0"/>
                    <w:spacing w:line="240" w:lineRule="auto"/>
                    <w:ind w:firstLine="0" w:firstLineChars="0"/>
                    <w:jc w:val="center"/>
                    <w:rPr>
                      <w:bCs/>
                      <w:szCs w:val="21"/>
                    </w:rPr>
                  </w:pPr>
                  <w:r>
                    <w:rPr>
                      <w:bCs/>
                      <w:szCs w:val="21"/>
                    </w:rPr>
                    <w:t>固废堆放场所</w:t>
                  </w:r>
                </w:p>
              </w:tc>
            </w:tr>
            <w:tr w14:paraId="2291C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7" w:type="pct"/>
                  <w:vAlign w:val="center"/>
                </w:tcPr>
                <w:p w14:paraId="2F122D97">
                  <w:pPr>
                    <w:adjustRightInd w:val="0"/>
                    <w:snapToGrid w:val="0"/>
                    <w:spacing w:line="240" w:lineRule="auto"/>
                    <w:ind w:firstLine="0" w:firstLineChars="0"/>
                    <w:jc w:val="center"/>
                    <w:rPr>
                      <w:bCs/>
                      <w:szCs w:val="21"/>
                    </w:rPr>
                  </w:pPr>
                  <w:r>
                    <w:rPr>
                      <w:bCs/>
                      <w:szCs w:val="21"/>
                    </w:rPr>
                    <w:drawing>
                      <wp:inline distT="0" distB="0" distL="0" distR="0">
                        <wp:extent cx="1019175" cy="1019175"/>
                        <wp:effectExtent l="19050" t="0" r="9525" b="0"/>
                        <wp:docPr id="70" name="图片 7">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
                                <pic:cNvPicPr>
                                  <a:picLocks noChangeAspect="1" noChangeArrowheads="1"/>
                                </pic:cNvPicPr>
                              </pic:nvPicPr>
                              <pic:blipFill>
                                <a:blip r:embed="rId21"/>
                                <a:srcRect/>
                                <a:stretch>
                                  <a:fillRect/>
                                </a:stretch>
                              </pic:blipFill>
                              <pic:spPr>
                                <a:xfrm>
                                  <a:off x="0" y="0"/>
                                  <a:ext cx="1019175" cy="1019175"/>
                                </a:xfrm>
                                <a:prstGeom prst="rect">
                                  <a:avLst/>
                                </a:prstGeom>
                                <a:noFill/>
                                <a:ln w="9525">
                                  <a:noFill/>
                                  <a:miter lim="800000"/>
                                  <a:headEnd/>
                                  <a:tailEnd/>
                                </a:ln>
                              </pic:spPr>
                            </pic:pic>
                          </a:graphicData>
                        </a:graphic>
                      </wp:inline>
                    </w:drawing>
                  </w:r>
                </w:p>
              </w:tc>
              <w:tc>
                <w:tcPr>
                  <w:tcW w:w="1667" w:type="pct"/>
                  <w:vAlign w:val="center"/>
                </w:tcPr>
                <w:p w14:paraId="0FCDC13F">
                  <w:pPr>
                    <w:adjustRightInd w:val="0"/>
                    <w:snapToGrid w:val="0"/>
                    <w:spacing w:line="240" w:lineRule="auto"/>
                    <w:ind w:firstLine="0" w:firstLineChars="0"/>
                    <w:jc w:val="center"/>
                    <w:rPr>
                      <w:bCs/>
                      <w:szCs w:val="21"/>
                    </w:rPr>
                  </w:pPr>
                  <w:r>
                    <w:rPr>
                      <w:bCs/>
                      <w:szCs w:val="21"/>
                    </w:rPr>
                    <w:drawing>
                      <wp:inline distT="0" distB="0" distL="0" distR="0">
                        <wp:extent cx="1000125" cy="1000125"/>
                        <wp:effectExtent l="19050" t="0" r="9525" b="0"/>
                        <wp:docPr id="71" name="图片 6">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6"/>
                                <pic:cNvPicPr>
                                  <a:picLocks noChangeAspect="1" noChangeArrowheads="1"/>
                                </pic:cNvPicPr>
                              </pic:nvPicPr>
                              <pic:blipFill>
                                <a:blip r:embed="rId23"/>
                                <a:srcRect/>
                                <a:stretch>
                                  <a:fillRect/>
                                </a:stretch>
                              </pic:blipFill>
                              <pic:spPr>
                                <a:xfrm>
                                  <a:off x="0" y="0"/>
                                  <a:ext cx="1000125" cy="1000125"/>
                                </a:xfrm>
                                <a:prstGeom prst="rect">
                                  <a:avLst/>
                                </a:prstGeom>
                                <a:noFill/>
                                <a:ln w="9525">
                                  <a:noFill/>
                                  <a:miter lim="800000"/>
                                  <a:headEnd/>
                                  <a:tailEnd/>
                                </a:ln>
                              </pic:spPr>
                            </pic:pic>
                          </a:graphicData>
                        </a:graphic>
                      </wp:inline>
                    </w:drawing>
                  </w:r>
                </w:p>
              </w:tc>
              <w:tc>
                <w:tcPr>
                  <w:tcW w:w="1666" w:type="pct"/>
                  <w:vAlign w:val="center"/>
                </w:tcPr>
                <w:p w14:paraId="43A7CDDB">
                  <w:pPr>
                    <w:adjustRightInd w:val="0"/>
                    <w:snapToGrid w:val="0"/>
                    <w:spacing w:line="240" w:lineRule="auto"/>
                    <w:ind w:firstLine="0" w:firstLineChars="0"/>
                    <w:jc w:val="center"/>
                    <w:rPr>
                      <w:bCs/>
                      <w:szCs w:val="21"/>
                    </w:rPr>
                  </w:pPr>
                  <w:r>
                    <w:rPr>
                      <w:bCs/>
                      <w:szCs w:val="21"/>
                    </w:rPr>
                    <w:drawing>
                      <wp:inline distT="0" distB="0" distL="0" distR="0">
                        <wp:extent cx="1009650" cy="1009650"/>
                        <wp:effectExtent l="19050" t="0" r="0" b="0"/>
                        <wp:docPr id="72" name="图片 4">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4"/>
                                <pic:cNvPicPr>
                                  <a:picLocks noChangeAspect="1" noChangeArrowheads="1"/>
                                </pic:cNvPicPr>
                              </pic:nvPicPr>
                              <pic:blipFill>
                                <a:blip r:embed="rId25"/>
                                <a:srcRect/>
                                <a:stretch>
                                  <a:fillRect/>
                                </a:stretch>
                              </pic:blipFill>
                              <pic:spPr>
                                <a:xfrm>
                                  <a:off x="0" y="0"/>
                                  <a:ext cx="1009650" cy="1009650"/>
                                </a:xfrm>
                                <a:prstGeom prst="rect">
                                  <a:avLst/>
                                </a:prstGeom>
                                <a:noFill/>
                                <a:ln w="9525">
                                  <a:noFill/>
                                  <a:miter lim="800000"/>
                                  <a:headEnd/>
                                  <a:tailEnd/>
                                </a:ln>
                              </pic:spPr>
                            </pic:pic>
                          </a:graphicData>
                        </a:graphic>
                      </wp:inline>
                    </w:drawing>
                  </w:r>
                </w:p>
              </w:tc>
            </w:tr>
          </w:tbl>
          <w:p w14:paraId="1060FE67">
            <w:pPr>
              <w:adjustRightInd w:val="0"/>
              <w:snapToGrid w:val="0"/>
              <w:spacing w:line="400" w:lineRule="exact"/>
              <w:ind w:firstLine="422"/>
              <w:rPr>
                <w:b/>
                <w:szCs w:val="21"/>
              </w:rPr>
            </w:pPr>
            <w:r>
              <w:rPr>
                <w:rFonts w:hint="eastAsia"/>
                <w:b/>
                <w:szCs w:val="21"/>
              </w:rPr>
              <w:t>9</w:t>
            </w:r>
            <w:r>
              <w:rPr>
                <w:b/>
                <w:szCs w:val="21"/>
              </w:rPr>
              <w:t>、</w:t>
            </w:r>
            <w:r>
              <w:rPr>
                <w:rFonts w:hint="eastAsia"/>
                <w:b/>
                <w:szCs w:val="21"/>
              </w:rPr>
              <w:t>与排污许可的衔接</w:t>
            </w:r>
          </w:p>
          <w:p w14:paraId="40E094DB">
            <w:pPr>
              <w:adjustRightInd w:val="0"/>
              <w:snapToGrid w:val="0"/>
              <w:spacing w:line="400" w:lineRule="exact"/>
              <w:ind w:firstLine="420"/>
              <w:rPr>
                <w:bCs/>
                <w:szCs w:val="21"/>
              </w:rPr>
            </w:pPr>
            <w:r>
              <w:rPr>
                <w:rFonts w:hint="eastAsia"/>
                <w:bCs/>
                <w:szCs w:val="21"/>
              </w:rPr>
              <w:t>（1）排污许可管理要求：企业应在实际排污前，根据排污许可要求履行相关手续，登记基本信息、污染物排放去向、执行的污染物排放标准以及采取的污染防治措施等信息。</w:t>
            </w:r>
          </w:p>
          <w:p w14:paraId="7FD50EBF">
            <w:pPr>
              <w:adjustRightInd w:val="0"/>
              <w:snapToGrid w:val="0"/>
              <w:spacing w:line="400" w:lineRule="exact"/>
              <w:ind w:firstLine="420"/>
              <w:rPr>
                <w:bCs/>
                <w:szCs w:val="21"/>
              </w:rPr>
            </w:pPr>
            <w:r>
              <w:rPr>
                <w:rFonts w:hint="eastAsia"/>
                <w:bCs/>
                <w:szCs w:val="21"/>
              </w:rPr>
              <w:t>（2）竣工环保验收方面要求</w:t>
            </w:r>
          </w:p>
          <w:p w14:paraId="5995B056">
            <w:pPr>
              <w:adjustRightInd w:val="0"/>
              <w:snapToGrid w:val="0"/>
              <w:spacing w:line="400" w:lineRule="exact"/>
              <w:ind w:firstLine="420"/>
              <w:rPr>
                <w:bCs/>
                <w:szCs w:val="21"/>
              </w:rPr>
            </w:pPr>
            <w:r>
              <w:rPr>
                <w:rFonts w:hint="eastAsia"/>
                <w:bCs/>
                <w:szCs w:val="21"/>
              </w:rPr>
              <w:t>为便于环保主管部门对工程项目进行竣工验收，项目应按照《建设项目竣工环境保护验收暂行办法》（国环规环评【2017】4号）、《建设项目竣工环境保护验收技术指南污染影响类》（生态环境部公告2018年第9号）的相关要求，以及“环境保护措施监督检查清单”的相关内容进行环境保护验收。</w:t>
            </w:r>
          </w:p>
          <w:p w14:paraId="4E822770">
            <w:pPr>
              <w:adjustRightInd w:val="0"/>
              <w:snapToGrid w:val="0"/>
              <w:spacing w:line="400" w:lineRule="exact"/>
              <w:ind w:firstLine="422"/>
              <w:rPr>
                <w:bCs/>
                <w:szCs w:val="21"/>
              </w:rPr>
            </w:pPr>
            <w:r>
              <w:rPr>
                <w:rFonts w:hint="eastAsia"/>
                <w:b/>
                <w:bCs/>
                <w:szCs w:val="21"/>
              </w:rPr>
              <w:t>10、改</w:t>
            </w:r>
            <w:r>
              <w:rPr>
                <w:rFonts w:hint="eastAsia"/>
                <w:b/>
              </w:rPr>
              <w:t>扩建</w:t>
            </w:r>
            <w:r>
              <w:rPr>
                <w:rFonts w:hint="eastAsia"/>
                <w:b/>
                <w:bCs/>
                <w:szCs w:val="21"/>
              </w:rPr>
              <w:t>项目建设前后企业污染物排放量三本账计算</w:t>
            </w:r>
          </w:p>
          <w:p w14:paraId="6CD6F519">
            <w:pPr>
              <w:adjustRightInd w:val="0"/>
              <w:snapToGrid w:val="0"/>
              <w:spacing w:beforeLines="50"/>
              <w:ind w:firstLine="420"/>
              <w:rPr>
                <w:bCs/>
                <w:szCs w:val="21"/>
              </w:rPr>
            </w:pPr>
            <w:r>
              <w:rPr>
                <w:rFonts w:hint="eastAsia"/>
              </w:rPr>
              <w:t>改扩建前后企业污染物排放量三本账情况见下表。</w:t>
            </w:r>
          </w:p>
          <w:p w14:paraId="69707E97">
            <w:pPr>
              <w:pStyle w:val="75"/>
              <w:widowControl w:val="0"/>
              <w:numPr>
                <w:ilvl w:val="0"/>
                <w:numId w:val="0"/>
                <w:ins w:id="2" w:author="Unknown" w:date=""/>
              </w:numPr>
              <w:tabs>
                <w:tab w:val="clear" w:pos="0"/>
              </w:tabs>
              <w:rPr>
                <w:snapToGrid w:val="0"/>
                <w:kern w:val="2"/>
              </w:rPr>
            </w:pPr>
            <w:r>
              <w:rPr>
                <w:rFonts w:hAnsi="宋体"/>
                <w:snapToGrid w:val="0"/>
              </w:rPr>
              <w:t>表</w:t>
            </w:r>
            <w:r>
              <w:rPr>
                <w:rFonts w:hint="eastAsia" w:hAnsi="宋体"/>
                <w:snapToGrid w:val="0"/>
              </w:rPr>
              <w:t>4</w:t>
            </w:r>
            <w:r>
              <w:rPr>
                <w:rFonts w:hAnsi="宋体"/>
                <w:snapToGrid w:val="0"/>
              </w:rPr>
              <w:t>-</w:t>
            </w:r>
            <w:r>
              <w:rPr>
                <w:rFonts w:hint="eastAsia" w:hAnsi="宋体"/>
                <w:snapToGrid w:val="0"/>
              </w:rPr>
              <w:t>19改</w:t>
            </w:r>
            <w:r>
              <w:rPr>
                <w:rFonts w:hint="eastAsia"/>
              </w:rPr>
              <w:t>扩建</w:t>
            </w:r>
            <w:r>
              <w:rPr>
                <w:rFonts w:hAnsi="宋体"/>
                <w:snapToGrid w:val="0"/>
              </w:rPr>
              <w:t>前后</w:t>
            </w:r>
            <w:r>
              <w:rPr>
                <w:rFonts w:hint="eastAsia" w:hAnsi="宋体"/>
                <w:snapToGrid w:val="0"/>
              </w:rPr>
              <w:t>企业</w:t>
            </w:r>
            <w:r>
              <w:rPr>
                <w:rFonts w:hAnsi="宋体"/>
                <w:snapToGrid w:val="0"/>
              </w:rPr>
              <w:t>污染物排放量</w:t>
            </w:r>
            <w:r>
              <w:rPr>
                <w:rFonts w:hint="eastAsia" w:hAnsi="宋体"/>
                <w:snapToGrid w:val="0"/>
              </w:rPr>
              <w:t>（三本账）</w:t>
            </w:r>
            <w:r>
              <w:rPr>
                <w:rFonts w:hAnsi="宋体"/>
                <w:snapToGrid w:val="0"/>
              </w:rPr>
              <w:t>情况  单位：</w:t>
            </w:r>
            <w:r>
              <w:rPr>
                <w:snapToGrid w:val="0"/>
              </w:rPr>
              <w:t>t/a</w:t>
            </w:r>
          </w:p>
          <w:tbl>
            <w:tblPr>
              <w:tblStyle w:val="25"/>
              <w:tblW w:w="4906"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90"/>
              <w:gridCol w:w="701"/>
              <w:gridCol w:w="872"/>
              <w:gridCol w:w="1723"/>
              <w:gridCol w:w="960"/>
              <w:gridCol w:w="1135"/>
              <w:gridCol w:w="1482"/>
              <w:gridCol w:w="782"/>
            </w:tblGrid>
            <w:tr w14:paraId="7EB892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9" w:hRule="atLeast"/>
                <w:jc w:val="center"/>
              </w:trPr>
              <w:tc>
                <w:tcPr>
                  <w:tcW w:w="783" w:type="pct"/>
                  <w:gridSpan w:val="2"/>
                  <w:vAlign w:val="center"/>
                </w:tcPr>
                <w:p w14:paraId="390427B8">
                  <w:pPr>
                    <w:pStyle w:val="40"/>
                  </w:pPr>
                  <w:r>
                    <w:rPr>
                      <w:rFonts w:hint="eastAsia"/>
                    </w:rPr>
                    <w:t>类别</w:t>
                  </w:r>
                </w:p>
              </w:tc>
              <w:tc>
                <w:tcPr>
                  <w:tcW w:w="529" w:type="pct"/>
                  <w:shd w:val="clear" w:color="auto" w:fill="auto"/>
                  <w:noWrap/>
                  <w:tcMar>
                    <w:left w:w="0" w:type="dxa"/>
                    <w:right w:w="0" w:type="dxa"/>
                  </w:tcMar>
                  <w:vAlign w:val="center"/>
                </w:tcPr>
                <w:p w14:paraId="7BF886A0">
                  <w:pPr>
                    <w:pStyle w:val="40"/>
                  </w:pPr>
                  <w:r>
                    <w:rPr>
                      <w:rFonts w:hint="eastAsia"/>
                    </w:rPr>
                    <w:t>项目</w:t>
                  </w:r>
                </w:p>
              </w:tc>
              <w:tc>
                <w:tcPr>
                  <w:tcW w:w="1045" w:type="pct"/>
                  <w:shd w:val="clear" w:color="auto" w:fill="auto"/>
                  <w:noWrap/>
                  <w:tcMar>
                    <w:left w:w="0" w:type="dxa"/>
                    <w:right w:w="0" w:type="dxa"/>
                  </w:tcMar>
                  <w:vAlign w:val="center"/>
                </w:tcPr>
                <w:p w14:paraId="660DCA90">
                  <w:pPr>
                    <w:pStyle w:val="40"/>
                  </w:pPr>
                  <w:r>
                    <w:rPr>
                      <w:rFonts w:hint="eastAsia"/>
                    </w:rPr>
                    <w:t>现有工程排放量</w:t>
                  </w:r>
                </w:p>
              </w:tc>
              <w:tc>
                <w:tcPr>
                  <w:tcW w:w="582" w:type="pct"/>
                  <w:shd w:val="clear" w:color="auto" w:fill="auto"/>
                  <w:noWrap/>
                  <w:tcMar>
                    <w:left w:w="0" w:type="dxa"/>
                    <w:right w:w="0" w:type="dxa"/>
                  </w:tcMar>
                  <w:vAlign w:val="center"/>
                </w:tcPr>
                <w:p w14:paraId="0967BC9C">
                  <w:pPr>
                    <w:pStyle w:val="40"/>
                  </w:pPr>
                  <w:r>
                    <w:rPr>
                      <w:rFonts w:hint="eastAsia"/>
                    </w:rPr>
                    <w:t>以新带老削减量</w:t>
                  </w:r>
                </w:p>
              </w:tc>
              <w:tc>
                <w:tcPr>
                  <w:tcW w:w="688" w:type="pct"/>
                  <w:tcMar>
                    <w:left w:w="0" w:type="dxa"/>
                    <w:right w:w="0" w:type="dxa"/>
                  </w:tcMar>
                  <w:vAlign w:val="center"/>
                </w:tcPr>
                <w:p w14:paraId="18930D18">
                  <w:pPr>
                    <w:pStyle w:val="40"/>
                  </w:pPr>
                  <w:r>
                    <w:rPr>
                      <w:rFonts w:hint="eastAsia"/>
                    </w:rPr>
                    <w:t>改扩建项目排放量</w:t>
                  </w:r>
                </w:p>
              </w:tc>
              <w:tc>
                <w:tcPr>
                  <w:tcW w:w="899" w:type="pct"/>
                  <w:shd w:val="clear" w:color="auto" w:fill="auto"/>
                  <w:noWrap/>
                  <w:tcMar>
                    <w:left w:w="0" w:type="dxa"/>
                    <w:right w:w="0" w:type="dxa"/>
                  </w:tcMar>
                  <w:vAlign w:val="center"/>
                </w:tcPr>
                <w:p w14:paraId="47037A40">
                  <w:pPr>
                    <w:pStyle w:val="40"/>
                  </w:pPr>
                  <w:r>
                    <w:rPr>
                      <w:rFonts w:hint="eastAsia"/>
                    </w:rPr>
                    <w:t>扩建后总体工程排放量</w:t>
                  </w:r>
                </w:p>
              </w:tc>
              <w:tc>
                <w:tcPr>
                  <w:tcW w:w="474" w:type="pct"/>
                  <w:shd w:val="clear" w:color="auto" w:fill="auto"/>
                  <w:noWrap/>
                  <w:tcMar>
                    <w:left w:w="0" w:type="dxa"/>
                    <w:right w:w="0" w:type="dxa"/>
                  </w:tcMar>
                  <w:vAlign w:val="center"/>
                </w:tcPr>
                <w:p w14:paraId="23818972">
                  <w:pPr>
                    <w:pStyle w:val="40"/>
                  </w:pPr>
                  <w:r>
                    <w:rPr>
                      <w:rFonts w:hint="eastAsia"/>
                    </w:rPr>
                    <w:t>排放增减量</w:t>
                  </w:r>
                </w:p>
              </w:tc>
            </w:tr>
            <w:tr w14:paraId="7718B0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restart"/>
                  <w:vAlign w:val="center"/>
                </w:tcPr>
                <w:p w14:paraId="2E0F2657">
                  <w:pPr>
                    <w:pStyle w:val="40"/>
                  </w:pPr>
                  <w:bookmarkStart w:id="134" w:name="_Hlk173488307"/>
                  <w:bookmarkStart w:id="135" w:name="_Hlk173488616"/>
                  <w:r>
                    <w:rPr>
                      <w:rFonts w:hint="eastAsia"/>
                    </w:rPr>
                    <w:t>废气</w:t>
                  </w:r>
                </w:p>
              </w:tc>
              <w:tc>
                <w:tcPr>
                  <w:tcW w:w="529" w:type="pct"/>
                  <w:shd w:val="clear" w:color="auto" w:fill="auto"/>
                  <w:noWrap/>
                  <w:tcMar>
                    <w:left w:w="0" w:type="dxa"/>
                    <w:right w:w="0" w:type="dxa"/>
                  </w:tcMar>
                  <w:vAlign w:val="center"/>
                </w:tcPr>
                <w:p w14:paraId="2C7FEDE3">
                  <w:pPr>
                    <w:pStyle w:val="40"/>
                  </w:pPr>
                  <w:r>
                    <w:rPr>
                      <w:rFonts w:hint="eastAsia"/>
                    </w:rPr>
                    <w:t>颗粒物</w:t>
                  </w:r>
                </w:p>
              </w:tc>
              <w:tc>
                <w:tcPr>
                  <w:tcW w:w="1045" w:type="pct"/>
                  <w:shd w:val="clear" w:color="auto" w:fill="auto"/>
                  <w:noWrap/>
                  <w:tcMar>
                    <w:left w:w="0" w:type="dxa"/>
                    <w:right w:w="0" w:type="dxa"/>
                  </w:tcMar>
                  <w:vAlign w:val="center"/>
                </w:tcPr>
                <w:p w14:paraId="39F3D69C">
                  <w:pPr>
                    <w:spacing w:line="240" w:lineRule="auto"/>
                    <w:ind w:firstLine="0" w:firstLineChars="0"/>
                    <w:jc w:val="center"/>
                  </w:pPr>
                  <w:r>
                    <w:t>0.013</w:t>
                  </w:r>
                </w:p>
              </w:tc>
              <w:tc>
                <w:tcPr>
                  <w:tcW w:w="582" w:type="pct"/>
                  <w:shd w:val="clear" w:color="auto" w:fill="auto"/>
                  <w:noWrap/>
                  <w:tcMar>
                    <w:left w:w="0" w:type="dxa"/>
                    <w:right w:w="0" w:type="dxa"/>
                  </w:tcMar>
                  <w:vAlign w:val="center"/>
                </w:tcPr>
                <w:p w14:paraId="23F2B5A3">
                  <w:pPr>
                    <w:spacing w:line="240" w:lineRule="auto"/>
                    <w:ind w:firstLine="0" w:firstLineChars="0"/>
                    <w:jc w:val="center"/>
                  </w:pPr>
                  <w:r>
                    <w:t>0.013</w:t>
                  </w:r>
                </w:p>
              </w:tc>
              <w:tc>
                <w:tcPr>
                  <w:tcW w:w="688" w:type="pct"/>
                  <w:tcMar>
                    <w:left w:w="0" w:type="dxa"/>
                    <w:right w:w="0" w:type="dxa"/>
                  </w:tcMar>
                  <w:vAlign w:val="center"/>
                </w:tcPr>
                <w:p w14:paraId="282AF14F">
                  <w:pPr>
                    <w:spacing w:line="240" w:lineRule="auto"/>
                    <w:ind w:firstLine="0" w:firstLineChars="0"/>
                    <w:jc w:val="center"/>
                  </w:pPr>
                  <w:r>
                    <w:t>0.0</w:t>
                  </w:r>
                  <w:r>
                    <w:rPr>
                      <w:rFonts w:hint="eastAsia"/>
                    </w:rPr>
                    <w:t>9</w:t>
                  </w:r>
                </w:p>
              </w:tc>
              <w:tc>
                <w:tcPr>
                  <w:tcW w:w="899" w:type="pct"/>
                  <w:shd w:val="clear" w:color="auto" w:fill="auto"/>
                  <w:noWrap/>
                  <w:tcMar>
                    <w:left w:w="0" w:type="dxa"/>
                    <w:right w:w="0" w:type="dxa"/>
                  </w:tcMar>
                  <w:vAlign w:val="center"/>
                </w:tcPr>
                <w:p w14:paraId="620B5D56">
                  <w:pPr>
                    <w:spacing w:line="240" w:lineRule="auto"/>
                    <w:ind w:firstLine="0" w:firstLineChars="0"/>
                    <w:jc w:val="center"/>
                  </w:pPr>
                  <w:r>
                    <w:t>0.0</w:t>
                  </w:r>
                  <w:r>
                    <w:rPr>
                      <w:rFonts w:hint="eastAsia"/>
                    </w:rPr>
                    <w:t>9</w:t>
                  </w:r>
                </w:p>
              </w:tc>
              <w:tc>
                <w:tcPr>
                  <w:tcW w:w="474" w:type="pct"/>
                  <w:shd w:val="clear" w:color="auto" w:fill="auto"/>
                  <w:noWrap/>
                  <w:tcMar>
                    <w:left w:w="0" w:type="dxa"/>
                    <w:right w:w="0" w:type="dxa"/>
                  </w:tcMar>
                  <w:vAlign w:val="center"/>
                </w:tcPr>
                <w:p w14:paraId="723ACFEE">
                  <w:pPr>
                    <w:spacing w:line="240" w:lineRule="auto"/>
                    <w:ind w:firstLine="0" w:firstLineChars="0"/>
                    <w:jc w:val="center"/>
                  </w:pPr>
                  <w:r>
                    <w:t>+0.0</w:t>
                  </w:r>
                  <w:r>
                    <w:rPr>
                      <w:rFonts w:hint="eastAsia"/>
                    </w:rPr>
                    <w:t>7</w:t>
                  </w:r>
                  <w:r>
                    <w:t>7</w:t>
                  </w:r>
                </w:p>
              </w:tc>
            </w:tr>
            <w:tr w14:paraId="467973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3512AC3F">
                  <w:pPr>
                    <w:pStyle w:val="40"/>
                  </w:pPr>
                </w:p>
              </w:tc>
              <w:tc>
                <w:tcPr>
                  <w:tcW w:w="529" w:type="pct"/>
                  <w:shd w:val="clear" w:color="auto" w:fill="auto"/>
                  <w:noWrap/>
                  <w:tcMar>
                    <w:left w:w="0" w:type="dxa"/>
                    <w:right w:w="0" w:type="dxa"/>
                  </w:tcMar>
                  <w:vAlign w:val="center"/>
                </w:tcPr>
                <w:p w14:paraId="5A2B7B75">
                  <w:pPr>
                    <w:pStyle w:val="40"/>
                  </w:pPr>
                  <w:r>
                    <w:rPr>
                      <w:rFonts w:hint="eastAsia"/>
                    </w:rPr>
                    <w:t>SO</w:t>
                  </w:r>
                  <w:r>
                    <w:rPr>
                      <w:rFonts w:hint="eastAsia"/>
                      <w:vertAlign w:val="subscript"/>
                    </w:rPr>
                    <w:t>2</w:t>
                  </w:r>
                </w:p>
              </w:tc>
              <w:tc>
                <w:tcPr>
                  <w:tcW w:w="1045" w:type="pct"/>
                  <w:shd w:val="clear" w:color="auto" w:fill="auto"/>
                  <w:noWrap/>
                  <w:tcMar>
                    <w:left w:w="0" w:type="dxa"/>
                    <w:right w:w="0" w:type="dxa"/>
                  </w:tcMar>
                  <w:vAlign w:val="center"/>
                </w:tcPr>
                <w:p w14:paraId="78F669FA">
                  <w:pPr>
                    <w:spacing w:line="240" w:lineRule="auto"/>
                    <w:ind w:firstLine="0" w:firstLineChars="0"/>
                    <w:jc w:val="center"/>
                  </w:pPr>
                  <w:r>
                    <w:t>0.109</w:t>
                  </w:r>
                </w:p>
              </w:tc>
              <w:tc>
                <w:tcPr>
                  <w:tcW w:w="582" w:type="pct"/>
                  <w:shd w:val="clear" w:color="auto" w:fill="auto"/>
                  <w:noWrap/>
                  <w:tcMar>
                    <w:left w:w="0" w:type="dxa"/>
                    <w:right w:w="0" w:type="dxa"/>
                  </w:tcMar>
                  <w:vAlign w:val="center"/>
                </w:tcPr>
                <w:p w14:paraId="34D317E7">
                  <w:pPr>
                    <w:spacing w:line="240" w:lineRule="auto"/>
                    <w:ind w:firstLine="0" w:firstLineChars="0"/>
                    <w:jc w:val="center"/>
                  </w:pPr>
                  <w:r>
                    <w:t>0.109</w:t>
                  </w:r>
                </w:p>
              </w:tc>
              <w:tc>
                <w:tcPr>
                  <w:tcW w:w="688" w:type="pct"/>
                  <w:tcMar>
                    <w:left w:w="0" w:type="dxa"/>
                    <w:right w:w="0" w:type="dxa"/>
                  </w:tcMar>
                  <w:vAlign w:val="center"/>
                </w:tcPr>
                <w:p w14:paraId="70F79CDD">
                  <w:pPr>
                    <w:spacing w:line="240" w:lineRule="auto"/>
                    <w:ind w:firstLine="0" w:firstLineChars="0"/>
                    <w:jc w:val="center"/>
                  </w:pPr>
                  <w:r>
                    <w:t>0.12</w:t>
                  </w:r>
                </w:p>
              </w:tc>
              <w:tc>
                <w:tcPr>
                  <w:tcW w:w="899" w:type="pct"/>
                  <w:shd w:val="clear" w:color="auto" w:fill="auto"/>
                  <w:noWrap/>
                  <w:tcMar>
                    <w:left w:w="0" w:type="dxa"/>
                    <w:right w:w="0" w:type="dxa"/>
                  </w:tcMar>
                  <w:vAlign w:val="center"/>
                </w:tcPr>
                <w:p w14:paraId="496A2EB9">
                  <w:pPr>
                    <w:spacing w:line="240" w:lineRule="auto"/>
                    <w:ind w:firstLine="0" w:firstLineChars="0"/>
                    <w:jc w:val="center"/>
                  </w:pPr>
                  <w:r>
                    <w:t>0.12</w:t>
                  </w:r>
                </w:p>
              </w:tc>
              <w:tc>
                <w:tcPr>
                  <w:tcW w:w="474" w:type="pct"/>
                  <w:shd w:val="clear" w:color="auto" w:fill="auto"/>
                  <w:noWrap/>
                  <w:tcMar>
                    <w:left w:w="0" w:type="dxa"/>
                    <w:right w:w="0" w:type="dxa"/>
                  </w:tcMar>
                  <w:vAlign w:val="center"/>
                </w:tcPr>
                <w:p w14:paraId="6A18C7F5">
                  <w:pPr>
                    <w:spacing w:line="240" w:lineRule="auto"/>
                    <w:ind w:firstLine="0" w:firstLineChars="0"/>
                    <w:jc w:val="center"/>
                  </w:pPr>
                  <w:r>
                    <w:t>+0.011</w:t>
                  </w:r>
                </w:p>
              </w:tc>
            </w:tr>
            <w:tr w14:paraId="31D34A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69558BA0">
                  <w:pPr>
                    <w:pStyle w:val="40"/>
                  </w:pPr>
                </w:p>
              </w:tc>
              <w:tc>
                <w:tcPr>
                  <w:tcW w:w="529" w:type="pct"/>
                  <w:shd w:val="clear" w:color="auto" w:fill="auto"/>
                  <w:noWrap/>
                  <w:tcMar>
                    <w:left w:w="0" w:type="dxa"/>
                    <w:right w:w="0" w:type="dxa"/>
                  </w:tcMar>
                  <w:vAlign w:val="center"/>
                </w:tcPr>
                <w:p w14:paraId="20C5257F">
                  <w:pPr>
                    <w:pStyle w:val="40"/>
                  </w:pPr>
                  <w:r>
                    <w:rPr>
                      <w:rFonts w:hint="eastAsia"/>
                    </w:rPr>
                    <w:t>NOx</w:t>
                  </w:r>
                </w:p>
              </w:tc>
              <w:tc>
                <w:tcPr>
                  <w:tcW w:w="1045" w:type="pct"/>
                  <w:shd w:val="clear" w:color="auto" w:fill="auto"/>
                  <w:noWrap/>
                  <w:tcMar>
                    <w:left w:w="0" w:type="dxa"/>
                    <w:right w:w="0" w:type="dxa"/>
                  </w:tcMar>
                  <w:vAlign w:val="center"/>
                </w:tcPr>
                <w:p w14:paraId="7C38598E">
                  <w:pPr>
                    <w:spacing w:line="240" w:lineRule="auto"/>
                    <w:ind w:firstLine="0" w:firstLineChars="0"/>
                    <w:jc w:val="center"/>
                  </w:pPr>
                  <w:r>
                    <w:t>0.252</w:t>
                  </w:r>
                </w:p>
              </w:tc>
              <w:tc>
                <w:tcPr>
                  <w:tcW w:w="582" w:type="pct"/>
                  <w:shd w:val="clear" w:color="auto" w:fill="auto"/>
                  <w:noWrap/>
                  <w:tcMar>
                    <w:left w:w="0" w:type="dxa"/>
                    <w:right w:w="0" w:type="dxa"/>
                  </w:tcMar>
                  <w:vAlign w:val="center"/>
                </w:tcPr>
                <w:p w14:paraId="5EA978F3">
                  <w:pPr>
                    <w:spacing w:line="240" w:lineRule="auto"/>
                    <w:ind w:firstLine="0" w:firstLineChars="0"/>
                    <w:jc w:val="center"/>
                  </w:pPr>
                  <w:r>
                    <w:t>0.252</w:t>
                  </w:r>
                </w:p>
              </w:tc>
              <w:tc>
                <w:tcPr>
                  <w:tcW w:w="688" w:type="pct"/>
                  <w:tcMar>
                    <w:left w:w="0" w:type="dxa"/>
                    <w:right w:w="0" w:type="dxa"/>
                  </w:tcMar>
                  <w:vAlign w:val="center"/>
                </w:tcPr>
                <w:p w14:paraId="3648F209">
                  <w:pPr>
                    <w:spacing w:line="240" w:lineRule="auto"/>
                    <w:ind w:firstLine="0" w:firstLineChars="0"/>
                    <w:jc w:val="center"/>
                  </w:pPr>
                  <w:r>
                    <w:t>0.416</w:t>
                  </w:r>
                </w:p>
              </w:tc>
              <w:tc>
                <w:tcPr>
                  <w:tcW w:w="899" w:type="pct"/>
                  <w:shd w:val="clear" w:color="auto" w:fill="auto"/>
                  <w:noWrap/>
                  <w:tcMar>
                    <w:left w:w="0" w:type="dxa"/>
                    <w:right w:w="0" w:type="dxa"/>
                  </w:tcMar>
                  <w:vAlign w:val="center"/>
                </w:tcPr>
                <w:p w14:paraId="0C32FBD0">
                  <w:pPr>
                    <w:spacing w:line="240" w:lineRule="auto"/>
                    <w:ind w:firstLine="0" w:firstLineChars="0"/>
                    <w:jc w:val="center"/>
                  </w:pPr>
                  <w:r>
                    <w:t>0.416</w:t>
                  </w:r>
                </w:p>
              </w:tc>
              <w:tc>
                <w:tcPr>
                  <w:tcW w:w="474" w:type="pct"/>
                  <w:shd w:val="clear" w:color="auto" w:fill="auto"/>
                  <w:noWrap/>
                  <w:tcMar>
                    <w:left w:w="0" w:type="dxa"/>
                    <w:right w:w="0" w:type="dxa"/>
                  </w:tcMar>
                  <w:vAlign w:val="center"/>
                </w:tcPr>
                <w:p w14:paraId="7317EFB1">
                  <w:pPr>
                    <w:spacing w:line="240" w:lineRule="auto"/>
                    <w:ind w:firstLine="0" w:firstLineChars="0"/>
                    <w:jc w:val="center"/>
                  </w:pPr>
                  <w:r>
                    <w:t>+0.164</w:t>
                  </w:r>
                </w:p>
              </w:tc>
            </w:tr>
            <w:tr w14:paraId="0F0101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7CAE822C">
                  <w:pPr>
                    <w:pStyle w:val="40"/>
                  </w:pPr>
                </w:p>
              </w:tc>
              <w:tc>
                <w:tcPr>
                  <w:tcW w:w="529" w:type="pct"/>
                  <w:shd w:val="clear" w:color="auto" w:fill="auto"/>
                  <w:noWrap/>
                  <w:tcMar>
                    <w:left w:w="0" w:type="dxa"/>
                    <w:right w:w="0" w:type="dxa"/>
                  </w:tcMar>
                  <w:vAlign w:val="center"/>
                </w:tcPr>
                <w:p w14:paraId="21B5B4C9">
                  <w:pPr>
                    <w:pStyle w:val="40"/>
                  </w:pPr>
                  <w:r>
                    <w:rPr>
                      <w:rFonts w:hint="eastAsia"/>
                    </w:rPr>
                    <w:t>烟气黑度</w:t>
                  </w:r>
                </w:p>
              </w:tc>
              <w:tc>
                <w:tcPr>
                  <w:tcW w:w="1045" w:type="pct"/>
                  <w:shd w:val="clear" w:color="auto" w:fill="auto"/>
                  <w:noWrap/>
                  <w:tcMar>
                    <w:left w:w="0" w:type="dxa"/>
                    <w:right w:w="0" w:type="dxa"/>
                  </w:tcMar>
                  <w:vAlign w:val="center"/>
                </w:tcPr>
                <w:p w14:paraId="02FF76E5">
                  <w:pPr>
                    <w:spacing w:line="240" w:lineRule="auto"/>
                    <w:ind w:firstLine="0" w:firstLineChars="0"/>
                    <w:jc w:val="center"/>
                  </w:pPr>
                  <w:r>
                    <w:t>/</w:t>
                  </w:r>
                </w:p>
              </w:tc>
              <w:tc>
                <w:tcPr>
                  <w:tcW w:w="582" w:type="pct"/>
                  <w:shd w:val="clear" w:color="auto" w:fill="auto"/>
                  <w:noWrap/>
                  <w:tcMar>
                    <w:left w:w="0" w:type="dxa"/>
                    <w:right w:w="0" w:type="dxa"/>
                  </w:tcMar>
                  <w:vAlign w:val="center"/>
                </w:tcPr>
                <w:p w14:paraId="39A86C29">
                  <w:pPr>
                    <w:pStyle w:val="40"/>
                  </w:pPr>
                  <w:r>
                    <w:rPr>
                      <w:rFonts w:hint="eastAsia"/>
                    </w:rPr>
                    <w:t>/</w:t>
                  </w:r>
                </w:p>
              </w:tc>
              <w:tc>
                <w:tcPr>
                  <w:tcW w:w="688" w:type="pct"/>
                  <w:tcMar>
                    <w:left w:w="0" w:type="dxa"/>
                    <w:right w:w="0" w:type="dxa"/>
                  </w:tcMar>
                  <w:vAlign w:val="center"/>
                </w:tcPr>
                <w:p w14:paraId="3DE0994E">
                  <w:pPr>
                    <w:spacing w:line="240" w:lineRule="auto"/>
                    <w:ind w:firstLine="0" w:firstLineChars="0"/>
                    <w:jc w:val="center"/>
                  </w:pPr>
                  <w:r>
                    <w:t>/</w:t>
                  </w:r>
                </w:p>
              </w:tc>
              <w:tc>
                <w:tcPr>
                  <w:tcW w:w="899" w:type="pct"/>
                  <w:shd w:val="clear" w:color="auto" w:fill="auto"/>
                  <w:noWrap/>
                  <w:tcMar>
                    <w:left w:w="0" w:type="dxa"/>
                    <w:right w:w="0" w:type="dxa"/>
                  </w:tcMar>
                  <w:vAlign w:val="center"/>
                </w:tcPr>
                <w:p w14:paraId="29A7905B">
                  <w:pPr>
                    <w:spacing w:line="240" w:lineRule="auto"/>
                    <w:ind w:firstLine="0" w:firstLineChars="0"/>
                    <w:jc w:val="center"/>
                  </w:pPr>
                  <w:r>
                    <w:t>/</w:t>
                  </w:r>
                </w:p>
              </w:tc>
              <w:tc>
                <w:tcPr>
                  <w:tcW w:w="474" w:type="pct"/>
                  <w:shd w:val="clear" w:color="auto" w:fill="auto"/>
                  <w:noWrap/>
                  <w:tcMar>
                    <w:left w:w="0" w:type="dxa"/>
                    <w:right w:w="0" w:type="dxa"/>
                  </w:tcMar>
                  <w:vAlign w:val="center"/>
                </w:tcPr>
                <w:p w14:paraId="0D4FE92E">
                  <w:pPr>
                    <w:spacing w:line="240" w:lineRule="auto"/>
                    <w:ind w:firstLine="0" w:firstLineChars="0"/>
                    <w:jc w:val="center"/>
                  </w:pPr>
                  <w:r>
                    <w:t>/</w:t>
                  </w:r>
                </w:p>
              </w:tc>
            </w:tr>
            <w:tr w14:paraId="456A85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3ACBF193">
                  <w:pPr>
                    <w:pStyle w:val="40"/>
                  </w:pPr>
                </w:p>
              </w:tc>
              <w:tc>
                <w:tcPr>
                  <w:tcW w:w="529" w:type="pct"/>
                  <w:shd w:val="clear" w:color="auto" w:fill="auto"/>
                  <w:noWrap/>
                  <w:tcMar>
                    <w:left w:w="0" w:type="dxa"/>
                    <w:right w:w="0" w:type="dxa"/>
                  </w:tcMar>
                  <w:vAlign w:val="center"/>
                </w:tcPr>
                <w:p w14:paraId="67B0A1DC">
                  <w:pPr>
                    <w:pStyle w:val="40"/>
                  </w:pPr>
                  <w:r>
                    <w:rPr>
                      <w:rFonts w:hint="eastAsia"/>
                    </w:rPr>
                    <w:t>氨逃逸</w:t>
                  </w:r>
                </w:p>
              </w:tc>
              <w:tc>
                <w:tcPr>
                  <w:tcW w:w="1045" w:type="pct"/>
                  <w:shd w:val="clear" w:color="auto" w:fill="auto"/>
                  <w:noWrap/>
                  <w:tcMar>
                    <w:left w:w="0" w:type="dxa"/>
                    <w:right w:w="0" w:type="dxa"/>
                  </w:tcMar>
                  <w:vAlign w:val="center"/>
                </w:tcPr>
                <w:p w14:paraId="4A709A27">
                  <w:pPr>
                    <w:spacing w:line="240" w:lineRule="auto"/>
                    <w:ind w:firstLine="0" w:firstLineChars="0"/>
                    <w:jc w:val="center"/>
                  </w:pPr>
                  <w:r>
                    <w:rPr>
                      <w:rFonts w:hint="eastAsia"/>
                    </w:rPr>
                    <w:t>/</w:t>
                  </w:r>
                </w:p>
              </w:tc>
              <w:tc>
                <w:tcPr>
                  <w:tcW w:w="582" w:type="pct"/>
                  <w:shd w:val="clear" w:color="auto" w:fill="auto"/>
                  <w:noWrap/>
                  <w:tcMar>
                    <w:left w:w="0" w:type="dxa"/>
                    <w:right w:w="0" w:type="dxa"/>
                  </w:tcMar>
                  <w:vAlign w:val="center"/>
                </w:tcPr>
                <w:p w14:paraId="5554DC9A">
                  <w:pPr>
                    <w:pStyle w:val="40"/>
                  </w:pPr>
                  <w:r>
                    <w:rPr>
                      <w:rFonts w:hint="eastAsia"/>
                    </w:rPr>
                    <w:t>/</w:t>
                  </w:r>
                </w:p>
              </w:tc>
              <w:tc>
                <w:tcPr>
                  <w:tcW w:w="688" w:type="pct"/>
                  <w:tcMar>
                    <w:left w:w="0" w:type="dxa"/>
                    <w:right w:w="0" w:type="dxa"/>
                  </w:tcMar>
                  <w:vAlign w:val="center"/>
                </w:tcPr>
                <w:p w14:paraId="31E1E6F0">
                  <w:pPr>
                    <w:spacing w:line="240" w:lineRule="auto"/>
                    <w:ind w:firstLine="0" w:firstLineChars="0"/>
                    <w:jc w:val="center"/>
                  </w:pPr>
                  <w:r>
                    <w:rPr>
                      <w:rFonts w:hint="eastAsia"/>
                    </w:rPr>
                    <w:t>0.002</w:t>
                  </w:r>
                </w:p>
              </w:tc>
              <w:tc>
                <w:tcPr>
                  <w:tcW w:w="899" w:type="pct"/>
                  <w:shd w:val="clear" w:color="auto" w:fill="auto"/>
                  <w:noWrap/>
                  <w:tcMar>
                    <w:left w:w="0" w:type="dxa"/>
                    <w:right w:w="0" w:type="dxa"/>
                  </w:tcMar>
                  <w:vAlign w:val="center"/>
                </w:tcPr>
                <w:p w14:paraId="0B54A2CD">
                  <w:pPr>
                    <w:spacing w:line="240" w:lineRule="auto"/>
                    <w:ind w:firstLine="0" w:firstLineChars="0"/>
                    <w:jc w:val="center"/>
                  </w:pPr>
                  <w:r>
                    <w:rPr>
                      <w:rFonts w:hint="eastAsia"/>
                    </w:rPr>
                    <w:t>0.002</w:t>
                  </w:r>
                </w:p>
              </w:tc>
              <w:tc>
                <w:tcPr>
                  <w:tcW w:w="474" w:type="pct"/>
                  <w:shd w:val="clear" w:color="auto" w:fill="auto"/>
                  <w:noWrap/>
                  <w:tcMar>
                    <w:left w:w="0" w:type="dxa"/>
                    <w:right w:w="0" w:type="dxa"/>
                  </w:tcMar>
                  <w:vAlign w:val="center"/>
                </w:tcPr>
                <w:p w14:paraId="344379BB">
                  <w:pPr>
                    <w:spacing w:line="240" w:lineRule="auto"/>
                    <w:ind w:firstLine="0" w:firstLineChars="0"/>
                    <w:jc w:val="center"/>
                  </w:pPr>
                  <w:r>
                    <w:rPr>
                      <w:rFonts w:hint="eastAsia"/>
                    </w:rPr>
                    <w:t>+0.002</w:t>
                  </w:r>
                </w:p>
              </w:tc>
            </w:tr>
            <w:tr w14:paraId="7A241D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3FB93CCA">
                  <w:pPr>
                    <w:pStyle w:val="40"/>
                  </w:pPr>
                </w:p>
              </w:tc>
              <w:tc>
                <w:tcPr>
                  <w:tcW w:w="529" w:type="pct"/>
                  <w:shd w:val="clear" w:color="auto" w:fill="auto"/>
                  <w:noWrap/>
                  <w:tcMar>
                    <w:left w:w="0" w:type="dxa"/>
                    <w:right w:w="0" w:type="dxa"/>
                  </w:tcMar>
                  <w:vAlign w:val="center"/>
                </w:tcPr>
                <w:p w14:paraId="75440DEA">
                  <w:pPr>
                    <w:pStyle w:val="40"/>
                  </w:pPr>
                  <w:r>
                    <w:rPr>
                      <w:rFonts w:hint="eastAsia"/>
                    </w:rPr>
                    <w:t>氨</w:t>
                  </w:r>
                </w:p>
              </w:tc>
              <w:tc>
                <w:tcPr>
                  <w:tcW w:w="1045" w:type="pct"/>
                  <w:shd w:val="clear" w:color="auto" w:fill="auto"/>
                  <w:noWrap/>
                  <w:tcMar>
                    <w:left w:w="0" w:type="dxa"/>
                    <w:right w:w="0" w:type="dxa"/>
                  </w:tcMar>
                  <w:vAlign w:val="center"/>
                </w:tcPr>
                <w:p w14:paraId="266CE203">
                  <w:pPr>
                    <w:spacing w:line="240" w:lineRule="auto"/>
                    <w:ind w:firstLine="0" w:firstLineChars="0"/>
                    <w:jc w:val="center"/>
                  </w:pPr>
                  <w:r>
                    <w:t>0.0015</w:t>
                  </w:r>
                </w:p>
              </w:tc>
              <w:tc>
                <w:tcPr>
                  <w:tcW w:w="582" w:type="pct"/>
                  <w:shd w:val="clear" w:color="auto" w:fill="auto"/>
                  <w:noWrap/>
                  <w:tcMar>
                    <w:left w:w="0" w:type="dxa"/>
                    <w:right w:w="0" w:type="dxa"/>
                  </w:tcMar>
                  <w:vAlign w:val="center"/>
                </w:tcPr>
                <w:p w14:paraId="66E99C23">
                  <w:pPr>
                    <w:pStyle w:val="40"/>
                  </w:pPr>
                  <w:r>
                    <w:rPr>
                      <w:rFonts w:hint="eastAsia"/>
                    </w:rPr>
                    <w:t>/</w:t>
                  </w:r>
                </w:p>
              </w:tc>
              <w:tc>
                <w:tcPr>
                  <w:tcW w:w="688" w:type="pct"/>
                  <w:tcMar>
                    <w:left w:w="0" w:type="dxa"/>
                    <w:right w:w="0" w:type="dxa"/>
                  </w:tcMar>
                  <w:vAlign w:val="center"/>
                </w:tcPr>
                <w:p w14:paraId="3A63D213">
                  <w:pPr>
                    <w:spacing w:line="240" w:lineRule="auto"/>
                    <w:ind w:firstLine="0" w:firstLineChars="0"/>
                    <w:jc w:val="center"/>
                  </w:pPr>
                  <w:r>
                    <w:t>0.0018</w:t>
                  </w:r>
                </w:p>
              </w:tc>
              <w:tc>
                <w:tcPr>
                  <w:tcW w:w="899" w:type="pct"/>
                  <w:shd w:val="clear" w:color="auto" w:fill="auto"/>
                  <w:noWrap/>
                  <w:tcMar>
                    <w:left w:w="0" w:type="dxa"/>
                    <w:right w:w="0" w:type="dxa"/>
                  </w:tcMar>
                  <w:vAlign w:val="center"/>
                </w:tcPr>
                <w:p w14:paraId="74BC4FD9">
                  <w:pPr>
                    <w:spacing w:line="240" w:lineRule="auto"/>
                    <w:ind w:firstLine="0" w:firstLineChars="0"/>
                    <w:jc w:val="center"/>
                  </w:pPr>
                  <w:r>
                    <w:t>0.0033</w:t>
                  </w:r>
                </w:p>
              </w:tc>
              <w:tc>
                <w:tcPr>
                  <w:tcW w:w="474" w:type="pct"/>
                  <w:shd w:val="clear" w:color="auto" w:fill="auto"/>
                  <w:noWrap/>
                  <w:tcMar>
                    <w:left w:w="0" w:type="dxa"/>
                    <w:right w:w="0" w:type="dxa"/>
                  </w:tcMar>
                  <w:vAlign w:val="center"/>
                </w:tcPr>
                <w:p w14:paraId="352162AA">
                  <w:pPr>
                    <w:spacing w:line="240" w:lineRule="auto"/>
                    <w:ind w:firstLine="0" w:firstLineChars="0"/>
                    <w:jc w:val="center"/>
                  </w:pPr>
                  <w:r>
                    <w:t>+0.0018</w:t>
                  </w:r>
                </w:p>
              </w:tc>
            </w:tr>
            <w:tr w14:paraId="236A66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4C2B4A0A">
                  <w:pPr>
                    <w:pStyle w:val="40"/>
                  </w:pPr>
                </w:p>
              </w:tc>
              <w:tc>
                <w:tcPr>
                  <w:tcW w:w="529" w:type="pct"/>
                  <w:shd w:val="clear" w:color="auto" w:fill="auto"/>
                  <w:noWrap/>
                  <w:tcMar>
                    <w:left w:w="0" w:type="dxa"/>
                    <w:right w:w="0" w:type="dxa"/>
                  </w:tcMar>
                  <w:vAlign w:val="center"/>
                </w:tcPr>
                <w:p w14:paraId="6E1A9437">
                  <w:pPr>
                    <w:pStyle w:val="40"/>
                  </w:pPr>
                  <w:r>
                    <w:rPr>
                      <w:rFonts w:hint="eastAsia"/>
                    </w:rPr>
                    <w:t>硫化氢</w:t>
                  </w:r>
                </w:p>
              </w:tc>
              <w:tc>
                <w:tcPr>
                  <w:tcW w:w="1045" w:type="pct"/>
                  <w:shd w:val="clear" w:color="auto" w:fill="auto"/>
                  <w:noWrap/>
                  <w:tcMar>
                    <w:left w:w="0" w:type="dxa"/>
                    <w:right w:w="0" w:type="dxa"/>
                  </w:tcMar>
                  <w:vAlign w:val="center"/>
                </w:tcPr>
                <w:p w14:paraId="0B17CD7B">
                  <w:pPr>
                    <w:spacing w:line="240" w:lineRule="auto"/>
                    <w:ind w:firstLine="0" w:firstLineChars="0"/>
                    <w:jc w:val="center"/>
                  </w:pPr>
                  <w:r>
                    <w:t>0.00003</w:t>
                  </w:r>
                </w:p>
              </w:tc>
              <w:tc>
                <w:tcPr>
                  <w:tcW w:w="582" w:type="pct"/>
                  <w:shd w:val="clear" w:color="auto" w:fill="auto"/>
                  <w:noWrap/>
                  <w:tcMar>
                    <w:left w:w="0" w:type="dxa"/>
                    <w:right w:w="0" w:type="dxa"/>
                  </w:tcMar>
                  <w:vAlign w:val="center"/>
                </w:tcPr>
                <w:p w14:paraId="610596B6">
                  <w:pPr>
                    <w:pStyle w:val="40"/>
                  </w:pPr>
                  <w:r>
                    <w:rPr>
                      <w:rFonts w:hint="eastAsia"/>
                    </w:rPr>
                    <w:t>/</w:t>
                  </w:r>
                </w:p>
              </w:tc>
              <w:tc>
                <w:tcPr>
                  <w:tcW w:w="688" w:type="pct"/>
                  <w:tcMar>
                    <w:left w:w="0" w:type="dxa"/>
                    <w:right w:w="0" w:type="dxa"/>
                  </w:tcMar>
                  <w:vAlign w:val="center"/>
                </w:tcPr>
                <w:p w14:paraId="44D89EEE">
                  <w:pPr>
                    <w:spacing w:line="240" w:lineRule="auto"/>
                    <w:ind w:firstLine="0" w:firstLineChars="0"/>
                    <w:jc w:val="center"/>
                  </w:pPr>
                  <w:r>
                    <w:t>0.000072</w:t>
                  </w:r>
                </w:p>
              </w:tc>
              <w:tc>
                <w:tcPr>
                  <w:tcW w:w="899" w:type="pct"/>
                  <w:shd w:val="clear" w:color="auto" w:fill="auto"/>
                  <w:noWrap/>
                  <w:tcMar>
                    <w:left w:w="0" w:type="dxa"/>
                    <w:right w:w="0" w:type="dxa"/>
                  </w:tcMar>
                  <w:vAlign w:val="center"/>
                </w:tcPr>
                <w:p w14:paraId="4B8F7C82">
                  <w:pPr>
                    <w:spacing w:line="240" w:lineRule="auto"/>
                    <w:ind w:firstLine="0" w:firstLineChars="0"/>
                    <w:jc w:val="center"/>
                  </w:pPr>
                  <w:r>
                    <w:t>0.000102</w:t>
                  </w:r>
                </w:p>
              </w:tc>
              <w:tc>
                <w:tcPr>
                  <w:tcW w:w="474" w:type="pct"/>
                  <w:shd w:val="clear" w:color="auto" w:fill="auto"/>
                  <w:noWrap/>
                  <w:tcMar>
                    <w:left w:w="0" w:type="dxa"/>
                    <w:right w:w="0" w:type="dxa"/>
                  </w:tcMar>
                  <w:vAlign w:val="center"/>
                </w:tcPr>
                <w:p w14:paraId="45EDCE52">
                  <w:pPr>
                    <w:spacing w:line="240" w:lineRule="auto"/>
                    <w:ind w:firstLine="0" w:firstLineChars="0"/>
                    <w:jc w:val="center"/>
                  </w:pPr>
                  <w:r>
                    <w:t>+0.000072</w:t>
                  </w:r>
                </w:p>
              </w:tc>
            </w:tr>
            <w:tr w14:paraId="7F7DAC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60F24F61">
                  <w:pPr>
                    <w:pStyle w:val="40"/>
                  </w:pPr>
                </w:p>
              </w:tc>
              <w:tc>
                <w:tcPr>
                  <w:tcW w:w="529" w:type="pct"/>
                  <w:shd w:val="clear" w:color="auto" w:fill="auto"/>
                  <w:noWrap/>
                  <w:tcMar>
                    <w:left w:w="0" w:type="dxa"/>
                    <w:right w:w="0" w:type="dxa"/>
                  </w:tcMar>
                  <w:vAlign w:val="center"/>
                </w:tcPr>
                <w:p w14:paraId="27AA4D51">
                  <w:pPr>
                    <w:pStyle w:val="40"/>
                  </w:pPr>
                  <w:r>
                    <w:rPr>
                      <w:rFonts w:hint="eastAsia"/>
                    </w:rPr>
                    <w:t>臭气浓度</w:t>
                  </w:r>
                </w:p>
              </w:tc>
              <w:tc>
                <w:tcPr>
                  <w:tcW w:w="1045" w:type="pct"/>
                  <w:shd w:val="clear" w:color="auto" w:fill="auto"/>
                  <w:noWrap/>
                  <w:tcMar>
                    <w:left w:w="0" w:type="dxa"/>
                    <w:right w:w="0" w:type="dxa"/>
                  </w:tcMar>
                  <w:vAlign w:val="center"/>
                </w:tcPr>
                <w:p w14:paraId="5A8688F7">
                  <w:pPr>
                    <w:spacing w:line="240" w:lineRule="auto"/>
                    <w:ind w:firstLine="0" w:firstLineChars="0"/>
                    <w:jc w:val="center"/>
                  </w:pPr>
                  <w:r>
                    <w:t>/</w:t>
                  </w:r>
                </w:p>
              </w:tc>
              <w:tc>
                <w:tcPr>
                  <w:tcW w:w="582" w:type="pct"/>
                  <w:shd w:val="clear" w:color="auto" w:fill="auto"/>
                  <w:noWrap/>
                  <w:tcMar>
                    <w:left w:w="0" w:type="dxa"/>
                    <w:right w:w="0" w:type="dxa"/>
                  </w:tcMar>
                  <w:vAlign w:val="center"/>
                </w:tcPr>
                <w:p w14:paraId="5EE847F6">
                  <w:pPr>
                    <w:pStyle w:val="40"/>
                  </w:pPr>
                  <w:r>
                    <w:rPr>
                      <w:rFonts w:hint="eastAsia"/>
                    </w:rPr>
                    <w:t>/</w:t>
                  </w:r>
                </w:p>
              </w:tc>
              <w:tc>
                <w:tcPr>
                  <w:tcW w:w="688" w:type="pct"/>
                  <w:tcMar>
                    <w:left w:w="0" w:type="dxa"/>
                    <w:right w:w="0" w:type="dxa"/>
                  </w:tcMar>
                  <w:vAlign w:val="center"/>
                </w:tcPr>
                <w:p w14:paraId="21E5D529">
                  <w:pPr>
                    <w:pStyle w:val="40"/>
                  </w:pPr>
                  <w:r>
                    <w:rPr>
                      <w:rFonts w:hint="eastAsia"/>
                    </w:rPr>
                    <w:t>/</w:t>
                  </w:r>
                </w:p>
              </w:tc>
              <w:tc>
                <w:tcPr>
                  <w:tcW w:w="899" w:type="pct"/>
                  <w:shd w:val="clear" w:color="auto" w:fill="auto"/>
                  <w:noWrap/>
                  <w:tcMar>
                    <w:left w:w="0" w:type="dxa"/>
                    <w:right w:w="0" w:type="dxa"/>
                  </w:tcMar>
                  <w:vAlign w:val="center"/>
                </w:tcPr>
                <w:p w14:paraId="08871BBA">
                  <w:pPr>
                    <w:spacing w:line="240" w:lineRule="auto"/>
                    <w:ind w:firstLine="0" w:firstLineChars="0"/>
                    <w:jc w:val="center"/>
                  </w:pPr>
                  <w:r>
                    <w:t>/</w:t>
                  </w:r>
                </w:p>
              </w:tc>
              <w:tc>
                <w:tcPr>
                  <w:tcW w:w="474" w:type="pct"/>
                  <w:shd w:val="clear" w:color="auto" w:fill="auto"/>
                  <w:noWrap/>
                  <w:tcMar>
                    <w:left w:w="0" w:type="dxa"/>
                    <w:right w:w="0" w:type="dxa"/>
                  </w:tcMar>
                  <w:vAlign w:val="center"/>
                </w:tcPr>
                <w:p w14:paraId="504C604D">
                  <w:pPr>
                    <w:spacing w:line="240" w:lineRule="auto"/>
                    <w:ind w:firstLine="0" w:firstLineChars="0"/>
                    <w:jc w:val="center"/>
                  </w:pPr>
                  <w:r>
                    <w:t>/</w:t>
                  </w:r>
                </w:p>
              </w:tc>
            </w:tr>
            <w:bookmarkEnd w:id="134"/>
            <w:tr w14:paraId="5FE911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restart"/>
                  <w:vAlign w:val="center"/>
                </w:tcPr>
                <w:p w14:paraId="1BDAADF9">
                  <w:pPr>
                    <w:pStyle w:val="40"/>
                  </w:pPr>
                  <w:bookmarkStart w:id="136" w:name="_Hlk173488361"/>
                  <w:r>
                    <w:rPr>
                      <w:rFonts w:hint="eastAsia"/>
                    </w:rPr>
                    <w:t>废水</w:t>
                  </w:r>
                </w:p>
              </w:tc>
              <w:tc>
                <w:tcPr>
                  <w:tcW w:w="529" w:type="pct"/>
                  <w:shd w:val="clear" w:color="auto" w:fill="auto"/>
                  <w:noWrap/>
                  <w:tcMar>
                    <w:left w:w="0" w:type="dxa"/>
                    <w:right w:w="0" w:type="dxa"/>
                  </w:tcMar>
                  <w:vAlign w:val="center"/>
                </w:tcPr>
                <w:p w14:paraId="669EFD8F">
                  <w:pPr>
                    <w:pStyle w:val="40"/>
                  </w:pPr>
                  <w:r>
                    <w:t>COD</w:t>
                  </w:r>
                </w:p>
              </w:tc>
              <w:tc>
                <w:tcPr>
                  <w:tcW w:w="1045" w:type="pct"/>
                  <w:shd w:val="clear" w:color="auto" w:fill="auto"/>
                  <w:noWrap/>
                  <w:tcMar>
                    <w:left w:w="0" w:type="dxa"/>
                    <w:right w:w="0" w:type="dxa"/>
                  </w:tcMar>
                  <w:vAlign w:val="center"/>
                </w:tcPr>
                <w:p w14:paraId="2BFA51A1">
                  <w:pPr>
                    <w:pStyle w:val="40"/>
                  </w:pPr>
                  <w:r>
                    <w:rPr>
                      <w:rFonts w:hint="eastAsia"/>
                    </w:rPr>
                    <w:t>0</w:t>
                  </w:r>
                </w:p>
              </w:tc>
              <w:tc>
                <w:tcPr>
                  <w:tcW w:w="582" w:type="pct"/>
                  <w:shd w:val="clear" w:color="auto" w:fill="auto"/>
                  <w:noWrap/>
                  <w:tcMar>
                    <w:left w:w="0" w:type="dxa"/>
                    <w:right w:w="0" w:type="dxa"/>
                  </w:tcMar>
                  <w:vAlign w:val="center"/>
                </w:tcPr>
                <w:p w14:paraId="0CB8DC23">
                  <w:pPr>
                    <w:pStyle w:val="40"/>
                  </w:pPr>
                  <w:r>
                    <w:rPr>
                      <w:rFonts w:hint="eastAsia"/>
                    </w:rPr>
                    <w:t>0</w:t>
                  </w:r>
                </w:p>
              </w:tc>
              <w:tc>
                <w:tcPr>
                  <w:tcW w:w="688" w:type="pct"/>
                  <w:tcMar>
                    <w:left w:w="0" w:type="dxa"/>
                    <w:right w:w="0" w:type="dxa"/>
                  </w:tcMar>
                  <w:vAlign w:val="center"/>
                </w:tcPr>
                <w:p w14:paraId="574662B0">
                  <w:pPr>
                    <w:pStyle w:val="40"/>
                  </w:pPr>
                  <w:r>
                    <w:rPr>
                      <w:rFonts w:hint="eastAsia"/>
                    </w:rPr>
                    <w:t>0.448</w:t>
                  </w:r>
                </w:p>
              </w:tc>
              <w:tc>
                <w:tcPr>
                  <w:tcW w:w="899" w:type="pct"/>
                  <w:shd w:val="clear" w:color="auto" w:fill="auto"/>
                  <w:noWrap/>
                  <w:tcMar>
                    <w:left w:w="0" w:type="dxa"/>
                    <w:right w:w="0" w:type="dxa"/>
                  </w:tcMar>
                  <w:vAlign w:val="center"/>
                </w:tcPr>
                <w:p w14:paraId="2FEACC0A">
                  <w:pPr>
                    <w:pStyle w:val="40"/>
                  </w:pPr>
                  <w:r>
                    <w:rPr>
                      <w:rFonts w:hint="eastAsia"/>
                    </w:rPr>
                    <w:t>0.448</w:t>
                  </w:r>
                </w:p>
              </w:tc>
              <w:tc>
                <w:tcPr>
                  <w:tcW w:w="474" w:type="pct"/>
                  <w:shd w:val="clear" w:color="auto" w:fill="auto"/>
                  <w:noWrap/>
                  <w:tcMar>
                    <w:left w:w="0" w:type="dxa"/>
                    <w:right w:w="0" w:type="dxa"/>
                  </w:tcMar>
                  <w:vAlign w:val="center"/>
                </w:tcPr>
                <w:p w14:paraId="48829108">
                  <w:pPr>
                    <w:pStyle w:val="40"/>
                  </w:pPr>
                  <w:r>
                    <w:rPr>
                      <w:rFonts w:hint="eastAsia"/>
                    </w:rPr>
                    <w:t>+0.448</w:t>
                  </w:r>
                </w:p>
              </w:tc>
            </w:tr>
            <w:tr w14:paraId="3CC55C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34753870">
                  <w:pPr>
                    <w:pStyle w:val="40"/>
                  </w:pPr>
                </w:p>
              </w:tc>
              <w:tc>
                <w:tcPr>
                  <w:tcW w:w="529" w:type="pct"/>
                  <w:shd w:val="clear" w:color="auto" w:fill="auto"/>
                  <w:noWrap/>
                  <w:tcMar>
                    <w:left w:w="0" w:type="dxa"/>
                    <w:right w:w="0" w:type="dxa"/>
                  </w:tcMar>
                  <w:vAlign w:val="center"/>
                </w:tcPr>
                <w:p w14:paraId="6FAF96E3">
                  <w:pPr>
                    <w:pStyle w:val="40"/>
                  </w:pPr>
                  <w:r>
                    <w:t>NH</w:t>
                  </w:r>
                  <w:r>
                    <w:rPr>
                      <w:vertAlign w:val="subscript"/>
                    </w:rPr>
                    <w:t>3</w:t>
                  </w:r>
                  <w:r>
                    <w:t>-N</w:t>
                  </w:r>
                </w:p>
              </w:tc>
              <w:tc>
                <w:tcPr>
                  <w:tcW w:w="1045" w:type="pct"/>
                  <w:shd w:val="clear" w:color="auto" w:fill="auto"/>
                  <w:noWrap/>
                  <w:tcMar>
                    <w:left w:w="0" w:type="dxa"/>
                    <w:right w:w="0" w:type="dxa"/>
                  </w:tcMar>
                  <w:vAlign w:val="center"/>
                </w:tcPr>
                <w:p w14:paraId="0FC36BAE">
                  <w:pPr>
                    <w:pStyle w:val="40"/>
                  </w:pPr>
                  <w:r>
                    <w:rPr>
                      <w:rFonts w:hint="eastAsia"/>
                    </w:rPr>
                    <w:t>0</w:t>
                  </w:r>
                </w:p>
              </w:tc>
              <w:tc>
                <w:tcPr>
                  <w:tcW w:w="582" w:type="pct"/>
                  <w:shd w:val="clear" w:color="auto" w:fill="auto"/>
                  <w:noWrap/>
                  <w:tcMar>
                    <w:left w:w="0" w:type="dxa"/>
                    <w:right w:w="0" w:type="dxa"/>
                  </w:tcMar>
                  <w:vAlign w:val="center"/>
                </w:tcPr>
                <w:p w14:paraId="274B119D">
                  <w:pPr>
                    <w:pStyle w:val="40"/>
                  </w:pPr>
                  <w:r>
                    <w:rPr>
                      <w:rFonts w:hint="eastAsia"/>
                    </w:rPr>
                    <w:t>0</w:t>
                  </w:r>
                </w:p>
              </w:tc>
              <w:tc>
                <w:tcPr>
                  <w:tcW w:w="688" w:type="pct"/>
                  <w:tcMar>
                    <w:left w:w="0" w:type="dxa"/>
                    <w:right w:w="0" w:type="dxa"/>
                  </w:tcMar>
                  <w:vAlign w:val="center"/>
                </w:tcPr>
                <w:p w14:paraId="01421E8F">
                  <w:pPr>
                    <w:pStyle w:val="40"/>
                  </w:pPr>
                  <w:r>
                    <w:rPr>
                      <w:rFonts w:hint="eastAsia"/>
                    </w:rPr>
                    <w:t>0.045</w:t>
                  </w:r>
                </w:p>
              </w:tc>
              <w:tc>
                <w:tcPr>
                  <w:tcW w:w="899" w:type="pct"/>
                  <w:shd w:val="clear" w:color="auto" w:fill="auto"/>
                  <w:noWrap/>
                  <w:tcMar>
                    <w:left w:w="0" w:type="dxa"/>
                    <w:right w:w="0" w:type="dxa"/>
                  </w:tcMar>
                  <w:vAlign w:val="center"/>
                </w:tcPr>
                <w:p w14:paraId="2E7B7379">
                  <w:pPr>
                    <w:pStyle w:val="40"/>
                  </w:pPr>
                  <w:r>
                    <w:rPr>
                      <w:rFonts w:hint="eastAsia"/>
                    </w:rPr>
                    <w:t>0.045</w:t>
                  </w:r>
                </w:p>
              </w:tc>
              <w:tc>
                <w:tcPr>
                  <w:tcW w:w="474" w:type="pct"/>
                  <w:shd w:val="clear" w:color="auto" w:fill="auto"/>
                  <w:noWrap/>
                  <w:tcMar>
                    <w:left w:w="0" w:type="dxa"/>
                    <w:right w:w="0" w:type="dxa"/>
                  </w:tcMar>
                  <w:vAlign w:val="center"/>
                </w:tcPr>
                <w:p w14:paraId="3C0775AB">
                  <w:pPr>
                    <w:pStyle w:val="40"/>
                    <w:rPr>
                      <w:kern w:val="2"/>
                    </w:rPr>
                  </w:pPr>
                  <w:r>
                    <w:rPr>
                      <w:rFonts w:hint="eastAsia"/>
                    </w:rPr>
                    <w:t>+0.045</w:t>
                  </w:r>
                </w:p>
              </w:tc>
            </w:tr>
            <w:bookmarkEnd w:id="135"/>
            <w:bookmarkEnd w:id="136"/>
            <w:tr w14:paraId="17DEEB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restart"/>
                  <w:vAlign w:val="center"/>
                </w:tcPr>
                <w:p w14:paraId="0E9BA48B">
                  <w:pPr>
                    <w:pStyle w:val="40"/>
                  </w:pPr>
                  <w:bookmarkStart w:id="137" w:name="_Hlk173488495"/>
                  <w:r>
                    <w:rPr>
                      <w:rFonts w:hint="eastAsia"/>
                    </w:rPr>
                    <w:t>固体废物</w:t>
                  </w:r>
                </w:p>
              </w:tc>
              <w:tc>
                <w:tcPr>
                  <w:tcW w:w="425" w:type="pct"/>
                  <w:vMerge w:val="restart"/>
                  <w:vAlign w:val="center"/>
                </w:tcPr>
                <w:p w14:paraId="1109ED14">
                  <w:pPr>
                    <w:pStyle w:val="40"/>
                  </w:pPr>
                  <w:r>
                    <w:rPr>
                      <w:rFonts w:hint="eastAsia"/>
                    </w:rPr>
                    <w:t>一般工业固体废物</w:t>
                  </w:r>
                </w:p>
              </w:tc>
              <w:tc>
                <w:tcPr>
                  <w:tcW w:w="529" w:type="pct"/>
                  <w:shd w:val="clear" w:color="auto" w:fill="auto"/>
                  <w:noWrap/>
                  <w:tcMar>
                    <w:left w:w="0" w:type="dxa"/>
                    <w:right w:w="0" w:type="dxa"/>
                  </w:tcMar>
                  <w:vAlign w:val="center"/>
                </w:tcPr>
                <w:p w14:paraId="266050E5">
                  <w:pPr>
                    <w:pStyle w:val="40"/>
                  </w:pPr>
                  <w:r>
                    <w:rPr>
                      <w:rFonts w:hint="eastAsia"/>
                    </w:rPr>
                    <w:t>不合格水果</w:t>
                  </w:r>
                </w:p>
              </w:tc>
              <w:tc>
                <w:tcPr>
                  <w:tcW w:w="1045" w:type="pct"/>
                  <w:shd w:val="clear" w:color="auto" w:fill="auto"/>
                  <w:noWrap/>
                  <w:tcMar>
                    <w:left w:w="0" w:type="dxa"/>
                    <w:right w:w="0" w:type="dxa"/>
                  </w:tcMar>
                  <w:vAlign w:val="center"/>
                </w:tcPr>
                <w:p w14:paraId="594673EF">
                  <w:pPr>
                    <w:spacing w:line="240" w:lineRule="auto"/>
                    <w:ind w:firstLine="0" w:firstLineChars="0"/>
                    <w:jc w:val="center"/>
                  </w:pPr>
                  <w:r>
                    <w:t>3.5</w:t>
                  </w:r>
                </w:p>
              </w:tc>
              <w:tc>
                <w:tcPr>
                  <w:tcW w:w="582" w:type="pct"/>
                  <w:shd w:val="clear" w:color="auto" w:fill="auto"/>
                  <w:noWrap/>
                  <w:tcMar>
                    <w:left w:w="0" w:type="dxa"/>
                    <w:right w:w="0" w:type="dxa"/>
                  </w:tcMar>
                  <w:vAlign w:val="center"/>
                </w:tcPr>
                <w:p w14:paraId="6215BAC3">
                  <w:pPr>
                    <w:spacing w:line="240" w:lineRule="auto"/>
                    <w:ind w:firstLine="0" w:firstLineChars="0"/>
                    <w:jc w:val="center"/>
                  </w:pPr>
                  <w:r>
                    <w:t>/</w:t>
                  </w:r>
                </w:p>
              </w:tc>
              <w:tc>
                <w:tcPr>
                  <w:tcW w:w="688" w:type="pct"/>
                  <w:tcMar>
                    <w:left w:w="0" w:type="dxa"/>
                    <w:right w:w="0" w:type="dxa"/>
                  </w:tcMar>
                  <w:vAlign w:val="center"/>
                </w:tcPr>
                <w:p w14:paraId="2DC8A7A9">
                  <w:pPr>
                    <w:spacing w:line="240" w:lineRule="auto"/>
                    <w:ind w:firstLine="0" w:firstLineChars="0"/>
                    <w:jc w:val="center"/>
                  </w:pPr>
                  <w:r>
                    <w:t>1.5</w:t>
                  </w:r>
                </w:p>
              </w:tc>
              <w:tc>
                <w:tcPr>
                  <w:tcW w:w="899" w:type="pct"/>
                  <w:shd w:val="clear" w:color="auto" w:fill="auto"/>
                  <w:noWrap/>
                  <w:tcMar>
                    <w:left w:w="0" w:type="dxa"/>
                    <w:right w:w="0" w:type="dxa"/>
                  </w:tcMar>
                  <w:vAlign w:val="center"/>
                </w:tcPr>
                <w:p w14:paraId="075BB115">
                  <w:pPr>
                    <w:spacing w:line="240" w:lineRule="auto"/>
                    <w:ind w:firstLine="0" w:firstLineChars="0"/>
                    <w:jc w:val="center"/>
                  </w:pPr>
                  <w:r>
                    <w:t>5</w:t>
                  </w:r>
                </w:p>
              </w:tc>
              <w:tc>
                <w:tcPr>
                  <w:tcW w:w="474" w:type="pct"/>
                  <w:shd w:val="clear" w:color="auto" w:fill="auto"/>
                  <w:noWrap/>
                  <w:tcMar>
                    <w:left w:w="0" w:type="dxa"/>
                    <w:right w:w="0" w:type="dxa"/>
                  </w:tcMar>
                  <w:vAlign w:val="center"/>
                </w:tcPr>
                <w:p w14:paraId="5C393E2F">
                  <w:pPr>
                    <w:spacing w:line="240" w:lineRule="auto"/>
                    <w:ind w:firstLine="0" w:firstLineChars="0"/>
                    <w:jc w:val="center"/>
                  </w:pPr>
                  <w:r>
                    <w:t>+1.5</w:t>
                  </w:r>
                </w:p>
              </w:tc>
            </w:tr>
            <w:tr w14:paraId="416DA6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34404400">
                  <w:pPr>
                    <w:pStyle w:val="40"/>
                  </w:pPr>
                  <w:bookmarkStart w:id="138" w:name="_Hlk195176174"/>
                </w:p>
              </w:tc>
              <w:tc>
                <w:tcPr>
                  <w:tcW w:w="425" w:type="pct"/>
                  <w:vMerge w:val="continue"/>
                  <w:vAlign w:val="center"/>
                </w:tcPr>
                <w:p w14:paraId="30507FE4">
                  <w:pPr>
                    <w:pStyle w:val="40"/>
                  </w:pPr>
                </w:p>
              </w:tc>
              <w:tc>
                <w:tcPr>
                  <w:tcW w:w="529" w:type="pct"/>
                  <w:shd w:val="clear" w:color="auto" w:fill="auto"/>
                  <w:noWrap/>
                  <w:tcMar>
                    <w:left w:w="0" w:type="dxa"/>
                    <w:right w:w="0" w:type="dxa"/>
                  </w:tcMar>
                  <w:vAlign w:val="center"/>
                </w:tcPr>
                <w:p w14:paraId="19656E85">
                  <w:pPr>
                    <w:pStyle w:val="40"/>
                  </w:pPr>
                  <w:r>
                    <w:t>布袋收尘灰</w:t>
                  </w:r>
                </w:p>
              </w:tc>
              <w:tc>
                <w:tcPr>
                  <w:tcW w:w="1045" w:type="pct"/>
                  <w:shd w:val="clear" w:color="auto" w:fill="auto"/>
                  <w:noWrap/>
                  <w:tcMar>
                    <w:left w:w="0" w:type="dxa"/>
                    <w:right w:w="0" w:type="dxa"/>
                  </w:tcMar>
                  <w:vAlign w:val="center"/>
                </w:tcPr>
                <w:p w14:paraId="481BFC45">
                  <w:pPr>
                    <w:spacing w:line="240" w:lineRule="auto"/>
                    <w:ind w:firstLine="0" w:firstLineChars="0"/>
                    <w:jc w:val="center"/>
                  </w:pPr>
                  <w:r>
                    <w:t>0.13</w:t>
                  </w:r>
                </w:p>
              </w:tc>
              <w:tc>
                <w:tcPr>
                  <w:tcW w:w="582" w:type="pct"/>
                  <w:shd w:val="clear" w:color="auto" w:fill="auto"/>
                  <w:noWrap/>
                  <w:tcMar>
                    <w:left w:w="0" w:type="dxa"/>
                    <w:right w:w="0" w:type="dxa"/>
                  </w:tcMar>
                  <w:vAlign w:val="center"/>
                </w:tcPr>
                <w:p w14:paraId="174DCB37">
                  <w:pPr>
                    <w:spacing w:line="240" w:lineRule="auto"/>
                    <w:ind w:firstLine="0" w:firstLineChars="0"/>
                    <w:jc w:val="center"/>
                  </w:pPr>
                  <w:r>
                    <w:t>0.13</w:t>
                  </w:r>
                </w:p>
              </w:tc>
              <w:tc>
                <w:tcPr>
                  <w:tcW w:w="688" w:type="pct"/>
                  <w:tcMar>
                    <w:left w:w="0" w:type="dxa"/>
                    <w:right w:w="0" w:type="dxa"/>
                  </w:tcMar>
                  <w:vAlign w:val="center"/>
                </w:tcPr>
                <w:p w14:paraId="05CF7AA4">
                  <w:pPr>
                    <w:spacing w:line="240" w:lineRule="auto"/>
                    <w:ind w:firstLine="0" w:firstLineChars="0"/>
                    <w:jc w:val="center"/>
                  </w:pPr>
                  <w:r>
                    <w:rPr>
                      <w:rFonts w:hint="eastAsia"/>
                    </w:rPr>
                    <w:t>18.02</w:t>
                  </w:r>
                </w:p>
              </w:tc>
              <w:tc>
                <w:tcPr>
                  <w:tcW w:w="899" w:type="pct"/>
                  <w:shd w:val="clear" w:color="auto" w:fill="auto"/>
                  <w:noWrap/>
                  <w:tcMar>
                    <w:left w:w="0" w:type="dxa"/>
                    <w:right w:w="0" w:type="dxa"/>
                  </w:tcMar>
                  <w:vAlign w:val="center"/>
                </w:tcPr>
                <w:p w14:paraId="54BC3F9B">
                  <w:pPr>
                    <w:spacing w:line="240" w:lineRule="auto"/>
                    <w:ind w:firstLine="0" w:firstLineChars="0"/>
                    <w:jc w:val="center"/>
                  </w:pPr>
                  <w:r>
                    <w:rPr>
                      <w:rFonts w:hint="eastAsia"/>
                    </w:rPr>
                    <w:t>18.02</w:t>
                  </w:r>
                </w:p>
              </w:tc>
              <w:tc>
                <w:tcPr>
                  <w:tcW w:w="474" w:type="pct"/>
                  <w:shd w:val="clear" w:color="auto" w:fill="auto"/>
                  <w:noWrap/>
                  <w:tcMar>
                    <w:left w:w="0" w:type="dxa"/>
                    <w:right w:w="0" w:type="dxa"/>
                  </w:tcMar>
                  <w:vAlign w:val="center"/>
                </w:tcPr>
                <w:p w14:paraId="1F94BE24">
                  <w:pPr>
                    <w:spacing w:line="240" w:lineRule="auto"/>
                    <w:ind w:firstLine="0" w:firstLineChars="0"/>
                    <w:jc w:val="center"/>
                  </w:pPr>
                  <w:r>
                    <w:t>+</w:t>
                  </w:r>
                  <w:r>
                    <w:rPr>
                      <w:rFonts w:hint="eastAsia"/>
                    </w:rPr>
                    <w:t>17.89</w:t>
                  </w:r>
                </w:p>
              </w:tc>
            </w:tr>
            <w:tr w14:paraId="26504E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36C489DF">
                  <w:pPr>
                    <w:pStyle w:val="40"/>
                  </w:pPr>
                </w:p>
              </w:tc>
              <w:tc>
                <w:tcPr>
                  <w:tcW w:w="425" w:type="pct"/>
                  <w:vMerge w:val="continue"/>
                  <w:vAlign w:val="center"/>
                </w:tcPr>
                <w:p w14:paraId="6314158E">
                  <w:pPr>
                    <w:pStyle w:val="40"/>
                  </w:pPr>
                </w:p>
              </w:tc>
              <w:tc>
                <w:tcPr>
                  <w:tcW w:w="529" w:type="pct"/>
                  <w:shd w:val="clear" w:color="auto" w:fill="auto"/>
                  <w:noWrap/>
                  <w:tcMar>
                    <w:left w:w="0" w:type="dxa"/>
                    <w:right w:w="0" w:type="dxa"/>
                  </w:tcMar>
                  <w:vAlign w:val="center"/>
                </w:tcPr>
                <w:p w14:paraId="44E084A8">
                  <w:pPr>
                    <w:pStyle w:val="40"/>
                  </w:pPr>
                  <w:r>
                    <w:t>锅炉灰渣</w:t>
                  </w:r>
                </w:p>
              </w:tc>
              <w:tc>
                <w:tcPr>
                  <w:tcW w:w="1045" w:type="pct"/>
                  <w:shd w:val="clear" w:color="auto" w:fill="auto"/>
                  <w:noWrap/>
                  <w:tcMar>
                    <w:left w:w="0" w:type="dxa"/>
                    <w:right w:w="0" w:type="dxa"/>
                  </w:tcMar>
                  <w:vAlign w:val="center"/>
                </w:tcPr>
                <w:p w14:paraId="42FA2BDA">
                  <w:pPr>
                    <w:spacing w:line="240" w:lineRule="auto"/>
                    <w:ind w:firstLine="0" w:firstLineChars="0"/>
                    <w:jc w:val="center"/>
                  </w:pPr>
                  <w:r>
                    <w:t>8.68</w:t>
                  </w:r>
                </w:p>
              </w:tc>
              <w:tc>
                <w:tcPr>
                  <w:tcW w:w="582" w:type="pct"/>
                  <w:shd w:val="clear" w:color="auto" w:fill="auto"/>
                  <w:noWrap/>
                  <w:tcMar>
                    <w:left w:w="0" w:type="dxa"/>
                    <w:right w:w="0" w:type="dxa"/>
                  </w:tcMar>
                  <w:vAlign w:val="center"/>
                </w:tcPr>
                <w:p w14:paraId="45022B27">
                  <w:pPr>
                    <w:spacing w:line="240" w:lineRule="auto"/>
                    <w:ind w:firstLine="0" w:firstLineChars="0"/>
                    <w:jc w:val="center"/>
                  </w:pPr>
                  <w:r>
                    <w:t>8.68</w:t>
                  </w:r>
                </w:p>
              </w:tc>
              <w:tc>
                <w:tcPr>
                  <w:tcW w:w="688" w:type="pct"/>
                  <w:tcMar>
                    <w:left w:w="0" w:type="dxa"/>
                    <w:right w:w="0" w:type="dxa"/>
                  </w:tcMar>
                  <w:vAlign w:val="center"/>
                </w:tcPr>
                <w:p w14:paraId="3F0C72C5">
                  <w:pPr>
                    <w:spacing w:line="240" w:lineRule="auto"/>
                    <w:ind w:firstLine="0" w:firstLineChars="0"/>
                    <w:jc w:val="center"/>
                  </w:pPr>
                  <w:r>
                    <w:t>34</w:t>
                  </w:r>
                  <w:r>
                    <w:rPr>
                      <w:rFonts w:hint="eastAsia"/>
                    </w:rPr>
                    <w:t>.46</w:t>
                  </w:r>
                </w:p>
              </w:tc>
              <w:tc>
                <w:tcPr>
                  <w:tcW w:w="899" w:type="pct"/>
                  <w:shd w:val="clear" w:color="auto" w:fill="auto"/>
                  <w:noWrap/>
                  <w:tcMar>
                    <w:left w:w="0" w:type="dxa"/>
                    <w:right w:w="0" w:type="dxa"/>
                  </w:tcMar>
                  <w:vAlign w:val="center"/>
                </w:tcPr>
                <w:p w14:paraId="35799F25">
                  <w:pPr>
                    <w:spacing w:line="240" w:lineRule="auto"/>
                    <w:ind w:firstLine="0" w:firstLineChars="0"/>
                    <w:jc w:val="center"/>
                  </w:pPr>
                  <w:r>
                    <w:t>34</w:t>
                  </w:r>
                  <w:r>
                    <w:rPr>
                      <w:rFonts w:hint="eastAsia"/>
                    </w:rPr>
                    <w:t>.46</w:t>
                  </w:r>
                </w:p>
              </w:tc>
              <w:tc>
                <w:tcPr>
                  <w:tcW w:w="474" w:type="pct"/>
                  <w:shd w:val="clear" w:color="auto" w:fill="auto"/>
                  <w:noWrap/>
                  <w:tcMar>
                    <w:left w:w="0" w:type="dxa"/>
                    <w:right w:w="0" w:type="dxa"/>
                  </w:tcMar>
                  <w:vAlign w:val="center"/>
                </w:tcPr>
                <w:p w14:paraId="66036F0C">
                  <w:pPr>
                    <w:spacing w:line="240" w:lineRule="auto"/>
                    <w:ind w:firstLine="0" w:firstLineChars="0"/>
                    <w:jc w:val="center"/>
                  </w:pPr>
                  <w:r>
                    <w:t>+</w:t>
                  </w:r>
                  <w:r>
                    <w:rPr>
                      <w:rFonts w:hint="eastAsia"/>
                    </w:rPr>
                    <w:t>25.78</w:t>
                  </w:r>
                </w:p>
              </w:tc>
            </w:tr>
            <w:bookmarkEnd w:id="138"/>
            <w:tr w14:paraId="74931E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39EB288A">
                  <w:pPr>
                    <w:pStyle w:val="40"/>
                  </w:pPr>
                </w:p>
              </w:tc>
              <w:tc>
                <w:tcPr>
                  <w:tcW w:w="425" w:type="pct"/>
                  <w:vMerge w:val="continue"/>
                  <w:vAlign w:val="center"/>
                </w:tcPr>
                <w:p w14:paraId="635D9F54">
                  <w:pPr>
                    <w:pStyle w:val="40"/>
                  </w:pPr>
                </w:p>
              </w:tc>
              <w:tc>
                <w:tcPr>
                  <w:tcW w:w="529" w:type="pct"/>
                  <w:shd w:val="clear" w:color="auto" w:fill="auto"/>
                  <w:noWrap/>
                  <w:tcMar>
                    <w:left w:w="0" w:type="dxa"/>
                    <w:right w:w="0" w:type="dxa"/>
                  </w:tcMar>
                  <w:vAlign w:val="center"/>
                </w:tcPr>
                <w:p w14:paraId="3F60D71F">
                  <w:pPr>
                    <w:pStyle w:val="40"/>
                  </w:pPr>
                  <w:r>
                    <w:rPr>
                      <w:rFonts w:hint="eastAsia"/>
                    </w:rPr>
                    <w:t>废离子树脂</w:t>
                  </w:r>
                </w:p>
              </w:tc>
              <w:tc>
                <w:tcPr>
                  <w:tcW w:w="1045" w:type="pct"/>
                  <w:shd w:val="clear" w:color="auto" w:fill="auto"/>
                  <w:noWrap/>
                  <w:tcMar>
                    <w:left w:w="0" w:type="dxa"/>
                    <w:right w:w="0" w:type="dxa"/>
                  </w:tcMar>
                  <w:vAlign w:val="center"/>
                </w:tcPr>
                <w:p w14:paraId="31C2B6C8">
                  <w:pPr>
                    <w:spacing w:line="240" w:lineRule="auto"/>
                    <w:ind w:firstLine="0" w:firstLineChars="0"/>
                    <w:jc w:val="center"/>
                  </w:pPr>
                  <w:r>
                    <w:t>0.1t/3a</w:t>
                  </w:r>
                </w:p>
              </w:tc>
              <w:tc>
                <w:tcPr>
                  <w:tcW w:w="582" w:type="pct"/>
                  <w:shd w:val="clear" w:color="auto" w:fill="auto"/>
                  <w:noWrap/>
                  <w:tcMar>
                    <w:left w:w="0" w:type="dxa"/>
                    <w:right w:w="0" w:type="dxa"/>
                  </w:tcMar>
                  <w:vAlign w:val="center"/>
                </w:tcPr>
                <w:p w14:paraId="77BB9079">
                  <w:pPr>
                    <w:spacing w:line="240" w:lineRule="auto"/>
                    <w:ind w:firstLine="0" w:firstLineChars="0"/>
                    <w:jc w:val="center"/>
                  </w:pPr>
                  <w:r>
                    <w:t>0.1t/3a</w:t>
                  </w:r>
                </w:p>
              </w:tc>
              <w:tc>
                <w:tcPr>
                  <w:tcW w:w="688" w:type="pct"/>
                  <w:tcMar>
                    <w:left w:w="0" w:type="dxa"/>
                    <w:right w:w="0" w:type="dxa"/>
                  </w:tcMar>
                  <w:vAlign w:val="center"/>
                </w:tcPr>
                <w:p w14:paraId="64A1E2A3">
                  <w:pPr>
                    <w:spacing w:line="240" w:lineRule="auto"/>
                    <w:ind w:firstLine="0" w:firstLineChars="0"/>
                    <w:jc w:val="center"/>
                  </w:pPr>
                  <w:r>
                    <w:t>0.2t/3a</w:t>
                  </w:r>
                </w:p>
              </w:tc>
              <w:tc>
                <w:tcPr>
                  <w:tcW w:w="899" w:type="pct"/>
                  <w:shd w:val="clear" w:color="auto" w:fill="auto"/>
                  <w:noWrap/>
                  <w:tcMar>
                    <w:left w:w="0" w:type="dxa"/>
                    <w:right w:w="0" w:type="dxa"/>
                  </w:tcMar>
                  <w:vAlign w:val="center"/>
                </w:tcPr>
                <w:p w14:paraId="5FDF01B7">
                  <w:pPr>
                    <w:spacing w:line="240" w:lineRule="auto"/>
                    <w:ind w:firstLine="0" w:firstLineChars="0"/>
                    <w:jc w:val="center"/>
                  </w:pPr>
                  <w:r>
                    <w:t>0.2t/3a</w:t>
                  </w:r>
                </w:p>
              </w:tc>
              <w:tc>
                <w:tcPr>
                  <w:tcW w:w="474" w:type="pct"/>
                  <w:shd w:val="clear" w:color="auto" w:fill="auto"/>
                  <w:noWrap/>
                  <w:tcMar>
                    <w:left w:w="0" w:type="dxa"/>
                    <w:right w:w="0" w:type="dxa"/>
                  </w:tcMar>
                  <w:vAlign w:val="center"/>
                </w:tcPr>
                <w:p w14:paraId="4B4D1FFF">
                  <w:pPr>
                    <w:spacing w:line="240" w:lineRule="auto"/>
                    <w:ind w:firstLine="0" w:firstLineChars="0"/>
                    <w:jc w:val="center"/>
                  </w:pPr>
                  <w:r>
                    <w:t>+0.1t/3a</w:t>
                  </w:r>
                </w:p>
              </w:tc>
            </w:tr>
            <w:tr w14:paraId="25F084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23358F6A">
                  <w:pPr>
                    <w:pStyle w:val="40"/>
                  </w:pPr>
                </w:p>
              </w:tc>
              <w:tc>
                <w:tcPr>
                  <w:tcW w:w="425" w:type="pct"/>
                  <w:vMerge w:val="continue"/>
                  <w:vAlign w:val="center"/>
                </w:tcPr>
                <w:p w14:paraId="612B2888">
                  <w:pPr>
                    <w:pStyle w:val="40"/>
                  </w:pPr>
                </w:p>
              </w:tc>
              <w:tc>
                <w:tcPr>
                  <w:tcW w:w="529" w:type="pct"/>
                  <w:shd w:val="clear" w:color="auto" w:fill="auto"/>
                  <w:noWrap/>
                  <w:tcMar>
                    <w:left w:w="0" w:type="dxa"/>
                    <w:right w:w="0" w:type="dxa"/>
                  </w:tcMar>
                  <w:vAlign w:val="center"/>
                </w:tcPr>
                <w:p w14:paraId="5878A26A">
                  <w:pPr>
                    <w:pStyle w:val="40"/>
                  </w:pPr>
                  <w:r>
                    <w:rPr>
                      <w:rFonts w:hint="eastAsia"/>
                    </w:rPr>
                    <w:t>废活性炭</w:t>
                  </w:r>
                </w:p>
              </w:tc>
              <w:tc>
                <w:tcPr>
                  <w:tcW w:w="1045" w:type="pct"/>
                  <w:shd w:val="clear" w:color="auto" w:fill="auto"/>
                  <w:noWrap/>
                  <w:tcMar>
                    <w:left w:w="0" w:type="dxa"/>
                    <w:right w:w="0" w:type="dxa"/>
                  </w:tcMar>
                  <w:vAlign w:val="center"/>
                </w:tcPr>
                <w:p w14:paraId="0DBFCFDA">
                  <w:pPr>
                    <w:spacing w:line="240" w:lineRule="auto"/>
                    <w:ind w:firstLine="0" w:firstLineChars="0"/>
                    <w:jc w:val="center"/>
                  </w:pPr>
                  <w:r>
                    <w:t>0.01</w:t>
                  </w:r>
                  <w:r>
                    <w:rPr>
                      <w:rFonts w:hint="eastAsia"/>
                    </w:rPr>
                    <w:t>15</w:t>
                  </w:r>
                </w:p>
              </w:tc>
              <w:tc>
                <w:tcPr>
                  <w:tcW w:w="582" w:type="pct"/>
                  <w:shd w:val="clear" w:color="auto" w:fill="auto"/>
                  <w:noWrap/>
                  <w:tcMar>
                    <w:left w:w="0" w:type="dxa"/>
                    <w:right w:w="0" w:type="dxa"/>
                  </w:tcMar>
                  <w:vAlign w:val="center"/>
                </w:tcPr>
                <w:p w14:paraId="150DC633">
                  <w:pPr>
                    <w:spacing w:line="240" w:lineRule="auto"/>
                    <w:ind w:firstLine="0" w:firstLineChars="0"/>
                    <w:jc w:val="center"/>
                  </w:pPr>
                  <w:r>
                    <w:t>/</w:t>
                  </w:r>
                </w:p>
              </w:tc>
              <w:tc>
                <w:tcPr>
                  <w:tcW w:w="688" w:type="pct"/>
                  <w:tcMar>
                    <w:left w:w="0" w:type="dxa"/>
                    <w:right w:w="0" w:type="dxa"/>
                  </w:tcMar>
                  <w:vAlign w:val="center"/>
                </w:tcPr>
                <w:p w14:paraId="11E7A44B">
                  <w:pPr>
                    <w:spacing w:line="240" w:lineRule="auto"/>
                    <w:ind w:firstLine="0" w:firstLineChars="0"/>
                    <w:jc w:val="center"/>
                  </w:pPr>
                  <w:r>
                    <w:t>0.0275</w:t>
                  </w:r>
                </w:p>
              </w:tc>
              <w:tc>
                <w:tcPr>
                  <w:tcW w:w="899" w:type="pct"/>
                  <w:shd w:val="clear" w:color="auto" w:fill="auto"/>
                  <w:noWrap/>
                  <w:tcMar>
                    <w:left w:w="0" w:type="dxa"/>
                    <w:right w:w="0" w:type="dxa"/>
                  </w:tcMar>
                  <w:vAlign w:val="center"/>
                </w:tcPr>
                <w:p w14:paraId="486DC742">
                  <w:pPr>
                    <w:spacing w:line="240" w:lineRule="auto"/>
                    <w:ind w:firstLine="0" w:firstLineChars="0"/>
                    <w:jc w:val="center"/>
                  </w:pPr>
                  <w:r>
                    <w:t>0.03</w:t>
                  </w:r>
                  <w:r>
                    <w:rPr>
                      <w:rFonts w:hint="eastAsia"/>
                    </w:rPr>
                    <w:t>9</w:t>
                  </w:r>
                </w:p>
              </w:tc>
              <w:tc>
                <w:tcPr>
                  <w:tcW w:w="474" w:type="pct"/>
                  <w:shd w:val="clear" w:color="auto" w:fill="auto"/>
                  <w:noWrap/>
                  <w:tcMar>
                    <w:left w:w="0" w:type="dxa"/>
                    <w:right w:w="0" w:type="dxa"/>
                  </w:tcMar>
                  <w:vAlign w:val="center"/>
                </w:tcPr>
                <w:p w14:paraId="544279B5">
                  <w:pPr>
                    <w:spacing w:line="240" w:lineRule="auto"/>
                    <w:ind w:firstLine="0" w:firstLineChars="0"/>
                    <w:jc w:val="center"/>
                  </w:pPr>
                  <w:r>
                    <w:t>+0.0275</w:t>
                  </w:r>
                </w:p>
              </w:tc>
            </w:tr>
            <w:tr w14:paraId="51643F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51649B55">
                  <w:pPr>
                    <w:pStyle w:val="40"/>
                  </w:pPr>
                </w:p>
              </w:tc>
              <w:tc>
                <w:tcPr>
                  <w:tcW w:w="425" w:type="pct"/>
                  <w:vMerge w:val="continue"/>
                  <w:vAlign w:val="center"/>
                </w:tcPr>
                <w:p w14:paraId="71742DA9">
                  <w:pPr>
                    <w:pStyle w:val="40"/>
                  </w:pPr>
                </w:p>
              </w:tc>
              <w:tc>
                <w:tcPr>
                  <w:tcW w:w="529" w:type="pct"/>
                  <w:shd w:val="clear" w:color="auto" w:fill="auto"/>
                  <w:noWrap/>
                  <w:tcMar>
                    <w:left w:w="0" w:type="dxa"/>
                    <w:right w:w="0" w:type="dxa"/>
                  </w:tcMar>
                  <w:vAlign w:val="center"/>
                </w:tcPr>
                <w:p w14:paraId="343526C6">
                  <w:pPr>
                    <w:pStyle w:val="40"/>
                  </w:pPr>
                  <w:r>
                    <w:rPr>
                      <w:rFonts w:hint="eastAsia"/>
                    </w:rPr>
                    <w:t>污水处理污泥</w:t>
                  </w:r>
                </w:p>
              </w:tc>
              <w:tc>
                <w:tcPr>
                  <w:tcW w:w="1045" w:type="pct"/>
                  <w:shd w:val="clear" w:color="auto" w:fill="auto"/>
                  <w:noWrap/>
                  <w:tcMar>
                    <w:left w:w="0" w:type="dxa"/>
                    <w:right w:w="0" w:type="dxa"/>
                  </w:tcMar>
                  <w:vAlign w:val="center"/>
                </w:tcPr>
                <w:p w14:paraId="5064C83F">
                  <w:pPr>
                    <w:spacing w:line="240" w:lineRule="auto"/>
                    <w:ind w:firstLine="0" w:firstLineChars="0"/>
                    <w:jc w:val="center"/>
                  </w:pPr>
                  <w:r>
                    <w:t>3.39</w:t>
                  </w:r>
                </w:p>
              </w:tc>
              <w:tc>
                <w:tcPr>
                  <w:tcW w:w="582" w:type="pct"/>
                  <w:shd w:val="clear" w:color="auto" w:fill="auto"/>
                  <w:noWrap/>
                  <w:tcMar>
                    <w:left w:w="0" w:type="dxa"/>
                    <w:right w:w="0" w:type="dxa"/>
                  </w:tcMar>
                  <w:vAlign w:val="center"/>
                </w:tcPr>
                <w:p w14:paraId="0616D7EC">
                  <w:pPr>
                    <w:spacing w:line="240" w:lineRule="auto"/>
                    <w:ind w:firstLine="0" w:firstLineChars="0"/>
                    <w:jc w:val="center"/>
                  </w:pPr>
                  <w:r>
                    <w:t>/</w:t>
                  </w:r>
                </w:p>
              </w:tc>
              <w:tc>
                <w:tcPr>
                  <w:tcW w:w="688" w:type="pct"/>
                  <w:tcMar>
                    <w:left w:w="0" w:type="dxa"/>
                    <w:right w:w="0" w:type="dxa"/>
                  </w:tcMar>
                  <w:vAlign w:val="center"/>
                </w:tcPr>
                <w:p w14:paraId="478012BC">
                  <w:pPr>
                    <w:spacing w:line="240" w:lineRule="auto"/>
                    <w:ind w:firstLine="0" w:firstLineChars="0"/>
                    <w:jc w:val="center"/>
                  </w:pPr>
                  <w:r>
                    <w:t>1.455</w:t>
                  </w:r>
                </w:p>
              </w:tc>
              <w:tc>
                <w:tcPr>
                  <w:tcW w:w="899" w:type="pct"/>
                  <w:shd w:val="clear" w:color="auto" w:fill="auto"/>
                  <w:noWrap/>
                  <w:tcMar>
                    <w:left w:w="0" w:type="dxa"/>
                    <w:right w:w="0" w:type="dxa"/>
                  </w:tcMar>
                  <w:vAlign w:val="center"/>
                </w:tcPr>
                <w:p w14:paraId="3802BEC3">
                  <w:pPr>
                    <w:spacing w:line="240" w:lineRule="auto"/>
                    <w:ind w:firstLine="0" w:firstLineChars="0"/>
                    <w:jc w:val="center"/>
                  </w:pPr>
                  <w:r>
                    <w:t>4.845</w:t>
                  </w:r>
                </w:p>
              </w:tc>
              <w:tc>
                <w:tcPr>
                  <w:tcW w:w="474" w:type="pct"/>
                  <w:shd w:val="clear" w:color="auto" w:fill="auto"/>
                  <w:noWrap/>
                  <w:tcMar>
                    <w:left w:w="0" w:type="dxa"/>
                    <w:right w:w="0" w:type="dxa"/>
                  </w:tcMar>
                  <w:vAlign w:val="center"/>
                </w:tcPr>
                <w:p w14:paraId="4B23C521">
                  <w:pPr>
                    <w:spacing w:line="240" w:lineRule="auto"/>
                    <w:ind w:firstLine="0" w:firstLineChars="0"/>
                    <w:jc w:val="center"/>
                  </w:pPr>
                  <w:r>
                    <w:t>+1.455</w:t>
                  </w:r>
                </w:p>
              </w:tc>
            </w:tr>
            <w:bookmarkEnd w:id="137"/>
          </w:tbl>
          <w:p w14:paraId="7A74EF08">
            <w:pPr>
              <w:adjustRightInd w:val="0"/>
              <w:snapToGrid w:val="0"/>
              <w:spacing w:line="400" w:lineRule="exact"/>
              <w:ind w:firstLine="420"/>
              <w:rPr>
                <w:bCs/>
                <w:szCs w:val="21"/>
              </w:rPr>
            </w:pPr>
            <w:r>
              <w:rPr>
                <w:rFonts w:hint="eastAsia"/>
                <w:bCs/>
                <w:szCs w:val="21"/>
              </w:rPr>
              <w:t>注：固体废物均为产生量，大气污染物均为有组织排放量。</w:t>
            </w:r>
          </w:p>
          <w:p w14:paraId="6FD9263E">
            <w:pPr>
              <w:adjustRightInd w:val="0"/>
              <w:snapToGrid w:val="0"/>
              <w:spacing w:line="400" w:lineRule="exact"/>
              <w:ind w:firstLine="420"/>
              <w:rPr>
                <w:bCs/>
                <w:szCs w:val="21"/>
              </w:rPr>
            </w:pPr>
          </w:p>
          <w:p w14:paraId="608AC515">
            <w:pPr>
              <w:pStyle w:val="2"/>
              <w:ind w:firstLine="480"/>
            </w:pPr>
          </w:p>
          <w:p w14:paraId="13D8B1B6">
            <w:pPr>
              <w:pStyle w:val="2"/>
              <w:ind w:firstLine="480"/>
            </w:pPr>
          </w:p>
          <w:p w14:paraId="157B5CF4">
            <w:pPr>
              <w:pStyle w:val="2"/>
              <w:ind w:firstLine="480"/>
            </w:pPr>
          </w:p>
          <w:p w14:paraId="61BF00E1">
            <w:pPr>
              <w:pStyle w:val="2"/>
              <w:ind w:firstLine="480"/>
            </w:pPr>
          </w:p>
          <w:p w14:paraId="5200CE84">
            <w:pPr>
              <w:pStyle w:val="2"/>
              <w:ind w:firstLine="480"/>
            </w:pPr>
          </w:p>
          <w:p w14:paraId="7449DE0B">
            <w:pPr>
              <w:pStyle w:val="2"/>
              <w:ind w:firstLine="480"/>
            </w:pPr>
          </w:p>
          <w:p w14:paraId="52AEA563">
            <w:pPr>
              <w:pStyle w:val="2"/>
              <w:ind w:firstLine="480"/>
            </w:pPr>
          </w:p>
          <w:p w14:paraId="34A35732">
            <w:pPr>
              <w:pStyle w:val="2"/>
              <w:ind w:firstLine="480"/>
            </w:pPr>
          </w:p>
          <w:p w14:paraId="13EDAA03">
            <w:pPr>
              <w:pStyle w:val="2"/>
              <w:ind w:firstLine="480"/>
            </w:pPr>
          </w:p>
          <w:p w14:paraId="63DB587F">
            <w:pPr>
              <w:pStyle w:val="2"/>
              <w:ind w:firstLine="480"/>
            </w:pPr>
          </w:p>
          <w:p w14:paraId="66735198">
            <w:pPr>
              <w:pStyle w:val="2"/>
              <w:ind w:firstLine="480"/>
            </w:pPr>
          </w:p>
          <w:p w14:paraId="42732BED">
            <w:pPr>
              <w:pStyle w:val="2"/>
              <w:ind w:firstLine="480"/>
            </w:pPr>
          </w:p>
          <w:p w14:paraId="110EA639">
            <w:pPr>
              <w:pStyle w:val="2"/>
              <w:ind w:firstLine="480"/>
            </w:pPr>
          </w:p>
          <w:p w14:paraId="5B6E4003">
            <w:pPr>
              <w:pStyle w:val="2"/>
              <w:ind w:firstLine="480"/>
            </w:pPr>
          </w:p>
        </w:tc>
      </w:tr>
    </w:tbl>
    <w:p w14:paraId="1AE6396F">
      <w:pPr>
        <w:adjustRightInd w:val="0"/>
        <w:snapToGrid w:val="0"/>
        <w:ind w:firstLine="562"/>
        <w:rPr>
          <w:rFonts w:ascii="宋体" w:cs="宋体"/>
          <w:b/>
          <w:kern w:val="0"/>
          <w:sz w:val="28"/>
          <w:szCs w:val="28"/>
        </w:rPr>
        <w:sectPr>
          <w:pgSz w:w="11907" w:h="16840"/>
          <w:pgMar w:top="1701" w:right="1531" w:bottom="2127" w:left="1531" w:header="851" w:footer="851" w:gutter="0"/>
          <w:pgNumType w:fmt="numberInDash"/>
          <w:cols w:space="720" w:num="1"/>
          <w:docGrid w:linePitch="312" w:charSpace="0"/>
        </w:sectPr>
      </w:pPr>
    </w:p>
    <w:p w14:paraId="6E720008">
      <w:pPr>
        <w:pStyle w:val="21"/>
        <w:numPr>
          <w:ilvl w:val="0"/>
          <w:numId w:val="8"/>
        </w:numPr>
        <w:jc w:val="center"/>
        <w:outlineLvl w:val="0"/>
        <w:rPr>
          <w:rFonts w:ascii="黑体" w:hAnsi="黑体" w:eastAsia="黑体"/>
          <w:snapToGrid w:val="0"/>
          <w:sz w:val="30"/>
          <w:szCs w:val="30"/>
        </w:rPr>
      </w:pPr>
      <w:bookmarkStart w:id="139" w:name="_Toc15774"/>
      <w:bookmarkStart w:id="140" w:name="_Hlk54167917"/>
      <w:r>
        <w:rPr>
          <w:rFonts w:hint="eastAsia" w:ascii="黑体" w:hAnsi="黑体" w:eastAsia="黑体"/>
          <w:snapToGrid w:val="0"/>
          <w:sz w:val="30"/>
          <w:szCs w:val="30"/>
        </w:rPr>
        <w:t>环境保护措施监督检查清单</w:t>
      </w:r>
      <w:bookmarkEnd w:id="139"/>
      <w:bookmarkEnd w:id="140"/>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8"/>
        <w:gridCol w:w="1438"/>
        <w:gridCol w:w="825"/>
        <w:gridCol w:w="2715"/>
        <w:gridCol w:w="2046"/>
      </w:tblGrid>
      <w:tr w14:paraId="2C1632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tcBorders>
              <w:tl2br w:val="single" w:color="auto" w:sz="4" w:space="0"/>
            </w:tcBorders>
            <w:noWrap/>
            <w:tcMar>
              <w:left w:w="28" w:type="dxa"/>
              <w:right w:w="28" w:type="dxa"/>
            </w:tcMar>
          </w:tcPr>
          <w:p w14:paraId="7576C5D8">
            <w:pPr>
              <w:pStyle w:val="40"/>
            </w:pPr>
            <w:r>
              <w:t>内容</w:t>
            </w:r>
          </w:p>
          <w:p w14:paraId="0371222E">
            <w:pPr>
              <w:pStyle w:val="40"/>
            </w:pPr>
            <w:r>
              <w:t>要素</w:t>
            </w:r>
          </w:p>
        </w:tc>
        <w:tc>
          <w:tcPr>
            <w:tcW w:w="1438" w:type="dxa"/>
            <w:noWrap/>
            <w:tcMar>
              <w:left w:w="28" w:type="dxa"/>
              <w:right w:w="28" w:type="dxa"/>
            </w:tcMar>
            <w:vAlign w:val="center"/>
          </w:tcPr>
          <w:p w14:paraId="4718A340">
            <w:pPr>
              <w:pStyle w:val="40"/>
            </w:pPr>
            <w:r>
              <w:t>排放口(编号、</w:t>
            </w:r>
          </w:p>
          <w:p w14:paraId="7B426999">
            <w:pPr>
              <w:pStyle w:val="40"/>
            </w:pPr>
            <w:r>
              <w:t>名称)/污染源</w:t>
            </w:r>
          </w:p>
        </w:tc>
        <w:tc>
          <w:tcPr>
            <w:tcW w:w="825" w:type="dxa"/>
            <w:noWrap/>
            <w:tcMar>
              <w:left w:w="28" w:type="dxa"/>
              <w:right w:w="28" w:type="dxa"/>
            </w:tcMar>
            <w:vAlign w:val="center"/>
          </w:tcPr>
          <w:p w14:paraId="7C303E63">
            <w:pPr>
              <w:pStyle w:val="40"/>
            </w:pPr>
            <w:r>
              <w:t>污染物项目</w:t>
            </w:r>
          </w:p>
        </w:tc>
        <w:tc>
          <w:tcPr>
            <w:tcW w:w="2715" w:type="dxa"/>
            <w:noWrap/>
            <w:tcMar>
              <w:left w:w="28" w:type="dxa"/>
              <w:right w:w="28" w:type="dxa"/>
            </w:tcMar>
            <w:vAlign w:val="center"/>
          </w:tcPr>
          <w:p w14:paraId="223932AD">
            <w:pPr>
              <w:pStyle w:val="40"/>
            </w:pPr>
            <w:r>
              <w:t>环境保护措施</w:t>
            </w:r>
          </w:p>
        </w:tc>
        <w:tc>
          <w:tcPr>
            <w:tcW w:w="2046" w:type="dxa"/>
            <w:noWrap/>
            <w:tcMar>
              <w:left w:w="28" w:type="dxa"/>
              <w:right w:w="28" w:type="dxa"/>
            </w:tcMar>
            <w:vAlign w:val="center"/>
          </w:tcPr>
          <w:p w14:paraId="39EBC782">
            <w:pPr>
              <w:pStyle w:val="40"/>
            </w:pPr>
            <w:r>
              <w:t>执行标准</w:t>
            </w:r>
          </w:p>
        </w:tc>
      </w:tr>
      <w:tr w14:paraId="4E2303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26" w:hRule="atLeast"/>
          <w:jc w:val="center"/>
        </w:trPr>
        <w:tc>
          <w:tcPr>
            <w:tcW w:w="1778" w:type="dxa"/>
            <w:vMerge w:val="restart"/>
            <w:noWrap/>
            <w:tcMar>
              <w:left w:w="28" w:type="dxa"/>
              <w:right w:w="28" w:type="dxa"/>
            </w:tcMar>
            <w:vAlign w:val="center"/>
          </w:tcPr>
          <w:p w14:paraId="5618A926">
            <w:pPr>
              <w:pStyle w:val="40"/>
            </w:pPr>
            <w:r>
              <w:t>大气环境</w:t>
            </w:r>
          </w:p>
        </w:tc>
        <w:tc>
          <w:tcPr>
            <w:tcW w:w="1438" w:type="dxa"/>
            <w:noWrap/>
            <w:tcMar>
              <w:left w:w="28" w:type="dxa"/>
              <w:right w:w="28" w:type="dxa"/>
            </w:tcMar>
            <w:vAlign w:val="center"/>
          </w:tcPr>
          <w:p w14:paraId="26DF8AF5">
            <w:pPr>
              <w:pStyle w:val="40"/>
            </w:pPr>
            <w:r>
              <w:t>DA00</w:t>
            </w:r>
            <w:r>
              <w:rPr>
                <w:rFonts w:hint="eastAsia"/>
              </w:rPr>
              <w:t>1</w:t>
            </w:r>
          </w:p>
        </w:tc>
        <w:tc>
          <w:tcPr>
            <w:tcW w:w="825" w:type="dxa"/>
            <w:noWrap/>
            <w:tcMar>
              <w:left w:w="28" w:type="dxa"/>
              <w:right w:w="28" w:type="dxa"/>
            </w:tcMar>
            <w:vAlign w:val="center"/>
          </w:tcPr>
          <w:p w14:paraId="5725E66A">
            <w:pPr>
              <w:pStyle w:val="40"/>
            </w:pPr>
            <w:r>
              <w:t>颗粒物</w:t>
            </w:r>
            <w:r>
              <w:rPr>
                <w:rFonts w:hint="eastAsia"/>
              </w:rPr>
              <w:t>、SO</w:t>
            </w:r>
            <w:r>
              <w:rPr>
                <w:rFonts w:hint="eastAsia"/>
                <w:vertAlign w:val="subscript"/>
              </w:rPr>
              <w:t>2</w:t>
            </w:r>
            <w:r>
              <w:rPr>
                <w:rFonts w:hint="eastAsia"/>
              </w:rPr>
              <w:t>、NOx、烟气黑度、氨逃逸</w:t>
            </w:r>
          </w:p>
        </w:tc>
        <w:tc>
          <w:tcPr>
            <w:tcW w:w="2715" w:type="dxa"/>
            <w:noWrap/>
            <w:tcMar>
              <w:left w:w="28" w:type="dxa"/>
              <w:right w:w="28" w:type="dxa"/>
            </w:tcMar>
            <w:vAlign w:val="center"/>
          </w:tcPr>
          <w:p w14:paraId="3B3109AE">
            <w:pPr>
              <w:pStyle w:val="40"/>
            </w:pPr>
            <w:r>
              <w:rPr>
                <w:rFonts w:hint="eastAsia"/>
              </w:rPr>
              <w:t>锅炉烟气经1套旋风除尘+布袋除尘器+湿式玻璃钢脱硝（SNCR）处理后经1根35m高排气筒排放</w:t>
            </w:r>
          </w:p>
        </w:tc>
        <w:tc>
          <w:tcPr>
            <w:tcW w:w="2046" w:type="dxa"/>
            <w:noWrap/>
            <w:tcMar>
              <w:left w:w="28" w:type="dxa"/>
              <w:right w:w="28" w:type="dxa"/>
            </w:tcMar>
            <w:vAlign w:val="center"/>
          </w:tcPr>
          <w:p w14:paraId="4113EEC7">
            <w:pPr>
              <w:pStyle w:val="40"/>
            </w:pPr>
            <w:r>
              <w:rPr>
                <w:rFonts w:hint="eastAsia"/>
              </w:rPr>
              <w:t>《锅炉大气污染物排放标准》（DB13/5161-2020）中表1中燃生物质成型燃料锅炉（&lt;20t/h）排放限值要求</w:t>
            </w:r>
          </w:p>
        </w:tc>
      </w:tr>
      <w:tr w14:paraId="352D8B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61" w:hRule="atLeast"/>
          <w:jc w:val="center"/>
        </w:trPr>
        <w:tc>
          <w:tcPr>
            <w:tcW w:w="1778" w:type="dxa"/>
            <w:vMerge w:val="continue"/>
            <w:noWrap/>
            <w:tcMar>
              <w:left w:w="28" w:type="dxa"/>
              <w:right w:w="28" w:type="dxa"/>
            </w:tcMar>
            <w:vAlign w:val="center"/>
          </w:tcPr>
          <w:p w14:paraId="7319668C">
            <w:pPr>
              <w:pStyle w:val="40"/>
            </w:pPr>
          </w:p>
        </w:tc>
        <w:tc>
          <w:tcPr>
            <w:tcW w:w="1438" w:type="dxa"/>
            <w:noWrap/>
            <w:tcMar>
              <w:left w:w="28" w:type="dxa"/>
              <w:right w:w="28" w:type="dxa"/>
            </w:tcMar>
            <w:vAlign w:val="center"/>
          </w:tcPr>
          <w:p w14:paraId="6506386C">
            <w:pPr>
              <w:pStyle w:val="40"/>
            </w:pPr>
            <w:r>
              <w:t>DA00</w:t>
            </w:r>
            <w:r>
              <w:rPr>
                <w:rFonts w:hint="eastAsia"/>
              </w:rPr>
              <w:t>3</w:t>
            </w:r>
          </w:p>
        </w:tc>
        <w:tc>
          <w:tcPr>
            <w:tcW w:w="825" w:type="dxa"/>
            <w:noWrap/>
            <w:tcMar>
              <w:left w:w="28" w:type="dxa"/>
              <w:right w:w="28" w:type="dxa"/>
            </w:tcMar>
            <w:vAlign w:val="center"/>
          </w:tcPr>
          <w:p w14:paraId="17EAF3A9">
            <w:pPr>
              <w:pStyle w:val="40"/>
            </w:pPr>
            <w:r>
              <w:rPr>
                <w:rFonts w:hint="eastAsia"/>
              </w:rPr>
              <w:t>氨、硫化氢、臭气浓度</w:t>
            </w:r>
          </w:p>
        </w:tc>
        <w:tc>
          <w:tcPr>
            <w:tcW w:w="2715" w:type="dxa"/>
            <w:noWrap/>
            <w:tcMar>
              <w:left w:w="28" w:type="dxa"/>
              <w:right w:w="28" w:type="dxa"/>
            </w:tcMar>
            <w:vAlign w:val="center"/>
          </w:tcPr>
          <w:p w14:paraId="0573710F">
            <w:pPr>
              <w:pStyle w:val="40"/>
            </w:pPr>
            <w:r>
              <w:rPr>
                <w:rFonts w:hint="eastAsia"/>
              </w:rPr>
              <w:t>调节池、污泥池、一体化污水处理装置、设备间产生的臭气分别经管道收集后通过1套活性炭除臭装置处理后经1根15m高排气筒排放</w:t>
            </w:r>
          </w:p>
        </w:tc>
        <w:tc>
          <w:tcPr>
            <w:tcW w:w="2046" w:type="dxa"/>
            <w:noWrap/>
            <w:tcMar>
              <w:left w:w="28" w:type="dxa"/>
              <w:right w:w="28" w:type="dxa"/>
            </w:tcMar>
            <w:vAlign w:val="center"/>
          </w:tcPr>
          <w:p w14:paraId="347C692B">
            <w:pPr>
              <w:pStyle w:val="40"/>
            </w:pPr>
            <w:r>
              <w:rPr>
                <w:rFonts w:hint="eastAsia"/>
              </w:rPr>
              <w:t>《恶臭污染物排放标准》（GB14554-1993）表2标准</w:t>
            </w:r>
          </w:p>
        </w:tc>
      </w:tr>
      <w:tr w14:paraId="202DB1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5" w:hRule="atLeast"/>
          <w:jc w:val="center"/>
        </w:trPr>
        <w:tc>
          <w:tcPr>
            <w:tcW w:w="1778" w:type="dxa"/>
            <w:vMerge w:val="continue"/>
            <w:noWrap/>
            <w:tcMar>
              <w:left w:w="28" w:type="dxa"/>
              <w:right w:w="28" w:type="dxa"/>
            </w:tcMar>
            <w:vAlign w:val="center"/>
          </w:tcPr>
          <w:p w14:paraId="7C87D613">
            <w:pPr>
              <w:pStyle w:val="40"/>
            </w:pPr>
          </w:p>
        </w:tc>
        <w:tc>
          <w:tcPr>
            <w:tcW w:w="1438" w:type="dxa"/>
            <w:vMerge w:val="restart"/>
            <w:noWrap/>
            <w:tcMar>
              <w:left w:w="28" w:type="dxa"/>
              <w:right w:w="28" w:type="dxa"/>
            </w:tcMar>
            <w:vAlign w:val="center"/>
          </w:tcPr>
          <w:p w14:paraId="48B53BE7">
            <w:pPr>
              <w:pStyle w:val="40"/>
            </w:pPr>
            <w:r>
              <w:t>厂界</w:t>
            </w:r>
          </w:p>
        </w:tc>
        <w:tc>
          <w:tcPr>
            <w:tcW w:w="825" w:type="dxa"/>
            <w:noWrap/>
            <w:tcMar>
              <w:left w:w="28" w:type="dxa"/>
              <w:right w:w="28" w:type="dxa"/>
            </w:tcMar>
            <w:vAlign w:val="center"/>
          </w:tcPr>
          <w:p w14:paraId="59951030">
            <w:pPr>
              <w:pStyle w:val="40"/>
            </w:pPr>
            <w:r>
              <w:rPr>
                <w:rFonts w:hint="eastAsia"/>
              </w:rPr>
              <w:t>氨、硫化氢、臭气浓度</w:t>
            </w:r>
          </w:p>
        </w:tc>
        <w:tc>
          <w:tcPr>
            <w:tcW w:w="2715" w:type="dxa"/>
            <w:noWrap/>
            <w:tcMar>
              <w:left w:w="28" w:type="dxa"/>
              <w:right w:w="28" w:type="dxa"/>
            </w:tcMar>
            <w:vAlign w:val="center"/>
          </w:tcPr>
          <w:p w14:paraId="186C455B">
            <w:pPr>
              <w:pStyle w:val="40"/>
            </w:pPr>
            <w:bookmarkStart w:id="141" w:name="OLE_LINK71"/>
            <w:bookmarkStart w:id="142" w:name="OLE_LINK70"/>
            <w:bookmarkStart w:id="143" w:name="OLE_LINK69"/>
            <w:r>
              <w:rPr>
                <w:rFonts w:hint="eastAsia"/>
              </w:rPr>
              <w:t>调节池、污泥池加盖密闭，一体化污水处理装置位于地下，气浮机、压滤机位于设备间内</w:t>
            </w:r>
            <w:bookmarkEnd w:id="141"/>
            <w:bookmarkEnd w:id="142"/>
            <w:bookmarkEnd w:id="143"/>
          </w:p>
        </w:tc>
        <w:tc>
          <w:tcPr>
            <w:tcW w:w="2046" w:type="dxa"/>
            <w:noWrap/>
            <w:tcMar>
              <w:left w:w="28" w:type="dxa"/>
              <w:right w:w="28" w:type="dxa"/>
            </w:tcMar>
            <w:vAlign w:val="center"/>
          </w:tcPr>
          <w:p w14:paraId="7FF6145B">
            <w:pPr>
              <w:pStyle w:val="40"/>
            </w:pPr>
            <w:r>
              <w:rPr>
                <w:rFonts w:hint="eastAsia"/>
              </w:rPr>
              <w:t>NH</w:t>
            </w:r>
            <w:r>
              <w:rPr>
                <w:rFonts w:hint="eastAsia"/>
                <w:vertAlign w:val="subscript"/>
              </w:rPr>
              <w:t>3</w:t>
            </w:r>
            <w:r>
              <w:rPr>
                <w:rFonts w:hint="eastAsia"/>
              </w:rPr>
              <w:t>、H</w:t>
            </w:r>
            <w:r>
              <w:rPr>
                <w:rFonts w:hint="eastAsia"/>
                <w:vertAlign w:val="subscript"/>
              </w:rPr>
              <w:t>2</w:t>
            </w:r>
            <w:r>
              <w:rPr>
                <w:rFonts w:hint="eastAsia"/>
              </w:rPr>
              <w:t>S和臭气浓度执行《恶臭污染物排放标准》（GB14554-1993）表1新扩改建二级标准</w:t>
            </w:r>
          </w:p>
        </w:tc>
      </w:tr>
      <w:tr w14:paraId="2322E3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778" w:type="dxa"/>
            <w:vMerge w:val="continue"/>
            <w:noWrap/>
            <w:tcMar>
              <w:left w:w="28" w:type="dxa"/>
              <w:right w:w="28" w:type="dxa"/>
            </w:tcMar>
            <w:vAlign w:val="center"/>
          </w:tcPr>
          <w:p w14:paraId="129521B6">
            <w:pPr>
              <w:pStyle w:val="40"/>
            </w:pPr>
          </w:p>
        </w:tc>
        <w:tc>
          <w:tcPr>
            <w:tcW w:w="1438" w:type="dxa"/>
            <w:vMerge w:val="continue"/>
            <w:noWrap/>
            <w:tcMar>
              <w:left w:w="28" w:type="dxa"/>
              <w:right w:w="28" w:type="dxa"/>
            </w:tcMar>
            <w:vAlign w:val="center"/>
          </w:tcPr>
          <w:p w14:paraId="09B0FB12">
            <w:pPr>
              <w:pStyle w:val="40"/>
            </w:pPr>
          </w:p>
        </w:tc>
        <w:tc>
          <w:tcPr>
            <w:tcW w:w="825" w:type="dxa"/>
            <w:noWrap/>
            <w:tcMar>
              <w:left w:w="28" w:type="dxa"/>
              <w:right w:w="28" w:type="dxa"/>
            </w:tcMar>
            <w:vAlign w:val="center"/>
          </w:tcPr>
          <w:p w14:paraId="446A9AE5">
            <w:pPr>
              <w:pStyle w:val="40"/>
            </w:pPr>
            <w:r>
              <w:t>颗粒物</w:t>
            </w:r>
          </w:p>
        </w:tc>
        <w:tc>
          <w:tcPr>
            <w:tcW w:w="2715" w:type="dxa"/>
            <w:noWrap/>
            <w:tcMar>
              <w:left w:w="28" w:type="dxa"/>
              <w:right w:w="28" w:type="dxa"/>
            </w:tcMar>
            <w:vAlign w:val="center"/>
          </w:tcPr>
          <w:p w14:paraId="479D8721">
            <w:pPr>
              <w:pStyle w:val="40"/>
            </w:pPr>
            <w:r>
              <w:rPr>
                <w:rFonts w:hint="eastAsia"/>
              </w:rPr>
              <w:t>生物质燃料在装卸、贮存、输送阶段采取密闭措施</w:t>
            </w:r>
          </w:p>
        </w:tc>
        <w:tc>
          <w:tcPr>
            <w:tcW w:w="2046" w:type="dxa"/>
            <w:noWrap/>
            <w:tcMar>
              <w:left w:w="28" w:type="dxa"/>
              <w:right w:w="28" w:type="dxa"/>
            </w:tcMar>
            <w:vAlign w:val="center"/>
          </w:tcPr>
          <w:p w14:paraId="237ED5BC">
            <w:pPr>
              <w:pStyle w:val="40"/>
            </w:pPr>
            <w:r>
              <w:rPr>
                <w:rFonts w:hint="eastAsia"/>
              </w:rPr>
              <w:t>《大气污染物综合排放标准》</w:t>
            </w:r>
          </w:p>
          <w:p w14:paraId="36E54194">
            <w:pPr>
              <w:pStyle w:val="40"/>
            </w:pPr>
            <w:r>
              <w:rPr>
                <w:rFonts w:hint="eastAsia"/>
              </w:rPr>
              <w:t>（GB16297-1996）表2</w:t>
            </w:r>
            <w:r>
              <w:t>，同时满足《秦皇岛市人民政府办公室关于执行钢铁行业大气污染物排放特别要求的通知》</w:t>
            </w:r>
            <w:r>
              <w:rPr>
                <w:rFonts w:hint="eastAsia"/>
              </w:rPr>
              <w:t>中</w:t>
            </w:r>
            <w:r>
              <w:t>颗粒物</w:t>
            </w:r>
            <w:r>
              <w:rPr>
                <w:rFonts w:hint="eastAsia"/>
              </w:rPr>
              <w:t>厂界</w:t>
            </w:r>
            <w:r>
              <w:t>无组织排放浓度限值要求</w:t>
            </w:r>
          </w:p>
        </w:tc>
      </w:tr>
      <w:tr w14:paraId="5F5042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vMerge w:val="restart"/>
            <w:noWrap/>
            <w:tcMar>
              <w:left w:w="28" w:type="dxa"/>
              <w:right w:w="28" w:type="dxa"/>
            </w:tcMar>
            <w:vAlign w:val="center"/>
          </w:tcPr>
          <w:p w14:paraId="3C75C3C9">
            <w:pPr>
              <w:pStyle w:val="40"/>
            </w:pPr>
            <w:r>
              <w:t>地表水环境</w:t>
            </w:r>
          </w:p>
        </w:tc>
        <w:tc>
          <w:tcPr>
            <w:tcW w:w="1438" w:type="dxa"/>
            <w:noWrap/>
            <w:tcMar>
              <w:left w:w="28" w:type="dxa"/>
              <w:right w:w="28" w:type="dxa"/>
            </w:tcMar>
            <w:vAlign w:val="center"/>
          </w:tcPr>
          <w:p w14:paraId="24A3859A">
            <w:pPr>
              <w:pStyle w:val="40"/>
            </w:pPr>
            <w:r>
              <w:rPr>
                <w:rFonts w:hint="eastAsia"/>
              </w:rPr>
              <w:t>锅炉废水</w:t>
            </w:r>
          </w:p>
        </w:tc>
        <w:tc>
          <w:tcPr>
            <w:tcW w:w="825" w:type="dxa"/>
            <w:noWrap/>
            <w:tcMar>
              <w:left w:w="28" w:type="dxa"/>
              <w:right w:w="28" w:type="dxa"/>
            </w:tcMar>
            <w:vAlign w:val="center"/>
          </w:tcPr>
          <w:p w14:paraId="4B96EC2C">
            <w:pPr>
              <w:pStyle w:val="40"/>
            </w:pPr>
            <w:bookmarkStart w:id="144" w:name="OLE_LINK67"/>
            <w:bookmarkStart w:id="145" w:name="OLE_LINK68"/>
            <w:r>
              <w:t>pH</w:t>
            </w:r>
            <w:r>
              <w:rPr>
                <w:rFonts w:hint="eastAsia" w:ascii="宋体" w:hAnsi="宋体" w:cs="宋体"/>
              </w:rPr>
              <w:t xml:space="preserve">、 </w:t>
            </w:r>
            <w:r>
              <w:t>COD</w:t>
            </w:r>
            <w:r>
              <w:rPr>
                <w:rFonts w:hint="eastAsia"/>
              </w:rPr>
              <w:t>、</w:t>
            </w:r>
            <w:bookmarkEnd w:id="144"/>
            <w:bookmarkEnd w:id="145"/>
            <w:r>
              <w:rPr>
                <w:rFonts w:hint="eastAsia" w:ascii="宋体" w:hAnsi="宋体" w:cs="宋体"/>
              </w:rPr>
              <w:t>盐分</w:t>
            </w:r>
          </w:p>
        </w:tc>
        <w:tc>
          <w:tcPr>
            <w:tcW w:w="2715" w:type="dxa"/>
            <w:noWrap/>
            <w:tcMar>
              <w:left w:w="28" w:type="dxa"/>
              <w:right w:w="28" w:type="dxa"/>
            </w:tcMar>
            <w:vAlign w:val="center"/>
          </w:tcPr>
          <w:p w14:paraId="229DDC4F">
            <w:pPr>
              <w:pStyle w:val="40"/>
            </w:pPr>
            <w:r>
              <w:rPr>
                <w:rFonts w:hint="eastAsia"/>
              </w:rPr>
              <w:t>洒水抑尘</w:t>
            </w:r>
          </w:p>
        </w:tc>
        <w:tc>
          <w:tcPr>
            <w:tcW w:w="2046" w:type="dxa"/>
            <w:noWrap/>
            <w:tcMar>
              <w:left w:w="28" w:type="dxa"/>
              <w:right w:w="28" w:type="dxa"/>
            </w:tcMar>
            <w:vAlign w:val="center"/>
          </w:tcPr>
          <w:p w14:paraId="013A3EA6">
            <w:pPr>
              <w:pStyle w:val="40"/>
            </w:pPr>
            <w:r>
              <w:t>不外排</w:t>
            </w:r>
          </w:p>
        </w:tc>
      </w:tr>
      <w:tr w14:paraId="6D199E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vMerge w:val="continue"/>
            <w:noWrap/>
            <w:tcMar>
              <w:left w:w="28" w:type="dxa"/>
              <w:right w:w="28" w:type="dxa"/>
            </w:tcMar>
            <w:vAlign w:val="center"/>
          </w:tcPr>
          <w:p w14:paraId="2895D182">
            <w:pPr>
              <w:pStyle w:val="40"/>
            </w:pPr>
          </w:p>
        </w:tc>
        <w:tc>
          <w:tcPr>
            <w:tcW w:w="1438" w:type="dxa"/>
            <w:noWrap/>
            <w:tcMar>
              <w:left w:w="28" w:type="dxa"/>
              <w:right w:w="28" w:type="dxa"/>
            </w:tcMar>
            <w:vAlign w:val="center"/>
          </w:tcPr>
          <w:p w14:paraId="476F852B">
            <w:pPr>
              <w:pStyle w:val="40"/>
            </w:pPr>
            <w:r>
              <w:rPr>
                <w:rFonts w:hint="eastAsia"/>
              </w:rPr>
              <w:t>生产废水</w:t>
            </w:r>
          </w:p>
        </w:tc>
        <w:tc>
          <w:tcPr>
            <w:tcW w:w="825" w:type="dxa"/>
            <w:noWrap/>
            <w:tcMar>
              <w:left w:w="28" w:type="dxa"/>
              <w:right w:w="28" w:type="dxa"/>
            </w:tcMar>
            <w:vAlign w:val="center"/>
          </w:tcPr>
          <w:p w14:paraId="4FFAB3ED">
            <w:pPr>
              <w:pStyle w:val="40"/>
            </w:pPr>
            <w:r>
              <w:rPr>
                <w:rFonts w:hint="eastAsia"/>
              </w:rPr>
              <w:t>pH、 COD、氨氮、SS、BOD5、总磷、总氮</w:t>
            </w:r>
          </w:p>
        </w:tc>
        <w:tc>
          <w:tcPr>
            <w:tcW w:w="2715" w:type="dxa"/>
            <w:noWrap/>
            <w:tcMar>
              <w:left w:w="28" w:type="dxa"/>
              <w:right w:w="28" w:type="dxa"/>
            </w:tcMar>
            <w:vAlign w:val="center"/>
          </w:tcPr>
          <w:p w14:paraId="1BE74E1A">
            <w:pPr>
              <w:pStyle w:val="40"/>
            </w:pPr>
            <w:r>
              <w:rPr>
                <w:rFonts w:hint="eastAsia"/>
              </w:rPr>
              <w:t>废水经污水处理站处理后通过罐车拉运至秦皇岛市抚宁区中冶水务有限公司集中处理</w:t>
            </w:r>
          </w:p>
        </w:tc>
        <w:tc>
          <w:tcPr>
            <w:tcW w:w="2046" w:type="dxa"/>
            <w:noWrap/>
            <w:tcMar>
              <w:left w:w="28" w:type="dxa"/>
              <w:right w:w="28" w:type="dxa"/>
            </w:tcMar>
            <w:vAlign w:val="center"/>
          </w:tcPr>
          <w:p w14:paraId="43992A51">
            <w:pPr>
              <w:pStyle w:val="40"/>
            </w:pPr>
            <w:bookmarkStart w:id="146" w:name="OLE_LINK694"/>
            <w:bookmarkStart w:id="147" w:name="OLE_LINK693"/>
            <w:r>
              <w:rPr>
                <w:rFonts w:hint="eastAsia"/>
              </w:rPr>
              <w:t>《污水综合排放标准》（GB8978-1996）中表4三级标准</w:t>
            </w:r>
            <w:r>
              <w:rPr>
                <w:rFonts w:hint="eastAsia"/>
                <w:snapToGrid w:val="0"/>
              </w:rPr>
              <w:t>并满足</w:t>
            </w:r>
            <w:bookmarkEnd w:id="146"/>
            <w:bookmarkEnd w:id="147"/>
            <w:r>
              <w:rPr>
                <w:rFonts w:hint="eastAsia"/>
              </w:rPr>
              <w:t>秦皇岛市抚宁区中冶水务有限公司</w:t>
            </w:r>
            <w:r>
              <w:rPr>
                <w:rFonts w:hint="eastAsia"/>
                <w:lang w:val="zh-CN"/>
              </w:rPr>
              <w:t>收水水质要求</w:t>
            </w:r>
          </w:p>
        </w:tc>
      </w:tr>
      <w:tr w14:paraId="16F1A9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noWrap/>
            <w:tcMar>
              <w:left w:w="28" w:type="dxa"/>
              <w:right w:w="28" w:type="dxa"/>
            </w:tcMar>
            <w:vAlign w:val="center"/>
          </w:tcPr>
          <w:p w14:paraId="557BAA03">
            <w:pPr>
              <w:pStyle w:val="40"/>
            </w:pPr>
            <w:r>
              <w:t>声环境</w:t>
            </w:r>
          </w:p>
        </w:tc>
        <w:tc>
          <w:tcPr>
            <w:tcW w:w="1438" w:type="dxa"/>
            <w:noWrap/>
            <w:tcMar>
              <w:left w:w="28" w:type="dxa"/>
              <w:right w:w="28" w:type="dxa"/>
            </w:tcMar>
            <w:vAlign w:val="center"/>
          </w:tcPr>
          <w:p w14:paraId="188A704F">
            <w:pPr>
              <w:pStyle w:val="40"/>
            </w:pPr>
            <w:r>
              <w:t>设备运行</w:t>
            </w:r>
          </w:p>
        </w:tc>
        <w:tc>
          <w:tcPr>
            <w:tcW w:w="825" w:type="dxa"/>
            <w:noWrap/>
            <w:tcMar>
              <w:left w:w="28" w:type="dxa"/>
              <w:right w:w="28" w:type="dxa"/>
            </w:tcMar>
            <w:vAlign w:val="center"/>
          </w:tcPr>
          <w:p w14:paraId="5D403CD5">
            <w:pPr>
              <w:pStyle w:val="40"/>
            </w:pPr>
            <w:r>
              <w:t>等效A声级</w:t>
            </w:r>
          </w:p>
        </w:tc>
        <w:tc>
          <w:tcPr>
            <w:tcW w:w="2715" w:type="dxa"/>
            <w:noWrap/>
            <w:tcMar>
              <w:left w:w="28" w:type="dxa"/>
              <w:right w:w="28" w:type="dxa"/>
            </w:tcMar>
            <w:vAlign w:val="center"/>
          </w:tcPr>
          <w:p w14:paraId="6A51B1DE">
            <w:pPr>
              <w:pStyle w:val="40"/>
            </w:pPr>
            <w:r>
              <w:t>选用低噪声设备，采取设备减震，建筑隔声等措施</w:t>
            </w:r>
          </w:p>
        </w:tc>
        <w:tc>
          <w:tcPr>
            <w:tcW w:w="2046" w:type="dxa"/>
            <w:noWrap/>
            <w:tcMar>
              <w:left w:w="28" w:type="dxa"/>
              <w:right w:w="28" w:type="dxa"/>
            </w:tcMar>
            <w:vAlign w:val="center"/>
          </w:tcPr>
          <w:p w14:paraId="62D90219">
            <w:pPr>
              <w:pStyle w:val="40"/>
            </w:pPr>
            <w:r>
              <w:t>《工业企业厂界环境噪声排放标准》（GB12348-2008）</w:t>
            </w:r>
            <w:r>
              <w:rPr>
                <w:rFonts w:hint="eastAsia"/>
              </w:rPr>
              <w:t>2</w:t>
            </w:r>
            <w:r>
              <w:t>类标准</w:t>
            </w:r>
          </w:p>
        </w:tc>
      </w:tr>
      <w:tr w14:paraId="04F189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1778" w:type="dxa"/>
            <w:noWrap/>
            <w:tcMar>
              <w:left w:w="28" w:type="dxa"/>
              <w:right w:w="28" w:type="dxa"/>
            </w:tcMar>
            <w:vAlign w:val="center"/>
          </w:tcPr>
          <w:p w14:paraId="0B25CB14">
            <w:pPr>
              <w:pStyle w:val="40"/>
            </w:pPr>
            <w:r>
              <w:t>电磁辐射</w:t>
            </w:r>
          </w:p>
        </w:tc>
        <w:tc>
          <w:tcPr>
            <w:tcW w:w="1438" w:type="dxa"/>
            <w:noWrap/>
            <w:tcMar>
              <w:left w:w="28" w:type="dxa"/>
              <w:right w:w="28" w:type="dxa"/>
            </w:tcMar>
            <w:vAlign w:val="center"/>
          </w:tcPr>
          <w:p w14:paraId="01298AE9">
            <w:pPr>
              <w:pStyle w:val="40"/>
            </w:pPr>
            <w:r>
              <w:t>/</w:t>
            </w:r>
          </w:p>
        </w:tc>
        <w:tc>
          <w:tcPr>
            <w:tcW w:w="825" w:type="dxa"/>
            <w:noWrap/>
            <w:tcMar>
              <w:left w:w="28" w:type="dxa"/>
              <w:right w:w="28" w:type="dxa"/>
            </w:tcMar>
            <w:vAlign w:val="center"/>
          </w:tcPr>
          <w:p w14:paraId="6FA577E6">
            <w:pPr>
              <w:pStyle w:val="40"/>
            </w:pPr>
            <w:r>
              <w:t>/</w:t>
            </w:r>
          </w:p>
        </w:tc>
        <w:tc>
          <w:tcPr>
            <w:tcW w:w="2715" w:type="dxa"/>
            <w:noWrap/>
            <w:tcMar>
              <w:left w:w="28" w:type="dxa"/>
              <w:right w:w="28" w:type="dxa"/>
            </w:tcMar>
            <w:vAlign w:val="center"/>
          </w:tcPr>
          <w:p w14:paraId="71F6B7CB">
            <w:pPr>
              <w:pStyle w:val="40"/>
            </w:pPr>
            <w:r>
              <w:t>/</w:t>
            </w:r>
          </w:p>
        </w:tc>
        <w:tc>
          <w:tcPr>
            <w:tcW w:w="2046" w:type="dxa"/>
            <w:noWrap/>
            <w:tcMar>
              <w:left w:w="28" w:type="dxa"/>
              <w:right w:w="28" w:type="dxa"/>
            </w:tcMar>
            <w:vAlign w:val="center"/>
          </w:tcPr>
          <w:p w14:paraId="315D8E58">
            <w:pPr>
              <w:pStyle w:val="40"/>
            </w:pPr>
            <w:r>
              <w:t>/</w:t>
            </w:r>
          </w:p>
        </w:tc>
      </w:tr>
      <w:tr w14:paraId="59F480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79" w:hRule="atLeast"/>
          <w:jc w:val="center"/>
        </w:trPr>
        <w:tc>
          <w:tcPr>
            <w:tcW w:w="1778" w:type="dxa"/>
            <w:noWrap/>
            <w:tcMar>
              <w:left w:w="28" w:type="dxa"/>
              <w:right w:w="28" w:type="dxa"/>
            </w:tcMar>
            <w:vAlign w:val="center"/>
          </w:tcPr>
          <w:p w14:paraId="65E6904A">
            <w:pPr>
              <w:pStyle w:val="40"/>
            </w:pPr>
            <w:r>
              <w:t>固体废物</w:t>
            </w:r>
          </w:p>
        </w:tc>
        <w:tc>
          <w:tcPr>
            <w:tcW w:w="7024" w:type="dxa"/>
            <w:gridSpan w:val="4"/>
            <w:noWrap/>
            <w:tcMar>
              <w:left w:w="28" w:type="dxa"/>
              <w:right w:w="28" w:type="dxa"/>
            </w:tcMar>
            <w:vAlign w:val="center"/>
          </w:tcPr>
          <w:p w14:paraId="2D2D3D5D">
            <w:pPr>
              <w:pStyle w:val="40"/>
            </w:pPr>
            <w:r>
              <w:rPr>
                <w:rFonts w:hint="eastAsia"/>
              </w:rPr>
              <w:t>不合格水果、果皮、果核、软烂果块、不合格品外售农民综合利用；</w:t>
            </w:r>
            <w:r>
              <w:t>布袋收尘灰、锅炉灰渣</w:t>
            </w:r>
            <w:r>
              <w:rPr>
                <w:rFonts w:hint="eastAsia"/>
              </w:rPr>
              <w:t>收集后暂存于厂区一般工业固体废物贮存间，外售做建材；废离子树脂、废活性炭由厂家定期回收；污水处理站污泥委托环保手续齐全，具备污泥处理主体资格和技术能力的单位进行处置。</w:t>
            </w:r>
          </w:p>
        </w:tc>
      </w:tr>
      <w:tr w14:paraId="4854CB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64" w:hRule="atLeast"/>
          <w:jc w:val="center"/>
        </w:trPr>
        <w:tc>
          <w:tcPr>
            <w:tcW w:w="1778" w:type="dxa"/>
            <w:noWrap/>
            <w:tcMar>
              <w:left w:w="28" w:type="dxa"/>
              <w:right w:w="28" w:type="dxa"/>
            </w:tcMar>
            <w:vAlign w:val="center"/>
          </w:tcPr>
          <w:p w14:paraId="180FD978">
            <w:pPr>
              <w:pStyle w:val="40"/>
            </w:pPr>
            <w:r>
              <w:t>土壤及地下水</w:t>
            </w:r>
          </w:p>
          <w:p w14:paraId="6B2E7116">
            <w:pPr>
              <w:pStyle w:val="40"/>
            </w:pPr>
            <w:r>
              <w:t>污染防治措施</w:t>
            </w:r>
          </w:p>
        </w:tc>
        <w:tc>
          <w:tcPr>
            <w:tcW w:w="7024" w:type="dxa"/>
            <w:gridSpan w:val="4"/>
            <w:noWrap/>
            <w:tcMar>
              <w:left w:w="28" w:type="dxa"/>
              <w:right w:w="28" w:type="dxa"/>
            </w:tcMar>
            <w:vAlign w:val="center"/>
          </w:tcPr>
          <w:p w14:paraId="3049CED3">
            <w:pPr>
              <w:pStyle w:val="40"/>
            </w:pPr>
            <w:r>
              <w:rPr>
                <w:rFonts w:hint="eastAsia"/>
              </w:rPr>
              <w:t>厂区现有的污水处理站、厂房已采取了一般防渗措施</w:t>
            </w:r>
          </w:p>
        </w:tc>
      </w:tr>
      <w:tr w14:paraId="6891B2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17" w:hRule="atLeast"/>
          <w:jc w:val="center"/>
        </w:trPr>
        <w:tc>
          <w:tcPr>
            <w:tcW w:w="1778" w:type="dxa"/>
            <w:noWrap/>
            <w:tcMar>
              <w:left w:w="28" w:type="dxa"/>
              <w:right w:w="28" w:type="dxa"/>
            </w:tcMar>
            <w:vAlign w:val="center"/>
          </w:tcPr>
          <w:p w14:paraId="77E1B6C3">
            <w:pPr>
              <w:pStyle w:val="40"/>
            </w:pPr>
            <w:r>
              <w:t>生态保护措施</w:t>
            </w:r>
          </w:p>
        </w:tc>
        <w:tc>
          <w:tcPr>
            <w:tcW w:w="7024" w:type="dxa"/>
            <w:gridSpan w:val="4"/>
            <w:noWrap/>
            <w:tcMar>
              <w:left w:w="28" w:type="dxa"/>
              <w:right w:w="28" w:type="dxa"/>
            </w:tcMar>
            <w:vAlign w:val="center"/>
          </w:tcPr>
          <w:p w14:paraId="6BB7AF1F">
            <w:pPr>
              <w:spacing w:line="240" w:lineRule="auto"/>
              <w:ind w:firstLine="420"/>
              <w:jc w:val="center"/>
            </w:pPr>
            <w:r>
              <w:rPr>
                <w:rFonts w:hint="eastAsia"/>
              </w:rPr>
              <w:t>/</w:t>
            </w:r>
          </w:p>
        </w:tc>
      </w:tr>
      <w:tr w14:paraId="5996C1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83" w:hRule="atLeast"/>
          <w:jc w:val="center"/>
        </w:trPr>
        <w:tc>
          <w:tcPr>
            <w:tcW w:w="1778" w:type="dxa"/>
            <w:noWrap/>
            <w:tcMar>
              <w:left w:w="28" w:type="dxa"/>
              <w:right w:w="28" w:type="dxa"/>
            </w:tcMar>
            <w:vAlign w:val="center"/>
          </w:tcPr>
          <w:p w14:paraId="4A665FAB">
            <w:pPr>
              <w:pStyle w:val="40"/>
            </w:pPr>
            <w:r>
              <w:t>环境风险</w:t>
            </w:r>
          </w:p>
          <w:p w14:paraId="7E15C74A">
            <w:pPr>
              <w:pStyle w:val="40"/>
            </w:pPr>
            <w:r>
              <w:t>防范措施</w:t>
            </w:r>
          </w:p>
        </w:tc>
        <w:tc>
          <w:tcPr>
            <w:tcW w:w="7024" w:type="dxa"/>
            <w:gridSpan w:val="4"/>
            <w:noWrap/>
            <w:tcMar>
              <w:left w:w="28" w:type="dxa"/>
              <w:right w:w="28" w:type="dxa"/>
            </w:tcMar>
            <w:vAlign w:val="center"/>
          </w:tcPr>
          <w:p w14:paraId="1ADAC5E1">
            <w:pPr>
              <w:spacing w:line="240" w:lineRule="auto"/>
              <w:ind w:firstLine="420"/>
              <w:jc w:val="center"/>
            </w:pPr>
            <w:r>
              <w:rPr>
                <w:rFonts w:hint="eastAsia"/>
              </w:rPr>
              <w:t>项目使用的原辅材料均不属于有毒有害环境危险物质，因此本项目不涉及环境风险</w:t>
            </w:r>
          </w:p>
        </w:tc>
      </w:tr>
      <w:tr w14:paraId="7B9849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1778" w:type="dxa"/>
            <w:noWrap/>
            <w:tcMar>
              <w:left w:w="28" w:type="dxa"/>
              <w:right w:w="28" w:type="dxa"/>
            </w:tcMar>
            <w:vAlign w:val="center"/>
          </w:tcPr>
          <w:p w14:paraId="3839CF52">
            <w:pPr>
              <w:pStyle w:val="40"/>
            </w:pPr>
            <w:r>
              <w:t>其他环境</w:t>
            </w:r>
          </w:p>
          <w:p w14:paraId="7AD4A3C0">
            <w:pPr>
              <w:pStyle w:val="40"/>
            </w:pPr>
            <w:r>
              <w:t>管理要求</w:t>
            </w:r>
          </w:p>
        </w:tc>
        <w:tc>
          <w:tcPr>
            <w:tcW w:w="7024" w:type="dxa"/>
            <w:gridSpan w:val="4"/>
            <w:noWrap/>
            <w:tcMar>
              <w:left w:w="28" w:type="dxa"/>
              <w:right w:w="28" w:type="dxa"/>
            </w:tcMar>
            <w:vAlign w:val="center"/>
          </w:tcPr>
          <w:p w14:paraId="680D2D46">
            <w:pPr>
              <w:pStyle w:val="40"/>
            </w:pPr>
          </w:p>
          <w:p w14:paraId="79C19835">
            <w:pPr>
              <w:pStyle w:val="40"/>
            </w:pPr>
            <w:r>
              <w:t>1、按《</w:t>
            </w:r>
            <w:bookmarkStart w:id="158" w:name="_GoBack"/>
            <w:bookmarkEnd w:id="158"/>
            <w:r>
              <w:rPr>
                <w:rFonts w:hint="eastAsia"/>
                <w:lang w:eastAsia="zh-CN"/>
              </w:rPr>
              <w:t>排污许可管理条例</w:t>
            </w:r>
            <w:r>
              <w:t>》及《固定污染源排污许可分类管理名录（2019年版）》，本项目在发生实际排污行为之前，应当按照国家环境保护相关法律法规以及排污许可证申请与核发技术规范要求申请排污许可证，不得无证排污或不按证排污，本环评报告中与污染物排放相关内容要纳入排污许可证。</w:t>
            </w:r>
          </w:p>
          <w:p w14:paraId="2207E40C">
            <w:pPr>
              <w:pStyle w:val="40"/>
            </w:pPr>
            <w:r>
              <w:t>2、建立环境管理及台账管理要求。</w:t>
            </w:r>
          </w:p>
          <w:p w14:paraId="520608BD">
            <w:pPr>
              <w:pStyle w:val="40"/>
            </w:pPr>
          </w:p>
          <w:p w14:paraId="6B3FEB06">
            <w:pPr>
              <w:ind w:firstLine="420"/>
            </w:pPr>
          </w:p>
          <w:p w14:paraId="18C22F45">
            <w:pPr>
              <w:ind w:firstLine="420"/>
            </w:pPr>
          </w:p>
          <w:p w14:paraId="4CD7DDF1">
            <w:pPr>
              <w:ind w:firstLine="420"/>
            </w:pPr>
          </w:p>
          <w:p w14:paraId="6E341F7C">
            <w:pPr>
              <w:ind w:firstLine="420"/>
            </w:pPr>
          </w:p>
          <w:p w14:paraId="62731AA4">
            <w:pPr>
              <w:ind w:firstLine="420"/>
            </w:pPr>
          </w:p>
          <w:p w14:paraId="1FF76673">
            <w:pPr>
              <w:ind w:firstLine="420"/>
            </w:pPr>
          </w:p>
          <w:p w14:paraId="02BD4243">
            <w:pPr>
              <w:ind w:firstLine="420"/>
            </w:pPr>
          </w:p>
          <w:p w14:paraId="33C30C82">
            <w:pPr>
              <w:pStyle w:val="40"/>
            </w:pPr>
          </w:p>
          <w:p w14:paraId="0B3B2B16">
            <w:pPr>
              <w:pStyle w:val="40"/>
            </w:pPr>
          </w:p>
          <w:p w14:paraId="0D3301A0">
            <w:pPr>
              <w:pStyle w:val="40"/>
            </w:pPr>
          </w:p>
        </w:tc>
      </w:tr>
    </w:tbl>
    <w:p w14:paraId="3AEEA0DB">
      <w:pPr>
        <w:pStyle w:val="21"/>
        <w:adjustRightInd w:val="0"/>
        <w:snapToGrid w:val="0"/>
        <w:ind w:firstLine="480"/>
        <w:jc w:val="center"/>
        <w:outlineLvl w:val="0"/>
        <w:rPr>
          <w:rFonts w:ascii="黑体" w:hAnsi="黑体" w:eastAsia="黑体"/>
          <w:snapToGrid w:val="0"/>
          <w:sz w:val="30"/>
          <w:szCs w:val="30"/>
        </w:rPr>
      </w:pPr>
      <w:r>
        <w:rPr>
          <w:snapToGrid w:val="0"/>
        </w:rPr>
        <w:br w:type="page"/>
      </w:r>
      <w:bookmarkStart w:id="148" w:name="_Toc21711"/>
      <w:r>
        <w:rPr>
          <w:rFonts w:hint="eastAsia" w:ascii="黑体" w:hAnsi="黑体" w:eastAsia="黑体"/>
          <w:snapToGrid w:val="0"/>
          <w:sz w:val="30"/>
          <w:szCs w:val="30"/>
        </w:rPr>
        <w:t>六、结论</w:t>
      </w:r>
      <w:bookmarkEnd w:id="148"/>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4E2EE1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14:paraId="0085CD55">
            <w:pPr>
              <w:adjustRightInd w:val="0"/>
              <w:snapToGrid w:val="0"/>
              <w:spacing w:line="400" w:lineRule="exact"/>
              <w:ind w:firstLine="420"/>
              <w:rPr>
                <w:bCs/>
                <w:szCs w:val="21"/>
              </w:rPr>
            </w:pPr>
            <w:bookmarkStart w:id="149" w:name="_Hlk130217007"/>
            <w:r>
              <w:rPr>
                <w:rFonts w:hint="eastAsia"/>
                <w:bCs/>
                <w:szCs w:val="21"/>
              </w:rPr>
              <w:t>一、项目建设内容</w:t>
            </w:r>
          </w:p>
          <w:p w14:paraId="216B28BA">
            <w:pPr>
              <w:spacing w:line="400" w:lineRule="exact"/>
              <w:ind w:firstLine="420"/>
              <w:rPr>
                <w:rFonts w:hAnsi="宋体"/>
                <w:bCs/>
                <w:szCs w:val="21"/>
              </w:rPr>
            </w:pPr>
            <w:r>
              <w:rPr>
                <w:rFonts w:hint="eastAsia" w:hAnsi="宋体"/>
                <w:bCs/>
                <w:szCs w:val="21"/>
              </w:rPr>
              <w:t>秦皇岛市天马食品厂</w:t>
            </w:r>
            <w:r>
              <w:rPr>
                <w:rFonts w:hAnsi="宋体"/>
                <w:bCs/>
                <w:szCs w:val="21"/>
              </w:rPr>
              <w:t>位于</w:t>
            </w:r>
            <w:r>
              <w:rPr>
                <w:rFonts w:hint="eastAsia"/>
              </w:rPr>
              <w:t>河北省秦皇岛市抚宁区坟坨镇坟坨村</w:t>
            </w:r>
            <w:r>
              <w:rPr>
                <w:rFonts w:hAnsi="宋体"/>
                <w:bCs/>
                <w:szCs w:val="21"/>
              </w:rPr>
              <w:t>，</w:t>
            </w:r>
            <w:r>
              <w:rPr>
                <w:rFonts w:hint="eastAsia" w:hAnsi="宋体"/>
                <w:bCs/>
                <w:szCs w:val="21"/>
              </w:rPr>
              <w:t>占地面积3930</w:t>
            </w:r>
            <w:r>
              <w:rPr>
                <w:rFonts w:hAnsi="宋体"/>
                <w:bCs/>
                <w:szCs w:val="21"/>
              </w:rPr>
              <w:t>m</w:t>
            </w:r>
            <w:r>
              <w:rPr>
                <w:rFonts w:hAnsi="宋体"/>
                <w:bCs/>
                <w:szCs w:val="21"/>
                <w:vertAlign w:val="superscript"/>
              </w:rPr>
              <w:t>2</w:t>
            </w:r>
            <w:r>
              <w:rPr>
                <w:rFonts w:hAnsi="宋体"/>
                <w:bCs/>
                <w:szCs w:val="21"/>
              </w:rPr>
              <w:t>，</w:t>
            </w:r>
            <w:r>
              <w:rPr>
                <w:rFonts w:hint="eastAsia" w:hAnsi="宋体"/>
                <w:bCs/>
                <w:szCs w:val="21"/>
              </w:rPr>
              <w:t>现有水果罐头生产线1条，生产规模为年生产各类水果罐头30万瓶。</w:t>
            </w:r>
          </w:p>
          <w:p w14:paraId="5D479EEE">
            <w:pPr>
              <w:spacing w:line="400" w:lineRule="exact"/>
              <w:ind w:firstLine="420"/>
              <w:rPr>
                <w:rFonts w:hAnsi="宋体"/>
                <w:bCs/>
                <w:szCs w:val="21"/>
                <w:highlight w:val="yellow"/>
              </w:rPr>
            </w:pPr>
            <w:r>
              <w:rPr>
                <w:rFonts w:hint="eastAsia"/>
              </w:rPr>
              <w:t>现为适应市场需求，公司决定在现有生产线基础上依托现有厂区进行改扩建，</w:t>
            </w:r>
            <w:r>
              <w:rPr>
                <w:szCs w:val="21"/>
              </w:rPr>
              <w:t>主</w:t>
            </w:r>
            <w:r>
              <w:t>要建设内容为</w:t>
            </w:r>
            <w:r>
              <w:rPr>
                <w:rFonts w:hint="eastAsia"/>
              </w:rPr>
              <w:t>：</w:t>
            </w:r>
            <w:bookmarkStart w:id="150" w:name="OLE_LINK77"/>
            <w:bookmarkStart w:id="151" w:name="OLE_LINK76"/>
            <w:r>
              <w:rPr>
                <w:rFonts w:hint="eastAsia" w:hAnsi="宋体"/>
                <w:bCs/>
                <w:szCs w:val="21"/>
              </w:rPr>
              <w:t>项目不新增占地，利用现有厂房530m</w:t>
            </w:r>
            <w:r>
              <w:rPr>
                <w:rFonts w:hint="eastAsia" w:hAnsi="宋体"/>
                <w:bCs/>
                <w:szCs w:val="21"/>
                <w:vertAlign w:val="superscript"/>
              </w:rPr>
              <w:t>2</w:t>
            </w:r>
            <w:r>
              <w:rPr>
                <w:rFonts w:hint="eastAsia" w:hAnsi="宋体"/>
                <w:bCs/>
                <w:szCs w:val="21"/>
              </w:rPr>
              <w:t>（生产厂房480m</w:t>
            </w:r>
            <w:r>
              <w:rPr>
                <w:rFonts w:hint="eastAsia" w:hAnsi="宋体"/>
                <w:bCs/>
                <w:szCs w:val="21"/>
                <w:vertAlign w:val="superscript"/>
              </w:rPr>
              <w:t>2</w:t>
            </w:r>
            <w:r>
              <w:rPr>
                <w:rFonts w:hint="eastAsia" w:hAnsi="宋体"/>
                <w:bCs/>
                <w:szCs w:val="21"/>
              </w:rPr>
              <w:t>、锅炉房50m</w:t>
            </w:r>
            <w:r>
              <w:rPr>
                <w:rFonts w:hint="eastAsia" w:hAnsi="宋体"/>
                <w:bCs/>
                <w:szCs w:val="21"/>
                <w:vertAlign w:val="superscript"/>
              </w:rPr>
              <w:t>2</w:t>
            </w:r>
            <w:r>
              <w:rPr>
                <w:rFonts w:hint="eastAsia" w:hAnsi="宋体"/>
                <w:bCs/>
                <w:szCs w:val="21"/>
              </w:rPr>
              <w:t>），扩大当前水果罐头生产线规模，新增全自动挖核机、切条机等设备，预煮机改为预煮线，分选案改为分选线，装罐车改为装罐线（装罐线包括原有洗瓶机、封瓶机），取消蒸箱，杀菌车改为杀菌线，拆除现有1台2t/h生物质锅炉，新上1台型号为DZL4-1.25-T的4t/h生物质锅炉。主要生产工艺流程不变，扩建前生产规模为年生产各类水果罐头 30万瓶，扩建后生产规模为年生产各类水果罐头 40万瓶</w:t>
            </w:r>
            <w:bookmarkEnd w:id="150"/>
            <w:bookmarkEnd w:id="151"/>
            <w:r>
              <w:rPr>
                <w:rFonts w:hint="eastAsia" w:hAnsi="宋体"/>
                <w:bCs/>
                <w:szCs w:val="21"/>
              </w:rPr>
              <w:t>。</w:t>
            </w:r>
          </w:p>
          <w:p w14:paraId="4257FB9F">
            <w:pPr>
              <w:adjustRightInd w:val="0"/>
              <w:snapToGrid w:val="0"/>
              <w:spacing w:line="400" w:lineRule="exact"/>
              <w:ind w:firstLine="420"/>
              <w:rPr>
                <w:bCs/>
                <w:szCs w:val="21"/>
              </w:rPr>
            </w:pPr>
            <w:r>
              <w:rPr>
                <w:rFonts w:hint="eastAsia"/>
                <w:bCs/>
                <w:szCs w:val="21"/>
              </w:rPr>
              <w:t>经分析，</w:t>
            </w:r>
            <w:r>
              <w:rPr>
                <w:bCs/>
                <w:szCs w:val="21"/>
              </w:rPr>
              <w:t>本项目</w:t>
            </w:r>
            <w:r>
              <w:rPr>
                <w:rFonts w:hint="eastAsia"/>
                <w:bCs/>
                <w:szCs w:val="21"/>
              </w:rPr>
              <w:t>不</w:t>
            </w:r>
            <w:r>
              <w:rPr>
                <w:rFonts w:hint="eastAsia"/>
                <w:kern w:val="0"/>
                <w:szCs w:val="21"/>
              </w:rPr>
              <w:t>属于</w:t>
            </w:r>
            <w:r>
              <w:rPr>
                <w:rFonts w:ascii="宋体" w:hAnsi="宋体"/>
                <w:kern w:val="0"/>
                <w:szCs w:val="21"/>
              </w:rPr>
              <w:t>《产业结构调</w:t>
            </w:r>
            <w:r>
              <w:rPr>
                <w:rFonts w:hAnsi="宋体"/>
                <w:kern w:val="0"/>
                <w:szCs w:val="21"/>
              </w:rPr>
              <w:t>整指导目录（</w:t>
            </w:r>
            <w:r>
              <w:rPr>
                <w:kern w:val="0"/>
                <w:szCs w:val="21"/>
              </w:rPr>
              <w:t>2024</w:t>
            </w:r>
            <w:r>
              <w:rPr>
                <w:rFonts w:hAnsi="宋体"/>
                <w:kern w:val="0"/>
                <w:szCs w:val="21"/>
              </w:rPr>
              <w:t>年本）》中鼓励类</w:t>
            </w:r>
            <w:r>
              <w:rPr>
                <w:rFonts w:hint="eastAsia" w:hAnsi="宋体"/>
                <w:kern w:val="0"/>
                <w:szCs w:val="21"/>
              </w:rPr>
              <w:t>、限制类和淘汰类项目，属于允许类项目</w:t>
            </w:r>
            <w:r>
              <w:rPr>
                <w:rFonts w:hint="eastAsia"/>
                <w:bCs/>
                <w:szCs w:val="21"/>
              </w:rPr>
              <w:t>；</w:t>
            </w:r>
            <w:r>
              <w:rPr>
                <w:bCs/>
                <w:szCs w:val="21"/>
              </w:rPr>
              <w:t>另外，本项目不属于《秦皇岛市限制和禁止投资的产业目录</w:t>
            </w:r>
            <w:r>
              <w:rPr>
                <w:kern w:val="0"/>
                <w:szCs w:val="21"/>
              </w:rPr>
              <w:t>(2020年修订版)</w:t>
            </w:r>
            <w:r>
              <w:rPr>
                <w:bCs/>
                <w:szCs w:val="21"/>
              </w:rPr>
              <w:t>》中限制和禁止投资项目。</w:t>
            </w:r>
            <w:r>
              <w:rPr>
                <w:rFonts w:hint="eastAsia"/>
                <w:bCs/>
                <w:szCs w:val="21"/>
              </w:rPr>
              <w:t>同时本</w:t>
            </w:r>
            <w:r>
              <w:rPr>
                <w:bCs/>
                <w:szCs w:val="21"/>
              </w:rPr>
              <w:t>项目已取得</w:t>
            </w:r>
            <w:r>
              <w:rPr>
                <w:szCs w:val="21"/>
              </w:rPr>
              <w:t>秦皇岛市抚宁区行政审批局</w:t>
            </w:r>
            <w:r>
              <w:rPr>
                <w:bCs/>
                <w:szCs w:val="21"/>
              </w:rPr>
              <w:t>出具的《企业投资项目备案信息》（</w:t>
            </w:r>
            <w:r>
              <w:t>抚行审备〔202</w:t>
            </w:r>
            <w:r>
              <w:rPr>
                <w:rFonts w:hint="eastAsia"/>
              </w:rPr>
              <w:t>5</w:t>
            </w:r>
            <w:r>
              <w:t>〕</w:t>
            </w:r>
            <w:r>
              <w:rPr>
                <w:rFonts w:hint="eastAsia"/>
              </w:rPr>
              <w:t>40</w:t>
            </w:r>
            <w:r>
              <w:t>号</w:t>
            </w:r>
            <w:r>
              <w:rPr>
                <w:bCs/>
                <w:szCs w:val="21"/>
              </w:rPr>
              <w:t>）</w:t>
            </w:r>
            <w:r>
              <w:rPr>
                <w:rFonts w:hint="eastAsia"/>
                <w:bCs/>
                <w:szCs w:val="21"/>
              </w:rPr>
              <w:t>，</w:t>
            </w:r>
            <w:r>
              <w:rPr>
                <w:bCs/>
                <w:szCs w:val="21"/>
              </w:rPr>
              <w:t>因此，本项目符合相关产业政策</w:t>
            </w:r>
            <w:r>
              <w:rPr>
                <w:rFonts w:hint="eastAsia"/>
                <w:bCs/>
                <w:szCs w:val="21"/>
              </w:rPr>
              <w:t>，选址合理</w:t>
            </w:r>
            <w:r>
              <w:rPr>
                <w:bCs/>
                <w:szCs w:val="21"/>
              </w:rPr>
              <w:t>。</w:t>
            </w:r>
          </w:p>
          <w:bookmarkEnd w:id="149"/>
          <w:p w14:paraId="3C1956A0">
            <w:pPr>
              <w:adjustRightInd w:val="0"/>
              <w:snapToGrid w:val="0"/>
              <w:spacing w:line="400" w:lineRule="exact"/>
              <w:ind w:firstLine="420"/>
              <w:rPr>
                <w:bCs/>
                <w:szCs w:val="21"/>
              </w:rPr>
            </w:pPr>
            <w:r>
              <w:rPr>
                <w:rFonts w:hint="eastAsia"/>
                <w:bCs/>
                <w:szCs w:val="21"/>
              </w:rPr>
              <w:t>二、污染防治措施</w:t>
            </w:r>
          </w:p>
          <w:p w14:paraId="3B2BE723">
            <w:pPr>
              <w:adjustRightInd w:val="0"/>
              <w:snapToGrid w:val="0"/>
              <w:spacing w:line="400" w:lineRule="exact"/>
              <w:ind w:firstLine="420"/>
              <w:rPr>
                <w:bCs/>
                <w:szCs w:val="21"/>
              </w:rPr>
            </w:pPr>
            <w:r>
              <w:rPr>
                <w:rFonts w:hint="eastAsia"/>
                <w:bCs/>
                <w:szCs w:val="21"/>
              </w:rPr>
              <w:t>㈠施工期污染防治措施</w:t>
            </w:r>
          </w:p>
          <w:p w14:paraId="445BCFE4">
            <w:pPr>
              <w:adjustRightInd w:val="0"/>
              <w:snapToGrid w:val="0"/>
              <w:spacing w:line="400" w:lineRule="exact"/>
              <w:ind w:firstLine="420"/>
              <w:rPr>
                <w:bCs/>
                <w:szCs w:val="21"/>
                <w:highlight w:val="yellow"/>
              </w:rPr>
            </w:pPr>
            <w:r>
              <w:rPr>
                <w:rFonts w:hint="eastAsia"/>
                <w:bCs/>
                <w:szCs w:val="21"/>
              </w:rPr>
              <w:t>本项目施工期仅为设备安装</w:t>
            </w:r>
            <w:r>
              <w:rPr>
                <w:szCs w:val="21"/>
              </w:rPr>
              <w:t>调试</w:t>
            </w:r>
            <w:r>
              <w:rPr>
                <w:rFonts w:hint="eastAsia"/>
                <w:snapToGrid w:val="0"/>
                <w:kern w:val="0"/>
                <w:szCs w:val="21"/>
              </w:rPr>
              <w:t>，</w:t>
            </w:r>
            <w:r>
              <w:rPr>
                <w:bCs/>
                <w:szCs w:val="21"/>
              </w:rPr>
              <w:t>施工期环境影响主要为施工噪声</w:t>
            </w:r>
            <w:r>
              <w:rPr>
                <w:rFonts w:hint="eastAsia"/>
                <w:bCs/>
                <w:szCs w:val="21"/>
              </w:rPr>
              <w:t>、</w:t>
            </w:r>
            <w:r>
              <w:rPr>
                <w:bCs/>
                <w:szCs w:val="21"/>
              </w:rPr>
              <w:t>废水和固废等</w:t>
            </w:r>
            <w:r>
              <w:rPr>
                <w:rFonts w:hint="eastAsia"/>
                <w:bCs/>
                <w:spacing w:val="-10"/>
                <w:szCs w:val="21"/>
              </w:rPr>
              <w:t>，对环境影响较小。</w:t>
            </w:r>
          </w:p>
          <w:p w14:paraId="02BF0CE6">
            <w:pPr>
              <w:spacing w:line="400" w:lineRule="exact"/>
              <w:ind w:firstLine="420"/>
              <w:rPr>
                <w:bCs/>
              </w:rPr>
            </w:pPr>
            <w:r>
              <w:rPr>
                <w:rFonts w:hint="eastAsia"/>
                <w:bCs/>
                <w:szCs w:val="21"/>
              </w:rPr>
              <w:t>本项目施工期采用低噪声设备，合理布置施工现场，夜间不施工等措施，施工场界</w:t>
            </w:r>
            <w:r>
              <w:rPr>
                <w:bCs/>
                <w:szCs w:val="21"/>
              </w:rPr>
              <w:t>噪声排放</w:t>
            </w:r>
            <w:r>
              <w:rPr>
                <w:rFonts w:hint="eastAsia"/>
                <w:bCs/>
                <w:szCs w:val="21"/>
              </w:rPr>
              <w:t>满足</w:t>
            </w:r>
            <w:r>
              <w:rPr>
                <w:bCs/>
                <w:szCs w:val="21"/>
              </w:rPr>
              <w:t>《建筑施工场界环境噪声排放标准》(GB12523-2011)标准</w:t>
            </w:r>
            <w:r>
              <w:rPr>
                <w:rFonts w:hint="eastAsia"/>
                <w:bCs/>
                <w:szCs w:val="21"/>
              </w:rPr>
              <w:t>要求；</w:t>
            </w:r>
            <w:r>
              <w:t>施工期无生产废水产生；</w:t>
            </w:r>
            <w:r>
              <w:rPr>
                <w:rFonts w:hint="eastAsia"/>
              </w:rPr>
              <w:t>施工人员如厕利用现有旱厕，不外排</w:t>
            </w:r>
            <w:r>
              <w:rPr>
                <w:rFonts w:hint="eastAsia"/>
                <w:bCs/>
              </w:rPr>
              <w:t>；施工期</w:t>
            </w:r>
            <w:r>
              <w:rPr>
                <w:rFonts w:hint="eastAsia"/>
              </w:rPr>
              <w:t>废</w:t>
            </w:r>
            <w:r>
              <w:t>包装材料等收集后外售处理</w:t>
            </w:r>
            <w:r>
              <w:rPr>
                <w:rFonts w:hint="eastAsia"/>
                <w:bCs/>
              </w:rPr>
              <w:t>。</w:t>
            </w:r>
          </w:p>
          <w:p w14:paraId="0D2785FC">
            <w:pPr>
              <w:adjustRightInd w:val="0"/>
              <w:snapToGrid w:val="0"/>
              <w:spacing w:line="400" w:lineRule="exact"/>
              <w:ind w:firstLine="420"/>
              <w:rPr>
                <w:bCs/>
                <w:szCs w:val="21"/>
              </w:rPr>
            </w:pPr>
            <w:r>
              <w:rPr>
                <w:rFonts w:hint="eastAsia"/>
                <w:bCs/>
                <w:szCs w:val="21"/>
              </w:rPr>
              <w:t>㈡营运期污染防治措施</w:t>
            </w:r>
          </w:p>
          <w:p w14:paraId="1A0DF3DB">
            <w:pPr>
              <w:adjustRightInd w:val="0"/>
              <w:snapToGrid w:val="0"/>
              <w:spacing w:line="400" w:lineRule="exact"/>
              <w:ind w:firstLine="420"/>
            </w:pPr>
            <w:r>
              <w:rPr>
                <w:rFonts w:hint="eastAsia"/>
              </w:rPr>
              <w:t>（1）废气</w:t>
            </w:r>
          </w:p>
          <w:p w14:paraId="007DF122">
            <w:pPr>
              <w:adjustRightInd w:val="0"/>
              <w:snapToGrid w:val="0"/>
              <w:spacing w:line="400" w:lineRule="exact"/>
              <w:ind w:firstLine="420"/>
              <w:rPr>
                <w:szCs w:val="21"/>
                <w:highlight w:val="yellow"/>
              </w:rPr>
            </w:pPr>
            <w:r>
              <w:rPr>
                <w:rFonts w:hint="eastAsia"/>
              </w:rPr>
              <w:t>生物质锅炉废气经1套旋风除尘+布袋除尘器+湿式玻璃钢脱硝（SNCR）处理后经1根35m高排气筒排放。排放的</w:t>
            </w:r>
            <w:r>
              <w:t>颗粒物</w:t>
            </w:r>
            <w:r>
              <w:rPr>
                <w:rFonts w:hint="eastAsia"/>
              </w:rPr>
              <w:t>、SO</w:t>
            </w:r>
            <w:r>
              <w:rPr>
                <w:rFonts w:hint="eastAsia"/>
                <w:vertAlign w:val="subscript"/>
              </w:rPr>
              <w:t>2</w:t>
            </w:r>
            <w:r>
              <w:rPr>
                <w:rFonts w:hint="eastAsia"/>
              </w:rPr>
              <w:t>、NOx、烟气黑度、氨逃逸满足《锅炉大气污染物排放标准》（DB13/5161-2020）中表1中燃生物质成型燃料锅炉（&lt;20t/h）排放限值要求。</w:t>
            </w:r>
          </w:p>
          <w:p w14:paraId="7460DB29">
            <w:pPr>
              <w:adjustRightInd w:val="0"/>
              <w:snapToGrid w:val="0"/>
              <w:spacing w:line="400" w:lineRule="exact"/>
              <w:ind w:firstLine="420"/>
            </w:pPr>
            <w:r>
              <w:rPr>
                <w:rFonts w:hint="eastAsia"/>
              </w:rPr>
              <w:t>调节池、污泥池、一体化污水处理装置、设备间产生的臭气分别经管道收集后通过1套活性炭除臭装置处理后经1根15m高排气筒排放。排放的氨、硫化氢、臭气浓度满足《恶臭污染物排放标准》（GB14554-1993）</w:t>
            </w:r>
            <w:bookmarkStart w:id="152" w:name="OLE_LINK79"/>
            <w:bookmarkStart w:id="153" w:name="OLE_LINK78"/>
            <w:r>
              <w:rPr>
                <w:rFonts w:hint="eastAsia"/>
              </w:rPr>
              <w:t>表</w:t>
            </w:r>
            <w:bookmarkEnd w:id="152"/>
            <w:bookmarkEnd w:id="153"/>
            <w:r>
              <w:rPr>
                <w:rFonts w:hint="eastAsia"/>
              </w:rPr>
              <w:t>2标准要求。</w:t>
            </w:r>
          </w:p>
          <w:p w14:paraId="1FBF5D97">
            <w:pPr>
              <w:adjustRightInd w:val="0"/>
              <w:snapToGrid w:val="0"/>
              <w:spacing w:line="400" w:lineRule="exact"/>
              <w:ind w:firstLine="420"/>
            </w:pPr>
            <w:r>
              <w:rPr>
                <w:rFonts w:hint="eastAsia"/>
              </w:rPr>
              <w:t>调节池、污泥池加盖密闭，一体化污水处理装置位于地下，气浮机、压滤机位于密闭设备间内。未被收集的氨、硫化氢、臭气浓度满足《恶臭污染物排放标准》（GB14554-1993）表1新扩改建二级标准。</w:t>
            </w:r>
          </w:p>
          <w:p w14:paraId="7F9F503E">
            <w:pPr>
              <w:adjustRightInd w:val="0"/>
              <w:snapToGrid w:val="0"/>
              <w:spacing w:line="400" w:lineRule="exact"/>
              <w:ind w:firstLine="420"/>
              <w:rPr>
                <w:highlight w:val="yellow"/>
              </w:rPr>
            </w:pPr>
            <w:r>
              <w:rPr>
                <w:rFonts w:hint="eastAsia"/>
              </w:rPr>
              <w:t>生物质燃料在装卸、贮存、输送过程中会产生颗粒物，产生量较少，无组织排放，在装卸、贮存、输送阶段采取密闭措施，厂界颗粒物可满足《大气污染物综合排放标准》（GB16297-1996）表2无组织排放限值要求，同时满足《秦皇岛市人民政府办公室关于执行钢铁行业大气污染物排放特别要求的通知》中</w:t>
            </w:r>
            <w:r>
              <w:t>颗粒物</w:t>
            </w:r>
            <w:r>
              <w:rPr>
                <w:rFonts w:hint="eastAsia"/>
              </w:rPr>
              <w:t>厂界</w:t>
            </w:r>
            <w:r>
              <w:t>无组织排放浓度限值要求</w:t>
            </w:r>
            <w:r>
              <w:rPr>
                <w:rFonts w:hint="eastAsia"/>
              </w:rPr>
              <w:t>。</w:t>
            </w:r>
          </w:p>
          <w:p w14:paraId="59250239">
            <w:pPr>
              <w:adjustRightInd w:val="0"/>
              <w:snapToGrid w:val="0"/>
              <w:spacing w:line="400" w:lineRule="exact"/>
              <w:ind w:firstLine="420"/>
            </w:pPr>
            <w:r>
              <w:rPr>
                <w:rFonts w:hint="eastAsia"/>
              </w:rPr>
              <w:t>（2）废水</w:t>
            </w:r>
          </w:p>
          <w:p w14:paraId="39088E8B">
            <w:pPr>
              <w:adjustRightInd w:val="0"/>
              <w:snapToGrid w:val="0"/>
              <w:spacing w:line="400" w:lineRule="exact"/>
              <w:ind w:firstLine="420"/>
              <w:rPr>
                <w:highlight w:val="yellow"/>
              </w:rPr>
            </w:pPr>
            <w:r>
              <w:rPr>
                <w:rFonts w:hint="eastAsia"/>
                <w:szCs w:val="21"/>
              </w:rPr>
              <w:t>本项目废水主要为生产废水、锅炉排污水</w:t>
            </w:r>
            <w:r>
              <w:rPr>
                <w:rFonts w:hint="eastAsia"/>
              </w:rPr>
              <w:t>及软化处理废水。</w:t>
            </w:r>
            <w:r>
              <w:rPr>
                <w:rFonts w:hint="eastAsia" w:ascii="宋体" w:hAnsi="宋体" w:cs="宋体"/>
                <w:kern w:val="0"/>
                <w:szCs w:val="21"/>
              </w:rPr>
              <w:t xml:space="preserve">锅炉排水的水质较简单，污染物包括 </w:t>
            </w:r>
            <w:r>
              <w:rPr>
                <w:kern w:val="0"/>
                <w:szCs w:val="21"/>
              </w:rPr>
              <w:t>pH</w:t>
            </w:r>
            <w:r>
              <w:rPr>
                <w:rFonts w:hint="eastAsia" w:ascii="宋体" w:hAnsi="宋体" w:cs="宋体"/>
                <w:kern w:val="0"/>
                <w:szCs w:val="21"/>
              </w:rPr>
              <w:t>、</w:t>
            </w:r>
            <w:r>
              <w:rPr>
                <w:kern w:val="0"/>
                <w:szCs w:val="21"/>
              </w:rPr>
              <w:t xml:space="preserve">COD </w:t>
            </w:r>
            <w:r>
              <w:rPr>
                <w:rFonts w:hint="eastAsia" w:ascii="宋体" w:hAnsi="宋体" w:cs="宋体"/>
                <w:kern w:val="0"/>
                <w:szCs w:val="21"/>
              </w:rPr>
              <w:t>和盐分，</w:t>
            </w:r>
            <w:r>
              <w:rPr>
                <w:rFonts w:hint="eastAsia"/>
              </w:rPr>
              <w:t>用于厂区洒水抑尘，不外排。生产废水进入厂区现有污水处理站，污水处理站采用“厌氧塔+气浮+地埋式一体化污水处理装置（AC厌氧+二级接触氧化+沉淀）+过滤”处理工艺，经污水处理站处理的污水满足《污水综合排放标准》（GB8978-1996）中表4三级标准</w:t>
            </w:r>
            <w:r>
              <w:rPr>
                <w:rFonts w:hint="eastAsia"/>
                <w:snapToGrid w:val="0"/>
              </w:rPr>
              <w:t>并满足</w:t>
            </w:r>
            <w:r>
              <w:rPr>
                <w:rFonts w:hint="eastAsia"/>
              </w:rPr>
              <w:t>秦皇岛市抚宁区中冶水务有限公司</w:t>
            </w:r>
            <w:r>
              <w:rPr>
                <w:rFonts w:hint="eastAsia"/>
                <w:szCs w:val="21"/>
                <w:lang w:val="zh-CN"/>
              </w:rPr>
              <w:t>收水水质要求后</w:t>
            </w:r>
            <w:r>
              <w:rPr>
                <w:rFonts w:hint="eastAsia"/>
              </w:rPr>
              <w:t>，通过罐车拉运至秦皇岛市抚宁区中冶水务有限公司。</w:t>
            </w:r>
          </w:p>
          <w:p w14:paraId="41CA911F">
            <w:pPr>
              <w:adjustRightInd w:val="0"/>
              <w:snapToGrid w:val="0"/>
              <w:spacing w:line="400" w:lineRule="exact"/>
              <w:ind w:firstLine="420"/>
            </w:pPr>
            <w:r>
              <w:rPr>
                <w:rFonts w:hint="eastAsia"/>
              </w:rPr>
              <w:t>（3）噪声</w:t>
            </w:r>
          </w:p>
          <w:p w14:paraId="45C27161">
            <w:pPr>
              <w:adjustRightInd w:val="0"/>
              <w:snapToGrid w:val="0"/>
              <w:spacing w:line="400" w:lineRule="exact"/>
              <w:ind w:firstLine="420"/>
            </w:pPr>
            <w:r>
              <w:rPr>
                <w:rFonts w:hint="eastAsia"/>
              </w:rPr>
              <w:t>本项目主要噪声源为生产设备、锅炉运行时</w:t>
            </w:r>
            <w:r>
              <w:rPr>
                <w:rFonts w:hint="eastAsia"/>
                <w:bCs/>
                <w:szCs w:val="21"/>
              </w:rPr>
              <w:t>风机、泵类等</w:t>
            </w:r>
            <w:r>
              <w:rPr>
                <w:rFonts w:hint="eastAsia"/>
              </w:rPr>
              <w:t>，采用低噪声设备、减振、隔声，经预测可知项目厂界噪声贡献值可以满足</w:t>
            </w:r>
            <w:r>
              <w:t>《工业企业厂界环境噪声排放标准》(GB12348-2008)</w:t>
            </w:r>
            <w:r>
              <w:rPr>
                <w:rFonts w:hint="eastAsia"/>
              </w:rPr>
              <w:t>2类</w:t>
            </w:r>
            <w:r>
              <w:t>标准</w:t>
            </w:r>
            <w:r>
              <w:rPr>
                <w:rFonts w:hint="eastAsia"/>
              </w:rPr>
              <w:t>，</w:t>
            </w:r>
            <w:r>
              <w:rPr>
                <w:rFonts w:hint="eastAsia" w:ascii="宋体" w:hAnsi="宋体" w:cs="宋体"/>
                <w:kern w:val="0"/>
                <w:szCs w:val="21"/>
              </w:rPr>
              <w:t>敏感点声环境质量可满足 《声环境质量标准》（</w:t>
            </w:r>
            <w:r>
              <w:rPr>
                <w:kern w:val="0"/>
                <w:szCs w:val="21"/>
              </w:rPr>
              <w:t>GB3096-2008</w:t>
            </w:r>
            <w:r>
              <w:rPr>
                <w:rFonts w:hint="eastAsia" w:ascii="宋体" w:hAnsi="宋体" w:cs="宋体"/>
                <w:kern w:val="0"/>
                <w:szCs w:val="21"/>
              </w:rPr>
              <w:t xml:space="preserve">）表 </w:t>
            </w:r>
            <w:r>
              <w:rPr>
                <w:kern w:val="0"/>
                <w:szCs w:val="21"/>
              </w:rPr>
              <w:t>1</w:t>
            </w:r>
            <w:r>
              <w:rPr>
                <w:rFonts w:hint="eastAsia" w:ascii="宋体" w:hAnsi="宋体" w:cs="宋体"/>
                <w:kern w:val="0"/>
                <w:szCs w:val="21"/>
              </w:rPr>
              <w:t xml:space="preserve">中 </w:t>
            </w:r>
            <w:r>
              <w:rPr>
                <w:kern w:val="0"/>
                <w:szCs w:val="21"/>
              </w:rPr>
              <w:t>2</w:t>
            </w:r>
            <w:r>
              <w:rPr>
                <w:rFonts w:hint="eastAsia" w:ascii="宋体" w:hAnsi="宋体" w:cs="宋体"/>
                <w:kern w:val="0"/>
                <w:szCs w:val="21"/>
              </w:rPr>
              <w:t>类环境噪声限值要求</w:t>
            </w:r>
            <w:r>
              <w:rPr>
                <w:rFonts w:hint="eastAsia"/>
              </w:rPr>
              <w:t>，对周边声环境影响很小。</w:t>
            </w:r>
          </w:p>
          <w:p w14:paraId="4DD042E3">
            <w:pPr>
              <w:adjustRightInd w:val="0"/>
              <w:snapToGrid w:val="0"/>
              <w:spacing w:line="400" w:lineRule="exact"/>
              <w:ind w:firstLine="420"/>
            </w:pPr>
            <w:r>
              <w:rPr>
                <w:rFonts w:hint="eastAsia"/>
              </w:rPr>
              <w:t>（4）固体废物</w:t>
            </w:r>
          </w:p>
          <w:p w14:paraId="3962D87D">
            <w:pPr>
              <w:adjustRightInd w:val="0"/>
              <w:snapToGrid w:val="0"/>
              <w:spacing w:line="400" w:lineRule="exact"/>
              <w:ind w:firstLine="420"/>
            </w:pPr>
            <w:r>
              <w:rPr>
                <w:rFonts w:hint="eastAsia"/>
              </w:rPr>
              <w:t>本项目不合格水果、果皮、果核、软烂果块、不合格品外售农民综合利用；</w:t>
            </w:r>
            <w:r>
              <w:t>布袋收尘灰、锅炉灰渣</w:t>
            </w:r>
            <w:r>
              <w:rPr>
                <w:rFonts w:hint="eastAsia"/>
              </w:rPr>
              <w:t>收集后暂存于厂区一般工业固体废物贮存间，外售做建材；废离子树脂、废活性炭由厂家定期回收；污水处理站污泥委托环保手续齐全，具备污泥处理主体资格和技术能力的单位进行处置。</w:t>
            </w:r>
            <w:r>
              <w:rPr>
                <w:rFonts w:hint="eastAsia"/>
                <w:bCs/>
                <w:szCs w:val="20"/>
              </w:rPr>
              <w:t>本项目产生的固体废物均得到综合利用或合理处置，对环境影响较小。</w:t>
            </w:r>
          </w:p>
          <w:p w14:paraId="7A3E0337">
            <w:pPr>
              <w:adjustRightInd w:val="0"/>
              <w:snapToGrid w:val="0"/>
              <w:spacing w:line="400" w:lineRule="exact"/>
              <w:ind w:firstLine="420"/>
            </w:pPr>
            <w:r>
              <w:rPr>
                <w:rFonts w:hint="eastAsia"/>
              </w:rPr>
              <w:t>（5）土壤及地下水</w:t>
            </w:r>
          </w:p>
          <w:p w14:paraId="35EC6D44">
            <w:pPr>
              <w:adjustRightInd w:val="0"/>
              <w:snapToGrid w:val="0"/>
              <w:spacing w:line="400" w:lineRule="exact"/>
              <w:ind w:firstLine="420"/>
              <w:rPr>
                <w:rFonts w:ascii="宋体" w:hAnsi="宋体" w:cs="宋体"/>
                <w:kern w:val="0"/>
                <w:szCs w:val="21"/>
              </w:rPr>
            </w:pPr>
            <w:r>
              <w:rPr>
                <w:rFonts w:hint="eastAsia" w:ascii="宋体" w:hAnsi="宋体" w:cs="宋体"/>
                <w:kern w:val="0"/>
                <w:szCs w:val="21"/>
              </w:rPr>
              <w:t>本项目厂区现有的污水处理站、厂房已采取了一般防渗措施，符合防渗要求。</w:t>
            </w:r>
          </w:p>
          <w:p w14:paraId="3D820228">
            <w:pPr>
              <w:numPr>
                <w:ilvl w:val="0"/>
                <w:numId w:val="9"/>
              </w:numPr>
              <w:adjustRightInd w:val="0"/>
              <w:snapToGrid w:val="0"/>
              <w:spacing w:line="400" w:lineRule="exact"/>
              <w:ind w:firstLine="420"/>
              <w:rPr>
                <w:rFonts w:ascii="宋体" w:hAnsi="宋体" w:cs="宋体"/>
                <w:kern w:val="0"/>
                <w:szCs w:val="21"/>
              </w:rPr>
            </w:pPr>
            <w:r>
              <w:rPr>
                <w:rFonts w:hint="eastAsia"/>
              </w:rPr>
              <w:t>环境风险</w:t>
            </w:r>
          </w:p>
          <w:p w14:paraId="41695AAE">
            <w:pPr>
              <w:adjustRightInd w:val="0"/>
              <w:snapToGrid w:val="0"/>
              <w:spacing w:line="400" w:lineRule="exact"/>
              <w:ind w:firstLine="420"/>
              <w:rPr>
                <w:rFonts w:ascii="宋体" w:hAnsi="宋体" w:cs="宋体"/>
                <w:kern w:val="0"/>
                <w:szCs w:val="21"/>
              </w:rPr>
            </w:pPr>
            <w:r>
              <w:rPr>
                <w:rFonts w:hint="eastAsia" w:ascii="宋体" w:hAnsi="宋体" w:cs="宋体"/>
                <w:kern w:val="0"/>
                <w:szCs w:val="21"/>
              </w:rPr>
              <w:t>本项目使用的原辅材料均不属于有毒有害环境危险物质。因此本项目不涉及环境风险。</w:t>
            </w:r>
          </w:p>
          <w:p w14:paraId="66F9DA5A">
            <w:pPr>
              <w:numPr>
                <w:ilvl w:val="0"/>
                <w:numId w:val="10"/>
              </w:numPr>
              <w:adjustRightInd w:val="0"/>
              <w:snapToGrid w:val="0"/>
              <w:spacing w:line="400" w:lineRule="exact"/>
              <w:ind w:firstLine="420"/>
              <w:rPr>
                <w:bCs/>
                <w:szCs w:val="21"/>
              </w:rPr>
            </w:pPr>
            <w:r>
              <w:rPr>
                <w:rFonts w:hint="eastAsia"/>
                <w:bCs/>
                <w:szCs w:val="21"/>
              </w:rPr>
              <w:t>综合结论</w:t>
            </w:r>
          </w:p>
          <w:p w14:paraId="382166A5">
            <w:pPr>
              <w:adjustRightInd w:val="0"/>
              <w:snapToGrid w:val="0"/>
              <w:spacing w:line="400" w:lineRule="exact"/>
              <w:ind w:firstLine="420"/>
              <w:rPr>
                <w:bCs/>
                <w:szCs w:val="21"/>
              </w:rPr>
            </w:pPr>
            <w:r>
              <w:rPr>
                <w:bCs/>
                <w:szCs w:val="21"/>
              </w:rPr>
              <w:t>项目建设符合国家产业政策和“三线一单”要求，项目采取了排污许可推荐的可行</w:t>
            </w:r>
            <w:r>
              <w:rPr>
                <w:rFonts w:hint="eastAsia"/>
                <w:bCs/>
                <w:szCs w:val="21"/>
              </w:rPr>
              <w:t>污染防治</w:t>
            </w:r>
            <w:r>
              <w:rPr>
                <w:bCs/>
                <w:szCs w:val="21"/>
              </w:rPr>
              <w:t>技术，废气</w:t>
            </w:r>
            <w:r>
              <w:t>排放满足排放标准及特别</w:t>
            </w:r>
            <w:r>
              <w:rPr>
                <w:rFonts w:hint="eastAsia"/>
              </w:rPr>
              <w:t>管控</w:t>
            </w:r>
            <w:r>
              <w:t>要求</w:t>
            </w:r>
            <w:r>
              <w:rPr>
                <w:bCs/>
                <w:szCs w:val="21"/>
              </w:rPr>
              <w:t>，噪声达标排放，</w:t>
            </w:r>
            <w:r>
              <w:rPr>
                <w:rFonts w:hint="eastAsia"/>
                <w:bCs/>
                <w:szCs w:val="21"/>
              </w:rPr>
              <w:t>固体废物均得到综合利用或合理处置，</w:t>
            </w:r>
            <w:r>
              <w:rPr>
                <w:bCs/>
                <w:szCs w:val="21"/>
              </w:rPr>
              <w:t>对环境影响较小。在满足环评提出的各项要求和环保措施与主体工程“三同时”的基础上，从环境影响的角度分析，本项目的建设是可行的。</w:t>
            </w:r>
          </w:p>
        </w:tc>
      </w:tr>
    </w:tbl>
    <w:p w14:paraId="7AA513A3">
      <w:pPr>
        <w:ind w:firstLine="420"/>
        <w:rPr>
          <w:rFonts w:ascii="宋体"/>
        </w:rPr>
        <w:sectPr>
          <w:pgSz w:w="11906" w:h="16838"/>
          <w:pgMar w:top="1701" w:right="1531" w:bottom="1701" w:left="1531" w:header="851" w:footer="851" w:gutter="0"/>
          <w:pgNumType w:fmt="numberInDash"/>
          <w:cols w:space="720" w:num="1"/>
          <w:docGrid w:linePitch="312" w:charSpace="0"/>
        </w:sectPr>
      </w:pPr>
    </w:p>
    <w:p w14:paraId="256CA4E3">
      <w:pPr>
        <w:pStyle w:val="21"/>
        <w:adjustRightInd w:val="0"/>
        <w:snapToGrid w:val="0"/>
        <w:spacing w:before="0" w:beforeAutospacing="0" w:after="0" w:afterAutospacing="0"/>
        <w:ind w:firstLine="640"/>
        <w:outlineLvl w:val="0"/>
        <w:rPr>
          <w:rFonts w:ascii="黑体" w:hAnsi="黑体" w:eastAsia="黑体"/>
          <w:snapToGrid w:val="0"/>
          <w:sz w:val="32"/>
          <w:szCs w:val="32"/>
        </w:rPr>
      </w:pPr>
      <w:bookmarkStart w:id="154" w:name="_Toc30034"/>
      <w:r>
        <w:rPr>
          <w:rFonts w:hint="eastAsia" w:ascii="黑体" w:hAnsi="黑体" w:eastAsia="黑体"/>
          <w:snapToGrid w:val="0"/>
          <w:sz w:val="32"/>
          <w:szCs w:val="32"/>
        </w:rPr>
        <w:t>附表</w:t>
      </w:r>
      <w:bookmarkEnd w:id="154"/>
    </w:p>
    <w:p w14:paraId="0D91379D">
      <w:pPr>
        <w:pStyle w:val="21"/>
        <w:adjustRightInd w:val="0"/>
        <w:snapToGrid w:val="0"/>
        <w:spacing w:before="0" w:beforeAutospacing="0" w:after="0" w:afterAutospacing="0" w:line="500" w:lineRule="exact"/>
        <w:ind w:firstLine="760"/>
        <w:jc w:val="center"/>
        <w:outlineLvl w:val="0"/>
        <w:rPr>
          <w:rFonts w:ascii="方正小标宋_GBK" w:hAnsi="黑体" w:eastAsia="方正小标宋_GBK"/>
          <w:snapToGrid w:val="0"/>
          <w:sz w:val="38"/>
          <w:szCs w:val="38"/>
        </w:rPr>
      </w:pPr>
      <w:bookmarkStart w:id="155" w:name="_Toc5366"/>
      <w:r>
        <w:rPr>
          <w:rFonts w:hint="eastAsia" w:ascii="方正小标宋_GBK" w:hAnsi="黑体" w:eastAsia="方正小标宋_GBK"/>
          <w:snapToGrid w:val="0"/>
          <w:sz w:val="38"/>
          <w:szCs w:val="38"/>
        </w:rPr>
        <w:t>建设项目污染物排放量汇总表</w:t>
      </w:r>
      <w:bookmarkEnd w:id="155"/>
    </w:p>
    <w:tbl>
      <w:tblPr>
        <w:tblStyle w:val="25"/>
        <w:tblpPr w:leftFromText="180" w:rightFromText="180" w:vertAnchor="text" w:horzAnchor="page" w:tblpX="1610" w:tblpY="466"/>
        <w:tblOverlap w:val="never"/>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04"/>
        <w:gridCol w:w="1701"/>
        <w:gridCol w:w="1701"/>
        <w:gridCol w:w="1276"/>
        <w:gridCol w:w="1701"/>
        <w:gridCol w:w="1559"/>
        <w:gridCol w:w="1761"/>
        <w:gridCol w:w="1499"/>
        <w:gridCol w:w="1286"/>
      </w:tblGrid>
      <w:tr w14:paraId="58954D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304" w:type="dxa"/>
            <w:tcBorders>
              <w:tl2br w:val="single" w:color="auto" w:sz="4" w:space="0"/>
            </w:tcBorders>
            <w:tcMar>
              <w:left w:w="28" w:type="dxa"/>
              <w:right w:w="28" w:type="dxa"/>
            </w:tcMar>
            <w:vAlign w:val="center"/>
          </w:tcPr>
          <w:p w14:paraId="0A1945A5">
            <w:pPr>
              <w:pStyle w:val="40"/>
            </w:pPr>
            <w:r>
              <w:t>项目</w:t>
            </w:r>
          </w:p>
          <w:p w14:paraId="615B8FBC">
            <w:pPr>
              <w:pStyle w:val="40"/>
            </w:pPr>
            <w:r>
              <w:t>分类</w:t>
            </w:r>
          </w:p>
        </w:tc>
        <w:tc>
          <w:tcPr>
            <w:tcW w:w="1701" w:type="dxa"/>
            <w:tcMar>
              <w:left w:w="28" w:type="dxa"/>
              <w:right w:w="28" w:type="dxa"/>
            </w:tcMar>
            <w:vAlign w:val="center"/>
          </w:tcPr>
          <w:p w14:paraId="44D80989">
            <w:pPr>
              <w:pStyle w:val="40"/>
            </w:pPr>
            <w:r>
              <w:t>污染物名称</w:t>
            </w:r>
          </w:p>
        </w:tc>
        <w:tc>
          <w:tcPr>
            <w:tcW w:w="1701" w:type="dxa"/>
            <w:tcMar>
              <w:left w:w="28" w:type="dxa"/>
              <w:right w:w="28" w:type="dxa"/>
            </w:tcMar>
            <w:vAlign w:val="center"/>
          </w:tcPr>
          <w:p w14:paraId="3C92D385">
            <w:pPr>
              <w:pStyle w:val="40"/>
            </w:pPr>
            <w:r>
              <w:t>现有工程</w:t>
            </w:r>
          </w:p>
          <w:p w14:paraId="74B721B4">
            <w:pPr>
              <w:pStyle w:val="40"/>
            </w:pPr>
            <w:r>
              <w:t>排放量（固体废物产生量）</w:t>
            </w:r>
            <w:r>
              <w:fldChar w:fldCharType="begin"/>
            </w:r>
            <w:r>
              <w:instrText xml:space="preserve"> = 1 \* GB3 \* MERGEFORMAT </w:instrText>
            </w:r>
            <w:r>
              <w:fldChar w:fldCharType="separate"/>
            </w:r>
            <w:r>
              <w:rPr>
                <w:rFonts w:hint="eastAsia"/>
              </w:rPr>
              <w:t>①</w:t>
            </w:r>
            <w:r>
              <w:fldChar w:fldCharType="end"/>
            </w:r>
          </w:p>
        </w:tc>
        <w:tc>
          <w:tcPr>
            <w:tcW w:w="1276" w:type="dxa"/>
            <w:tcMar>
              <w:left w:w="28" w:type="dxa"/>
              <w:right w:w="28" w:type="dxa"/>
            </w:tcMar>
            <w:vAlign w:val="center"/>
          </w:tcPr>
          <w:p w14:paraId="18F6D765">
            <w:pPr>
              <w:pStyle w:val="40"/>
            </w:pPr>
            <w:r>
              <w:t>现有工程</w:t>
            </w:r>
          </w:p>
          <w:p w14:paraId="61C42DE3">
            <w:pPr>
              <w:pStyle w:val="40"/>
            </w:pPr>
            <w:r>
              <w:t>许可排放量</w:t>
            </w:r>
          </w:p>
          <w:p w14:paraId="0B6A4844">
            <w:pPr>
              <w:pStyle w:val="40"/>
            </w:pPr>
            <w:r>
              <w:fldChar w:fldCharType="begin"/>
            </w:r>
            <w:r>
              <w:instrText xml:space="preserve"> = 2 \* GB3 \* MERGEFORMAT </w:instrText>
            </w:r>
            <w:r>
              <w:fldChar w:fldCharType="separate"/>
            </w:r>
            <w:r>
              <w:rPr>
                <w:rFonts w:hint="eastAsia"/>
              </w:rPr>
              <w:t>②</w:t>
            </w:r>
            <w:r>
              <w:fldChar w:fldCharType="end"/>
            </w:r>
          </w:p>
        </w:tc>
        <w:tc>
          <w:tcPr>
            <w:tcW w:w="1701" w:type="dxa"/>
            <w:tcMar>
              <w:left w:w="28" w:type="dxa"/>
              <w:right w:w="28" w:type="dxa"/>
            </w:tcMar>
            <w:vAlign w:val="center"/>
          </w:tcPr>
          <w:p w14:paraId="5D097906">
            <w:pPr>
              <w:pStyle w:val="40"/>
            </w:pPr>
            <w:r>
              <w:t>在建工程</w:t>
            </w:r>
          </w:p>
          <w:p w14:paraId="5FF548B8">
            <w:pPr>
              <w:pStyle w:val="40"/>
            </w:pPr>
            <w:r>
              <w:t>排放量（固体废物产生量）</w:t>
            </w:r>
            <w:r>
              <w:fldChar w:fldCharType="begin"/>
            </w:r>
            <w:r>
              <w:instrText xml:space="preserve"> = 3 \* GB3 \* MERGEFORMAT </w:instrText>
            </w:r>
            <w:r>
              <w:fldChar w:fldCharType="separate"/>
            </w:r>
            <w:r>
              <w:rPr>
                <w:rFonts w:hint="eastAsia"/>
              </w:rPr>
              <w:t>③</w:t>
            </w:r>
            <w:r>
              <w:fldChar w:fldCharType="end"/>
            </w:r>
          </w:p>
        </w:tc>
        <w:tc>
          <w:tcPr>
            <w:tcW w:w="1559" w:type="dxa"/>
            <w:tcMar>
              <w:left w:w="28" w:type="dxa"/>
              <w:right w:w="28" w:type="dxa"/>
            </w:tcMar>
            <w:vAlign w:val="center"/>
          </w:tcPr>
          <w:p w14:paraId="09740D1F">
            <w:pPr>
              <w:pStyle w:val="40"/>
            </w:pPr>
            <w:r>
              <w:t>本项目</w:t>
            </w:r>
          </w:p>
          <w:p w14:paraId="3174F163">
            <w:pPr>
              <w:pStyle w:val="40"/>
            </w:pPr>
            <w:r>
              <w:t>排放量（固体废物产生量）</w:t>
            </w:r>
            <w:r>
              <w:fldChar w:fldCharType="begin"/>
            </w:r>
            <w:r>
              <w:instrText xml:space="preserve"> = 4 \* GB3 \* MERGEFORMAT </w:instrText>
            </w:r>
            <w:r>
              <w:fldChar w:fldCharType="separate"/>
            </w:r>
            <w:r>
              <w:rPr>
                <w:rFonts w:hint="eastAsia"/>
              </w:rPr>
              <w:t>④</w:t>
            </w:r>
            <w:r>
              <w:fldChar w:fldCharType="end"/>
            </w:r>
          </w:p>
        </w:tc>
        <w:tc>
          <w:tcPr>
            <w:tcW w:w="1761" w:type="dxa"/>
            <w:tcMar>
              <w:left w:w="28" w:type="dxa"/>
              <w:right w:w="28" w:type="dxa"/>
            </w:tcMar>
            <w:vAlign w:val="center"/>
          </w:tcPr>
          <w:p w14:paraId="70CF4A4A">
            <w:pPr>
              <w:pStyle w:val="40"/>
            </w:pPr>
            <w:r>
              <w:t>以新带老削减量</w:t>
            </w:r>
          </w:p>
          <w:p w14:paraId="487E4625">
            <w:pPr>
              <w:pStyle w:val="40"/>
            </w:pPr>
            <w:r>
              <w:t>（新建项目不填）</w:t>
            </w:r>
            <w:r>
              <w:fldChar w:fldCharType="begin"/>
            </w:r>
            <w:r>
              <w:instrText xml:space="preserve"> = 5 \* GB3 \* MERGEFORMAT </w:instrText>
            </w:r>
            <w:r>
              <w:fldChar w:fldCharType="separate"/>
            </w:r>
            <w:r>
              <w:rPr>
                <w:rFonts w:hint="eastAsia"/>
              </w:rPr>
              <w:t>⑤</w:t>
            </w:r>
            <w:r>
              <w:fldChar w:fldCharType="end"/>
            </w:r>
          </w:p>
        </w:tc>
        <w:tc>
          <w:tcPr>
            <w:tcW w:w="1499" w:type="dxa"/>
            <w:tcMar>
              <w:left w:w="28" w:type="dxa"/>
              <w:right w:w="28" w:type="dxa"/>
            </w:tcMar>
            <w:vAlign w:val="center"/>
          </w:tcPr>
          <w:p w14:paraId="74320C37">
            <w:pPr>
              <w:pStyle w:val="40"/>
            </w:pPr>
            <w:r>
              <w:t>本项目建成后</w:t>
            </w:r>
          </w:p>
          <w:p w14:paraId="6BABA691">
            <w:pPr>
              <w:pStyle w:val="40"/>
            </w:pPr>
            <w:r>
              <w:t>全厂排放量（固体废物产生量）</w:t>
            </w:r>
            <w:r>
              <w:fldChar w:fldCharType="begin"/>
            </w:r>
            <w:r>
              <w:instrText xml:space="preserve"> = 6 \* GB3 \* MERGEFORMAT </w:instrText>
            </w:r>
            <w:r>
              <w:fldChar w:fldCharType="separate"/>
            </w:r>
            <w:r>
              <w:rPr>
                <w:rFonts w:hint="eastAsia"/>
              </w:rPr>
              <w:t>⑥</w:t>
            </w:r>
            <w:r>
              <w:fldChar w:fldCharType="end"/>
            </w:r>
          </w:p>
        </w:tc>
        <w:tc>
          <w:tcPr>
            <w:tcW w:w="1286" w:type="dxa"/>
            <w:tcMar>
              <w:left w:w="28" w:type="dxa"/>
              <w:right w:w="28" w:type="dxa"/>
            </w:tcMar>
            <w:vAlign w:val="center"/>
          </w:tcPr>
          <w:p w14:paraId="338AC12A">
            <w:pPr>
              <w:pStyle w:val="40"/>
            </w:pPr>
            <w:r>
              <w:t>变化量</w:t>
            </w:r>
          </w:p>
          <w:p w14:paraId="5F507FB2">
            <w:pPr>
              <w:pStyle w:val="40"/>
            </w:pPr>
            <w:r>
              <w:fldChar w:fldCharType="begin"/>
            </w:r>
            <w:r>
              <w:instrText xml:space="preserve"> = 7 \* GB3 \* MERGEFORMAT </w:instrText>
            </w:r>
            <w:r>
              <w:fldChar w:fldCharType="separate"/>
            </w:r>
            <w:r>
              <w:rPr>
                <w:rFonts w:hint="eastAsia"/>
              </w:rPr>
              <w:t>⑦</w:t>
            </w:r>
            <w:r>
              <w:fldChar w:fldCharType="end"/>
            </w:r>
          </w:p>
        </w:tc>
      </w:tr>
      <w:tr w14:paraId="3E5D0F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restart"/>
            <w:vAlign w:val="center"/>
          </w:tcPr>
          <w:p w14:paraId="0805BD7A">
            <w:pPr>
              <w:pStyle w:val="40"/>
            </w:pPr>
            <w:r>
              <w:t>废气</w:t>
            </w:r>
          </w:p>
        </w:tc>
        <w:tc>
          <w:tcPr>
            <w:tcW w:w="1701" w:type="dxa"/>
            <w:vAlign w:val="center"/>
          </w:tcPr>
          <w:p w14:paraId="63367DAC">
            <w:pPr>
              <w:pStyle w:val="40"/>
            </w:pPr>
            <w:r>
              <w:rPr>
                <w:rFonts w:hint="eastAsia"/>
              </w:rPr>
              <w:t>颗粒物</w:t>
            </w:r>
          </w:p>
        </w:tc>
        <w:tc>
          <w:tcPr>
            <w:tcW w:w="1701" w:type="dxa"/>
            <w:vAlign w:val="center"/>
          </w:tcPr>
          <w:p w14:paraId="5223F335">
            <w:pPr>
              <w:pStyle w:val="40"/>
              <w:rPr>
                <w:kern w:val="2"/>
              </w:rPr>
            </w:pPr>
            <w:r>
              <w:rPr>
                <w:rFonts w:hint="eastAsia"/>
                <w:kern w:val="2"/>
              </w:rPr>
              <w:t>0.013</w:t>
            </w:r>
          </w:p>
        </w:tc>
        <w:tc>
          <w:tcPr>
            <w:tcW w:w="1276" w:type="dxa"/>
            <w:vAlign w:val="center"/>
          </w:tcPr>
          <w:p w14:paraId="55C20479">
            <w:pPr>
              <w:pStyle w:val="40"/>
            </w:pPr>
            <w:r>
              <w:rPr>
                <w:rFonts w:hint="eastAsia"/>
              </w:rPr>
              <w:t>/</w:t>
            </w:r>
          </w:p>
        </w:tc>
        <w:tc>
          <w:tcPr>
            <w:tcW w:w="1701" w:type="dxa"/>
            <w:vAlign w:val="center"/>
          </w:tcPr>
          <w:p w14:paraId="6244F79F">
            <w:pPr>
              <w:pStyle w:val="40"/>
            </w:pPr>
            <w:r>
              <w:rPr>
                <w:rFonts w:hint="eastAsia"/>
              </w:rPr>
              <w:t>/</w:t>
            </w:r>
          </w:p>
        </w:tc>
        <w:tc>
          <w:tcPr>
            <w:tcW w:w="1559" w:type="dxa"/>
            <w:vAlign w:val="center"/>
          </w:tcPr>
          <w:p w14:paraId="577FECDB">
            <w:pPr>
              <w:pStyle w:val="40"/>
              <w:rPr>
                <w:kern w:val="2"/>
              </w:rPr>
            </w:pPr>
            <w:r>
              <w:rPr>
                <w:kern w:val="2"/>
              </w:rPr>
              <w:t>0.0</w:t>
            </w:r>
            <w:r>
              <w:rPr>
                <w:rFonts w:hint="eastAsia"/>
                <w:kern w:val="2"/>
              </w:rPr>
              <w:t>9</w:t>
            </w:r>
          </w:p>
        </w:tc>
        <w:tc>
          <w:tcPr>
            <w:tcW w:w="1761" w:type="dxa"/>
            <w:vAlign w:val="center"/>
          </w:tcPr>
          <w:p w14:paraId="08D91DA5">
            <w:pPr>
              <w:pStyle w:val="40"/>
              <w:rPr>
                <w:kern w:val="2"/>
              </w:rPr>
            </w:pPr>
            <w:r>
              <w:rPr>
                <w:rFonts w:hint="eastAsia"/>
                <w:kern w:val="2"/>
              </w:rPr>
              <w:t>0.013</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E9700">
            <w:pPr>
              <w:pStyle w:val="40"/>
              <w:rPr>
                <w:kern w:val="2"/>
              </w:rPr>
            </w:pPr>
            <w:r>
              <w:rPr>
                <w:rFonts w:hint="eastAsia"/>
              </w:rPr>
              <w:t>0.09</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426C0">
            <w:pPr>
              <w:pStyle w:val="40"/>
              <w:rPr>
                <w:kern w:val="2"/>
              </w:rPr>
            </w:pPr>
            <w:r>
              <w:rPr>
                <w:rFonts w:hint="eastAsia"/>
                <w:kern w:val="2"/>
              </w:rPr>
              <w:t>+0.077</w:t>
            </w:r>
          </w:p>
        </w:tc>
      </w:tr>
      <w:tr w14:paraId="422FDF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4E89D91B">
            <w:pPr>
              <w:pStyle w:val="40"/>
            </w:pPr>
          </w:p>
        </w:tc>
        <w:tc>
          <w:tcPr>
            <w:tcW w:w="1701" w:type="dxa"/>
            <w:vAlign w:val="center"/>
          </w:tcPr>
          <w:p w14:paraId="646EC90E">
            <w:pPr>
              <w:pStyle w:val="40"/>
            </w:pPr>
            <w:r>
              <w:rPr>
                <w:rFonts w:hint="eastAsia"/>
              </w:rPr>
              <w:t>SO</w:t>
            </w:r>
            <w:r>
              <w:rPr>
                <w:rFonts w:hint="eastAsia"/>
                <w:vertAlign w:val="subscript"/>
              </w:rPr>
              <w:t>2</w:t>
            </w:r>
          </w:p>
        </w:tc>
        <w:tc>
          <w:tcPr>
            <w:tcW w:w="1701" w:type="dxa"/>
            <w:vAlign w:val="center"/>
          </w:tcPr>
          <w:p w14:paraId="3B98FEA9">
            <w:pPr>
              <w:pStyle w:val="40"/>
              <w:rPr>
                <w:kern w:val="2"/>
              </w:rPr>
            </w:pPr>
            <w:r>
              <w:rPr>
                <w:rFonts w:hint="eastAsia"/>
                <w:kern w:val="2"/>
              </w:rPr>
              <w:t>0.109</w:t>
            </w:r>
          </w:p>
        </w:tc>
        <w:tc>
          <w:tcPr>
            <w:tcW w:w="1276" w:type="dxa"/>
            <w:vAlign w:val="center"/>
          </w:tcPr>
          <w:p w14:paraId="421552A6">
            <w:pPr>
              <w:pStyle w:val="40"/>
            </w:pPr>
            <w:r>
              <w:rPr>
                <w:rFonts w:hint="eastAsia"/>
              </w:rPr>
              <w:t>/</w:t>
            </w:r>
          </w:p>
        </w:tc>
        <w:tc>
          <w:tcPr>
            <w:tcW w:w="1701" w:type="dxa"/>
            <w:vAlign w:val="center"/>
          </w:tcPr>
          <w:p w14:paraId="7F0DAFB5">
            <w:pPr>
              <w:pStyle w:val="40"/>
            </w:pPr>
            <w:r>
              <w:rPr>
                <w:rFonts w:hint="eastAsia"/>
              </w:rPr>
              <w:t>/</w:t>
            </w:r>
          </w:p>
        </w:tc>
        <w:tc>
          <w:tcPr>
            <w:tcW w:w="1559" w:type="dxa"/>
            <w:vAlign w:val="center"/>
          </w:tcPr>
          <w:p w14:paraId="1AEC8886">
            <w:pPr>
              <w:pStyle w:val="40"/>
              <w:rPr>
                <w:kern w:val="2"/>
              </w:rPr>
            </w:pPr>
            <w:r>
              <w:rPr>
                <w:kern w:val="2"/>
              </w:rPr>
              <w:t>0.12</w:t>
            </w:r>
          </w:p>
        </w:tc>
        <w:tc>
          <w:tcPr>
            <w:tcW w:w="1761" w:type="dxa"/>
            <w:vAlign w:val="center"/>
          </w:tcPr>
          <w:p w14:paraId="7E620B55">
            <w:pPr>
              <w:pStyle w:val="40"/>
              <w:rPr>
                <w:kern w:val="2"/>
              </w:rPr>
            </w:pPr>
            <w:r>
              <w:rPr>
                <w:rFonts w:hint="eastAsia"/>
                <w:kern w:val="2"/>
              </w:rPr>
              <w:t>0.109</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33B1F">
            <w:pPr>
              <w:pStyle w:val="40"/>
              <w:rPr>
                <w:kern w:val="2"/>
              </w:rPr>
            </w:pPr>
            <w:r>
              <w:rPr>
                <w:rFonts w:hint="eastAsia"/>
              </w:rPr>
              <w:t>0.12</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2FA4C">
            <w:pPr>
              <w:pStyle w:val="40"/>
              <w:rPr>
                <w:kern w:val="2"/>
              </w:rPr>
            </w:pPr>
            <w:r>
              <w:rPr>
                <w:rFonts w:hint="eastAsia"/>
                <w:kern w:val="2"/>
              </w:rPr>
              <w:t>+0.011</w:t>
            </w:r>
          </w:p>
        </w:tc>
      </w:tr>
      <w:tr w14:paraId="104AC1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492F462E">
            <w:pPr>
              <w:pStyle w:val="40"/>
            </w:pPr>
          </w:p>
        </w:tc>
        <w:tc>
          <w:tcPr>
            <w:tcW w:w="1701" w:type="dxa"/>
            <w:vAlign w:val="center"/>
          </w:tcPr>
          <w:p w14:paraId="48915B5A">
            <w:pPr>
              <w:pStyle w:val="40"/>
            </w:pPr>
            <w:r>
              <w:rPr>
                <w:rFonts w:hint="eastAsia"/>
              </w:rPr>
              <w:t>NOx</w:t>
            </w:r>
          </w:p>
        </w:tc>
        <w:tc>
          <w:tcPr>
            <w:tcW w:w="1701" w:type="dxa"/>
            <w:vAlign w:val="center"/>
          </w:tcPr>
          <w:p w14:paraId="33C4B419">
            <w:pPr>
              <w:pStyle w:val="40"/>
              <w:rPr>
                <w:kern w:val="2"/>
              </w:rPr>
            </w:pPr>
            <w:r>
              <w:rPr>
                <w:rFonts w:hint="eastAsia"/>
                <w:kern w:val="2"/>
              </w:rPr>
              <w:t>0.252</w:t>
            </w:r>
          </w:p>
        </w:tc>
        <w:tc>
          <w:tcPr>
            <w:tcW w:w="1276" w:type="dxa"/>
            <w:vAlign w:val="center"/>
          </w:tcPr>
          <w:p w14:paraId="746C5F68">
            <w:pPr>
              <w:pStyle w:val="40"/>
            </w:pPr>
            <w:r>
              <w:rPr>
                <w:rFonts w:hint="eastAsia"/>
              </w:rPr>
              <w:t>/</w:t>
            </w:r>
          </w:p>
        </w:tc>
        <w:tc>
          <w:tcPr>
            <w:tcW w:w="1701" w:type="dxa"/>
            <w:vAlign w:val="center"/>
          </w:tcPr>
          <w:p w14:paraId="66B69B6E">
            <w:pPr>
              <w:pStyle w:val="40"/>
            </w:pPr>
            <w:r>
              <w:rPr>
                <w:rFonts w:hint="eastAsia"/>
              </w:rPr>
              <w:t>/</w:t>
            </w:r>
          </w:p>
        </w:tc>
        <w:tc>
          <w:tcPr>
            <w:tcW w:w="1559" w:type="dxa"/>
            <w:vAlign w:val="center"/>
          </w:tcPr>
          <w:p w14:paraId="4E6C81EF">
            <w:pPr>
              <w:pStyle w:val="40"/>
              <w:rPr>
                <w:kern w:val="2"/>
              </w:rPr>
            </w:pPr>
            <w:r>
              <w:rPr>
                <w:kern w:val="2"/>
              </w:rPr>
              <w:t>0.416</w:t>
            </w:r>
          </w:p>
        </w:tc>
        <w:tc>
          <w:tcPr>
            <w:tcW w:w="1761" w:type="dxa"/>
            <w:vAlign w:val="center"/>
          </w:tcPr>
          <w:p w14:paraId="66B4073E">
            <w:pPr>
              <w:pStyle w:val="40"/>
              <w:rPr>
                <w:kern w:val="2"/>
              </w:rPr>
            </w:pPr>
            <w:r>
              <w:rPr>
                <w:rFonts w:hint="eastAsia"/>
                <w:kern w:val="2"/>
              </w:rPr>
              <w:t>0.252</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9016D">
            <w:pPr>
              <w:pStyle w:val="40"/>
              <w:rPr>
                <w:kern w:val="2"/>
              </w:rPr>
            </w:pPr>
            <w:r>
              <w:rPr>
                <w:rFonts w:hint="eastAsia"/>
              </w:rPr>
              <w:t>0.416</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2AE6C">
            <w:pPr>
              <w:pStyle w:val="40"/>
              <w:rPr>
                <w:kern w:val="2"/>
              </w:rPr>
            </w:pPr>
            <w:r>
              <w:rPr>
                <w:rFonts w:hint="eastAsia"/>
                <w:kern w:val="2"/>
              </w:rPr>
              <w:t>+0.164</w:t>
            </w:r>
          </w:p>
        </w:tc>
      </w:tr>
      <w:tr w14:paraId="139702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048BB9B5">
            <w:pPr>
              <w:pStyle w:val="40"/>
            </w:pPr>
            <w:bookmarkStart w:id="156" w:name="_Hlk174028603"/>
            <w:bookmarkStart w:id="157" w:name="_Hlk174028047"/>
          </w:p>
        </w:tc>
        <w:tc>
          <w:tcPr>
            <w:tcW w:w="1701" w:type="dxa"/>
            <w:vAlign w:val="center"/>
          </w:tcPr>
          <w:p w14:paraId="3DC09AAA">
            <w:pPr>
              <w:pStyle w:val="40"/>
            </w:pPr>
            <w:r>
              <w:rPr>
                <w:rFonts w:hint="eastAsia"/>
              </w:rPr>
              <w:t>烟气黑度</w:t>
            </w:r>
          </w:p>
        </w:tc>
        <w:tc>
          <w:tcPr>
            <w:tcW w:w="1701" w:type="dxa"/>
            <w:vAlign w:val="center"/>
          </w:tcPr>
          <w:p w14:paraId="610F0335">
            <w:pPr>
              <w:pStyle w:val="40"/>
              <w:rPr>
                <w:kern w:val="2"/>
              </w:rPr>
            </w:pPr>
            <w:r>
              <w:rPr>
                <w:rFonts w:hint="eastAsia"/>
                <w:kern w:val="2"/>
              </w:rPr>
              <w:t>/</w:t>
            </w:r>
          </w:p>
        </w:tc>
        <w:tc>
          <w:tcPr>
            <w:tcW w:w="1276" w:type="dxa"/>
            <w:vAlign w:val="center"/>
          </w:tcPr>
          <w:p w14:paraId="3870BE0E">
            <w:pPr>
              <w:pStyle w:val="40"/>
            </w:pPr>
            <w:r>
              <w:rPr>
                <w:rFonts w:hint="eastAsia"/>
              </w:rPr>
              <w:t>/</w:t>
            </w:r>
          </w:p>
        </w:tc>
        <w:tc>
          <w:tcPr>
            <w:tcW w:w="1701" w:type="dxa"/>
            <w:vAlign w:val="center"/>
          </w:tcPr>
          <w:p w14:paraId="43455015">
            <w:pPr>
              <w:pStyle w:val="40"/>
            </w:pPr>
            <w:r>
              <w:rPr>
                <w:rFonts w:hint="eastAsia"/>
              </w:rPr>
              <w:t>/</w:t>
            </w:r>
          </w:p>
        </w:tc>
        <w:tc>
          <w:tcPr>
            <w:tcW w:w="1559" w:type="dxa"/>
            <w:vAlign w:val="center"/>
          </w:tcPr>
          <w:p w14:paraId="34558F5D">
            <w:pPr>
              <w:pStyle w:val="40"/>
              <w:rPr>
                <w:kern w:val="2"/>
              </w:rPr>
            </w:pPr>
            <w:r>
              <w:rPr>
                <w:rFonts w:hint="eastAsia"/>
                <w:kern w:val="2"/>
              </w:rPr>
              <w:t>/</w:t>
            </w:r>
          </w:p>
        </w:tc>
        <w:tc>
          <w:tcPr>
            <w:tcW w:w="1761" w:type="dxa"/>
            <w:vAlign w:val="center"/>
          </w:tcPr>
          <w:p w14:paraId="153856E3">
            <w:pPr>
              <w:pStyle w:val="40"/>
              <w:rPr>
                <w:kern w:val="2"/>
              </w:rPr>
            </w:pPr>
            <w:r>
              <w:rPr>
                <w:rFonts w:hint="eastAsia"/>
                <w:kern w:val="2"/>
              </w:rPr>
              <w:t>/</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73033">
            <w:pPr>
              <w:pStyle w:val="40"/>
              <w:rPr>
                <w:kern w:val="2"/>
              </w:rPr>
            </w:pPr>
            <w:r>
              <w:rPr>
                <w:rFonts w:hint="eastAsia"/>
                <w:kern w:val="2"/>
              </w:rPr>
              <w:t>/</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EE87E">
            <w:pPr>
              <w:pStyle w:val="40"/>
              <w:rPr>
                <w:kern w:val="2"/>
              </w:rPr>
            </w:pPr>
            <w:r>
              <w:rPr>
                <w:rFonts w:hint="eastAsia"/>
                <w:kern w:val="2"/>
              </w:rPr>
              <w:t>/</w:t>
            </w:r>
          </w:p>
        </w:tc>
      </w:tr>
      <w:tr w14:paraId="4AD264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685D031A">
            <w:pPr>
              <w:pStyle w:val="40"/>
            </w:pPr>
          </w:p>
        </w:tc>
        <w:tc>
          <w:tcPr>
            <w:tcW w:w="1701" w:type="dxa"/>
            <w:vAlign w:val="center"/>
          </w:tcPr>
          <w:p w14:paraId="02C93DC1">
            <w:pPr>
              <w:pStyle w:val="40"/>
            </w:pPr>
            <w:r>
              <w:rPr>
                <w:rFonts w:hint="eastAsia"/>
              </w:rPr>
              <w:t>氨逃逸</w:t>
            </w:r>
          </w:p>
        </w:tc>
        <w:tc>
          <w:tcPr>
            <w:tcW w:w="1701" w:type="dxa"/>
            <w:vAlign w:val="center"/>
          </w:tcPr>
          <w:p w14:paraId="75E4DA81">
            <w:pPr>
              <w:pStyle w:val="40"/>
              <w:rPr>
                <w:kern w:val="2"/>
              </w:rPr>
            </w:pPr>
            <w:r>
              <w:rPr>
                <w:rFonts w:hint="eastAsia"/>
                <w:kern w:val="2"/>
              </w:rPr>
              <w:t>/</w:t>
            </w:r>
          </w:p>
        </w:tc>
        <w:tc>
          <w:tcPr>
            <w:tcW w:w="1276" w:type="dxa"/>
            <w:vAlign w:val="center"/>
          </w:tcPr>
          <w:p w14:paraId="58C870B8">
            <w:pPr>
              <w:pStyle w:val="40"/>
            </w:pPr>
            <w:r>
              <w:rPr>
                <w:rFonts w:hint="eastAsia"/>
              </w:rPr>
              <w:t>/</w:t>
            </w:r>
          </w:p>
        </w:tc>
        <w:tc>
          <w:tcPr>
            <w:tcW w:w="1701" w:type="dxa"/>
            <w:vAlign w:val="center"/>
          </w:tcPr>
          <w:p w14:paraId="7081B6A2">
            <w:pPr>
              <w:pStyle w:val="40"/>
            </w:pPr>
            <w:r>
              <w:rPr>
                <w:rFonts w:hint="eastAsia"/>
              </w:rPr>
              <w:t>/</w:t>
            </w:r>
          </w:p>
        </w:tc>
        <w:tc>
          <w:tcPr>
            <w:tcW w:w="1559" w:type="dxa"/>
            <w:vAlign w:val="center"/>
          </w:tcPr>
          <w:p w14:paraId="00E0956C">
            <w:pPr>
              <w:pStyle w:val="40"/>
              <w:rPr>
                <w:kern w:val="2"/>
              </w:rPr>
            </w:pPr>
            <w:r>
              <w:rPr>
                <w:rFonts w:hint="eastAsia"/>
                <w:kern w:val="2"/>
              </w:rPr>
              <w:t>0.002</w:t>
            </w:r>
          </w:p>
        </w:tc>
        <w:tc>
          <w:tcPr>
            <w:tcW w:w="1761" w:type="dxa"/>
            <w:vAlign w:val="center"/>
          </w:tcPr>
          <w:p w14:paraId="02BEBCA4">
            <w:pPr>
              <w:pStyle w:val="40"/>
              <w:rPr>
                <w:kern w:val="2"/>
              </w:rPr>
            </w:pPr>
            <w:r>
              <w:rPr>
                <w:rFonts w:hint="eastAsia"/>
                <w:kern w:val="2"/>
              </w:rPr>
              <w:t>/</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ABC60">
            <w:pPr>
              <w:pStyle w:val="40"/>
              <w:rPr>
                <w:kern w:val="2"/>
              </w:rPr>
            </w:pPr>
            <w:r>
              <w:rPr>
                <w:rFonts w:hint="eastAsia"/>
                <w:kern w:val="2"/>
              </w:rPr>
              <w:t>0.002</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554F6">
            <w:pPr>
              <w:pStyle w:val="40"/>
              <w:rPr>
                <w:kern w:val="2"/>
              </w:rPr>
            </w:pPr>
            <w:r>
              <w:rPr>
                <w:rFonts w:hint="eastAsia"/>
                <w:kern w:val="2"/>
              </w:rPr>
              <w:t>+0.002</w:t>
            </w:r>
          </w:p>
        </w:tc>
      </w:tr>
      <w:tr w14:paraId="4D942C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61131F49">
            <w:pPr>
              <w:pStyle w:val="40"/>
            </w:pPr>
          </w:p>
        </w:tc>
        <w:tc>
          <w:tcPr>
            <w:tcW w:w="1701" w:type="dxa"/>
            <w:vAlign w:val="center"/>
          </w:tcPr>
          <w:p w14:paraId="5F4C22DA">
            <w:pPr>
              <w:pStyle w:val="40"/>
            </w:pPr>
            <w:r>
              <w:rPr>
                <w:rFonts w:hint="eastAsia"/>
              </w:rPr>
              <w:t>氨</w:t>
            </w:r>
          </w:p>
        </w:tc>
        <w:tc>
          <w:tcPr>
            <w:tcW w:w="1701" w:type="dxa"/>
            <w:vAlign w:val="center"/>
          </w:tcPr>
          <w:p w14:paraId="0DC18625">
            <w:pPr>
              <w:pStyle w:val="40"/>
              <w:rPr>
                <w:kern w:val="2"/>
              </w:rPr>
            </w:pPr>
            <w:r>
              <w:rPr>
                <w:kern w:val="2"/>
              </w:rPr>
              <w:t>0.0015</w:t>
            </w:r>
          </w:p>
        </w:tc>
        <w:tc>
          <w:tcPr>
            <w:tcW w:w="1276" w:type="dxa"/>
            <w:vAlign w:val="center"/>
          </w:tcPr>
          <w:p w14:paraId="60968AC2">
            <w:pPr>
              <w:pStyle w:val="40"/>
            </w:pPr>
            <w:r>
              <w:rPr>
                <w:rFonts w:hint="eastAsia"/>
              </w:rPr>
              <w:t>/</w:t>
            </w:r>
          </w:p>
        </w:tc>
        <w:tc>
          <w:tcPr>
            <w:tcW w:w="1701" w:type="dxa"/>
            <w:vAlign w:val="center"/>
          </w:tcPr>
          <w:p w14:paraId="4AA860DF">
            <w:pPr>
              <w:pStyle w:val="40"/>
            </w:pPr>
            <w:r>
              <w:rPr>
                <w:rFonts w:hint="eastAsia"/>
              </w:rPr>
              <w:t>/</w:t>
            </w:r>
          </w:p>
        </w:tc>
        <w:tc>
          <w:tcPr>
            <w:tcW w:w="1559" w:type="dxa"/>
            <w:vAlign w:val="center"/>
          </w:tcPr>
          <w:p w14:paraId="6410FEC3">
            <w:pPr>
              <w:pStyle w:val="40"/>
              <w:rPr>
                <w:kern w:val="2"/>
              </w:rPr>
            </w:pPr>
            <w:r>
              <w:rPr>
                <w:kern w:val="2"/>
              </w:rPr>
              <w:t>0.0018</w:t>
            </w:r>
          </w:p>
        </w:tc>
        <w:tc>
          <w:tcPr>
            <w:tcW w:w="1761" w:type="dxa"/>
            <w:vAlign w:val="center"/>
          </w:tcPr>
          <w:p w14:paraId="2324DEEF">
            <w:pPr>
              <w:pStyle w:val="40"/>
              <w:rPr>
                <w:kern w:val="2"/>
              </w:rPr>
            </w:pPr>
            <w:r>
              <w:rPr>
                <w:rFonts w:hint="eastAsia"/>
                <w:kern w:val="2"/>
              </w:rPr>
              <w:t>/</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CF98A">
            <w:pPr>
              <w:pStyle w:val="40"/>
              <w:rPr>
                <w:kern w:val="2"/>
              </w:rPr>
            </w:pPr>
            <w:r>
              <w:rPr>
                <w:rFonts w:hint="eastAsia"/>
                <w:kern w:val="2"/>
              </w:rPr>
              <w:t>0.0033</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2B87F">
            <w:pPr>
              <w:pStyle w:val="40"/>
              <w:rPr>
                <w:kern w:val="2"/>
              </w:rPr>
            </w:pPr>
            <w:r>
              <w:rPr>
                <w:rFonts w:hint="eastAsia"/>
                <w:kern w:val="2"/>
              </w:rPr>
              <w:t>+</w:t>
            </w:r>
            <w:r>
              <w:rPr>
                <w:kern w:val="2"/>
              </w:rPr>
              <w:t>0.0018</w:t>
            </w:r>
          </w:p>
        </w:tc>
      </w:tr>
      <w:tr w14:paraId="2CC413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647EA99E">
            <w:pPr>
              <w:pStyle w:val="40"/>
            </w:pPr>
          </w:p>
        </w:tc>
        <w:tc>
          <w:tcPr>
            <w:tcW w:w="1701" w:type="dxa"/>
            <w:vAlign w:val="center"/>
          </w:tcPr>
          <w:p w14:paraId="46F806CE">
            <w:pPr>
              <w:pStyle w:val="40"/>
            </w:pPr>
            <w:r>
              <w:rPr>
                <w:rFonts w:hint="eastAsia"/>
              </w:rPr>
              <w:t>硫化氢</w:t>
            </w:r>
          </w:p>
        </w:tc>
        <w:tc>
          <w:tcPr>
            <w:tcW w:w="1701" w:type="dxa"/>
            <w:vAlign w:val="center"/>
          </w:tcPr>
          <w:p w14:paraId="3163D3E2">
            <w:pPr>
              <w:pStyle w:val="40"/>
              <w:rPr>
                <w:kern w:val="2"/>
              </w:rPr>
            </w:pPr>
            <w:r>
              <w:rPr>
                <w:kern w:val="2"/>
              </w:rPr>
              <w:t>0.00003</w:t>
            </w:r>
          </w:p>
        </w:tc>
        <w:tc>
          <w:tcPr>
            <w:tcW w:w="1276" w:type="dxa"/>
            <w:vAlign w:val="center"/>
          </w:tcPr>
          <w:p w14:paraId="6A97590D">
            <w:pPr>
              <w:pStyle w:val="40"/>
            </w:pPr>
            <w:r>
              <w:rPr>
                <w:rFonts w:hint="eastAsia"/>
              </w:rPr>
              <w:t>/</w:t>
            </w:r>
          </w:p>
        </w:tc>
        <w:tc>
          <w:tcPr>
            <w:tcW w:w="1701" w:type="dxa"/>
            <w:vAlign w:val="center"/>
          </w:tcPr>
          <w:p w14:paraId="224AC53E">
            <w:pPr>
              <w:pStyle w:val="40"/>
            </w:pPr>
            <w:r>
              <w:rPr>
                <w:rFonts w:hint="eastAsia"/>
              </w:rPr>
              <w:t>/</w:t>
            </w:r>
          </w:p>
        </w:tc>
        <w:tc>
          <w:tcPr>
            <w:tcW w:w="1559" w:type="dxa"/>
            <w:vAlign w:val="center"/>
          </w:tcPr>
          <w:p w14:paraId="4158328B">
            <w:pPr>
              <w:pStyle w:val="40"/>
              <w:rPr>
                <w:kern w:val="2"/>
              </w:rPr>
            </w:pPr>
            <w:r>
              <w:rPr>
                <w:kern w:val="2"/>
              </w:rPr>
              <w:t>0.000072</w:t>
            </w:r>
          </w:p>
        </w:tc>
        <w:tc>
          <w:tcPr>
            <w:tcW w:w="1761" w:type="dxa"/>
            <w:vAlign w:val="center"/>
          </w:tcPr>
          <w:p w14:paraId="79BC6EE3">
            <w:pPr>
              <w:pStyle w:val="40"/>
              <w:rPr>
                <w:kern w:val="2"/>
              </w:rPr>
            </w:pPr>
            <w:r>
              <w:rPr>
                <w:rFonts w:hint="eastAsia"/>
                <w:kern w:val="2"/>
              </w:rPr>
              <w:t>/</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20CF9">
            <w:pPr>
              <w:pStyle w:val="40"/>
              <w:rPr>
                <w:kern w:val="2"/>
              </w:rPr>
            </w:pPr>
            <w:r>
              <w:rPr>
                <w:rFonts w:hint="eastAsia"/>
                <w:kern w:val="2"/>
              </w:rPr>
              <w:t>0.000102</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80E02">
            <w:pPr>
              <w:pStyle w:val="40"/>
              <w:rPr>
                <w:kern w:val="2"/>
              </w:rPr>
            </w:pPr>
            <w:r>
              <w:rPr>
                <w:rFonts w:hint="eastAsia"/>
                <w:kern w:val="2"/>
              </w:rPr>
              <w:t>+</w:t>
            </w:r>
            <w:r>
              <w:rPr>
                <w:kern w:val="2"/>
              </w:rPr>
              <w:t>0.000072</w:t>
            </w:r>
          </w:p>
        </w:tc>
      </w:tr>
      <w:tr w14:paraId="39D8CC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25E47F8E">
            <w:pPr>
              <w:pStyle w:val="40"/>
            </w:pPr>
          </w:p>
        </w:tc>
        <w:tc>
          <w:tcPr>
            <w:tcW w:w="1701" w:type="dxa"/>
            <w:vAlign w:val="center"/>
          </w:tcPr>
          <w:p w14:paraId="7B490D96">
            <w:pPr>
              <w:pStyle w:val="40"/>
            </w:pPr>
            <w:r>
              <w:rPr>
                <w:rFonts w:hint="eastAsia"/>
              </w:rPr>
              <w:t>臭气浓度</w:t>
            </w:r>
          </w:p>
        </w:tc>
        <w:tc>
          <w:tcPr>
            <w:tcW w:w="1701" w:type="dxa"/>
            <w:vAlign w:val="center"/>
          </w:tcPr>
          <w:p w14:paraId="13FF00FA">
            <w:pPr>
              <w:pStyle w:val="40"/>
              <w:rPr>
                <w:kern w:val="2"/>
              </w:rPr>
            </w:pPr>
            <w:r>
              <w:rPr>
                <w:rFonts w:hint="eastAsia"/>
                <w:kern w:val="2"/>
              </w:rPr>
              <w:t>/</w:t>
            </w:r>
          </w:p>
        </w:tc>
        <w:tc>
          <w:tcPr>
            <w:tcW w:w="1276" w:type="dxa"/>
            <w:vAlign w:val="center"/>
          </w:tcPr>
          <w:p w14:paraId="53D736FD">
            <w:pPr>
              <w:pStyle w:val="40"/>
            </w:pPr>
            <w:r>
              <w:rPr>
                <w:rFonts w:hint="eastAsia"/>
              </w:rPr>
              <w:t>/</w:t>
            </w:r>
          </w:p>
        </w:tc>
        <w:tc>
          <w:tcPr>
            <w:tcW w:w="1701" w:type="dxa"/>
            <w:vAlign w:val="center"/>
          </w:tcPr>
          <w:p w14:paraId="6F85E44B">
            <w:pPr>
              <w:pStyle w:val="40"/>
            </w:pPr>
            <w:r>
              <w:rPr>
                <w:rFonts w:hint="eastAsia"/>
              </w:rPr>
              <w:t>/</w:t>
            </w:r>
          </w:p>
        </w:tc>
        <w:tc>
          <w:tcPr>
            <w:tcW w:w="1559" w:type="dxa"/>
            <w:vAlign w:val="center"/>
          </w:tcPr>
          <w:p w14:paraId="2F17CE95">
            <w:pPr>
              <w:pStyle w:val="40"/>
              <w:rPr>
                <w:kern w:val="2"/>
              </w:rPr>
            </w:pPr>
            <w:r>
              <w:rPr>
                <w:rFonts w:hint="eastAsia"/>
                <w:kern w:val="2"/>
              </w:rPr>
              <w:t>/</w:t>
            </w:r>
          </w:p>
        </w:tc>
        <w:tc>
          <w:tcPr>
            <w:tcW w:w="1761" w:type="dxa"/>
            <w:vAlign w:val="center"/>
          </w:tcPr>
          <w:p w14:paraId="2503E166">
            <w:pPr>
              <w:pStyle w:val="40"/>
              <w:rPr>
                <w:kern w:val="2"/>
              </w:rPr>
            </w:pPr>
            <w:r>
              <w:rPr>
                <w:rFonts w:hint="eastAsia"/>
                <w:kern w:val="2"/>
              </w:rPr>
              <w:t>/</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53136">
            <w:pPr>
              <w:pStyle w:val="40"/>
              <w:rPr>
                <w:kern w:val="2"/>
              </w:rPr>
            </w:pPr>
            <w:r>
              <w:rPr>
                <w:rFonts w:hint="eastAsia"/>
                <w:kern w:val="2"/>
              </w:rPr>
              <w:t>/</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80A33">
            <w:pPr>
              <w:pStyle w:val="40"/>
              <w:rPr>
                <w:kern w:val="2"/>
              </w:rPr>
            </w:pPr>
            <w:r>
              <w:rPr>
                <w:rFonts w:hint="eastAsia"/>
                <w:kern w:val="2"/>
              </w:rPr>
              <w:t>/</w:t>
            </w:r>
          </w:p>
        </w:tc>
      </w:tr>
      <w:bookmarkEnd w:id="156"/>
      <w:bookmarkEnd w:id="157"/>
      <w:tr w14:paraId="4296ED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restart"/>
            <w:vAlign w:val="center"/>
          </w:tcPr>
          <w:p w14:paraId="38C05A8F">
            <w:pPr>
              <w:pStyle w:val="40"/>
            </w:pPr>
            <w:r>
              <w:t>废水</w:t>
            </w:r>
          </w:p>
        </w:tc>
        <w:tc>
          <w:tcPr>
            <w:tcW w:w="1701" w:type="dxa"/>
            <w:vAlign w:val="center"/>
          </w:tcPr>
          <w:p w14:paraId="05885FDC">
            <w:pPr>
              <w:pStyle w:val="40"/>
            </w:pPr>
            <w:r>
              <w:t>COD</w:t>
            </w:r>
          </w:p>
        </w:tc>
        <w:tc>
          <w:tcPr>
            <w:tcW w:w="1701" w:type="dxa"/>
            <w:vAlign w:val="center"/>
          </w:tcPr>
          <w:p w14:paraId="2A66AFB4">
            <w:pPr>
              <w:pStyle w:val="40"/>
              <w:rPr>
                <w:kern w:val="2"/>
              </w:rPr>
            </w:pPr>
            <w:r>
              <w:rPr>
                <w:rFonts w:hint="eastAsia"/>
                <w:kern w:val="2"/>
              </w:rPr>
              <w:t>0</w:t>
            </w:r>
          </w:p>
        </w:tc>
        <w:tc>
          <w:tcPr>
            <w:tcW w:w="1276" w:type="dxa"/>
            <w:vAlign w:val="center"/>
          </w:tcPr>
          <w:p w14:paraId="3A0AAA86">
            <w:pPr>
              <w:pStyle w:val="40"/>
            </w:pPr>
            <w:r>
              <w:t>/</w:t>
            </w:r>
          </w:p>
        </w:tc>
        <w:tc>
          <w:tcPr>
            <w:tcW w:w="1701" w:type="dxa"/>
            <w:vAlign w:val="center"/>
          </w:tcPr>
          <w:p w14:paraId="7F8FAEE9">
            <w:pPr>
              <w:pStyle w:val="40"/>
            </w:pPr>
            <w:r>
              <w:t>/</w:t>
            </w:r>
          </w:p>
        </w:tc>
        <w:tc>
          <w:tcPr>
            <w:tcW w:w="1559" w:type="dxa"/>
            <w:vAlign w:val="center"/>
          </w:tcPr>
          <w:p w14:paraId="6C4127BC">
            <w:pPr>
              <w:pStyle w:val="40"/>
              <w:rPr>
                <w:kern w:val="2"/>
              </w:rPr>
            </w:pPr>
            <w:r>
              <w:rPr>
                <w:rFonts w:hint="eastAsia"/>
              </w:rPr>
              <w:t>0.448</w:t>
            </w:r>
          </w:p>
        </w:tc>
        <w:tc>
          <w:tcPr>
            <w:tcW w:w="1761" w:type="dxa"/>
            <w:vAlign w:val="center"/>
          </w:tcPr>
          <w:p w14:paraId="105816A7">
            <w:pPr>
              <w:pStyle w:val="40"/>
              <w:rPr>
                <w:kern w:val="2"/>
              </w:rPr>
            </w:pPr>
            <w:r>
              <w:rPr>
                <w:rFonts w:hint="eastAsia"/>
                <w:kern w:val="2"/>
              </w:rPr>
              <w:t>0</w:t>
            </w:r>
          </w:p>
        </w:tc>
        <w:tc>
          <w:tcPr>
            <w:tcW w:w="1499" w:type="dxa"/>
            <w:vAlign w:val="center"/>
          </w:tcPr>
          <w:p w14:paraId="48A2CD1A">
            <w:pPr>
              <w:pStyle w:val="40"/>
              <w:rPr>
                <w:kern w:val="2"/>
              </w:rPr>
            </w:pPr>
            <w:r>
              <w:rPr>
                <w:rFonts w:hint="eastAsia"/>
              </w:rPr>
              <w:t>0.448</w:t>
            </w:r>
          </w:p>
        </w:tc>
        <w:tc>
          <w:tcPr>
            <w:tcW w:w="1286" w:type="dxa"/>
            <w:vAlign w:val="center"/>
          </w:tcPr>
          <w:p w14:paraId="4FEF320E">
            <w:pPr>
              <w:pStyle w:val="40"/>
              <w:rPr>
                <w:kern w:val="2"/>
              </w:rPr>
            </w:pPr>
            <w:r>
              <w:rPr>
                <w:rFonts w:hint="eastAsia"/>
              </w:rPr>
              <w:t>+0.448</w:t>
            </w:r>
          </w:p>
        </w:tc>
      </w:tr>
      <w:tr w14:paraId="48B279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2FD442C1">
            <w:pPr>
              <w:pStyle w:val="40"/>
            </w:pPr>
          </w:p>
        </w:tc>
        <w:tc>
          <w:tcPr>
            <w:tcW w:w="1701" w:type="dxa"/>
            <w:vAlign w:val="center"/>
          </w:tcPr>
          <w:p w14:paraId="76CA1E4F">
            <w:pPr>
              <w:pStyle w:val="40"/>
            </w:pPr>
            <w:r>
              <w:t>NH</w:t>
            </w:r>
            <w:r>
              <w:rPr>
                <w:vertAlign w:val="subscript"/>
              </w:rPr>
              <w:t>3</w:t>
            </w:r>
            <w:r>
              <w:t>-N</w:t>
            </w:r>
          </w:p>
        </w:tc>
        <w:tc>
          <w:tcPr>
            <w:tcW w:w="1701" w:type="dxa"/>
            <w:vAlign w:val="center"/>
          </w:tcPr>
          <w:p w14:paraId="60818F21">
            <w:pPr>
              <w:pStyle w:val="40"/>
              <w:rPr>
                <w:kern w:val="2"/>
              </w:rPr>
            </w:pPr>
            <w:r>
              <w:rPr>
                <w:rFonts w:hint="eastAsia"/>
                <w:kern w:val="2"/>
              </w:rPr>
              <w:t>0</w:t>
            </w:r>
          </w:p>
        </w:tc>
        <w:tc>
          <w:tcPr>
            <w:tcW w:w="1276" w:type="dxa"/>
            <w:vAlign w:val="center"/>
          </w:tcPr>
          <w:p w14:paraId="30E3AA4A">
            <w:pPr>
              <w:pStyle w:val="40"/>
            </w:pPr>
            <w:r>
              <w:t>/</w:t>
            </w:r>
          </w:p>
        </w:tc>
        <w:tc>
          <w:tcPr>
            <w:tcW w:w="1701" w:type="dxa"/>
            <w:vAlign w:val="center"/>
          </w:tcPr>
          <w:p w14:paraId="064E2A19">
            <w:pPr>
              <w:pStyle w:val="40"/>
            </w:pPr>
            <w:r>
              <w:t>/</w:t>
            </w:r>
          </w:p>
        </w:tc>
        <w:tc>
          <w:tcPr>
            <w:tcW w:w="1559" w:type="dxa"/>
            <w:vAlign w:val="center"/>
          </w:tcPr>
          <w:p w14:paraId="6A8F18BC">
            <w:pPr>
              <w:pStyle w:val="40"/>
              <w:rPr>
                <w:kern w:val="2"/>
              </w:rPr>
            </w:pPr>
            <w:r>
              <w:rPr>
                <w:rFonts w:hint="eastAsia"/>
              </w:rPr>
              <w:t>0.045</w:t>
            </w:r>
          </w:p>
        </w:tc>
        <w:tc>
          <w:tcPr>
            <w:tcW w:w="1761" w:type="dxa"/>
            <w:vAlign w:val="center"/>
          </w:tcPr>
          <w:p w14:paraId="1B176747">
            <w:pPr>
              <w:pStyle w:val="40"/>
              <w:rPr>
                <w:kern w:val="2"/>
              </w:rPr>
            </w:pPr>
            <w:r>
              <w:rPr>
                <w:rFonts w:hint="eastAsia"/>
                <w:kern w:val="2"/>
              </w:rPr>
              <w:t>0</w:t>
            </w:r>
          </w:p>
        </w:tc>
        <w:tc>
          <w:tcPr>
            <w:tcW w:w="1499" w:type="dxa"/>
            <w:vAlign w:val="center"/>
          </w:tcPr>
          <w:p w14:paraId="26AEFB33">
            <w:pPr>
              <w:pStyle w:val="40"/>
              <w:rPr>
                <w:kern w:val="2"/>
              </w:rPr>
            </w:pPr>
            <w:r>
              <w:rPr>
                <w:rFonts w:hint="eastAsia"/>
              </w:rPr>
              <w:t>0.045</w:t>
            </w:r>
          </w:p>
        </w:tc>
        <w:tc>
          <w:tcPr>
            <w:tcW w:w="1286" w:type="dxa"/>
            <w:vAlign w:val="center"/>
          </w:tcPr>
          <w:p w14:paraId="5781885D">
            <w:pPr>
              <w:pStyle w:val="40"/>
              <w:rPr>
                <w:kern w:val="2"/>
              </w:rPr>
            </w:pPr>
            <w:r>
              <w:rPr>
                <w:rFonts w:hint="eastAsia"/>
              </w:rPr>
              <w:t>+0.045</w:t>
            </w:r>
          </w:p>
        </w:tc>
      </w:tr>
      <w:tr w14:paraId="5843D5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restart"/>
            <w:vAlign w:val="center"/>
          </w:tcPr>
          <w:p w14:paraId="7AD83FC2">
            <w:pPr>
              <w:pStyle w:val="40"/>
            </w:pPr>
            <w:r>
              <w:t>一般工业</w:t>
            </w:r>
          </w:p>
          <w:p w14:paraId="141DF3E7">
            <w:pPr>
              <w:pStyle w:val="40"/>
            </w:pPr>
            <w:r>
              <w:t>固体废物</w:t>
            </w:r>
          </w:p>
        </w:tc>
        <w:tc>
          <w:tcPr>
            <w:tcW w:w="1701" w:type="dxa"/>
            <w:vAlign w:val="center"/>
          </w:tcPr>
          <w:p w14:paraId="25DB6448">
            <w:pPr>
              <w:pStyle w:val="40"/>
            </w:pPr>
            <w:r>
              <w:rPr>
                <w:rFonts w:hint="eastAsia"/>
              </w:rPr>
              <w:t>不合格水果、果皮、果核、软烂果块、不合格品</w:t>
            </w:r>
          </w:p>
        </w:tc>
        <w:tc>
          <w:tcPr>
            <w:tcW w:w="1701" w:type="dxa"/>
            <w:vAlign w:val="center"/>
          </w:tcPr>
          <w:p w14:paraId="41A29010">
            <w:pPr>
              <w:pStyle w:val="40"/>
            </w:pPr>
            <w:r>
              <w:rPr>
                <w:rFonts w:hint="eastAsia"/>
              </w:rPr>
              <w:t>3.5</w:t>
            </w:r>
          </w:p>
        </w:tc>
        <w:tc>
          <w:tcPr>
            <w:tcW w:w="1276" w:type="dxa"/>
            <w:vAlign w:val="center"/>
          </w:tcPr>
          <w:p w14:paraId="7849ACFB">
            <w:pPr>
              <w:pStyle w:val="40"/>
            </w:pPr>
            <w:r>
              <w:t>/</w:t>
            </w:r>
          </w:p>
        </w:tc>
        <w:tc>
          <w:tcPr>
            <w:tcW w:w="1701" w:type="dxa"/>
            <w:vAlign w:val="center"/>
          </w:tcPr>
          <w:p w14:paraId="79709FB1">
            <w:pPr>
              <w:pStyle w:val="40"/>
            </w:pPr>
            <w:r>
              <w:t>/</w:t>
            </w:r>
          </w:p>
        </w:tc>
        <w:tc>
          <w:tcPr>
            <w:tcW w:w="1559" w:type="dxa"/>
            <w:vAlign w:val="center"/>
          </w:tcPr>
          <w:p w14:paraId="0C5B04D2">
            <w:pPr>
              <w:pStyle w:val="40"/>
            </w:pPr>
            <w:r>
              <w:rPr>
                <w:rFonts w:hint="eastAsia"/>
              </w:rPr>
              <w:t>1.5</w:t>
            </w:r>
          </w:p>
        </w:tc>
        <w:tc>
          <w:tcPr>
            <w:tcW w:w="1761" w:type="dxa"/>
            <w:vAlign w:val="center"/>
          </w:tcPr>
          <w:p w14:paraId="5B1E8FB6">
            <w:pPr>
              <w:pStyle w:val="40"/>
              <w:rPr>
                <w:kern w:val="2"/>
              </w:rPr>
            </w:pPr>
            <w:r>
              <w:rPr>
                <w:rFonts w:hint="eastAsia"/>
                <w:kern w:val="2"/>
              </w:rPr>
              <w:t>/</w:t>
            </w:r>
          </w:p>
        </w:tc>
        <w:tc>
          <w:tcPr>
            <w:tcW w:w="1499" w:type="dxa"/>
            <w:vAlign w:val="center"/>
          </w:tcPr>
          <w:p w14:paraId="7024CAB3">
            <w:pPr>
              <w:pStyle w:val="40"/>
            </w:pPr>
            <w:r>
              <w:rPr>
                <w:rFonts w:hint="eastAsia"/>
              </w:rPr>
              <w:t>5</w:t>
            </w:r>
          </w:p>
        </w:tc>
        <w:tc>
          <w:tcPr>
            <w:tcW w:w="1286" w:type="dxa"/>
            <w:vAlign w:val="center"/>
          </w:tcPr>
          <w:p w14:paraId="7B0B4FA8">
            <w:pPr>
              <w:pStyle w:val="40"/>
              <w:rPr>
                <w:kern w:val="2"/>
              </w:rPr>
            </w:pPr>
            <w:r>
              <w:rPr>
                <w:rFonts w:hint="eastAsia"/>
              </w:rPr>
              <w:t>+1.5</w:t>
            </w:r>
          </w:p>
        </w:tc>
      </w:tr>
      <w:tr w14:paraId="12ECCE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61BF4284">
            <w:pPr>
              <w:pStyle w:val="40"/>
            </w:pPr>
          </w:p>
        </w:tc>
        <w:tc>
          <w:tcPr>
            <w:tcW w:w="1701" w:type="dxa"/>
            <w:vAlign w:val="center"/>
          </w:tcPr>
          <w:p w14:paraId="4F06A265">
            <w:pPr>
              <w:pStyle w:val="40"/>
            </w:pPr>
            <w:r>
              <w:t>布袋收尘灰</w:t>
            </w:r>
          </w:p>
        </w:tc>
        <w:tc>
          <w:tcPr>
            <w:tcW w:w="1701" w:type="dxa"/>
            <w:vAlign w:val="center"/>
          </w:tcPr>
          <w:p w14:paraId="3430BCCC">
            <w:pPr>
              <w:pStyle w:val="40"/>
            </w:pPr>
            <w:r>
              <w:rPr>
                <w:rFonts w:hint="eastAsia"/>
              </w:rPr>
              <w:t>0.13</w:t>
            </w:r>
          </w:p>
        </w:tc>
        <w:tc>
          <w:tcPr>
            <w:tcW w:w="1276" w:type="dxa"/>
            <w:vAlign w:val="center"/>
          </w:tcPr>
          <w:p w14:paraId="1A279880">
            <w:pPr>
              <w:pStyle w:val="40"/>
            </w:pPr>
            <w:r>
              <w:rPr>
                <w:rFonts w:hint="eastAsia"/>
              </w:rPr>
              <w:t>/</w:t>
            </w:r>
          </w:p>
        </w:tc>
        <w:tc>
          <w:tcPr>
            <w:tcW w:w="1701" w:type="dxa"/>
            <w:vAlign w:val="center"/>
          </w:tcPr>
          <w:p w14:paraId="41C78362">
            <w:pPr>
              <w:pStyle w:val="40"/>
            </w:pPr>
            <w:r>
              <w:rPr>
                <w:rFonts w:hint="eastAsia"/>
              </w:rPr>
              <w:t>/</w:t>
            </w:r>
          </w:p>
        </w:tc>
        <w:tc>
          <w:tcPr>
            <w:tcW w:w="1559" w:type="dxa"/>
            <w:vAlign w:val="center"/>
          </w:tcPr>
          <w:p w14:paraId="5EB2FB63">
            <w:pPr>
              <w:pStyle w:val="40"/>
            </w:pPr>
            <w:r>
              <w:rPr>
                <w:rFonts w:hint="eastAsia"/>
              </w:rPr>
              <w:t>18.02</w:t>
            </w:r>
          </w:p>
        </w:tc>
        <w:tc>
          <w:tcPr>
            <w:tcW w:w="1761" w:type="dxa"/>
            <w:vAlign w:val="center"/>
          </w:tcPr>
          <w:p w14:paraId="0FFE0523">
            <w:pPr>
              <w:pStyle w:val="40"/>
              <w:rPr>
                <w:kern w:val="2"/>
              </w:rPr>
            </w:pPr>
            <w:r>
              <w:rPr>
                <w:rFonts w:hint="eastAsia"/>
                <w:kern w:val="2"/>
              </w:rPr>
              <w:t>0.13</w:t>
            </w:r>
          </w:p>
        </w:tc>
        <w:tc>
          <w:tcPr>
            <w:tcW w:w="1499" w:type="dxa"/>
            <w:vAlign w:val="center"/>
          </w:tcPr>
          <w:p w14:paraId="5D6510BD">
            <w:pPr>
              <w:pStyle w:val="40"/>
            </w:pPr>
            <w:r>
              <w:rPr>
                <w:rFonts w:hint="eastAsia"/>
              </w:rPr>
              <w:t>18.02</w:t>
            </w:r>
          </w:p>
        </w:tc>
        <w:tc>
          <w:tcPr>
            <w:tcW w:w="1286" w:type="dxa"/>
            <w:vAlign w:val="center"/>
          </w:tcPr>
          <w:p w14:paraId="18C8820A">
            <w:pPr>
              <w:spacing w:line="240" w:lineRule="auto"/>
              <w:ind w:firstLine="0" w:firstLineChars="0"/>
              <w:jc w:val="center"/>
            </w:pPr>
            <w:r>
              <w:t>+17.89</w:t>
            </w:r>
          </w:p>
        </w:tc>
      </w:tr>
      <w:tr w14:paraId="5C103A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55565651">
            <w:pPr>
              <w:pStyle w:val="40"/>
            </w:pPr>
          </w:p>
        </w:tc>
        <w:tc>
          <w:tcPr>
            <w:tcW w:w="1701" w:type="dxa"/>
            <w:vAlign w:val="center"/>
          </w:tcPr>
          <w:p w14:paraId="69034DF2">
            <w:pPr>
              <w:pStyle w:val="40"/>
            </w:pPr>
            <w:r>
              <w:t>锅炉灰渣</w:t>
            </w:r>
          </w:p>
        </w:tc>
        <w:tc>
          <w:tcPr>
            <w:tcW w:w="1701" w:type="dxa"/>
            <w:vAlign w:val="center"/>
          </w:tcPr>
          <w:p w14:paraId="1A3491BB">
            <w:pPr>
              <w:pStyle w:val="40"/>
            </w:pPr>
            <w:r>
              <w:rPr>
                <w:rFonts w:hint="eastAsia"/>
              </w:rPr>
              <w:t>8.68</w:t>
            </w:r>
          </w:p>
        </w:tc>
        <w:tc>
          <w:tcPr>
            <w:tcW w:w="1276" w:type="dxa"/>
            <w:vAlign w:val="center"/>
          </w:tcPr>
          <w:p w14:paraId="169BB275">
            <w:pPr>
              <w:pStyle w:val="40"/>
            </w:pPr>
            <w:r>
              <w:rPr>
                <w:rFonts w:hint="eastAsia"/>
              </w:rPr>
              <w:t>/</w:t>
            </w:r>
          </w:p>
        </w:tc>
        <w:tc>
          <w:tcPr>
            <w:tcW w:w="1701" w:type="dxa"/>
            <w:vAlign w:val="center"/>
          </w:tcPr>
          <w:p w14:paraId="037BAD67">
            <w:pPr>
              <w:pStyle w:val="40"/>
            </w:pPr>
            <w:r>
              <w:rPr>
                <w:rFonts w:hint="eastAsia"/>
              </w:rPr>
              <w:t>/</w:t>
            </w:r>
          </w:p>
        </w:tc>
        <w:tc>
          <w:tcPr>
            <w:tcW w:w="1559" w:type="dxa"/>
            <w:vAlign w:val="center"/>
          </w:tcPr>
          <w:p w14:paraId="06029883">
            <w:pPr>
              <w:pStyle w:val="40"/>
            </w:pPr>
            <w:r>
              <w:t>34</w:t>
            </w:r>
            <w:r>
              <w:rPr>
                <w:rFonts w:hint="eastAsia"/>
              </w:rPr>
              <w:t>.46</w:t>
            </w:r>
          </w:p>
        </w:tc>
        <w:tc>
          <w:tcPr>
            <w:tcW w:w="1761" w:type="dxa"/>
            <w:vAlign w:val="center"/>
          </w:tcPr>
          <w:p w14:paraId="7199354A">
            <w:pPr>
              <w:pStyle w:val="40"/>
              <w:rPr>
                <w:kern w:val="2"/>
              </w:rPr>
            </w:pPr>
            <w:r>
              <w:rPr>
                <w:rFonts w:hint="eastAsia"/>
                <w:kern w:val="2"/>
              </w:rPr>
              <w:t>8.68</w:t>
            </w:r>
          </w:p>
        </w:tc>
        <w:tc>
          <w:tcPr>
            <w:tcW w:w="1499" w:type="dxa"/>
            <w:vAlign w:val="center"/>
          </w:tcPr>
          <w:p w14:paraId="0A0D9AEF">
            <w:pPr>
              <w:pStyle w:val="40"/>
            </w:pPr>
            <w:r>
              <w:rPr>
                <w:rFonts w:hint="eastAsia"/>
              </w:rPr>
              <w:t>34.46</w:t>
            </w:r>
          </w:p>
        </w:tc>
        <w:tc>
          <w:tcPr>
            <w:tcW w:w="1286" w:type="dxa"/>
            <w:vAlign w:val="center"/>
          </w:tcPr>
          <w:p w14:paraId="1F868CD4">
            <w:pPr>
              <w:spacing w:line="240" w:lineRule="auto"/>
              <w:ind w:firstLine="0" w:firstLineChars="0"/>
              <w:jc w:val="center"/>
            </w:pPr>
            <w:r>
              <w:t>+25.78</w:t>
            </w:r>
          </w:p>
        </w:tc>
      </w:tr>
      <w:tr w14:paraId="4BBF84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32D0746A">
            <w:pPr>
              <w:pStyle w:val="40"/>
            </w:pPr>
          </w:p>
        </w:tc>
        <w:tc>
          <w:tcPr>
            <w:tcW w:w="1701" w:type="dxa"/>
            <w:vAlign w:val="center"/>
          </w:tcPr>
          <w:p w14:paraId="73AE2962">
            <w:pPr>
              <w:pStyle w:val="40"/>
            </w:pPr>
            <w:r>
              <w:rPr>
                <w:rFonts w:hint="eastAsia"/>
              </w:rPr>
              <w:t>废离子树脂</w:t>
            </w:r>
          </w:p>
        </w:tc>
        <w:tc>
          <w:tcPr>
            <w:tcW w:w="1701" w:type="dxa"/>
            <w:vAlign w:val="center"/>
          </w:tcPr>
          <w:p w14:paraId="11FE2ABF">
            <w:pPr>
              <w:pStyle w:val="40"/>
            </w:pPr>
            <w:r>
              <w:t>0.</w:t>
            </w:r>
            <w:r>
              <w:rPr>
                <w:rFonts w:hint="eastAsia"/>
              </w:rPr>
              <w:t>1</w:t>
            </w:r>
            <w:r>
              <w:t>t/3a</w:t>
            </w:r>
          </w:p>
        </w:tc>
        <w:tc>
          <w:tcPr>
            <w:tcW w:w="1276" w:type="dxa"/>
            <w:vAlign w:val="center"/>
          </w:tcPr>
          <w:p w14:paraId="7569A2A9">
            <w:pPr>
              <w:pStyle w:val="40"/>
            </w:pPr>
            <w:r>
              <w:rPr>
                <w:rFonts w:hint="eastAsia"/>
              </w:rPr>
              <w:t>/</w:t>
            </w:r>
          </w:p>
        </w:tc>
        <w:tc>
          <w:tcPr>
            <w:tcW w:w="1701" w:type="dxa"/>
            <w:vAlign w:val="center"/>
          </w:tcPr>
          <w:p w14:paraId="5C735934">
            <w:pPr>
              <w:pStyle w:val="40"/>
            </w:pPr>
            <w:r>
              <w:rPr>
                <w:rFonts w:hint="eastAsia"/>
              </w:rPr>
              <w:t>/</w:t>
            </w:r>
          </w:p>
        </w:tc>
        <w:tc>
          <w:tcPr>
            <w:tcW w:w="1559" w:type="dxa"/>
            <w:vAlign w:val="center"/>
          </w:tcPr>
          <w:p w14:paraId="5B7DC109">
            <w:pPr>
              <w:pStyle w:val="40"/>
            </w:pPr>
            <w:r>
              <w:t>0.2t/3a</w:t>
            </w:r>
          </w:p>
        </w:tc>
        <w:tc>
          <w:tcPr>
            <w:tcW w:w="1761" w:type="dxa"/>
            <w:vAlign w:val="center"/>
          </w:tcPr>
          <w:p w14:paraId="68AC2452">
            <w:pPr>
              <w:pStyle w:val="40"/>
              <w:rPr>
                <w:kern w:val="2"/>
              </w:rPr>
            </w:pPr>
            <w:r>
              <w:t>0.</w:t>
            </w:r>
            <w:r>
              <w:rPr>
                <w:rFonts w:hint="eastAsia"/>
              </w:rPr>
              <w:t>1</w:t>
            </w:r>
            <w:r>
              <w:t>t/3a</w:t>
            </w:r>
          </w:p>
        </w:tc>
        <w:tc>
          <w:tcPr>
            <w:tcW w:w="1499" w:type="dxa"/>
            <w:vAlign w:val="center"/>
          </w:tcPr>
          <w:p w14:paraId="060F4352">
            <w:pPr>
              <w:pStyle w:val="40"/>
            </w:pPr>
            <w:r>
              <w:rPr>
                <w:rFonts w:hint="eastAsia"/>
              </w:rPr>
              <w:t>0.2t</w:t>
            </w:r>
            <w:r>
              <w:t>/3a</w:t>
            </w:r>
          </w:p>
        </w:tc>
        <w:tc>
          <w:tcPr>
            <w:tcW w:w="1286" w:type="dxa"/>
            <w:vAlign w:val="center"/>
          </w:tcPr>
          <w:p w14:paraId="65E76508">
            <w:pPr>
              <w:pStyle w:val="40"/>
              <w:rPr>
                <w:kern w:val="2"/>
              </w:rPr>
            </w:pPr>
            <w:r>
              <w:rPr>
                <w:rFonts w:hint="eastAsia"/>
              </w:rPr>
              <w:t>+0.1t</w:t>
            </w:r>
            <w:r>
              <w:t>/3a</w:t>
            </w:r>
          </w:p>
        </w:tc>
      </w:tr>
      <w:tr w14:paraId="39E6EE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6A27073A">
            <w:pPr>
              <w:pStyle w:val="40"/>
            </w:pPr>
          </w:p>
        </w:tc>
        <w:tc>
          <w:tcPr>
            <w:tcW w:w="1701" w:type="dxa"/>
            <w:vAlign w:val="center"/>
          </w:tcPr>
          <w:p w14:paraId="7DC6DE45">
            <w:pPr>
              <w:pStyle w:val="40"/>
            </w:pPr>
            <w:r>
              <w:rPr>
                <w:rFonts w:hint="eastAsia"/>
              </w:rPr>
              <w:t>废活性炭</w:t>
            </w:r>
          </w:p>
        </w:tc>
        <w:tc>
          <w:tcPr>
            <w:tcW w:w="1701" w:type="dxa"/>
            <w:vAlign w:val="center"/>
          </w:tcPr>
          <w:p w14:paraId="089D53A3">
            <w:pPr>
              <w:pStyle w:val="40"/>
            </w:pPr>
            <w:r>
              <w:t>0.0</w:t>
            </w:r>
            <w:r>
              <w:rPr>
                <w:rFonts w:hint="eastAsia"/>
              </w:rPr>
              <w:t>115</w:t>
            </w:r>
          </w:p>
        </w:tc>
        <w:tc>
          <w:tcPr>
            <w:tcW w:w="1276" w:type="dxa"/>
            <w:vAlign w:val="center"/>
          </w:tcPr>
          <w:p w14:paraId="6D1FE519">
            <w:pPr>
              <w:pStyle w:val="40"/>
            </w:pPr>
          </w:p>
        </w:tc>
        <w:tc>
          <w:tcPr>
            <w:tcW w:w="1701" w:type="dxa"/>
            <w:vAlign w:val="center"/>
          </w:tcPr>
          <w:p w14:paraId="494AB105">
            <w:pPr>
              <w:pStyle w:val="40"/>
            </w:pPr>
          </w:p>
        </w:tc>
        <w:tc>
          <w:tcPr>
            <w:tcW w:w="1559" w:type="dxa"/>
            <w:vAlign w:val="center"/>
          </w:tcPr>
          <w:p w14:paraId="4E896E30">
            <w:pPr>
              <w:pStyle w:val="40"/>
            </w:pPr>
            <w:r>
              <w:t>0.0275</w:t>
            </w:r>
          </w:p>
        </w:tc>
        <w:tc>
          <w:tcPr>
            <w:tcW w:w="1761" w:type="dxa"/>
            <w:vAlign w:val="center"/>
          </w:tcPr>
          <w:p w14:paraId="41216937">
            <w:pPr>
              <w:pStyle w:val="40"/>
              <w:rPr>
                <w:kern w:val="2"/>
              </w:rPr>
            </w:pPr>
            <w:r>
              <w:rPr>
                <w:rFonts w:hint="eastAsia"/>
                <w:kern w:val="2"/>
              </w:rPr>
              <w:t>/</w:t>
            </w:r>
          </w:p>
        </w:tc>
        <w:tc>
          <w:tcPr>
            <w:tcW w:w="1499" w:type="dxa"/>
            <w:vAlign w:val="center"/>
          </w:tcPr>
          <w:p w14:paraId="427B5441">
            <w:pPr>
              <w:pStyle w:val="40"/>
              <w:rPr>
                <w:kern w:val="2"/>
                <w:highlight w:val="yellow"/>
              </w:rPr>
            </w:pPr>
            <w:r>
              <w:t>0.0</w:t>
            </w:r>
            <w:r>
              <w:rPr>
                <w:rFonts w:hint="eastAsia"/>
              </w:rPr>
              <w:t>39</w:t>
            </w:r>
          </w:p>
        </w:tc>
        <w:tc>
          <w:tcPr>
            <w:tcW w:w="1286" w:type="dxa"/>
            <w:vAlign w:val="center"/>
          </w:tcPr>
          <w:p w14:paraId="0A7234EE">
            <w:pPr>
              <w:pStyle w:val="40"/>
              <w:rPr>
                <w:kern w:val="2"/>
                <w:highlight w:val="yellow"/>
              </w:rPr>
            </w:pPr>
            <w:r>
              <w:rPr>
                <w:rFonts w:hint="eastAsia"/>
              </w:rPr>
              <w:t>+0.0275</w:t>
            </w:r>
          </w:p>
        </w:tc>
      </w:tr>
      <w:tr w14:paraId="59E8B2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3BD5B48F">
            <w:pPr>
              <w:pStyle w:val="40"/>
            </w:pPr>
          </w:p>
        </w:tc>
        <w:tc>
          <w:tcPr>
            <w:tcW w:w="1701" w:type="dxa"/>
            <w:vAlign w:val="center"/>
          </w:tcPr>
          <w:p w14:paraId="0331071C">
            <w:pPr>
              <w:pStyle w:val="40"/>
            </w:pPr>
            <w:r>
              <w:rPr>
                <w:rFonts w:hint="eastAsia"/>
              </w:rPr>
              <w:t>污水处理污泥</w:t>
            </w:r>
          </w:p>
        </w:tc>
        <w:tc>
          <w:tcPr>
            <w:tcW w:w="1701" w:type="dxa"/>
            <w:vAlign w:val="center"/>
          </w:tcPr>
          <w:p w14:paraId="1E92416D">
            <w:pPr>
              <w:pStyle w:val="40"/>
            </w:pPr>
            <w:r>
              <w:rPr>
                <w:rFonts w:hint="eastAsia"/>
              </w:rPr>
              <w:t>3.39</w:t>
            </w:r>
          </w:p>
        </w:tc>
        <w:tc>
          <w:tcPr>
            <w:tcW w:w="1276" w:type="dxa"/>
            <w:vAlign w:val="center"/>
          </w:tcPr>
          <w:p w14:paraId="38458044">
            <w:pPr>
              <w:pStyle w:val="40"/>
            </w:pPr>
            <w:r>
              <w:rPr>
                <w:rFonts w:hint="eastAsia"/>
              </w:rPr>
              <w:t>/</w:t>
            </w:r>
          </w:p>
        </w:tc>
        <w:tc>
          <w:tcPr>
            <w:tcW w:w="1701" w:type="dxa"/>
            <w:vAlign w:val="center"/>
          </w:tcPr>
          <w:p w14:paraId="2976F84D">
            <w:pPr>
              <w:pStyle w:val="40"/>
            </w:pPr>
            <w:r>
              <w:rPr>
                <w:rFonts w:hint="eastAsia"/>
              </w:rPr>
              <w:t>/</w:t>
            </w:r>
          </w:p>
        </w:tc>
        <w:tc>
          <w:tcPr>
            <w:tcW w:w="1559" w:type="dxa"/>
            <w:vAlign w:val="center"/>
          </w:tcPr>
          <w:p w14:paraId="67C8F64E">
            <w:pPr>
              <w:pStyle w:val="40"/>
            </w:pPr>
            <w:r>
              <w:rPr>
                <w:rFonts w:hint="eastAsia"/>
              </w:rPr>
              <w:t>1.</w:t>
            </w:r>
            <w:r>
              <w:t>45</w:t>
            </w:r>
            <w:r>
              <w:rPr>
                <w:rFonts w:hint="eastAsia"/>
              </w:rPr>
              <w:t>5</w:t>
            </w:r>
          </w:p>
        </w:tc>
        <w:tc>
          <w:tcPr>
            <w:tcW w:w="1761" w:type="dxa"/>
            <w:vAlign w:val="center"/>
          </w:tcPr>
          <w:p w14:paraId="4110B537">
            <w:pPr>
              <w:pStyle w:val="40"/>
              <w:rPr>
                <w:kern w:val="2"/>
              </w:rPr>
            </w:pPr>
            <w:r>
              <w:rPr>
                <w:rFonts w:hint="eastAsia"/>
                <w:kern w:val="2"/>
              </w:rPr>
              <w:t>/</w:t>
            </w:r>
          </w:p>
        </w:tc>
        <w:tc>
          <w:tcPr>
            <w:tcW w:w="1499" w:type="dxa"/>
            <w:vAlign w:val="center"/>
          </w:tcPr>
          <w:p w14:paraId="3C9CDFEE">
            <w:pPr>
              <w:pStyle w:val="40"/>
            </w:pPr>
            <w:r>
              <w:rPr>
                <w:rFonts w:hint="eastAsia"/>
                <w:kern w:val="2"/>
              </w:rPr>
              <w:t>4.845</w:t>
            </w:r>
          </w:p>
        </w:tc>
        <w:tc>
          <w:tcPr>
            <w:tcW w:w="1286" w:type="dxa"/>
            <w:vAlign w:val="center"/>
          </w:tcPr>
          <w:p w14:paraId="47A6D266">
            <w:pPr>
              <w:pStyle w:val="40"/>
              <w:rPr>
                <w:kern w:val="2"/>
              </w:rPr>
            </w:pPr>
            <w:r>
              <w:rPr>
                <w:kern w:val="2"/>
              </w:rPr>
              <w:t>+</w:t>
            </w:r>
            <w:r>
              <w:rPr>
                <w:rFonts w:hint="eastAsia"/>
                <w:kern w:val="2"/>
              </w:rPr>
              <w:t>1.455</w:t>
            </w:r>
          </w:p>
        </w:tc>
      </w:tr>
      <w:tr w14:paraId="56CA39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Align w:val="center"/>
          </w:tcPr>
          <w:p w14:paraId="3006F063">
            <w:pPr>
              <w:pStyle w:val="40"/>
            </w:pPr>
            <w:r>
              <w:t>危险废物</w:t>
            </w:r>
          </w:p>
        </w:tc>
        <w:tc>
          <w:tcPr>
            <w:tcW w:w="1701" w:type="dxa"/>
            <w:vAlign w:val="center"/>
          </w:tcPr>
          <w:p w14:paraId="7A2FA089">
            <w:pPr>
              <w:pStyle w:val="40"/>
              <w:rPr>
                <w:highlight w:val="yellow"/>
              </w:rPr>
            </w:pPr>
            <w:r>
              <w:rPr>
                <w:rFonts w:hint="eastAsia"/>
              </w:rPr>
              <w:t>/</w:t>
            </w:r>
          </w:p>
        </w:tc>
        <w:tc>
          <w:tcPr>
            <w:tcW w:w="1701" w:type="dxa"/>
            <w:vAlign w:val="center"/>
          </w:tcPr>
          <w:p w14:paraId="683EE4EC">
            <w:pPr>
              <w:pStyle w:val="40"/>
              <w:rPr>
                <w:kern w:val="2"/>
              </w:rPr>
            </w:pPr>
            <w:r>
              <w:rPr>
                <w:rFonts w:hint="eastAsia"/>
                <w:kern w:val="2"/>
              </w:rPr>
              <w:t>/</w:t>
            </w:r>
          </w:p>
        </w:tc>
        <w:tc>
          <w:tcPr>
            <w:tcW w:w="1276" w:type="dxa"/>
            <w:vAlign w:val="center"/>
          </w:tcPr>
          <w:p w14:paraId="6724E801">
            <w:pPr>
              <w:pStyle w:val="40"/>
            </w:pPr>
            <w:r>
              <w:t>/</w:t>
            </w:r>
          </w:p>
        </w:tc>
        <w:tc>
          <w:tcPr>
            <w:tcW w:w="1701" w:type="dxa"/>
            <w:vAlign w:val="center"/>
          </w:tcPr>
          <w:p w14:paraId="3168356D">
            <w:pPr>
              <w:pStyle w:val="40"/>
            </w:pPr>
            <w:r>
              <w:t>/</w:t>
            </w:r>
          </w:p>
        </w:tc>
        <w:tc>
          <w:tcPr>
            <w:tcW w:w="1559" w:type="dxa"/>
            <w:vAlign w:val="center"/>
          </w:tcPr>
          <w:p w14:paraId="2FCFDC07">
            <w:pPr>
              <w:pStyle w:val="40"/>
              <w:rPr>
                <w:kern w:val="2"/>
              </w:rPr>
            </w:pPr>
            <w:r>
              <w:rPr>
                <w:rFonts w:hint="eastAsia"/>
                <w:kern w:val="2"/>
              </w:rPr>
              <w:t>/</w:t>
            </w:r>
          </w:p>
        </w:tc>
        <w:tc>
          <w:tcPr>
            <w:tcW w:w="1761" w:type="dxa"/>
            <w:vAlign w:val="center"/>
          </w:tcPr>
          <w:p w14:paraId="2B5BE18B">
            <w:pPr>
              <w:pStyle w:val="40"/>
              <w:rPr>
                <w:kern w:val="2"/>
              </w:rPr>
            </w:pPr>
            <w:r>
              <w:rPr>
                <w:rFonts w:hint="eastAsia"/>
                <w:kern w:val="2"/>
              </w:rPr>
              <w:t>/</w:t>
            </w:r>
          </w:p>
        </w:tc>
        <w:tc>
          <w:tcPr>
            <w:tcW w:w="1499" w:type="dxa"/>
            <w:vAlign w:val="center"/>
          </w:tcPr>
          <w:p w14:paraId="084D2D4C">
            <w:pPr>
              <w:pStyle w:val="40"/>
              <w:rPr>
                <w:kern w:val="2"/>
              </w:rPr>
            </w:pPr>
            <w:r>
              <w:rPr>
                <w:rFonts w:hint="eastAsia"/>
                <w:kern w:val="2"/>
              </w:rPr>
              <w:t>/</w:t>
            </w:r>
          </w:p>
        </w:tc>
        <w:tc>
          <w:tcPr>
            <w:tcW w:w="1286" w:type="dxa"/>
            <w:vAlign w:val="center"/>
          </w:tcPr>
          <w:p w14:paraId="035A9D39">
            <w:pPr>
              <w:pStyle w:val="40"/>
              <w:rPr>
                <w:kern w:val="2"/>
              </w:rPr>
            </w:pPr>
            <w:r>
              <w:rPr>
                <w:rFonts w:hint="eastAsia"/>
                <w:kern w:val="2"/>
              </w:rPr>
              <w:t>/</w:t>
            </w:r>
          </w:p>
        </w:tc>
      </w:tr>
    </w:tbl>
    <w:p w14:paraId="0152FA6A">
      <w:pPr>
        <w:pStyle w:val="40"/>
        <w:rPr>
          <w:snapToGrid w:val="0"/>
          <w:kern w:val="21"/>
        </w:rPr>
      </w:pPr>
      <w:r>
        <w:rPr>
          <w:snapToGrid w:val="0"/>
          <w:kern w:val="21"/>
        </w:rPr>
        <w:t>注：</w:t>
      </w:r>
      <w:r>
        <w:rPr>
          <w:snapToGrid w:val="0"/>
          <w:kern w:val="21"/>
        </w:rPr>
        <w:fldChar w:fldCharType="begin"/>
      </w:r>
      <w:r>
        <w:rPr>
          <w:snapToGrid w:val="0"/>
          <w:kern w:val="21"/>
        </w:rPr>
        <w:instrText xml:space="preserve"> = 6 \* GB3 \* MERGEFORMAT </w:instrText>
      </w:r>
      <w:r>
        <w:rPr>
          <w:snapToGrid w:val="0"/>
          <w:kern w:val="21"/>
        </w:rPr>
        <w:fldChar w:fldCharType="separate"/>
      </w:r>
      <w:r>
        <w:rPr>
          <w:rFonts w:hint="eastAsia"/>
        </w:rPr>
        <w:t>⑥</w:t>
      </w:r>
      <w:r>
        <w:rPr>
          <w:snapToGrid w:val="0"/>
          <w:kern w:val="21"/>
        </w:rPr>
        <w:fldChar w:fldCharType="end"/>
      </w:r>
      <w:r>
        <w:rPr>
          <w:snapToGrid w:val="0"/>
          <w:kern w:val="21"/>
        </w:rPr>
        <w:t>=</w:t>
      </w:r>
      <w:r>
        <w:rPr>
          <w:snapToGrid w:val="0"/>
          <w:kern w:val="21"/>
        </w:rPr>
        <w:fldChar w:fldCharType="begin"/>
      </w:r>
      <w:r>
        <w:rPr>
          <w:snapToGrid w:val="0"/>
          <w:kern w:val="21"/>
        </w:rPr>
        <w:instrText xml:space="preserve"> = 1 \* GB3 \* MERGEFORMAT </w:instrText>
      </w:r>
      <w:r>
        <w:rPr>
          <w:snapToGrid w:val="0"/>
          <w:kern w:val="21"/>
        </w:rPr>
        <w:fldChar w:fldCharType="separate"/>
      </w:r>
      <w:r>
        <w:rPr>
          <w:rFonts w:hint="eastAsia"/>
        </w:rPr>
        <w:t>①</w:t>
      </w:r>
      <w:r>
        <w:rPr>
          <w:snapToGrid w:val="0"/>
          <w:kern w:val="21"/>
        </w:rPr>
        <w:fldChar w:fldCharType="end"/>
      </w:r>
      <w:r>
        <w:rPr>
          <w:snapToGrid w:val="0"/>
          <w:kern w:val="21"/>
        </w:rPr>
        <w:t>+</w:t>
      </w:r>
      <w:r>
        <w:rPr>
          <w:snapToGrid w:val="0"/>
          <w:kern w:val="21"/>
        </w:rPr>
        <w:fldChar w:fldCharType="begin"/>
      </w:r>
      <w:r>
        <w:rPr>
          <w:snapToGrid w:val="0"/>
          <w:kern w:val="21"/>
        </w:rPr>
        <w:instrText xml:space="preserve"> = 3 \* GB3 \* MERGEFORMAT </w:instrText>
      </w:r>
      <w:r>
        <w:rPr>
          <w:snapToGrid w:val="0"/>
          <w:kern w:val="21"/>
        </w:rPr>
        <w:fldChar w:fldCharType="separate"/>
      </w:r>
      <w:r>
        <w:rPr>
          <w:rFonts w:hint="eastAsia"/>
        </w:rPr>
        <w:t>③</w:t>
      </w:r>
      <w:r>
        <w:rPr>
          <w:snapToGrid w:val="0"/>
          <w:kern w:val="21"/>
        </w:rPr>
        <w:fldChar w:fldCharType="end"/>
      </w:r>
      <w:r>
        <w:rPr>
          <w:snapToGrid w:val="0"/>
          <w:kern w:val="21"/>
        </w:rPr>
        <w:t>+</w:t>
      </w:r>
      <w:r>
        <w:rPr>
          <w:snapToGrid w:val="0"/>
          <w:kern w:val="21"/>
        </w:rPr>
        <w:fldChar w:fldCharType="begin"/>
      </w:r>
      <w:r>
        <w:rPr>
          <w:snapToGrid w:val="0"/>
          <w:kern w:val="21"/>
        </w:rPr>
        <w:instrText xml:space="preserve"> = 4 \* GB3 \* MERGEFORMAT </w:instrText>
      </w:r>
      <w:r>
        <w:rPr>
          <w:snapToGrid w:val="0"/>
          <w:kern w:val="21"/>
        </w:rPr>
        <w:fldChar w:fldCharType="separate"/>
      </w:r>
      <w:r>
        <w:rPr>
          <w:rFonts w:hint="eastAsia"/>
        </w:rPr>
        <w:t>④</w:t>
      </w:r>
      <w:r>
        <w:rPr>
          <w:snapToGrid w:val="0"/>
          <w:kern w:val="21"/>
        </w:rPr>
        <w:fldChar w:fldCharType="end"/>
      </w:r>
      <w:r>
        <w:rPr>
          <w:snapToGrid w:val="0"/>
          <w:kern w:val="21"/>
        </w:rPr>
        <w:t>-</w:t>
      </w:r>
      <w:r>
        <w:rPr>
          <w:snapToGrid w:val="0"/>
          <w:kern w:val="21"/>
        </w:rPr>
        <w:fldChar w:fldCharType="begin"/>
      </w:r>
      <w:r>
        <w:rPr>
          <w:snapToGrid w:val="0"/>
          <w:kern w:val="21"/>
        </w:rPr>
        <w:instrText xml:space="preserve"> = 5 \* GB3 \* MERGEFORMAT </w:instrText>
      </w:r>
      <w:r>
        <w:rPr>
          <w:snapToGrid w:val="0"/>
          <w:kern w:val="21"/>
        </w:rPr>
        <w:fldChar w:fldCharType="separate"/>
      </w:r>
      <w:r>
        <w:rPr>
          <w:rFonts w:hint="eastAsia"/>
        </w:rPr>
        <w:t>⑤</w:t>
      </w:r>
      <w:r>
        <w:rPr>
          <w:snapToGrid w:val="0"/>
          <w:kern w:val="21"/>
        </w:rPr>
        <w:fldChar w:fldCharType="end"/>
      </w:r>
      <w:r>
        <w:rPr>
          <w:snapToGrid w:val="0"/>
          <w:kern w:val="21"/>
        </w:rPr>
        <w:t>；</w:t>
      </w:r>
      <w:r>
        <w:rPr>
          <w:snapToGrid w:val="0"/>
          <w:kern w:val="21"/>
        </w:rPr>
        <w:fldChar w:fldCharType="begin"/>
      </w:r>
      <w:r>
        <w:rPr>
          <w:snapToGrid w:val="0"/>
          <w:kern w:val="21"/>
        </w:rPr>
        <w:instrText xml:space="preserve"> = 7 \* GB3 \* MERGEFORMAT </w:instrText>
      </w:r>
      <w:r>
        <w:rPr>
          <w:snapToGrid w:val="0"/>
          <w:kern w:val="21"/>
        </w:rPr>
        <w:fldChar w:fldCharType="separate"/>
      </w:r>
      <w:r>
        <w:rPr>
          <w:rFonts w:hint="eastAsia"/>
        </w:rPr>
        <w:t>⑦</w:t>
      </w:r>
      <w:r>
        <w:rPr>
          <w:snapToGrid w:val="0"/>
          <w:kern w:val="21"/>
        </w:rPr>
        <w:fldChar w:fldCharType="end"/>
      </w:r>
      <w:r>
        <w:rPr>
          <w:snapToGrid w:val="0"/>
          <w:kern w:val="21"/>
        </w:rPr>
        <w:t>=</w:t>
      </w:r>
      <w:r>
        <w:rPr>
          <w:snapToGrid w:val="0"/>
          <w:kern w:val="21"/>
        </w:rPr>
        <w:fldChar w:fldCharType="begin"/>
      </w:r>
      <w:r>
        <w:rPr>
          <w:snapToGrid w:val="0"/>
          <w:kern w:val="21"/>
        </w:rPr>
        <w:instrText xml:space="preserve"> = 6 \* GB3 \* MERGEFORMAT </w:instrText>
      </w:r>
      <w:r>
        <w:rPr>
          <w:snapToGrid w:val="0"/>
          <w:kern w:val="21"/>
        </w:rPr>
        <w:fldChar w:fldCharType="separate"/>
      </w:r>
      <w:r>
        <w:rPr>
          <w:rFonts w:hint="eastAsia"/>
        </w:rPr>
        <w:t>⑥</w:t>
      </w:r>
      <w:r>
        <w:rPr>
          <w:snapToGrid w:val="0"/>
          <w:kern w:val="21"/>
        </w:rPr>
        <w:fldChar w:fldCharType="end"/>
      </w:r>
      <w:r>
        <w:rPr>
          <w:snapToGrid w:val="0"/>
          <w:kern w:val="21"/>
        </w:rPr>
        <w:t>-</w:t>
      </w:r>
      <w:r>
        <w:rPr>
          <w:snapToGrid w:val="0"/>
          <w:kern w:val="21"/>
        </w:rPr>
        <w:fldChar w:fldCharType="begin"/>
      </w:r>
      <w:r>
        <w:rPr>
          <w:snapToGrid w:val="0"/>
          <w:kern w:val="21"/>
        </w:rPr>
        <w:instrText xml:space="preserve"> = 1 \* GB3 \* MERGEFORMAT </w:instrText>
      </w:r>
      <w:r>
        <w:rPr>
          <w:snapToGrid w:val="0"/>
          <w:kern w:val="21"/>
        </w:rPr>
        <w:fldChar w:fldCharType="separate"/>
      </w:r>
      <w:r>
        <w:rPr>
          <w:rFonts w:hint="eastAsia"/>
        </w:rPr>
        <w:t>①</w:t>
      </w:r>
      <w:r>
        <w:rPr>
          <w:snapToGrid w:val="0"/>
          <w:kern w:val="21"/>
        </w:rPr>
        <w:fldChar w:fldCharType="end"/>
      </w:r>
    </w:p>
    <w:p w14:paraId="20C87379">
      <w:pPr>
        <w:ind w:firstLine="0" w:firstLineChars="0"/>
      </w:pPr>
      <w:r>
        <w:rPr>
          <w:rFonts w:hint="eastAsia" w:hAnsi="宋体"/>
          <w:snapToGrid w:val="0"/>
          <w:spacing w:val="-6"/>
          <w:kern w:val="21"/>
          <w:szCs w:val="21"/>
        </w:rPr>
        <w:t>注：废气污染物排放量均为有组织排放量</w:t>
      </w:r>
    </w:p>
    <w:sectPr>
      <w:footerReference r:id="rId12" w:type="default"/>
      <w:pgSz w:w="16838" w:h="11906" w:orient="landscape"/>
      <w:pgMar w:top="1531" w:right="1701" w:bottom="1531" w:left="1701" w:header="851" w:footer="851" w:gutter="0"/>
      <w:pgNumType w:fmt="numberInDash"/>
      <w:cols w:space="0" w:num="1"/>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roman"/>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华文行楷">
    <w:panose1 w:val="02010800040101010101"/>
    <w:charset w:val="86"/>
    <w:family w:val="auto"/>
    <w:pitch w:val="default"/>
    <w:sig w:usb0="00000001" w:usb1="080F0000" w:usb2="00000000" w:usb3="00000000" w:csb0="00040000" w:csb1="00000000"/>
  </w:font>
  <w:font w:name="FangSong_GB2312">
    <w:altName w:val="仿宋_GB2312"/>
    <w:panose1 w:val="02010609060101010101"/>
    <w:charset w:val="00"/>
    <w:family w:val="roman"/>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Wingdings 2">
    <w:panose1 w:val="05020102010507070707"/>
    <w:charset w:val="02"/>
    <w:family w:val="roman"/>
    <w:pitch w:val="default"/>
    <w:sig w:usb0="00000000" w:usb1="00000000" w:usb2="00000000" w:usb3="00000000" w:csb0="80000000" w:csb1="00000000"/>
  </w:font>
  <w:font w:name="MS Mincho">
    <w:altName w:val="Yu Gothic UI"/>
    <w:panose1 w:val="02020609040205080304"/>
    <w:charset w:val="80"/>
    <w:family w:val="modern"/>
    <w:pitch w:val="default"/>
    <w:sig w:usb0="00000000" w:usb1="00000000" w:usb2="00000012" w:usb3="00000000" w:csb0="4002009F" w:csb1="DFD70000"/>
  </w:font>
  <w:font w:name="Cambria Math">
    <w:panose1 w:val="02040503050406030204"/>
    <w:charset w:val="00"/>
    <w:family w:val="roman"/>
    <w:pitch w:val="default"/>
    <w:sig w:usb0="E00006FF" w:usb1="420024FF" w:usb2="02000000" w:usb3="00000000" w:csb0="2000019F" w:csb1="00000000"/>
  </w:font>
  <w:font w:name="方正小标宋_GBK">
    <w:panose1 w:val="02000000000000000000"/>
    <w:charset w:val="86"/>
    <w:family w:val="auto"/>
    <w:pitch w:val="default"/>
    <w:sig w:usb0="A00002BF" w:usb1="38CF7CFA" w:usb2="00082016" w:usb3="00000000" w:csb0="00040001" w:csb1="00000000"/>
  </w:font>
  <w:font w:name="Yu Gothic UI">
    <w:panose1 w:val="020B0500000000000000"/>
    <w:charset w:val="80"/>
    <w:family w:val="auto"/>
    <w:pitch w:val="default"/>
    <w:sig w:usb0="E00002FF" w:usb1="2AC7FDFF" w:usb2="00000016" w:usb3="00000000" w:csb0="2002009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29C58A">
    <w:pPr>
      <w:pStyle w:val="18"/>
      <w:ind w:right="359" w:rightChars="171" w:firstLine="36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36ADC21">
                          <w:pPr>
                            <w:pStyle w:val="18"/>
                            <w:ind w:right="360" w:firstLine="360"/>
                            <w:jc w:val="cente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IU21o6AgAAcgQAAA4AAABkcnMvZTJvRG9jLnhtbK1UzY7TMBC+I/EO&#10;lu80aWFX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BiFNtaOgIAAHIEAAAOAAAAAAAAAAEAIAAAAB8BAABkcnMvZTJvRG9j&#10;LnhtbFBLBQYAAAAABgAGAFkBAADLBQAAAAA=&#10;">
              <v:fill on="f" focussize="0,0"/>
              <v:stroke on="f" weight="0.5pt"/>
              <v:imagedata o:title=""/>
              <o:lock v:ext="edit" aspectratio="f"/>
              <v:textbox inset="0mm,0mm,0mm,0mm" style="mso-fit-shape-to-text:t;">
                <w:txbxContent>
                  <w:p w14:paraId="536ADC21">
                    <w:pPr>
                      <w:pStyle w:val="18"/>
                      <w:ind w:right="360" w:firstLine="360"/>
                      <w:jc w:val="cente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2B447">
    <w:pPr>
      <w:pStyle w:val="1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354345">
    <w:pPr>
      <w:pStyle w:val="18"/>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8E953D">
    <w:pPr>
      <w:pStyle w:val="18"/>
      <w:ind w:right="359" w:rightChars="171" w:firstLine="36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6"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7F2E406">
                          <w:pPr>
                            <w:pStyle w:val="18"/>
                            <w:ind w:right="360" w:firstLine="360"/>
                            <w:jc w:val="center"/>
                          </w:pPr>
                          <w:r>
                            <w:fldChar w:fldCharType="begin"/>
                          </w:r>
                          <w:r>
                            <w:instrText xml:space="preserve"> PAGE  \* MERGEFORMAT </w:instrText>
                          </w:r>
                          <w:r>
                            <w:fldChar w:fldCharType="separate"/>
                          </w:r>
                          <w:r>
                            <w:t>- 54 -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41"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BbvTLoOgIAAHIEAAAOAAAAAAAAAAEAIAAAAB8BAABkcnMvZTJvRG9j&#10;LnhtbFBLBQYAAAAABgAGAFkBAADLBQAAAAA=&#10;">
              <v:fill on="f" focussize="0,0"/>
              <v:stroke on="f" weight="0.5pt"/>
              <v:imagedata o:title=""/>
              <o:lock v:ext="edit" aspectratio="f"/>
              <v:textbox inset="0mm,0mm,0mm,0mm" style="mso-fit-shape-to-text:t;">
                <w:txbxContent>
                  <w:p w14:paraId="57F2E406">
                    <w:pPr>
                      <w:pStyle w:val="18"/>
                      <w:ind w:right="360" w:firstLine="360"/>
                      <w:jc w:val="center"/>
                    </w:pPr>
                    <w:r>
                      <w:fldChar w:fldCharType="begin"/>
                    </w:r>
                    <w:r>
                      <w:instrText xml:space="preserve"> PAGE  \* MERGEFORMAT </w:instrText>
                    </w:r>
                    <w:r>
                      <w:fldChar w:fldCharType="separate"/>
                    </w:r>
                    <w:r>
                      <w:t>- 54 -</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3A1C6">
    <w:pPr>
      <w:pStyle w:val="18"/>
      <w:ind w:right="360" w:firstLine="36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65D98F">
    <w:pPr>
      <w:ind w:left="420"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526A4">
    <w:pPr>
      <w:pStyle w:val="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0EA77">
    <w:pPr>
      <w:pStyle w:val="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195D00"/>
    <w:multiLevelType w:val="singleLevel"/>
    <w:tmpl w:val="80195D00"/>
    <w:lvl w:ilvl="0" w:tentative="0">
      <w:start w:val="5"/>
      <w:numFmt w:val="chineseCounting"/>
      <w:suff w:val="nothing"/>
      <w:lvlText w:val="%1、"/>
      <w:lvlJc w:val="left"/>
      <w:rPr>
        <w:rFonts w:hint="eastAsia"/>
      </w:rPr>
    </w:lvl>
  </w:abstractNum>
  <w:abstractNum w:abstractNumId="1">
    <w:nsid w:val="A63B8D92"/>
    <w:multiLevelType w:val="singleLevel"/>
    <w:tmpl w:val="A63B8D92"/>
    <w:lvl w:ilvl="0" w:tentative="0">
      <w:start w:val="1"/>
      <w:numFmt w:val="decimal"/>
      <w:pStyle w:val="76"/>
      <w:lvlText w:val="图2-%1  "/>
      <w:lvlJc w:val="center"/>
      <w:pPr>
        <w:tabs>
          <w:tab w:val="left" w:pos="822"/>
        </w:tabs>
        <w:ind w:left="879" w:hanging="454"/>
      </w:pPr>
      <w:rPr>
        <w:rFonts w:hint="default"/>
        <w:b/>
        <w:sz w:val="21"/>
        <w:szCs w:val="21"/>
      </w:rPr>
    </w:lvl>
  </w:abstractNum>
  <w:abstractNum w:abstractNumId="2">
    <w:nsid w:val="B3032F3C"/>
    <w:multiLevelType w:val="singleLevel"/>
    <w:tmpl w:val="B3032F3C"/>
    <w:lvl w:ilvl="0" w:tentative="0">
      <w:start w:val="3"/>
      <w:numFmt w:val="decimal"/>
      <w:suff w:val="nothing"/>
      <w:lvlText w:val="%1、"/>
      <w:lvlJc w:val="left"/>
    </w:lvl>
  </w:abstractNum>
  <w:abstractNum w:abstractNumId="3">
    <w:nsid w:val="CD24D1ED"/>
    <w:multiLevelType w:val="singleLevel"/>
    <w:tmpl w:val="CD24D1ED"/>
    <w:lvl w:ilvl="0" w:tentative="0">
      <w:start w:val="1"/>
      <w:numFmt w:val="decimal"/>
      <w:suff w:val="nothing"/>
      <w:lvlText w:val="（%1）"/>
      <w:lvlJc w:val="left"/>
    </w:lvl>
  </w:abstractNum>
  <w:abstractNum w:abstractNumId="4">
    <w:nsid w:val="E2CCABFA"/>
    <w:multiLevelType w:val="singleLevel"/>
    <w:tmpl w:val="E2CCABFA"/>
    <w:lvl w:ilvl="0" w:tentative="0">
      <w:start w:val="1"/>
      <w:numFmt w:val="decimal"/>
      <w:pStyle w:val="75"/>
      <w:lvlText w:val="表4-%1  "/>
      <w:lvlJc w:val="center"/>
      <w:pPr>
        <w:tabs>
          <w:tab w:val="left" w:pos="3680"/>
        </w:tabs>
        <w:ind w:left="3714" w:hanging="454"/>
      </w:pPr>
      <w:rPr>
        <w:rFonts w:hint="default"/>
        <w:b/>
        <w:sz w:val="21"/>
      </w:rPr>
    </w:lvl>
  </w:abstractNum>
  <w:abstractNum w:abstractNumId="5">
    <w:nsid w:val="16B72F0C"/>
    <w:multiLevelType w:val="singleLevel"/>
    <w:tmpl w:val="16B72F0C"/>
    <w:lvl w:ilvl="0" w:tentative="0">
      <w:start w:val="3"/>
      <w:numFmt w:val="chineseCounting"/>
      <w:suff w:val="nothing"/>
      <w:lvlText w:val="%1、"/>
      <w:lvlJc w:val="left"/>
      <w:rPr>
        <w:rFonts w:hint="eastAsia"/>
      </w:rPr>
    </w:lvl>
  </w:abstractNum>
  <w:abstractNum w:abstractNumId="6">
    <w:nsid w:val="1DA53146"/>
    <w:multiLevelType w:val="singleLevel"/>
    <w:tmpl w:val="1DA53146"/>
    <w:lvl w:ilvl="0" w:tentative="0">
      <w:start w:val="1"/>
      <w:numFmt w:val="decimal"/>
      <w:suff w:val="nothing"/>
      <w:lvlText w:val="（%1）"/>
      <w:lvlJc w:val="left"/>
    </w:lvl>
  </w:abstractNum>
  <w:abstractNum w:abstractNumId="7">
    <w:nsid w:val="3EA38E0A"/>
    <w:multiLevelType w:val="singleLevel"/>
    <w:tmpl w:val="3EA38E0A"/>
    <w:lvl w:ilvl="0" w:tentative="0">
      <w:start w:val="6"/>
      <w:numFmt w:val="decimal"/>
      <w:suff w:val="nothing"/>
      <w:lvlText w:val="（%1）"/>
      <w:lvlJc w:val="left"/>
      <w:rPr>
        <w:rFonts w:hint="default" w:ascii="Times New Roman" w:hAnsi="Times New Roman" w:cs="Times New Roman"/>
        <w:sz w:val="21"/>
        <w:szCs w:val="21"/>
      </w:rPr>
    </w:lvl>
  </w:abstractNum>
  <w:abstractNum w:abstractNumId="8">
    <w:nsid w:val="5F369604"/>
    <w:multiLevelType w:val="singleLevel"/>
    <w:tmpl w:val="5F369604"/>
    <w:lvl w:ilvl="0" w:tentative="0">
      <w:start w:val="3"/>
      <w:numFmt w:val="decimal"/>
      <w:suff w:val="nothing"/>
      <w:lvlText w:val="（%1）"/>
      <w:lvlJc w:val="left"/>
    </w:lvl>
  </w:abstractNum>
  <w:abstractNum w:abstractNumId="9">
    <w:nsid w:val="5F36DEC9"/>
    <w:multiLevelType w:val="singleLevel"/>
    <w:tmpl w:val="5F36DEC9"/>
    <w:lvl w:ilvl="0" w:tentative="0">
      <w:start w:val="1"/>
      <w:numFmt w:val="decimal"/>
      <w:pStyle w:val="71"/>
      <w:lvlText w:val="表1-%1  "/>
      <w:lvlJc w:val="center"/>
      <w:pPr>
        <w:tabs>
          <w:tab w:val="left" w:pos="420"/>
        </w:tabs>
        <w:ind w:left="454" w:hanging="454"/>
      </w:pPr>
      <w:rPr>
        <w:rFonts w:hint="default" w:ascii="Times New Roman" w:hAnsi="Times New Roman" w:eastAsia="宋体" w:cs="宋体"/>
        <w:b/>
        <w:sz w:val="21"/>
        <w:szCs w:val="21"/>
      </w:rPr>
    </w:lvl>
  </w:abstractNum>
  <w:num w:numId="1">
    <w:abstractNumId w:val="9"/>
  </w:num>
  <w:num w:numId="2">
    <w:abstractNumId w:val="4"/>
  </w:num>
  <w:num w:numId="3">
    <w:abstractNumId w:val="1"/>
  </w:num>
  <w:num w:numId="4">
    <w:abstractNumId w:val="8"/>
  </w:num>
  <w:num w:numId="5">
    <w:abstractNumId w:val="3"/>
  </w:num>
  <w:num w:numId="6">
    <w:abstractNumId w:val="2"/>
  </w:num>
  <w:num w:numId="7">
    <w:abstractNumId w:val="6"/>
  </w:num>
  <w:num w:numId="8">
    <w:abstractNumId w:val="0"/>
  </w:num>
  <w:num w:numId="9">
    <w:abstractNumId w:val="7"/>
  </w:num>
  <w:num w:numId="10">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S">
    <w15:presenceInfo w15:providerId="None" w15:userId="S"/>
  </w15:person>
  <w15:person w15:author="Unknown">
    <w15:presenceInfo w15:providerId="None" w15:userId="Unknow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dit="trackedChanges" w:enforcement="0"/>
  <w:defaultTabStop w:val="420"/>
  <w:drawingGridHorizontalSpacing w:val="105"/>
  <w:noPunctuationKerning w:val="1"/>
  <w:characterSpacingControl w:val="doNotCompress"/>
  <w:noLineBreaksAfter w:lang="zh-CN" w:val="([{·‘“〈《「『【〔〖（．［｛￡￥"/>
  <w:noLineBreaksBefore w:lang="zh-CN" w:val="!),.:;?]}¨·ˇˉ―‖’”…∶、。〃々〉》」』】〕〗！＂＇），．：；？］｀｜｝～￠"/>
  <w:hdrShapeDefaults>
    <o:shapelayout v:ext="edit">
      <o:idmap v:ext="edit" data="3"/>
    </o:shapelayout>
  </w:hdrShapeDefaults>
  <w:footnotePr>
    <w:footnote w:id="0"/>
    <w:footnote w:id="1"/>
  </w:footnotePr>
  <w:endnotePr>
    <w:endnote w:id="0"/>
    <w:endnote w:id="1"/>
  </w:endnotePr>
  <w:compat>
    <w:balanceSingleByteDoubleByteWidth/>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UzZmNjYWQ0MGNlMzhhYWI2MDI3ODY1YjA5OTZmMzMifQ=="/>
  </w:docVars>
  <w:rsids>
    <w:rsidRoot w:val="00172A27"/>
    <w:rsid w:val="0000058F"/>
    <w:rsid w:val="00000DC0"/>
    <w:rsid w:val="000017AE"/>
    <w:rsid w:val="00001F07"/>
    <w:rsid w:val="0000219D"/>
    <w:rsid w:val="00002BF4"/>
    <w:rsid w:val="00002C5A"/>
    <w:rsid w:val="00002FDC"/>
    <w:rsid w:val="00003AE0"/>
    <w:rsid w:val="00003FC3"/>
    <w:rsid w:val="00004D0B"/>
    <w:rsid w:val="00004D35"/>
    <w:rsid w:val="000060B3"/>
    <w:rsid w:val="000061A9"/>
    <w:rsid w:val="000064A0"/>
    <w:rsid w:val="00006DCB"/>
    <w:rsid w:val="00006EB5"/>
    <w:rsid w:val="000070B2"/>
    <w:rsid w:val="000073F6"/>
    <w:rsid w:val="0000743B"/>
    <w:rsid w:val="00007927"/>
    <w:rsid w:val="00007BB1"/>
    <w:rsid w:val="00007C64"/>
    <w:rsid w:val="00007D27"/>
    <w:rsid w:val="00007E24"/>
    <w:rsid w:val="00010E96"/>
    <w:rsid w:val="00011007"/>
    <w:rsid w:val="00012201"/>
    <w:rsid w:val="00012AA9"/>
    <w:rsid w:val="00012C7A"/>
    <w:rsid w:val="000131BB"/>
    <w:rsid w:val="00013613"/>
    <w:rsid w:val="00013730"/>
    <w:rsid w:val="00013795"/>
    <w:rsid w:val="000141D4"/>
    <w:rsid w:val="0001428C"/>
    <w:rsid w:val="00015081"/>
    <w:rsid w:val="00015662"/>
    <w:rsid w:val="00016777"/>
    <w:rsid w:val="00016846"/>
    <w:rsid w:val="00016E5F"/>
    <w:rsid w:val="000174BA"/>
    <w:rsid w:val="00017A78"/>
    <w:rsid w:val="00017D61"/>
    <w:rsid w:val="00017DAD"/>
    <w:rsid w:val="00020359"/>
    <w:rsid w:val="00020EBA"/>
    <w:rsid w:val="00020F19"/>
    <w:rsid w:val="00021186"/>
    <w:rsid w:val="000220F5"/>
    <w:rsid w:val="000221A9"/>
    <w:rsid w:val="0002273B"/>
    <w:rsid w:val="00022E6B"/>
    <w:rsid w:val="00023596"/>
    <w:rsid w:val="00023B52"/>
    <w:rsid w:val="00023B9C"/>
    <w:rsid w:val="00024723"/>
    <w:rsid w:val="000247E8"/>
    <w:rsid w:val="00024F53"/>
    <w:rsid w:val="0002527D"/>
    <w:rsid w:val="00025432"/>
    <w:rsid w:val="00025696"/>
    <w:rsid w:val="00025ADF"/>
    <w:rsid w:val="00025C64"/>
    <w:rsid w:val="00025E15"/>
    <w:rsid w:val="00025F8A"/>
    <w:rsid w:val="00027002"/>
    <w:rsid w:val="000274A7"/>
    <w:rsid w:val="00027634"/>
    <w:rsid w:val="00027DF5"/>
    <w:rsid w:val="00027FA0"/>
    <w:rsid w:val="000307D8"/>
    <w:rsid w:val="000308CE"/>
    <w:rsid w:val="00030A1E"/>
    <w:rsid w:val="00031551"/>
    <w:rsid w:val="00031566"/>
    <w:rsid w:val="00032728"/>
    <w:rsid w:val="0003352E"/>
    <w:rsid w:val="00033C06"/>
    <w:rsid w:val="00034A9E"/>
    <w:rsid w:val="00034E1F"/>
    <w:rsid w:val="00035BB3"/>
    <w:rsid w:val="00035C63"/>
    <w:rsid w:val="000361A9"/>
    <w:rsid w:val="000373CA"/>
    <w:rsid w:val="00040502"/>
    <w:rsid w:val="0004077E"/>
    <w:rsid w:val="00041092"/>
    <w:rsid w:val="000411C7"/>
    <w:rsid w:val="00041336"/>
    <w:rsid w:val="00041CBD"/>
    <w:rsid w:val="00041DB4"/>
    <w:rsid w:val="00041E25"/>
    <w:rsid w:val="00041F69"/>
    <w:rsid w:val="000423AA"/>
    <w:rsid w:val="0004248F"/>
    <w:rsid w:val="00042AEA"/>
    <w:rsid w:val="0004364B"/>
    <w:rsid w:val="00043FCB"/>
    <w:rsid w:val="000440A0"/>
    <w:rsid w:val="000447C2"/>
    <w:rsid w:val="00044F6A"/>
    <w:rsid w:val="00045024"/>
    <w:rsid w:val="0004533D"/>
    <w:rsid w:val="00045747"/>
    <w:rsid w:val="00045966"/>
    <w:rsid w:val="000471F4"/>
    <w:rsid w:val="0004732B"/>
    <w:rsid w:val="000473EA"/>
    <w:rsid w:val="00047904"/>
    <w:rsid w:val="00050A81"/>
    <w:rsid w:val="00050B47"/>
    <w:rsid w:val="00050EBD"/>
    <w:rsid w:val="0005156B"/>
    <w:rsid w:val="0005308C"/>
    <w:rsid w:val="00053408"/>
    <w:rsid w:val="00053830"/>
    <w:rsid w:val="00053867"/>
    <w:rsid w:val="00053973"/>
    <w:rsid w:val="00054E98"/>
    <w:rsid w:val="00055014"/>
    <w:rsid w:val="0005539C"/>
    <w:rsid w:val="00055942"/>
    <w:rsid w:val="00055F5E"/>
    <w:rsid w:val="00056401"/>
    <w:rsid w:val="00056850"/>
    <w:rsid w:val="0005695B"/>
    <w:rsid w:val="00056D0F"/>
    <w:rsid w:val="000572D9"/>
    <w:rsid w:val="0005731E"/>
    <w:rsid w:val="00057C3D"/>
    <w:rsid w:val="000601BB"/>
    <w:rsid w:val="000604C1"/>
    <w:rsid w:val="000619B3"/>
    <w:rsid w:val="00061A47"/>
    <w:rsid w:val="00061B1F"/>
    <w:rsid w:val="00062267"/>
    <w:rsid w:val="00062273"/>
    <w:rsid w:val="0006248A"/>
    <w:rsid w:val="000628AF"/>
    <w:rsid w:val="000628C6"/>
    <w:rsid w:val="00063446"/>
    <w:rsid w:val="0006378A"/>
    <w:rsid w:val="000637FE"/>
    <w:rsid w:val="0006392F"/>
    <w:rsid w:val="000639B1"/>
    <w:rsid w:val="000639DB"/>
    <w:rsid w:val="00063D54"/>
    <w:rsid w:val="00065463"/>
    <w:rsid w:val="0006580C"/>
    <w:rsid w:val="00066B67"/>
    <w:rsid w:val="00067072"/>
    <w:rsid w:val="0006719C"/>
    <w:rsid w:val="000671C0"/>
    <w:rsid w:val="00067871"/>
    <w:rsid w:val="0007010B"/>
    <w:rsid w:val="000703F1"/>
    <w:rsid w:val="0007075A"/>
    <w:rsid w:val="000710D6"/>
    <w:rsid w:val="00071FD9"/>
    <w:rsid w:val="000720B1"/>
    <w:rsid w:val="0007239C"/>
    <w:rsid w:val="0007324E"/>
    <w:rsid w:val="000733C4"/>
    <w:rsid w:val="0007373A"/>
    <w:rsid w:val="000745EA"/>
    <w:rsid w:val="00074783"/>
    <w:rsid w:val="00074BB8"/>
    <w:rsid w:val="00074D6A"/>
    <w:rsid w:val="00076144"/>
    <w:rsid w:val="0007643F"/>
    <w:rsid w:val="0007649D"/>
    <w:rsid w:val="00076AC6"/>
    <w:rsid w:val="00076B4C"/>
    <w:rsid w:val="00076CA8"/>
    <w:rsid w:val="00077655"/>
    <w:rsid w:val="00077A6E"/>
    <w:rsid w:val="0008070B"/>
    <w:rsid w:val="00080A11"/>
    <w:rsid w:val="00080E34"/>
    <w:rsid w:val="000810AC"/>
    <w:rsid w:val="00081163"/>
    <w:rsid w:val="000817C2"/>
    <w:rsid w:val="00081A02"/>
    <w:rsid w:val="00081B9E"/>
    <w:rsid w:val="00081E4D"/>
    <w:rsid w:val="000821AB"/>
    <w:rsid w:val="00082231"/>
    <w:rsid w:val="0008272F"/>
    <w:rsid w:val="000831A7"/>
    <w:rsid w:val="00083270"/>
    <w:rsid w:val="00083C5A"/>
    <w:rsid w:val="00084A91"/>
    <w:rsid w:val="00085A6A"/>
    <w:rsid w:val="00085E49"/>
    <w:rsid w:val="000862CC"/>
    <w:rsid w:val="00086346"/>
    <w:rsid w:val="00086810"/>
    <w:rsid w:val="00086B6A"/>
    <w:rsid w:val="000871E8"/>
    <w:rsid w:val="00087EBE"/>
    <w:rsid w:val="000901BF"/>
    <w:rsid w:val="000906D1"/>
    <w:rsid w:val="00090963"/>
    <w:rsid w:val="00090AF2"/>
    <w:rsid w:val="00091C8E"/>
    <w:rsid w:val="000923EF"/>
    <w:rsid w:val="0009247E"/>
    <w:rsid w:val="00092677"/>
    <w:rsid w:val="00092D0D"/>
    <w:rsid w:val="00092D38"/>
    <w:rsid w:val="0009377B"/>
    <w:rsid w:val="00093847"/>
    <w:rsid w:val="00093D9E"/>
    <w:rsid w:val="00093DF6"/>
    <w:rsid w:val="00093FDF"/>
    <w:rsid w:val="00094DC6"/>
    <w:rsid w:val="00094E91"/>
    <w:rsid w:val="00094FF3"/>
    <w:rsid w:val="0009522D"/>
    <w:rsid w:val="0009535F"/>
    <w:rsid w:val="00096769"/>
    <w:rsid w:val="00096A51"/>
    <w:rsid w:val="00096D7C"/>
    <w:rsid w:val="00096FC5"/>
    <w:rsid w:val="00097FE9"/>
    <w:rsid w:val="000A0AB1"/>
    <w:rsid w:val="000A0E67"/>
    <w:rsid w:val="000A1669"/>
    <w:rsid w:val="000A1ED2"/>
    <w:rsid w:val="000A20C9"/>
    <w:rsid w:val="000A3058"/>
    <w:rsid w:val="000A3149"/>
    <w:rsid w:val="000A3291"/>
    <w:rsid w:val="000A3324"/>
    <w:rsid w:val="000A359A"/>
    <w:rsid w:val="000A380B"/>
    <w:rsid w:val="000A52A8"/>
    <w:rsid w:val="000A5527"/>
    <w:rsid w:val="000A57AD"/>
    <w:rsid w:val="000A58FC"/>
    <w:rsid w:val="000A5D72"/>
    <w:rsid w:val="000A5D74"/>
    <w:rsid w:val="000A71B8"/>
    <w:rsid w:val="000A7415"/>
    <w:rsid w:val="000A7652"/>
    <w:rsid w:val="000A7B80"/>
    <w:rsid w:val="000B00B9"/>
    <w:rsid w:val="000B058F"/>
    <w:rsid w:val="000B08AE"/>
    <w:rsid w:val="000B08DD"/>
    <w:rsid w:val="000B1393"/>
    <w:rsid w:val="000B13AC"/>
    <w:rsid w:val="000B19B8"/>
    <w:rsid w:val="000B1DEB"/>
    <w:rsid w:val="000B2782"/>
    <w:rsid w:val="000B296D"/>
    <w:rsid w:val="000B2A8F"/>
    <w:rsid w:val="000B2BA7"/>
    <w:rsid w:val="000B2F50"/>
    <w:rsid w:val="000B34E4"/>
    <w:rsid w:val="000B394C"/>
    <w:rsid w:val="000B414D"/>
    <w:rsid w:val="000B4239"/>
    <w:rsid w:val="000B4467"/>
    <w:rsid w:val="000B4DB9"/>
    <w:rsid w:val="000B4E66"/>
    <w:rsid w:val="000B4FE5"/>
    <w:rsid w:val="000B501F"/>
    <w:rsid w:val="000B5180"/>
    <w:rsid w:val="000B5612"/>
    <w:rsid w:val="000B5860"/>
    <w:rsid w:val="000B5C18"/>
    <w:rsid w:val="000B5C38"/>
    <w:rsid w:val="000B5D9E"/>
    <w:rsid w:val="000B5DEE"/>
    <w:rsid w:val="000B6146"/>
    <w:rsid w:val="000B719C"/>
    <w:rsid w:val="000B7614"/>
    <w:rsid w:val="000C00CB"/>
    <w:rsid w:val="000C032B"/>
    <w:rsid w:val="000C09AC"/>
    <w:rsid w:val="000C0EB1"/>
    <w:rsid w:val="000C1321"/>
    <w:rsid w:val="000C1538"/>
    <w:rsid w:val="000C185A"/>
    <w:rsid w:val="000C18E6"/>
    <w:rsid w:val="000C1A76"/>
    <w:rsid w:val="000C2030"/>
    <w:rsid w:val="000C2213"/>
    <w:rsid w:val="000C2270"/>
    <w:rsid w:val="000C2329"/>
    <w:rsid w:val="000C2AC9"/>
    <w:rsid w:val="000C2E03"/>
    <w:rsid w:val="000C348E"/>
    <w:rsid w:val="000C34ED"/>
    <w:rsid w:val="000C3679"/>
    <w:rsid w:val="000C4106"/>
    <w:rsid w:val="000C4108"/>
    <w:rsid w:val="000C56E3"/>
    <w:rsid w:val="000C767F"/>
    <w:rsid w:val="000C7C97"/>
    <w:rsid w:val="000D046B"/>
    <w:rsid w:val="000D06B0"/>
    <w:rsid w:val="000D0C68"/>
    <w:rsid w:val="000D0C90"/>
    <w:rsid w:val="000D0CDB"/>
    <w:rsid w:val="000D11A0"/>
    <w:rsid w:val="000D1B44"/>
    <w:rsid w:val="000D240C"/>
    <w:rsid w:val="000D2B4E"/>
    <w:rsid w:val="000D31AF"/>
    <w:rsid w:val="000D345C"/>
    <w:rsid w:val="000D485F"/>
    <w:rsid w:val="000D4991"/>
    <w:rsid w:val="000D4E7C"/>
    <w:rsid w:val="000D5006"/>
    <w:rsid w:val="000D57D3"/>
    <w:rsid w:val="000D5A44"/>
    <w:rsid w:val="000D5AF6"/>
    <w:rsid w:val="000D62F6"/>
    <w:rsid w:val="000D67BF"/>
    <w:rsid w:val="000D6A8A"/>
    <w:rsid w:val="000D6AD0"/>
    <w:rsid w:val="000D6E7D"/>
    <w:rsid w:val="000D7637"/>
    <w:rsid w:val="000D7C5C"/>
    <w:rsid w:val="000D7D67"/>
    <w:rsid w:val="000E0759"/>
    <w:rsid w:val="000E1087"/>
    <w:rsid w:val="000E1181"/>
    <w:rsid w:val="000E11E7"/>
    <w:rsid w:val="000E2E42"/>
    <w:rsid w:val="000E3870"/>
    <w:rsid w:val="000E3ED2"/>
    <w:rsid w:val="000E44FB"/>
    <w:rsid w:val="000E4761"/>
    <w:rsid w:val="000E4918"/>
    <w:rsid w:val="000E49D6"/>
    <w:rsid w:val="000E4EFF"/>
    <w:rsid w:val="000E52FF"/>
    <w:rsid w:val="000E5482"/>
    <w:rsid w:val="000E5673"/>
    <w:rsid w:val="000E5C28"/>
    <w:rsid w:val="000E69A5"/>
    <w:rsid w:val="000E6BE9"/>
    <w:rsid w:val="000E6C73"/>
    <w:rsid w:val="000E6C7F"/>
    <w:rsid w:val="000E6FD7"/>
    <w:rsid w:val="000E778A"/>
    <w:rsid w:val="000E7BEC"/>
    <w:rsid w:val="000E7FDF"/>
    <w:rsid w:val="000F0145"/>
    <w:rsid w:val="000F05D1"/>
    <w:rsid w:val="000F05F6"/>
    <w:rsid w:val="000F108B"/>
    <w:rsid w:val="000F111A"/>
    <w:rsid w:val="000F1A08"/>
    <w:rsid w:val="000F1C66"/>
    <w:rsid w:val="000F260B"/>
    <w:rsid w:val="000F27BE"/>
    <w:rsid w:val="000F2D6F"/>
    <w:rsid w:val="000F35D6"/>
    <w:rsid w:val="000F42F5"/>
    <w:rsid w:val="000F4335"/>
    <w:rsid w:val="000F4467"/>
    <w:rsid w:val="000F4813"/>
    <w:rsid w:val="000F5376"/>
    <w:rsid w:val="000F5C6C"/>
    <w:rsid w:val="000F6058"/>
    <w:rsid w:val="000F65CB"/>
    <w:rsid w:val="000F66F3"/>
    <w:rsid w:val="000F67E3"/>
    <w:rsid w:val="000F6962"/>
    <w:rsid w:val="000F6EB4"/>
    <w:rsid w:val="000F70BF"/>
    <w:rsid w:val="000F729B"/>
    <w:rsid w:val="000F745E"/>
    <w:rsid w:val="000F775E"/>
    <w:rsid w:val="000F787E"/>
    <w:rsid w:val="000F7B78"/>
    <w:rsid w:val="001004BA"/>
    <w:rsid w:val="001004CD"/>
    <w:rsid w:val="00101012"/>
    <w:rsid w:val="001017FA"/>
    <w:rsid w:val="001019F0"/>
    <w:rsid w:val="00103ABB"/>
    <w:rsid w:val="00103C95"/>
    <w:rsid w:val="00103D94"/>
    <w:rsid w:val="00103F72"/>
    <w:rsid w:val="0010411C"/>
    <w:rsid w:val="00104257"/>
    <w:rsid w:val="00104A5A"/>
    <w:rsid w:val="00104FF7"/>
    <w:rsid w:val="00105646"/>
    <w:rsid w:val="001061A0"/>
    <w:rsid w:val="001061DE"/>
    <w:rsid w:val="00106233"/>
    <w:rsid w:val="0010629C"/>
    <w:rsid w:val="001064C5"/>
    <w:rsid w:val="00106D51"/>
    <w:rsid w:val="00106F4E"/>
    <w:rsid w:val="001073FE"/>
    <w:rsid w:val="0010783A"/>
    <w:rsid w:val="00107CCB"/>
    <w:rsid w:val="00107EED"/>
    <w:rsid w:val="00110109"/>
    <w:rsid w:val="00110485"/>
    <w:rsid w:val="00110C1B"/>
    <w:rsid w:val="00110FAC"/>
    <w:rsid w:val="00110FB2"/>
    <w:rsid w:val="001110EB"/>
    <w:rsid w:val="0011145F"/>
    <w:rsid w:val="00111869"/>
    <w:rsid w:val="0011231C"/>
    <w:rsid w:val="001128A0"/>
    <w:rsid w:val="00112A32"/>
    <w:rsid w:val="0011355E"/>
    <w:rsid w:val="0011398C"/>
    <w:rsid w:val="00114064"/>
    <w:rsid w:val="0011484C"/>
    <w:rsid w:val="00114894"/>
    <w:rsid w:val="001149DF"/>
    <w:rsid w:val="00114CCB"/>
    <w:rsid w:val="00115816"/>
    <w:rsid w:val="00115E09"/>
    <w:rsid w:val="00115E4B"/>
    <w:rsid w:val="00117212"/>
    <w:rsid w:val="00117CC0"/>
    <w:rsid w:val="00121200"/>
    <w:rsid w:val="00121AC1"/>
    <w:rsid w:val="00121C88"/>
    <w:rsid w:val="001226CB"/>
    <w:rsid w:val="0012286C"/>
    <w:rsid w:val="00123A29"/>
    <w:rsid w:val="00123D7C"/>
    <w:rsid w:val="0012409D"/>
    <w:rsid w:val="00124A5D"/>
    <w:rsid w:val="0012504A"/>
    <w:rsid w:val="001251CC"/>
    <w:rsid w:val="0012586D"/>
    <w:rsid w:val="00125A9B"/>
    <w:rsid w:val="001266FC"/>
    <w:rsid w:val="00126F37"/>
    <w:rsid w:val="001272D9"/>
    <w:rsid w:val="0012770A"/>
    <w:rsid w:val="00127AD6"/>
    <w:rsid w:val="00127CDA"/>
    <w:rsid w:val="00130140"/>
    <w:rsid w:val="00130342"/>
    <w:rsid w:val="0013035D"/>
    <w:rsid w:val="00130B71"/>
    <w:rsid w:val="00130E21"/>
    <w:rsid w:val="00131032"/>
    <w:rsid w:val="00131F42"/>
    <w:rsid w:val="00132C20"/>
    <w:rsid w:val="001333D5"/>
    <w:rsid w:val="00133A22"/>
    <w:rsid w:val="00133C24"/>
    <w:rsid w:val="00133EC2"/>
    <w:rsid w:val="001357F1"/>
    <w:rsid w:val="00136284"/>
    <w:rsid w:val="00136568"/>
    <w:rsid w:val="00136CAE"/>
    <w:rsid w:val="00140340"/>
    <w:rsid w:val="0014072B"/>
    <w:rsid w:val="0014074C"/>
    <w:rsid w:val="00140775"/>
    <w:rsid w:val="00140993"/>
    <w:rsid w:val="00140E3D"/>
    <w:rsid w:val="00140FA8"/>
    <w:rsid w:val="001411EB"/>
    <w:rsid w:val="00141268"/>
    <w:rsid w:val="00141907"/>
    <w:rsid w:val="00141C58"/>
    <w:rsid w:val="00141F7B"/>
    <w:rsid w:val="001429A1"/>
    <w:rsid w:val="00142B5E"/>
    <w:rsid w:val="00142FEB"/>
    <w:rsid w:val="00143A2D"/>
    <w:rsid w:val="00143CA9"/>
    <w:rsid w:val="001440A0"/>
    <w:rsid w:val="00144A50"/>
    <w:rsid w:val="00144BD4"/>
    <w:rsid w:val="00144ED7"/>
    <w:rsid w:val="0014564C"/>
    <w:rsid w:val="001457FD"/>
    <w:rsid w:val="001458A6"/>
    <w:rsid w:val="00145A2A"/>
    <w:rsid w:val="00145A41"/>
    <w:rsid w:val="00146365"/>
    <w:rsid w:val="001463E3"/>
    <w:rsid w:val="0014652F"/>
    <w:rsid w:val="001467A5"/>
    <w:rsid w:val="00146F2F"/>
    <w:rsid w:val="00147A42"/>
    <w:rsid w:val="00147ADA"/>
    <w:rsid w:val="00147C46"/>
    <w:rsid w:val="00150605"/>
    <w:rsid w:val="00150670"/>
    <w:rsid w:val="00150C2C"/>
    <w:rsid w:val="00150C5B"/>
    <w:rsid w:val="00151252"/>
    <w:rsid w:val="00151675"/>
    <w:rsid w:val="00151A08"/>
    <w:rsid w:val="001523CE"/>
    <w:rsid w:val="001525C2"/>
    <w:rsid w:val="001528A6"/>
    <w:rsid w:val="00153EC9"/>
    <w:rsid w:val="00153FBA"/>
    <w:rsid w:val="00153FE0"/>
    <w:rsid w:val="0015415F"/>
    <w:rsid w:val="00154691"/>
    <w:rsid w:val="001546DE"/>
    <w:rsid w:val="00154780"/>
    <w:rsid w:val="0015595F"/>
    <w:rsid w:val="00155E39"/>
    <w:rsid w:val="00156216"/>
    <w:rsid w:val="00156A04"/>
    <w:rsid w:val="00156E09"/>
    <w:rsid w:val="00157435"/>
    <w:rsid w:val="00157A1F"/>
    <w:rsid w:val="00157A4C"/>
    <w:rsid w:val="00160696"/>
    <w:rsid w:val="00161373"/>
    <w:rsid w:val="001621B9"/>
    <w:rsid w:val="0016290C"/>
    <w:rsid w:val="00162CF3"/>
    <w:rsid w:val="001636EC"/>
    <w:rsid w:val="001643E6"/>
    <w:rsid w:val="0016465C"/>
    <w:rsid w:val="001653CF"/>
    <w:rsid w:val="001668FD"/>
    <w:rsid w:val="001670D5"/>
    <w:rsid w:val="001676AF"/>
    <w:rsid w:val="0016786C"/>
    <w:rsid w:val="001701EA"/>
    <w:rsid w:val="00170398"/>
    <w:rsid w:val="00170923"/>
    <w:rsid w:val="00171184"/>
    <w:rsid w:val="0017169A"/>
    <w:rsid w:val="00171907"/>
    <w:rsid w:val="00171C3D"/>
    <w:rsid w:val="0017219B"/>
    <w:rsid w:val="00172A27"/>
    <w:rsid w:val="00172AD4"/>
    <w:rsid w:val="00172CDB"/>
    <w:rsid w:val="00173C19"/>
    <w:rsid w:val="00173F61"/>
    <w:rsid w:val="00174377"/>
    <w:rsid w:val="0017504D"/>
    <w:rsid w:val="0017579D"/>
    <w:rsid w:val="001758F0"/>
    <w:rsid w:val="00175940"/>
    <w:rsid w:val="00175A2C"/>
    <w:rsid w:val="00175B77"/>
    <w:rsid w:val="0017671A"/>
    <w:rsid w:val="00176837"/>
    <w:rsid w:val="00176AEF"/>
    <w:rsid w:val="00176CC5"/>
    <w:rsid w:val="00177422"/>
    <w:rsid w:val="001779EC"/>
    <w:rsid w:val="00180ACC"/>
    <w:rsid w:val="00180FF8"/>
    <w:rsid w:val="0018134C"/>
    <w:rsid w:val="00181DD3"/>
    <w:rsid w:val="00181F84"/>
    <w:rsid w:val="0018280D"/>
    <w:rsid w:val="001830E7"/>
    <w:rsid w:val="001836C6"/>
    <w:rsid w:val="00183D65"/>
    <w:rsid w:val="00183F39"/>
    <w:rsid w:val="00183FB0"/>
    <w:rsid w:val="00184144"/>
    <w:rsid w:val="00184590"/>
    <w:rsid w:val="001850B5"/>
    <w:rsid w:val="0018567C"/>
    <w:rsid w:val="00185DDB"/>
    <w:rsid w:val="00186044"/>
    <w:rsid w:val="00186483"/>
    <w:rsid w:val="001866A2"/>
    <w:rsid w:val="001870D1"/>
    <w:rsid w:val="001871A6"/>
    <w:rsid w:val="0018781E"/>
    <w:rsid w:val="0018795E"/>
    <w:rsid w:val="00187AFD"/>
    <w:rsid w:val="00190279"/>
    <w:rsid w:val="001917AC"/>
    <w:rsid w:val="00191926"/>
    <w:rsid w:val="0019262D"/>
    <w:rsid w:val="00192821"/>
    <w:rsid w:val="001931EF"/>
    <w:rsid w:val="00193292"/>
    <w:rsid w:val="001935BF"/>
    <w:rsid w:val="001935DA"/>
    <w:rsid w:val="00193975"/>
    <w:rsid w:val="00193D1A"/>
    <w:rsid w:val="00193D23"/>
    <w:rsid w:val="00193F5C"/>
    <w:rsid w:val="001944AD"/>
    <w:rsid w:val="00194534"/>
    <w:rsid w:val="001946F5"/>
    <w:rsid w:val="00194C65"/>
    <w:rsid w:val="0019521D"/>
    <w:rsid w:val="001957ED"/>
    <w:rsid w:val="00195A87"/>
    <w:rsid w:val="00195B51"/>
    <w:rsid w:val="00195DE4"/>
    <w:rsid w:val="001972C3"/>
    <w:rsid w:val="00197D3E"/>
    <w:rsid w:val="001A01AC"/>
    <w:rsid w:val="001A0240"/>
    <w:rsid w:val="001A0338"/>
    <w:rsid w:val="001A041D"/>
    <w:rsid w:val="001A05C5"/>
    <w:rsid w:val="001A07F0"/>
    <w:rsid w:val="001A10D3"/>
    <w:rsid w:val="001A1542"/>
    <w:rsid w:val="001A1AE6"/>
    <w:rsid w:val="001A1B35"/>
    <w:rsid w:val="001A1E8E"/>
    <w:rsid w:val="001A2B8A"/>
    <w:rsid w:val="001A3EB4"/>
    <w:rsid w:val="001A419C"/>
    <w:rsid w:val="001A48A2"/>
    <w:rsid w:val="001A4A66"/>
    <w:rsid w:val="001A4D57"/>
    <w:rsid w:val="001A5310"/>
    <w:rsid w:val="001A5314"/>
    <w:rsid w:val="001A5796"/>
    <w:rsid w:val="001A5BFE"/>
    <w:rsid w:val="001A63B6"/>
    <w:rsid w:val="001A6C7F"/>
    <w:rsid w:val="001A6D92"/>
    <w:rsid w:val="001A6F61"/>
    <w:rsid w:val="001A71AB"/>
    <w:rsid w:val="001A74F2"/>
    <w:rsid w:val="001A7B8D"/>
    <w:rsid w:val="001A7BF1"/>
    <w:rsid w:val="001B049E"/>
    <w:rsid w:val="001B0627"/>
    <w:rsid w:val="001B0766"/>
    <w:rsid w:val="001B07D7"/>
    <w:rsid w:val="001B08ED"/>
    <w:rsid w:val="001B0B16"/>
    <w:rsid w:val="001B10A4"/>
    <w:rsid w:val="001B1644"/>
    <w:rsid w:val="001B1822"/>
    <w:rsid w:val="001B186F"/>
    <w:rsid w:val="001B275D"/>
    <w:rsid w:val="001B27AB"/>
    <w:rsid w:val="001B2AF9"/>
    <w:rsid w:val="001B2D9C"/>
    <w:rsid w:val="001B466C"/>
    <w:rsid w:val="001B4985"/>
    <w:rsid w:val="001B5072"/>
    <w:rsid w:val="001B5AD6"/>
    <w:rsid w:val="001B5CA5"/>
    <w:rsid w:val="001B5D74"/>
    <w:rsid w:val="001B6413"/>
    <w:rsid w:val="001B72B8"/>
    <w:rsid w:val="001B7351"/>
    <w:rsid w:val="001B73B5"/>
    <w:rsid w:val="001C0665"/>
    <w:rsid w:val="001C1541"/>
    <w:rsid w:val="001C1A20"/>
    <w:rsid w:val="001C1DB7"/>
    <w:rsid w:val="001C2112"/>
    <w:rsid w:val="001C22C9"/>
    <w:rsid w:val="001C23E1"/>
    <w:rsid w:val="001C3748"/>
    <w:rsid w:val="001C4218"/>
    <w:rsid w:val="001C4425"/>
    <w:rsid w:val="001C477F"/>
    <w:rsid w:val="001C4786"/>
    <w:rsid w:val="001C4C0B"/>
    <w:rsid w:val="001C4DFD"/>
    <w:rsid w:val="001C4E2C"/>
    <w:rsid w:val="001C63DC"/>
    <w:rsid w:val="001C66AB"/>
    <w:rsid w:val="001C69B3"/>
    <w:rsid w:val="001C6ABC"/>
    <w:rsid w:val="001C6DA1"/>
    <w:rsid w:val="001D04B2"/>
    <w:rsid w:val="001D098E"/>
    <w:rsid w:val="001D12E6"/>
    <w:rsid w:val="001D1A3B"/>
    <w:rsid w:val="001D268D"/>
    <w:rsid w:val="001D31A7"/>
    <w:rsid w:val="001D334C"/>
    <w:rsid w:val="001D3BFB"/>
    <w:rsid w:val="001D3F19"/>
    <w:rsid w:val="001D4069"/>
    <w:rsid w:val="001D4949"/>
    <w:rsid w:val="001D4D3C"/>
    <w:rsid w:val="001D51B9"/>
    <w:rsid w:val="001D5297"/>
    <w:rsid w:val="001D52D9"/>
    <w:rsid w:val="001D5595"/>
    <w:rsid w:val="001D5617"/>
    <w:rsid w:val="001D563B"/>
    <w:rsid w:val="001D66C5"/>
    <w:rsid w:val="001D681F"/>
    <w:rsid w:val="001D75B8"/>
    <w:rsid w:val="001D7874"/>
    <w:rsid w:val="001D7A4C"/>
    <w:rsid w:val="001D7BEB"/>
    <w:rsid w:val="001D7F22"/>
    <w:rsid w:val="001E02AA"/>
    <w:rsid w:val="001E0455"/>
    <w:rsid w:val="001E07D0"/>
    <w:rsid w:val="001E1B89"/>
    <w:rsid w:val="001E20AB"/>
    <w:rsid w:val="001E21AF"/>
    <w:rsid w:val="001E2DCD"/>
    <w:rsid w:val="001E2F78"/>
    <w:rsid w:val="001E30A7"/>
    <w:rsid w:val="001E34B7"/>
    <w:rsid w:val="001E3BB6"/>
    <w:rsid w:val="001E3BD3"/>
    <w:rsid w:val="001E5B61"/>
    <w:rsid w:val="001E5D6E"/>
    <w:rsid w:val="001E67EC"/>
    <w:rsid w:val="001E727A"/>
    <w:rsid w:val="001E73A3"/>
    <w:rsid w:val="001E753B"/>
    <w:rsid w:val="001E7B32"/>
    <w:rsid w:val="001E7D93"/>
    <w:rsid w:val="001F0077"/>
    <w:rsid w:val="001F0942"/>
    <w:rsid w:val="001F0F17"/>
    <w:rsid w:val="001F12E3"/>
    <w:rsid w:val="001F2EC4"/>
    <w:rsid w:val="001F330C"/>
    <w:rsid w:val="001F3347"/>
    <w:rsid w:val="001F4410"/>
    <w:rsid w:val="001F48DE"/>
    <w:rsid w:val="001F4D9D"/>
    <w:rsid w:val="001F4FDA"/>
    <w:rsid w:val="001F5589"/>
    <w:rsid w:val="001F59DB"/>
    <w:rsid w:val="001F5A91"/>
    <w:rsid w:val="001F64D9"/>
    <w:rsid w:val="001F66C6"/>
    <w:rsid w:val="001F68E3"/>
    <w:rsid w:val="001F69E4"/>
    <w:rsid w:val="001F6D0E"/>
    <w:rsid w:val="001F72F0"/>
    <w:rsid w:val="001F72FD"/>
    <w:rsid w:val="001F78E6"/>
    <w:rsid w:val="001F7A8E"/>
    <w:rsid w:val="001F7CEC"/>
    <w:rsid w:val="002006D3"/>
    <w:rsid w:val="00200991"/>
    <w:rsid w:val="00200F6D"/>
    <w:rsid w:val="002016BD"/>
    <w:rsid w:val="002018B5"/>
    <w:rsid w:val="002025E0"/>
    <w:rsid w:val="0020276C"/>
    <w:rsid w:val="002041C2"/>
    <w:rsid w:val="002042C3"/>
    <w:rsid w:val="00204421"/>
    <w:rsid w:val="00204922"/>
    <w:rsid w:val="00205166"/>
    <w:rsid w:val="0020566F"/>
    <w:rsid w:val="002059D8"/>
    <w:rsid w:val="00205C08"/>
    <w:rsid w:val="00205D66"/>
    <w:rsid w:val="002068C3"/>
    <w:rsid w:val="00206B3F"/>
    <w:rsid w:val="0020755C"/>
    <w:rsid w:val="00207AF1"/>
    <w:rsid w:val="00210024"/>
    <w:rsid w:val="00210238"/>
    <w:rsid w:val="002104D8"/>
    <w:rsid w:val="002111AB"/>
    <w:rsid w:val="002120B1"/>
    <w:rsid w:val="002125B4"/>
    <w:rsid w:val="0021277D"/>
    <w:rsid w:val="002127AA"/>
    <w:rsid w:val="00212D76"/>
    <w:rsid w:val="0021343F"/>
    <w:rsid w:val="00213A38"/>
    <w:rsid w:val="00213AC0"/>
    <w:rsid w:val="00213E18"/>
    <w:rsid w:val="00214ABD"/>
    <w:rsid w:val="00214E1B"/>
    <w:rsid w:val="00214E27"/>
    <w:rsid w:val="002155B8"/>
    <w:rsid w:val="002165FD"/>
    <w:rsid w:val="00216D3D"/>
    <w:rsid w:val="00217A52"/>
    <w:rsid w:val="00217C00"/>
    <w:rsid w:val="00217CD7"/>
    <w:rsid w:val="00222728"/>
    <w:rsid w:val="00223577"/>
    <w:rsid w:val="00224576"/>
    <w:rsid w:val="00224839"/>
    <w:rsid w:val="002249B2"/>
    <w:rsid w:val="00224B14"/>
    <w:rsid w:val="0022514D"/>
    <w:rsid w:val="00225B1A"/>
    <w:rsid w:val="00226478"/>
    <w:rsid w:val="00226574"/>
    <w:rsid w:val="0022759A"/>
    <w:rsid w:val="002278EC"/>
    <w:rsid w:val="0022790A"/>
    <w:rsid w:val="00227911"/>
    <w:rsid w:val="00227D27"/>
    <w:rsid w:val="002300A2"/>
    <w:rsid w:val="0023012F"/>
    <w:rsid w:val="00230830"/>
    <w:rsid w:val="00231343"/>
    <w:rsid w:val="0023147F"/>
    <w:rsid w:val="002316BA"/>
    <w:rsid w:val="0023258F"/>
    <w:rsid w:val="00232782"/>
    <w:rsid w:val="0023280E"/>
    <w:rsid w:val="00232BB9"/>
    <w:rsid w:val="00232C3B"/>
    <w:rsid w:val="00232D06"/>
    <w:rsid w:val="002332BD"/>
    <w:rsid w:val="00234345"/>
    <w:rsid w:val="00234CB1"/>
    <w:rsid w:val="0023595A"/>
    <w:rsid w:val="00235D87"/>
    <w:rsid w:val="002363F8"/>
    <w:rsid w:val="00236A76"/>
    <w:rsid w:val="00236A80"/>
    <w:rsid w:val="00236C07"/>
    <w:rsid w:val="002377D1"/>
    <w:rsid w:val="00237C37"/>
    <w:rsid w:val="00240117"/>
    <w:rsid w:val="00241062"/>
    <w:rsid w:val="002411BC"/>
    <w:rsid w:val="002414FA"/>
    <w:rsid w:val="00241663"/>
    <w:rsid w:val="0024183C"/>
    <w:rsid w:val="002419A1"/>
    <w:rsid w:val="00242384"/>
    <w:rsid w:val="0024256D"/>
    <w:rsid w:val="002425FD"/>
    <w:rsid w:val="00242879"/>
    <w:rsid w:val="00242975"/>
    <w:rsid w:val="00242EA7"/>
    <w:rsid w:val="00243B90"/>
    <w:rsid w:val="00243F8D"/>
    <w:rsid w:val="00244225"/>
    <w:rsid w:val="00244633"/>
    <w:rsid w:val="002448D7"/>
    <w:rsid w:val="00244A14"/>
    <w:rsid w:val="00245262"/>
    <w:rsid w:val="00245280"/>
    <w:rsid w:val="002460E9"/>
    <w:rsid w:val="00246390"/>
    <w:rsid w:val="002463F8"/>
    <w:rsid w:val="0024668F"/>
    <w:rsid w:val="002479E2"/>
    <w:rsid w:val="00247E7D"/>
    <w:rsid w:val="002504A3"/>
    <w:rsid w:val="002506BC"/>
    <w:rsid w:val="00250F82"/>
    <w:rsid w:val="0025107F"/>
    <w:rsid w:val="002519CD"/>
    <w:rsid w:val="00251EF7"/>
    <w:rsid w:val="0025219B"/>
    <w:rsid w:val="00252B09"/>
    <w:rsid w:val="00252F31"/>
    <w:rsid w:val="00253988"/>
    <w:rsid w:val="002539AD"/>
    <w:rsid w:val="00253B1F"/>
    <w:rsid w:val="002541AD"/>
    <w:rsid w:val="00254345"/>
    <w:rsid w:val="00254389"/>
    <w:rsid w:val="002551DA"/>
    <w:rsid w:val="002559D9"/>
    <w:rsid w:val="00256C21"/>
    <w:rsid w:val="00260118"/>
    <w:rsid w:val="0026034D"/>
    <w:rsid w:val="002604A8"/>
    <w:rsid w:val="00260FA1"/>
    <w:rsid w:val="00261426"/>
    <w:rsid w:val="00261575"/>
    <w:rsid w:val="00261DC1"/>
    <w:rsid w:val="002621C9"/>
    <w:rsid w:val="00262244"/>
    <w:rsid w:val="00262AAC"/>
    <w:rsid w:val="00262E24"/>
    <w:rsid w:val="0026349D"/>
    <w:rsid w:val="002634B3"/>
    <w:rsid w:val="00264392"/>
    <w:rsid w:val="00264557"/>
    <w:rsid w:val="002645F8"/>
    <w:rsid w:val="0026479A"/>
    <w:rsid w:val="002649B3"/>
    <w:rsid w:val="00264D1E"/>
    <w:rsid w:val="002651C0"/>
    <w:rsid w:val="002652BA"/>
    <w:rsid w:val="00265EAC"/>
    <w:rsid w:val="0026696C"/>
    <w:rsid w:val="00266BFE"/>
    <w:rsid w:val="00266C5F"/>
    <w:rsid w:val="0027074F"/>
    <w:rsid w:val="002708D3"/>
    <w:rsid w:val="00270ADF"/>
    <w:rsid w:val="00271A2A"/>
    <w:rsid w:val="002731AD"/>
    <w:rsid w:val="002736A3"/>
    <w:rsid w:val="002742A0"/>
    <w:rsid w:val="00274C10"/>
    <w:rsid w:val="002757B8"/>
    <w:rsid w:val="0027580B"/>
    <w:rsid w:val="00275CC4"/>
    <w:rsid w:val="00276967"/>
    <w:rsid w:val="0028017F"/>
    <w:rsid w:val="002805AB"/>
    <w:rsid w:val="00280886"/>
    <w:rsid w:val="002812DF"/>
    <w:rsid w:val="00281408"/>
    <w:rsid w:val="0028143A"/>
    <w:rsid w:val="002815D3"/>
    <w:rsid w:val="002820BE"/>
    <w:rsid w:val="002824CD"/>
    <w:rsid w:val="00282A30"/>
    <w:rsid w:val="00282DBF"/>
    <w:rsid w:val="00282FB8"/>
    <w:rsid w:val="00283761"/>
    <w:rsid w:val="00284204"/>
    <w:rsid w:val="002853C8"/>
    <w:rsid w:val="00285799"/>
    <w:rsid w:val="0028584E"/>
    <w:rsid w:val="002861EE"/>
    <w:rsid w:val="00286212"/>
    <w:rsid w:val="0028703F"/>
    <w:rsid w:val="00287B9B"/>
    <w:rsid w:val="0029080A"/>
    <w:rsid w:val="0029089F"/>
    <w:rsid w:val="00290A2E"/>
    <w:rsid w:val="00290BB8"/>
    <w:rsid w:val="002913B8"/>
    <w:rsid w:val="00291773"/>
    <w:rsid w:val="0029188A"/>
    <w:rsid w:val="00292202"/>
    <w:rsid w:val="00292530"/>
    <w:rsid w:val="0029254F"/>
    <w:rsid w:val="00293340"/>
    <w:rsid w:val="0029351C"/>
    <w:rsid w:val="002938AF"/>
    <w:rsid w:val="00294285"/>
    <w:rsid w:val="00294AC6"/>
    <w:rsid w:val="00294F5E"/>
    <w:rsid w:val="002959C7"/>
    <w:rsid w:val="00295CBF"/>
    <w:rsid w:val="00295F33"/>
    <w:rsid w:val="002961B1"/>
    <w:rsid w:val="00296227"/>
    <w:rsid w:val="002968FD"/>
    <w:rsid w:val="00297869"/>
    <w:rsid w:val="002A08C7"/>
    <w:rsid w:val="002A08E4"/>
    <w:rsid w:val="002A0AD2"/>
    <w:rsid w:val="002A168C"/>
    <w:rsid w:val="002A1746"/>
    <w:rsid w:val="002A1C19"/>
    <w:rsid w:val="002A1DAD"/>
    <w:rsid w:val="002A24D1"/>
    <w:rsid w:val="002A26D3"/>
    <w:rsid w:val="002A2744"/>
    <w:rsid w:val="002A2A0B"/>
    <w:rsid w:val="002A2E3E"/>
    <w:rsid w:val="002A30E8"/>
    <w:rsid w:val="002A3997"/>
    <w:rsid w:val="002A3DC7"/>
    <w:rsid w:val="002A3E1A"/>
    <w:rsid w:val="002A46CC"/>
    <w:rsid w:val="002A4757"/>
    <w:rsid w:val="002A4E94"/>
    <w:rsid w:val="002A51E9"/>
    <w:rsid w:val="002A52A5"/>
    <w:rsid w:val="002A52CC"/>
    <w:rsid w:val="002A53CA"/>
    <w:rsid w:val="002A5A6E"/>
    <w:rsid w:val="002A5BD6"/>
    <w:rsid w:val="002A681C"/>
    <w:rsid w:val="002A68A8"/>
    <w:rsid w:val="002A6EF0"/>
    <w:rsid w:val="002A7AF3"/>
    <w:rsid w:val="002A7DD7"/>
    <w:rsid w:val="002A7F47"/>
    <w:rsid w:val="002B005A"/>
    <w:rsid w:val="002B00F5"/>
    <w:rsid w:val="002B0FFB"/>
    <w:rsid w:val="002B1F09"/>
    <w:rsid w:val="002B1F22"/>
    <w:rsid w:val="002B212C"/>
    <w:rsid w:val="002B2244"/>
    <w:rsid w:val="002B2509"/>
    <w:rsid w:val="002B2ECA"/>
    <w:rsid w:val="002B30FE"/>
    <w:rsid w:val="002B39D5"/>
    <w:rsid w:val="002B3BA8"/>
    <w:rsid w:val="002B49E2"/>
    <w:rsid w:val="002B4BBA"/>
    <w:rsid w:val="002B4DCD"/>
    <w:rsid w:val="002B574A"/>
    <w:rsid w:val="002B5CAC"/>
    <w:rsid w:val="002B6329"/>
    <w:rsid w:val="002B66F0"/>
    <w:rsid w:val="002B6ADA"/>
    <w:rsid w:val="002B6EEB"/>
    <w:rsid w:val="002B70FD"/>
    <w:rsid w:val="002B7B00"/>
    <w:rsid w:val="002B7C44"/>
    <w:rsid w:val="002C0B92"/>
    <w:rsid w:val="002C13FA"/>
    <w:rsid w:val="002C187E"/>
    <w:rsid w:val="002C20B7"/>
    <w:rsid w:val="002C22FA"/>
    <w:rsid w:val="002C2B17"/>
    <w:rsid w:val="002C2F0A"/>
    <w:rsid w:val="002C3915"/>
    <w:rsid w:val="002C3B39"/>
    <w:rsid w:val="002C47E1"/>
    <w:rsid w:val="002C500A"/>
    <w:rsid w:val="002C5466"/>
    <w:rsid w:val="002C5A5D"/>
    <w:rsid w:val="002C5B8D"/>
    <w:rsid w:val="002C6900"/>
    <w:rsid w:val="002C693F"/>
    <w:rsid w:val="002C6E31"/>
    <w:rsid w:val="002C6E35"/>
    <w:rsid w:val="002D0957"/>
    <w:rsid w:val="002D183C"/>
    <w:rsid w:val="002D198C"/>
    <w:rsid w:val="002D19D7"/>
    <w:rsid w:val="002D1F0C"/>
    <w:rsid w:val="002D3166"/>
    <w:rsid w:val="002D398A"/>
    <w:rsid w:val="002D3AA4"/>
    <w:rsid w:val="002D3DD0"/>
    <w:rsid w:val="002D4706"/>
    <w:rsid w:val="002D4809"/>
    <w:rsid w:val="002D54E7"/>
    <w:rsid w:val="002D5863"/>
    <w:rsid w:val="002D5C38"/>
    <w:rsid w:val="002D5D6C"/>
    <w:rsid w:val="002D5E04"/>
    <w:rsid w:val="002D5E2C"/>
    <w:rsid w:val="002D600B"/>
    <w:rsid w:val="002D6029"/>
    <w:rsid w:val="002D6134"/>
    <w:rsid w:val="002D7075"/>
    <w:rsid w:val="002D70CE"/>
    <w:rsid w:val="002D7A6B"/>
    <w:rsid w:val="002D7AE0"/>
    <w:rsid w:val="002D7E97"/>
    <w:rsid w:val="002E02B3"/>
    <w:rsid w:val="002E1478"/>
    <w:rsid w:val="002E1A80"/>
    <w:rsid w:val="002E1A88"/>
    <w:rsid w:val="002E1F3A"/>
    <w:rsid w:val="002E1F9D"/>
    <w:rsid w:val="002E298A"/>
    <w:rsid w:val="002E2C42"/>
    <w:rsid w:val="002E316D"/>
    <w:rsid w:val="002E37EF"/>
    <w:rsid w:val="002E3D6A"/>
    <w:rsid w:val="002E3ECD"/>
    <w:rsid w:val="002E47AF"/>
    <w:rsid w:val="002E4D29"/>
    <w:rsid w:val="002E5596"/>
    <w:rsid w:val="002E5936"/>
    <w:rsid w:val="002E6436"/>
    <w:rsid w:val="002E6F6A"/>
    <w:rsid w:val="002E7311"/>
    <w:rsid w:val="002E7402"/>
    <w:rsid w:val="002F0030"/>
    <w:rsid w:val="002F0417"/>
    <w:rsid w:val="002F088E"/>
    <w:rsid w:val="002F092A"/>
    <w:rsid w:val="002F206C"/>
    <w:rsid w:val="002F2190"/>
    <w:rsid w:val="002F22C8"/>
    <w:rsid w:val="002F27FA"/>
    <w:rsid w:val="002F29CC"/>
    <w:rsid w:val="002F3781"/>
    <w:rsid w:val="002F3784"/>
    <w:rsid w:val="002F383E"/>
    <w:rsid w:val="002F3AFA"/>
    <w:rsid w:val="002F44FA"/>
    <w:rsid w:val="002F44FC"/>
    <w:rsid w:val="002F48C8"/>
    <w:rsid w:val="002F53B5"/>
    <w:rsid w:val="002F5873"/>
    <w:rsid w:val="002F5DD0"/>
    <w:rsid w:val="002F60E2"/>
    <w:rsid w:val="002F62BD"/>
    <w:rsid w:val="002F6422"/>
    <w:rsid w:val="002F6D3A"/>
    <w:rsid w:val="002F73C8"/>
    <w:rsid w:val="002F7CD4"/>
    <w:rsid w:val="003003F6"/>
    <w:rsid w:val="00300673"/>
    <w:rsid w:val="003014F9"/>
    <w:rsid w:val="00301978"/>
    <w:rsid w:val="00301D59"/>
    <w:rsid w:val="003023CF"/>
    <w:rsid w:val="0030332C"/>
    <w:rsid w:val="00303D4D"/>
    <w:rsid w:val="00303F5E"/>
    <w:rsid w:val="00304165"/>
    <w:rsid w:val="00304C19"/>
    <w:rsid w:val="003051C2"/>
    <w:rsid w:val="00305441"/>
    <w:rsid w:val="0030577F"/>
    <w:rsid w:val="00306680"/>
    <w:rsid w:val="00307C70"/>
    <w:rsid w:val="0031056C"/>
    <w:rsid w:val="00310809"/>
    <w:rsid w:val="00310B48"/>
    <w:rsid w:val="0031108A"/>
    <w:rsid w:val="003114BB"/>
    <w:rsid w:val="00311705"/>
    <w:rsid w:val="00311EA0"/>
    <w:rsid w:val="00312296"/>
    <w:rsid w:val="003124E6"/>
    <w:rsid w:val="0031251E"/>
    <w:rsid w:val="00312856"/>
    <w:rsid w:val="00312BDE"/>
    <w:rsid w:val="00312D18"/>
    <w:rsid w:val="00313134"/>
    <w:rsid w:val="00314BCC"/>
    <w:rsid w:val="00314D98"/>
    <w:rsid w:val="00314F0E"/>
    <w:rsid w:val="00315916"/>
    <w:rsid w:val="00315B88"/>
    <w:rsid w:val="003163AC"/>
    <w:rsid w:val="00316AD3"/>
    <w:rsid w:val="00317C82"/>
    <w:rsid w:val="003202D1"/>
    <w:rsid w:val="0032153C"/>
    <w:rsid w:val="00321BE2"/>
    <w:rsid w:val="00321D8E"/>
    <w:rsid w:val="00322646"/>
    <w:rsid w:val="003226A2"/>
    <w:rsid w:val="00323C6D"/>
    <w:rsid w:val="00323D92"/>
    <w:rsid w:val="0032406D"/>
    <w:rsid w:val="003242B0"/>
    <w:rsid w:val="00325928"/>
    <w:rsid w:val="00327346"/>
    <w:rsid w:val="00327E7B"/>
    <w:rsid w:val="00330078"/>
    <w:rsid w:val="0033036A"/>
    <w:rsid w:val="0033074E"/>
    <w:rsid w:val="00330ECA"/>
    <w:rsid w:val="00331821"/>
    <w:rsid w:val="00332863"/>
    <w:rsid w:val="00332887"/>
    <w:rsid w:val="00332A17"/>
    <w:rsid w:val="00332A1F"/>
    <w:rsid w:val="00332A90"/>
    <w:rsid w:val="003331F4"/>
    <w:rsid w:val="00333B29"/>
    <w:rsid w:val="00334466"/>
    <w:rsid w:val="00334D4D"/>
    <w:rsid w:val="00335011"/>
    <w:rsid w:val="003361D2"/>
    <w:rsid w:val="0033684D"/>
    <w:rsid w:val="00337127"/>
    <w:rsid w:val="00337839"/>
    <w:rsid w:val="003378AA"/>
    <w:rsid w:val="00337B42"/>
    <w:rsid w:val="00340050"/>
    <w:rsid w:val="0034060F"/>
    <w:rsid w:val="00340650"/>
    <w:rsid w:val="00340DCF"/>
    <w:rsid w:val="00341B42"/>
    <w:rsid w:val="00341CC4"/>
    <w:rsid w:val="00342249"/>
    <w:rsid w:val="00342662"/>
    <w:rsid w:val="00342AE1"/>
    <w:rsid w:val="00342C4D"/>
    <w:rsid w:val="00342FF2"/>
    <w:rsid w:val="0034348F"/>
    <w:rsid w:val="003436DA"/>
    <w:rsid w:val="00343F7B"/>
    <w:rsid w:val="00344CDB"/>
    <w:rsid w:val="00344D25"/>
    <w:rsid w:val="0034605E"/>
    <w:rsid w:val="00346152"/>
    <w:rsid w:val="003462F9"/>
    <w:rsid w:val="00346E45"/>
    <w:rsid w:val="003474C5"/>
    <w:rsid w:val="003475A7"/>
    <w:rsid w:val="00347DFF"/>
    <w:rsid w:val="00347EC0"/>
    <w:rsid w:val="0035003B"/>
    <w:rsid w:val="00350189"/>
    <w:rsid w:val="00350C11"/>
    <w:rsid w:val="00350E30"/>
    <w:rsid w:val="00351BC6"/>
    <w:rsid w:val="00352603"/>
    <w:rsid w:val="003526CE"/>
    <w:rsid w:val="00352A85"/>
    <w:rsid w:val="00352F56"/>
    <w:rsid w:val="0035428A"/>
    <w:rsid w:val="00354339"/>
    <w:rsid w:val="00354DFD"/>
    <w:rsid w:val="00355143"/>
    <w:rsid w:val="00355332"/>
    <w:rsid w:val="00355335"/>
    <w:rsid w:val="003556DC"/>
    <w:rsid w:val="00355916"/>
    <w:rsid w:val="00355F68"/>
    <w:rsid w:val="00356653"/>
    <w:rsid w:val="0035743F"/>
    <w:rsid w:val="00357852"/>
    <w:rsid w:val="003579AD"/>
    <w:rsid w:val="00357BE2"/>
    <w:rsid w:val="00360187"/>
    <w:rsid w:val="00360300"/>
    <w:rsid w:val="00360A65"/>
    <w:rsid w:val="00360CE9"/>
    <w:rsid w:val="0036170C"/>
    <w:rsid w:val="00361839"/>
    <w:rsid w:val="00361862"/>
    <w:rsid w:val="003619D5"/>
    <w:rsid w:val="00361DEA"/>
    <w:rsid w:val="0036278E"/>
    <w:rsid w:val="003631C6"/>
    <w:rsid w:val="0036323D"/>
    <w:rsid w:val="0036336B"/>
    <w:rsid w:val="003633F6"/>
    <w:rsid w:val="00363B39"/>
    <w:rsid w:val="00363F31"/>
    <w:rsid w:val="00364877"/>
    <w:rsid w:val="00364F2B"/>
    <w:rsid w:val="00364FC0"/>
    <w:rsid w:val="003650DA"/>
    <w:rsid w:val="00365174"/>
    <w:rsid w:val="003651C7"/>
    <w:rsid w:val="0036534F"/>
    <w:rsid w:val="0036557A"/>
    <w:rsid w:val="003658F1"/>
    <w:rsid w:val="003663CA"/>
    <w:rsid w:val="00366606"/>
    <w:rsid w:val="003668EC"/>
    <w:rsid w:val="00366D1D"/>
    <w:rsid w:val="00366E0F"/>
    <w:rsid w:val="00366E14"/>
    <w:rsid w:val="00366F57"/>
    <w:rsid w:val="00370588"/>
    <w:rsid w:val="00370A3E"/>
    <w:rsid w:val="0037123B"/>
    <w:rsid w:val="00371356"/>
    <w:rsid w:val="00371A7C"/>
    <w:rsid w:val="00371B5E"/>
    <w:rsid w:val="0037268C"/>
    <w:rsid w:val="003729E1"/>
    <w:rsid w:val="00372A2A"/>
    <w:rsid w:val="00372D1D"/>
    <w:rsid w:val="0037343A"/>
    <w:rsid w:val="003736CD"/>
    <w:rsid w:val="003737AB"/>
    <w:rsid w:val="003737CF"/>
    <w:rsid w:val="00373DF1"/>
    <w:rsid w:val="00373F21"/>
    <w:rsid w:val="00374182"/>
    <w:rsid w:val="00374339"/>
    <w:rsid w:val="00374649"/>
    <w:rsid w:val="003748B7"/>
    <w:rsid w:val="00376533"/>
    <w:rsid w:val="00376985"/>
    <w:rsid w:val="00376F22"/>
    <w:rsid w:val="00376F8F"/>
    <w:rsid w:val="0037707E"/>
    <w:rsid w:val="003772D6"/>
    <w:rsid w:val="003775FB"/>
    <w:rsid w:val="003779B3"/>
    <w:rsid w:val="00377A0D"/>
    <w:rsid w:val="00377A16"/>
    <w:rsid w:val="00377B37"/>
    <w:rsid w:val="00380844"/>
    <w:rsid w:val="00380C69"/>
    <w:rsid w:val="00380FEA"/>
    <w:rsid w:val="00381406"/>
    <w:rsid w:val="00381A72"/>
    <w:rsid w:val="00381B14"/>
    <w:rsid w:val="00382064"/>
    <w:rsid w:val="003820A8"/>
    <w:rsid w:val="003826F7"/>
    <w:rsid w:val="00382E52"/>
    <w:rsid w:val="00382F08"/>
    <w:rsid w:val="00383087"/>
    <w:rsid w:val="00383596"/>
    <w:rsid w:val="003841B8"/>
    <w:rsid w:val="00384676"/>
    <w:rsid w:val="00384E1C"/>
    <w:rsid w:val="00385782"/>
    <w:rsid w:val="00385DA8"/>
    <w:rsid w:val="0038645B"/>
    <w:rsid w:val="003869D7"/>
    <w:rsid w:val="00386D14"/>
    <w:rsid w:val="00386F36"/>
    <w:rsid w:val="0038782F"/>
    <w:rsid w:val="00387CE1"/>
    <w:rsid w:val="00390665"/>
    <w:rsid w:val="00390857"/>
    <w:rsid w:val="00390A39"/>
    <w:rsid w:val="00390B9D"/>
    <w:rsid w:val="00390D79"/>
    <w:rsid w:val="00390EF4"/>
    <w:rsid w:val="00391072"/>
    <w:rsid w:val="003913C6"/>
    <w:rsid w:val="0039184B"/>
    <w:rsid w:val="00391BEB"/>
    <w:rsid w:val="00391F44"/>
    <w:rsid w:val="00392231"/>
    <w:rsid w:val="00392BCF"/>
    <w:rsid w:val="00392CD5"/>
    <w:rsid w:val="0039306C"/>
    <w:rsid w:val="003932BC"/>
    <w:rsid w:val="00393326"/>
    <w:rsid w:val="00393547"/>
    <w:rsid w:val="00393653"/>
    <w:rsid w:val="00393750"/>
    <w:rsid w:val="003942F1"/>
    <w:rsid w:val="00394B20"/>
    <w:rsid w:val="00394C60"/>
    <w:rsid w:val="0039509E"/>
    <w:rsid w:val="003956BD"/>
    <w:rsid w:val="00395A83"/>
    <w:rsid w:val="00395DFF"/>
    <w:rsid w:val="00395EE1"/>
    <w:rsid w:val="00396782"/>
    <w:rsid w:val="00396B37"/>
    <w:rsid w:val="00396DDE"/>
    <w:rsid w:val="00397F4E"/>
    <w:rsid w:val="003A06E6"/>
    <w:rsid w:val="003A09E2"/>
    <w:rsid w:val="003A0CD4"/>
    <w:rsid w:val="003A0CD7"/>
    <w:rsid w:val="003A1440"/>
    <w:rsid w:val="003A189C"/>
    <w:rsid w:val="003A1A28"/>
    <w:rsid w:val="003A1B4B"/>
    <w:rsid w:val="003A1DAA"/>
    <w:rsid w:val="003A1E82"/>
    <w:rsid w:val="003A1ED6"/>
    <w:rsid w:val="003A29DD"/>
    <w:rsid w:val="003A2C3A"/>
    <w:rsid w:val="003A2F59"/>
    <w:rsid w:val="003A31A8"/>
    <w:rsid w:val="003A36EF"/>
    <w:rsid w:val="003A3AF4"/>
    <w:rsid w:val="003A3D70"/>
    <w:rsid w:val="003A44FE"/>
    <w:rsid w:val="003A4644"/>
    <w:rsid w:val="003A4BF3"/>
    <w:rsid w:val="003A5476"/>
    <w:rsid w:val="003A5535"/>
    <w:rsid w:val="003A5717"/>
    <w:rsid w:val="003A5865"/>
    <w:rsid w:val="003A587E"/>
    <w:rsid w:val="003A5942"/>
    <w:rsid w:val="003A5FD5"/>
    <w:rsid w:val="003A6C7F"/>
    <w:rsid w:val="003A706D"/>
    <w:rsid w:val="003A7976"/>
    <w:rsid w:val="003B01BE"/>
    <w:rsid w:val="003B04C8"/>
    <w:rsid w:val="003B093E"/>
    <w:rsid w:val="003B0B52"/>
    <w:rsid w:val="003B1FEC"/>
    <w:rsid w:val="003B206C"/>
    <w:rsid w:val="003B38D4"/>
    <w:rsid w:val="003B38D9"/>
    <w:rsid w:val="003B420D"/>
    <w:rsid w:val="003B4377"/>
    <w:rsid w:val="003B455B"/>
    <w:rsid w:val="003B5153"/>
    <w:rsid w:val="003B5E64"/>
    <w:rsid w:val="003B643B"/>
    <w:rsid w:val="003B691B"/>
    <w:rsid w:val="003B6FB6"/>
    <w:rsid w:val="003B7799"/>
    <w:rsid w:val="003C0211"/>
    <w:rsid w:val="003C1437"/>
    <w:rsid w:val="003C1497"/>
    <w:rsid w:val="003C1787"/>
    <w:rsid w:val="003C1968"/>
    <w:rsid w:val="003C2799"/>
    <w:rsid w:val="003C2FB9"/>
    <w:rsid w:val="003C36EE"/>
    <w:rsid w:val="003C3C12"/>
    <w:rsid w:val="003C3EE9"/>
    <w:rsid w:val="003C4257"/>
    <w:rsid w:val="003C42FB"/>
    <w:rsid w:val="003C4747"/>
    <w:rsid w:val="003C50B7"/>
    <w:rsid w:val="003C5955"/>
    <w:rsid w:val="003C5EE6"/>
    <w:rsid w:val="003C634B"/>
    <w:rsid w:val="003C6369"/>
    <w:rsid w:val="003C64BC"/>
    <w:rsid w:val="003C6733"/>
    <w:rsid w:val="003C6B53"/>
    <w:rsid w:val="003C6C16"/>
    <w:rsid w:val="003C6C4C"/>
    <w:rsid w:val="003C727C"/>
    <w:rsid w:val="003C7353"/>
    <w:rsid w:val="003C7598"/>
    <w:rsid w:val="003C7B29"/>
    <w:rsid w:val="003D0026"/>
    <w:rsid w:val="003D0CBF"/>
    <w:rsid w:val="003D1004"/>
    <w:rsid w:val="003D1284"/>
    <w:rsid w:val="003D17FE"/>
    <w:rsid w:val="003D1C07"/>
    <w:rsid w:val="003D21AC"/>
    <w:rsid w:val="003D29AD"/>
    <w:rsid w:val="003D2C19"/>
    <w:rsid w:val="003D2F9B"/>
    <w:rsid w:val="003D319A"/>
    <w:rsid w:val="003D3BA8"/>
    <w:rsid w:val="003D40B3"/>
    <w:rsid w:val="003D49A3"/>
    <w:rsid w:val="003D4DE6"/>
    <w:rsid w:val="003D5158"/>
    <w:rsid w:val="003D52DE"/>
    <w:rsid w:val="003D538D"/>
    <w:rsid w:val="003D59AB"/>
    <w:rsid w:val="003D5FE4"/>
    <w:rsid w:val="003D68F2"/>
    <w:rsid w:val="003D6D39"/>
    <w:rsid w:val="003D78AA"/>
    <w:rsid w:val="003D794D"/>
    <w:rsid w:val="003E039C"/>
    <w:rsid w:val="003E0C79"/>
    <w:rsid w:val="003E0E2E"/>
    <w:rsid w:val="003E0F43"/>
    <w:rsid w:val="003E1265"/>
    <w:rsid w:val="003E1B38"/>
    <w:rsid w:val="003E2235"/>
    <w:rsid w:val="003E2771"/>
    <w:rsid w:val="003E29E7"/>
    <w:rsid w:val="003E2AE2"/>
    <w:rsid w:val="003E3058"/>
    <w:rsid w:val="003E361A"/>
    <w:rsid w:val="003E37FA"/>
    <w:rsid w:val="003E3A5D"/>
    <w:rsid w:val="003E3E91"/>
    <w:rsid w:val="003E3F06"/>
    <w:rsid w:val="003E43D4"/>
    <w:rsid w:val="003E534D"/>
    <w:rsid w:val="003E57AD"/>
    <w:rsid w:val="003E595C"/>
    <w:rsid w:val="003E59DD"/>
    <w:rsid w:val="003E5FCA"/>
    <w:rsid w:val="003E66F7"/>
    <w:rsid w:val="003E76A9"/>
    <w:rsid w:val="003E79CA"/>
    <w:rsid w:val="003F0196"/>
    <w:rsid w:val="003F0809"/>
    <w:rsid w:val="003F0A46"/>
    <w:rsid w:val="003F0C20"/>
    <w:rsid w:val="003F1333"/>
    <w:rsid w:val="003F17FC"/>
    <w:rsid w:val="003F1952"/>
    <w:rsid w:val="003F1D8B"/>
    <w:rsid w:val="003F249F"/>
    <w:rsid w:val="003F25BC"/>
    <w:rsid w:val="003F2D7B"/>
    <w:rsid w:val="003F38A7"/>
    <w:rsid w:val="003F3A88"/>
    <w:rsid w:val="003F455A"/>
    <w:rsid w:val="003F4D51"/>
    <w:rsid w:val="003F57E4"/>
    <w:rsid w:val="003F583E"/>
    <w:rsid w:val="003F5AA2"/>
    <w:rsid w:val="003F6153"/>
    <w:rsid w:val="003F64EF"/>
    <w:rsid w:val="003F6A8C"/>
    <w:rsid w:val="003F6EB2"/>
    <w:rsid w:val="003F755C"/>
    <w:rsid w:val="003F7867"/>
    <w:rsid w:val="003F7C46"/>
    <w:rsid w:val="00400129"/>
    <w:rsid w:val="00400361"/>
    <w:rsid w:val="0040038A"/>
    <w:rsid w:val="00400905"/>
    <w:rsid w:val="00400E0B"/>
    <w:rsid w:val="0040172A"/>
    <w:rsid w:val="00401F06"/>
    <w:rsid w:val="00401FF6"/>
    <w:rsid w:val="00401FFC"/>
    <w:rsid w:val="0040200B"/>
    <w:rsid w:val="004024B0"/>
    <w:rsid w:val="0040281B"/>
    <w:rsid w:val="00402A28"/>
    <w:rsid w:val="00402F71"/>
    <w:rsid w:val="00403032"/>
    <w:rsid w:val="004036F1"/>
    <w:rsid w:val="00404191"/>
    <w:rsid w:val="0040469F"/>
    <w:rsid w:val="00404E7B"/>
    <w:rsid w:val="00405421"/>
    <w:rsid w:val="00405527"/>
    <w:rsid w:val="004059A8"/>
    <w:rsid w:val="00405BF2"/>
    <w:rsid w:val="00405F85"/>
    <w:rsid w:val="004060FC"/>
    <w:rsid w:val="00406C26"/>
    <w:rsid w:val="00406F01"/>
    <w:rsid w:val="004070DE"/>
    <w:rsid w:val="004073B1"/>
    <w:rsid w:val="004075D2"/>
    <w:rsid w:val="00407D15"/>
    <w:rsid w:val="00407E3F"/>
    <w:rsid w:val="004101A8"/>
    <w:rsid w:val="00410E48"/>
    <w:rsid w:val="00411224"/>
    <w:rsid w:val="00411D4B"/>
    <w:rsid w:val="00411DFF"/>
    <w:rsid w:val="00411E4F"/>
    <w:rsid w:val="00411EE0"/>
    <w:rsid w:val="00411FAD"/>
    <w:rsid w:val="00412209"/>
    <w:rsid w:val="00412329"/>
    <w:rsid w:val="0041242F"/>
    <w:rsid w:val="004126A2"/>
    <w:rsid w:val="00412A30"/>
    <w:rsid w:val="00412DDC"/>
    <w:rsid w:val="00413434"/>
    <w:rsid w:val="00413969"/>
    <w:rsid w:val="00413BBA"/>
    <w:rsid w:val="004143F7"/>
    <w:rsid w:val="00414433"/>
    <w:rsid w:val="00414828"/>
    <w:rsid w:val="00414985"/>
    <w:rsid w:val="0041514C"/>
    <w:rsid w:val="00415A7D"/>
    <w:rsid w:val="00415B4C"/>
    <w:rsid w:val="004160EA"/>
    <w:rsid w:val="004162A4"/>
    <w:rsid w:val="00416705"/>
    <w:rsid w:val="00416D50"/>
    <w:rsid w:val="00416EBF"/>
    <w:rsid w:val="00416FD5"/>
    <w:rsid w:val="00417021"/>
    <w:rsid w:val="00417506"/>
    <w:rsid w:val="00417772"/>
    <w:rsid w:val="004179DE"/>
    <w:rsid w:val="004201F0"/>
    <w:rsid w:val="004205FE"/>
    <w:rsid w:val="00420E6A"/>
    <w:rsid w:val="00420FA7"/>
    <w:rsid w:val="00421D74"/>
    <w:rsid w:val="00421E04"/>
    <w:rsid w:val="00422AF5"/>
    <w:rsid w:val="0042415F"/>
    <w:rsid w:val="00424684"/>
    <w:rsid w:val="00425068"/>
    <w:rsid w:val="00425450"/>
    <w:rsid w:val="004254C0"/>
    <w:rsid w:val="004254FD"/>
    <w:rsid w:val="00425A9E"/>
    <w:rsid w:val="004262E2"/>
    <w:rsid w:val="00426498"/>
    <w:rsid w:val="00426755"/>
    <w:rsid w:val="00426D6B"/>
    <w:rsid w:val="00426E8F"/>
    <w:rsid w:val="00427020"/>
    <w:rsid w:val="004274F4"/>
    <w:rsid w:val="00427510"/>
    <w:rsid w:val="00427518"/>
    <w:rsid w:val="00427706"/>
    <w:rsid w:val="00427ADF"/>
    <w:rsid w:val="00430544"/>
    <w:rsid w:val="0043076B"/>
    <w:rsid w:val="00430D0A"/>
    <w:rsid w:val="004311D8"/>
    <w:rsid w:val="00431228"/>
    <w:rsid w:val="004318E8"/>
    <w:rsid w:val="00431E6C"/>
    <w:rsid w:val="00431F9D"/>
    <w:rsid w:val="00432153"/>
    <w:rsid w:val="00432574"/>
    <w:rsid w:val="004325DF"/>
    <w:rsid w:val="00432A9B"/>
    <w:rsid w:val="00432D78"/>
    <w:rsid w:val="0043342A"/>
    <w:rsid w:val="004336EE"/>
    <w:rsid w:val="0043391A"/>
    <w:rsid w:val="00433CE7"/>
    <w:rsid w:val="00433ED5"/>
    <w:rsid w:val="00434136"/>
    <w:rsid w:val="004345F3"/>
    <w:rsid w:val="004349D6"/>
    <w:rsid w:val="00434A55"/>
    <w:rsid w:val="00434DD4"/>
    <w:rsid w:val="00435931"/>
    <w:rsid w:val="00436CA0"/>
    <w:rsid w:val="00437118"/>
    <w:rsid w:val="004378E3"/>
    <w:rsid w:val="004401D0"/>
    <w:rsid w:val="004402C2"/>
    <w:rsid w:val="0044091F"/>
    <w:rsid w:val="00440932"/>
    <w:rsid w:val="00441C34"/>
    <w:rsid w:val="00441EBE"/>
    <w:rsid w:val="00442117"/>
    <w:rsid w:val="00442259"/>
    <w:rsid w:val="00442495"/>
    <w:rsid w:val="004430DF"/>
    <w:rsid w:val="0044352C"/>
    <w:rsid w:val="00443629"/>
    <w:rsid w:val="0044366D"/>
    <w:rsid w:val="004437B4"/>
    <w:rsid w:val="0044446E"/>
    <w:rsid w:val="00444743"/>
    <w:rsid w:val="004448D2"/>
    <w:rsid w:val="00444E5E"/>
    <w:rsid w:val="00444E7A"/>
    <w:rsid w:val="00445031"/>
    <w:rsid w:val="0044524A"/>
    <w:rsid w:val="00445334"/>
    <w:rsid w:val="004456D0"/>
    <w:rsid w:val="0044573E"/>
    <w:rsid w:val="0044589A"/>
    <w:rsid w:val="00446002"/>
    <w:rsid w:val="00446090"/>
    <w:rsid w:val="00446105"/>
    <w:rsid w:val="00446261"/>
    <w:rsid w:val="004465A2"/>
    <w:rsid w:val="00446656"/>
    <w:rsid w:val="00446BD9"/>
    <w:rsid w:val="00446EA2"/>
    <w:rsid w:val="0044751E"/>
    <w:rsid w:val="00447813"/>
    <w:rsid w:val="0045071D"/>
    <w:rsid w:val="00450734"/>
    <w:rsid w:val="00450F77"/>
    <w:rsid w:val="004511C9"/>
    <w:rsid w:val="00451A8F"/>
    <w:rsid w:val="00451CB6"/>
    <w:rsid w:val="00452738"/>
    <w:rsid w:val="00453233"/>
    <w:rsid w:val="004537A3"/>
    <w:rsid w:val="004537D0"/>
    <w:rsid w:val="00454791"/>
    <w:rsid w:val="00455178"/>
    <w:rsid w:val="0045522E"/>
    <w:rsid w:val="00456091"/>
    <w:rsid w:val="00456219"/>
    <w:rsid w:val="00456723"/>
    <w:rsid w:val="00456739"/>
    <w:rsid w:val="0045788E"/>
    <w:rsid w:val="00460227"/>
    <w:rsid w:val="004602F8"/>
    <w:rsid w:val="004605DC"/>
    <w:rsid w:val="00460923"/>
    <w:rsid w:val="004610A5"/>
    <w:rsid w:val="00461127"/>
    <w:rsid w:val="00461187"/>
    <w:rsid w:val="00461440"/>
    <w:rsid w:val="0046152F"/>
    <w:rsid w:val="004619BA"/>
    <w:rsid w:val="00461FBF"/>
    <w:rsid w:val="00463303"/>
    <w:rsid w:val="00463483"/>
    <w:rsid w:val="004636D7"/>
    <w:rsid w:val="00463887"/>
    <w:rsid w:val="0046396D"/>
    <w:rsid w:val="00464217"/>
    <w:rsid w:val="00466298"/>
    <w:rsid w:val="00466321"/>
    <w:rsid w:val="004667E9"/>
    <w:rsid w:val="004670FE"/>
    <w:rsid w:val="00467775"/>
    <w:rsid w:val="00467FE1"/>
    <w:rsid w:val="00470057"/>
    <w:rsid w:val="00470E18"/>
    <w:rsid w:val="0047197D"/>
    <w:rsid w:val="00471F1F"/>
    <w:rsid w:val="00471F78"/>
    <w:rsid w:val="00472E8E"/>
    <w:rsid w:val="004730AF"/>
    <w:rsid w:val="0047352C"/>
    <w:rsid w:val="00473669"/>
    <w:rsid w:val="00473C30"/>
    <w:rsid w:val="00473C77"/>
    <w:rsid w:val="004746B6"/>
    <w:rsid w:val="0047484D"/>
    <w:rsid w:val="00474884"/>
    <w:rsid w:val="00475A0E"/>
    <w:rsid w:val="00475D31"/>
    <w:rsid w:val="00476235"/>
    <w:rsid w:val="004764AF"/>
    <w:rsid w:val="0047679B"/>
    <w:rsid w:val="00477383"/>
    <w:rsid w:val="00477864"/>
    <w:rsid w:val="00477AEE"/>
    <w:rsid w:val="00477E1F"/>
    <w:rsid w:val="00477E35"/>
    <w:rsid w:val="00480385"/>
    <w:rsid w:val="0048113D"/>
    <w:rsid w:val="0048182F"/>
    <w:rsid w:val="00481A38"/>
    <w:rsid w:val="00481E3C"/>
    <w:rsid w:val="00482414"/>
    <w:rsid w:val="004825A2"/>
    <w:rsid w:val="00482952"/>
    <w:rsid w:val="00482AF9"/>
    <w:rsid w:val="00483626"/>
    <w:rsid w:val="0048457C"/>
    <w:rsid w:val="00484673"/>
    <w:rsid w:val="00484B9B"/>
    <w:rsid w:val="004854AE"/>
    <w:rsid w:val="004855F6"/>
    <w:rsid w:val="00485A76"/>
    <w:rsid w:val="00485CA5"/>
    <w:rsid w:val="0048661E"/>
    <w:rsid w:val="004871C6"/>
    <w:rsid w:val="00487B38"/>
    <w:rsid w:val="00487C43"/>
    <w:rsid w:val="0049092A"/>
    <w:rsid w:val="00490946"/>
    <w:rsid w:val="004909FF"/>
    <w:rsid w:val="00490ED1"/>
    <w:rsid w:val="004911C4"/>
    <w:rsid w:val="004912AA"/>
    <w:rsid w:val="004918C5"/>
    <w:rsid w:val="00492451"/>
    <w:rsid w:val="00492770"/>
    <w:rsid w:val="00493275"/>
    <w:rsid w:val="004937B4"/>
    <w:rsid w:val="00494286"/>
    <w:rsid w:val="00494670"/>
    <w:rsid w:val="00494679"/>
    <w:rsid w:val="00494AE0"/>
    <w:rsid w:val="00494B28"/>
    <w:rsid w:val="00494B65"/>
    <w:rsid w:val="004964C8"/>
    <w:rsid w:val="00496A93"/>
    <w:rsid w:val="00497560"/>
    <w:rsid w:val="0049760C"/>
    <w:rsid w:val="00497678"/>
    <w:rsid w:val="00497742"/>
    <w:rsid w:val="00497EF3"/>
    <w:rsid w:val="004A03CF"/>
    <w:rsid w:val="004A0666"/>
    <w:rsid w:val="004A08C6"/>
    <w:rsid w:val="004A095C"/>
    <w:rsid w:val="004A1570"/>
    <w:rsid w:val="004A1C5E"/>
    <w:rsid w:val="004A2213"/>
    <w:rsid w:val="004A245F"/>
    <w:rsid w:val="004A2471"/>
    <w:rsid w:val="004A27F8"/>
    <w:rsid w:val="004A3182"/>
    <w:rsid w:val="004A31C8"/>
    <w:rsid w:val="004A360E"/>
    <w:rsid w:val="004A3823"/>
    <w:rsid w:val="004A3B24"/>
    <w:rsid w:val="004A3B52"/>
    <w:rsid w:val="004A3C4C"/>
    <w:rsid w:val="004A47A9"/>
    <w:rsid w:val="004A53F0"/>
    <w:rsid w:val="004A5F06"/>
    <w:rsid w:val="004A64B6"/>
    <w:rsid w:val="004A6854"/>
    <w:rsid w:val="004A6C13"/>
    <w:rsid w:val="004A6FD3"/>
    <w:rsid w:val="004A7461"/>
    <w:rsid w:val="004A7A0D"/>
    <w:rsid w:val="004B0100"/>
    <w:rsid w:val="004B0311"/>
    <w:rsid w:val="004B0A31"/>
    <w:rsid w:val="004B0B6E"/>
    <w:rsid w:val="004B0FCC"/>
    <w:rsid w:val="004B1917"/>
    <w:rsid w:val="004B209B"/>
    <w:rsid w:val="004B252F"/>
    <w:rsid w:val="004B3504"/>
    <w:rsid w:val="004B3864"/>
    <w:rsid w:val="004B3DE2"/>
    <w:rsid w:val="004B463A"/>
    <w:rsid w:val="004B4C04"/>
    <w:rsid w:val="004B5685"/>
    <w:rsid w:val="004B5E60"/>
    <w:rsid w:val="004B638D"/>
    <w:rsid w:val="004B66BF"/>
    <w:rsid w:val="004B675C"/>
    <w:rsid w:val="004B6D7B"/>
    <w:rsid w:val="004B7592"/>
    <w:rsid w:val="004B77F9"/>
    <w:rsid w:val="004B77FA"/>
    <w:rsid w:val="004B7B77"/>
    <w:rsid w:val="004B7DB6"/>
    <w:rsid w:val="004C07B5"/>
    <w:rsid w:val="004C118D"/>
    <w:rsid w:val="004C11AC"/>
    <w:rsid w:val="004C2230"/>
    <w:rsid w:val="004C2E60"/>
    <w:rsid w:val="004C3059"/>
    <w:rsid w:val="004C3112"/>
    <w:rsid w:val="004C3643"/>
    <w:rsid w:val="004C3DE8"/>
    <w:rsid w:val="004C50E4"/>
    <w:rsid w:val="004C6004"/>
    <w:rsid w:val="004C6099"/>
    <w:rsid w:val="004C6590"/>
    <w:rsid w:val="004C65B2"/>
    <w:rsid w:val="004C67F7"/>
    <w:rsid w:val="004C694F"/>
    <w:rsid w:val="004C6DEC"/>
    <w:rsid w:val="004C6F7F"/>
    <w:rsid w:val="004C7096"/>
    <w:rsid w:val="004C7211"/>
    <w:rsid w:val="004C7674"/>
    <w:rsid w:val="004C7BC2"/>
    <w:rsid w:val="004C7CAF"/>
    <w:rsid w:val="004D016B"/>
    <w:rsid w:val="004D023B"/>
    <w:rsid w:val="004D07BA"/>
    <w:rsid w:val="004D0C2F"/>
    <w:rsid w:val="004D0D41"/>
    <w:rsid w:val="004D0D4B"/>
    <w:rsid w:val="004D15F3"/>
    <w:rsid w:val="004D1D6A"/>
    <w:rsid w:val="004D1E52"/>
    <w:rsid w:val="004D1F97"/>
    <w:rsid w:val="004D2CE7"/>
    <w:rsid w:val="004D306E"/>
    <w:rsid w:val="004D30B0"/>
    <w:rsid w:val="004D335E"/>
    <w:rsid w:val="004D37F2"/>
    <w:rsid w:val="004D38CB"/>
    <w:rsid w:val="004D3FAD"/>
    <w:rsid w:val="004D4081"/>
    <w:rsid w:val="004D461E"/>
    <w:rsid w:val="004D580D"/>
    <w:rsid w:val="004D6364"/>
    <w:rsid w:val="004D6468"/>
    <w:rsid w:val="004D646C"/>
    <w:rsid w:val="004D68C2"/>
    <w:rsid w:val="004D6993"/>
    <w:rsid w:val="004D7D7E"/>
    <w:rsid w:val="004E00F9"/>
    <w:rsid w:val="004E03C1"/>
    <w:rsid w:val="004E0423"/>
    <w:rsid w:val="004E05F1"/>
    <w:rsid w:val="004E07CC"/>
    <w:rsid w:val="004E0C47"/>
    <w:rsid w:val="004E14E3"/>
    <w:rsid w:val="004E1C5A"/>
    <w:rsid w:val="004E1E89"/>
    <w:rsid w:val="004E2152"/>
    <w:rsid w:val="004E2465"/>
    <w:rsid w:val="004E2B0A"/>
    <w:rsid w:val="004E2BCB"/>
    <w:rsid w:val="004E32F2"/>
    <w:rsid w:val="004E3EB5"/>
    <w:rsid w:val="004E4D40"/>
    <w:rsid w:val="004E52D8"/>
    <w:rsid w:val="004E5673"/>
    <w:rsid w:val="004E5AC8"/>
    <w:rsid w:val="004E5B35"/>
    <w:rsid w:val="004E5C64"/>
    <w:rsid w:val="004E68B2"/>
    <w:rsid w:val="004E68B7"/>
    <w:rsid w:val="004E68F6"/>
    <w:rsid w:val="004E6919"/>
    <w:rsid w:val="004E6946"/>
    <w:rsid w:val="004E7102"/>
    <w:rsid w:val="004E735F"/>
    <w:rsid w:val="004E7373"/>
    <w:rsid w:val="004E73D6"/>
    <w:rsid w:val="004E74C7"/>
    <w:rsid w:val="004E7594"/>
    <w:rsid w:val="004E781F"/>
    <w:rsid w:val="004F05EC"/>
    <w:rsid w:val="004F0633"/>
    <w:rsid w:val="004F071D"/>
    <w:rsid w:val="004F08E5"/>
    <w:rsid w:val="004F0C95"/>
    <w:rsid w:val="004F150B"/>
    <w:rsid w:val="004F1AD8"/>
    <w:rsid w:val="004F1B5A"/>
    <w:rsid w:val="004F1B7C"/>
    <w:rsid w:val="004F1F89"/>
    <w:rsid w:val="004F1FC3"/>
    <w:rsid w:val="004F287E"/>
    <w:rsid w:val="004F2DDB"/>
    <w:rsid w:val="004F2EF8"/>
    <w:rsid w:val="004F356D"/>
    <w:rsid w:val="004F394F"/>
    <w:rsid w:val="004F3A06"/>
    <w:rsid w:val="004F4AAB"/>
    <w:rsid w:val="004F4FCD"/>
    <w:rsid w:val="004F5375"/>
    <w:rsid w:val="004F6301"/>
    <w:rsid w:val="004F640F"/>
    <w:rsid w:val="004F6C0B"/>
    <w:rsid w:val="004F7859"/>
    <w:rsid w:val="004F7A87"/>
    <w:rsid w:val="004F7CBA"/>
    <w:rsid w:val="004F7E05"/>
    <w:rsid w:val="00500B73"/>
    <w:rsid w:val="00500E50"/>
    <w:rsid w:val="005013E4"/>
    <w:rsid w:val="005018B4"/>
    <w:rsid w:val="005018D4"/>
    <w:rsid w:val="00502AAA"/>
    <w:rsid w:val="00502E6F"/>
    <w:rsid w:val="00503427"/>
    <w:rsid w:val="005038EB"/>
    <w:rsid w:val="005039CB"/>
    <w:rsid w:val="00503D35"/>
    <w:rsid w:val="00503D72"/>
    <w:rsid w:val="0050484F"/>
    <w:rsid w:val="00504B6F"/>
    <w:rsid w:val="00504FDD"/>
    <w:rsid w:val="0050558F"/>
    <w:rsid w:val="00505975"/>
    <w:rsid w:val="005060D6"/>
    <w:rsid w:val="00506286"/>
    <w:rsid w:val="005065D0"/>
    <w:rsid w:val="005066C1"/>
    <w:rsid w:val="00506B09"/>
    <w:rsid w:val="00507F3B"/>
    <w:rsid w:val="0051010D"/>
    <w:rsid w:val="005104E2"/>
    <w:rsid w:val="00510526"/>
    <w:rsid w:val="00510813"/>
    <w:rsid w:val="00510C45"/>
    <w:rsid w:val="00510F39"/>
    <w:rsid w:val="005115D9"/>
    <w:rsid w:val="005117A6"/>
    <w:rsid w:val="00511990"/>
    <w:rsid w:val="00511CFD"/>
    <w:rsid w:val="00511DE0"/>
    <w:rsid w:val="00512046"/>
    <w:rsid w:val="00512744"/>
    <w:rsid w:val="0051383E"/>
    <w:rsid w:val="005140AC"/>
    <w:rsid w:val="00514870"/>
    <w:rsid w:val="00514B9B"/>
    <w:rsid w:val="005151A2"/>
    <w:rsid w:val="00515759"/>
    <w:rsid w:val="0051576D"/>
    <w:rsid w:val="00516313"/>
    <w:rsid w:val="00516383"/>
    <w:rsid w:val="005166C3"/>
    <w:rsid w:val="00516B43"/>
    <w:rsid w:val="00516D63"/>
    <w:rsid w:val="00517F02"/>
    <w:rsid w:val="00520282"/>
    <w:rsid w:val="00520B78"/>
    <w:rsid w:val="00521807"/>
    <w:rsid w:val="00521999"/>
    <w:rsid w:val="00521EA8"/>
    <w:rsid w:val="00522DE5"/>
    <w:rsid w:val="005234F0"/>
    <w:rsid w:val="00523976"/>
    <w:rsid w:val="00523A13"/>
    <w:rsid w:val="00523C91"/>
    <w:rsid w:val="00523E86"/>
    <w:rsid w:val="00524303"/>
    <w:rsid w:val="00524320"/>
    <w:rsid w:val="00524478"/>
    <w:rsid w:val="0052493E"/>
    <w:rsid w:val="00524BF2"/>
    <w:rsid w:val="00524F27"/>
    <w:rsid w:val="005254A3"/>
    <w:rsid w:val="005256DC"/>
    <w:rsid w:val="005258A2"/>
    <w:rsid w:val="00526999"/>
    <w:rsid w:val="00526C81"/>
    <w:rsid w:val="00526D6B"/>
    <w:rsid w:val="00526E90"/>
    <w:rsid w:val="005272AA"/>
    <w:rsid w:val="00527729"/>
    <w:rsid w:val="0052774A"/>
    <w:rsid w:val="00527BE6"/>
    <w:rsid w:val="00530CEA"/>
    <w:rsid w:val="005313E4"/>
    <w:rsid w:val="00531756"/>
    <w:rsid w:val="00531BB2"/>
    <w:rsid w:val="00532288"/>
    <w:rsid w:val="00532DB3"/>
    <w:rsid w:val="00532FEA"/>
    <w:rsid w:val="005338CD"/>
    <w:rsid w:val="005347DA"/>
    <w:rsid w:val="00534C89"/>
    <w:rsid w:val="00534E9F"/>
    <w:rsid w:val="005351FF"/>
    <w:rsid w:val="00535311"/>
    <w:rsid w:val="00535432"/>
    <w:rsid w:val="00535A6F"/>
    <w:rsid w:val="00536B00"/>
    <w:rsid w:val="00536D1E"/>
    <w:rsid w:val="00536EDA"/>
    <w:rsid w:val="005370DC"/>
    <w:rsid w:val="00537174"/>
    <w:rsid w:val="005371DE"/>
    <w:rsid w:val="0053749C"/>
    <w:rsid w:val="00537C1F"/>
    <w:rsid w:val="005401AE"/>
    <w:rsid w:val="0054140B"/>
    <w:rsid w:val="00541822"/>
    <w:rsid w:val="0054190E"/>
    <w:rsid w:val="00542E07"/>
    <w:rsid w:val="00542E84"/>
    <w:rsid w:val="00543C48"/>
    <w:rsid w:val="00543FAD"/>
    <w:rsid w:val="00544B1C"/>
    <w:rsid w:val="00545424"/>
    <w:rsid w:val="00545B12"/>
    <w:rsid w:val="00545BF5"/>
    <w:rsid w:val="00546205"/>
    <w:rsid w:val="0054638C"/>
    <w:rsid w:val="00546E49"/>
    <w:rsid w:val="00547561"/>
    <w:rsid w:val="00547723"/>
    <w:rsid w:val="00547A76"/>
    <w:rsid w:val="00550B70"/>
    <w:rsid w:val="005518B1"/>
    <w:rsid w:val="00551CD6"/>
    <w:rsid w:val="005524C2"/>
    <w:rsid w:val="00552F11"/>
    <w:rsid w:val="005531CD"/>
    <w:rsid w:val="00553B39"/>
    <w:rsid w:val="00553C85"/>
    <w:rsid w:val="0055422E"/>
    <w:rsid w:val="00554A7B"/>
    <w:rsid w:val="00554F41"/>
    <w:rsid w:val="005553A6"/>
    <w:rsid w:val="0055572C"/>
    <w:rsid w:val="005557CA"/>
    <w:rsid w:val="00555C4B"/>
    <w:rsid w:val="00555F9A"/>
    <w:rsid w:val="0055672A"/>
    <w:rsid w:val="00556BB3"/>
    <w:rsid w:val="00556DBB"/>
    <w:rsid w:val="005571F7"/>
    <w:rsid w:val="00557914"/>
    <w:rsid w:val="00557994"/>
    <w:rsid w:val="00557A00"/>
    <w:rsid w:val="00557A48"/>
    <w:rsid w:val="00557ADC"/>
    <w:rsid w:val="00557DFC"/>
    <w:rsid w:val="00557E19"/>
    <w:rsid w:val="00557E49"/>
    <w:rsid w:val="0056020C"/>
    <w:rsid w:val="005602EE"/>
    <w:rsid w:val="00560F37"/>
    <w:rsid w:val="0056106A"/>
    <w:rsid w:val="005617D9"/>
    <w:rsid w:val="00563212"/>
    <w:rsid w:val="00563379"/>
    <w:rsid w:val="00563D6A"/>
    <w:rsid w:val="005643A4"/>
    <w:rsid w:val="005654B7"/>
    <w:rsid w:val="0056554B"/>
    <w:rsid w:val="00565DD6"/>
    <w:rsid w:val="00566351"/>
    <w:rsid w:val="005703FA"/>
    <w:rsid w:val="00570858"/>
    <w:rsid w:val="005709BC"/>
    <w:rsid w:val="005711F5"/>
    <w:rsid w:val="005720AE"/>
    <w:rsid w:val="005721E5"/>
    <w:rsid w:val="00573294"/>
    <w:rsid w:val="00573472"/>
    <w:rsid w:val="00573476"/>
    <w:rsid w:val="00573857"/>
    <w:rsid w:val="00574045"/>
    <w:rsid w:val="005741C8"/>
    <w:rsid w:val="005748D4"/>
    <w:rsid w:val="005754C2"/>
    <w:rsid w:val="00575C0E"/>
    <w:rsid w:val="00575DCA"/>
    <w:rsid w:val="00575E9A"/>
    <w:rsid w:val="00577188"/>
    <w:rsid w:val="00577235"/>
    <w:rsid w:val="00577314"/>
    <w:rsid w:val="00577440"/>
    <w:rsid w:val="005775BD"/>
    <w:rsid w:val="00577C2A"/>
    <w:rsid w:val="0058009F"/>
    <w:rsid w:val="00580765"/>
    <w:rsid w:val="005808F6"/>
    <w:rsid w:val="005810AA"/>
    <w:rsid w:val="00581268"/>
    <w:rsid w:val="0058141B"/>
    <w:rsid w:val="00581602"/>
    <w:rsid w:val="005819F1"/>
    <w:rsid w:val="0058209E"/>
    <w:rsid w:val="00582A6E"/>
    <w:rsid w:val="00582BED"/>
    <w:rsid w:val="00582DB2"/>
    <w:rsid w:val="00583657"/>
    <w:rsid w:val="005838B7"/>
    <w:rsid w:val="0058429D"/>
    <w:rsid w:val="005843AD"/>
    <w:rsid w:val="005844A7"/>
    <w:rsid w:val="0058493C"/>
    <w:rsid w:val="00584A8B"/>
    <w:rsid w:val="00585415"/>
    <w:rsid w:val="005864D8"/>
    <w:rsid w:val="00586D66"/>
    <w:rsid w:val="00586FF8"/>
    <w:rsid w:val="00587692"/>
    <w:rsid w:val="005909A5"/>
    <w:rsid w:val="00590A40"/>
    <w:rsid w:val="00590ADD"/>
    <w:rsid w:val="00590DE7"/>
    <w:rsid w:val="00590DEC"/>
    <w:rsid w:val="00591ACE"/>
    <w:rsid w:val="00592E1F"/>
    <w:rsid w:val="0059308E"/>
    <w:rsid w:val="00593534"/>
    <w:rsid w:val="00593ADC"/>
    <w:rsid w:val="00594AED"/>
    <w:rsid w:val="00594BE1"/>
    <w:rsid w:val="00594D77"/>
    <w:rsid w:val="00595843"/>
    <w:rsid w:val="00595A35"/>
    <w:rsid w:val="00595D2A"/>
    <w:rsid w:val="005962B6"/>
    <w:rsid w:val="00596798"/>
    <w:rsid w:val="005969E4"/>
    <w:rsid w:val="005A0080"/>
    <w:rsid w:val="005A017D"/>
    <w:rsid w:val="005A04E8"/>
    <w:rsid w:val="005A06B7"/>
    <w:rsid w:val="005A10B1"/>
    <w:rsid w:val="005A13D7"/>
    <w:rsid w:val="005A1759"/>
    <w:rsid w:val="005A1934"/>
    <w:rsid w:val="005A1A5B"/>
    <w:rsid w:val="005A23AA"/>
    <w:rsid w:val="005A2700"/>
    <w:rsid w:val="005A2885"/>
    <w:rsid w:val="005A3F59"/>
    <w:rsid w:val="005A4270"/>
    <w:rsid w:val="005A447A"/>
    <w:rsid w:val="005A592F"/>
    <w:rsid w:val="005A5D4F"/>
    <w:rsid w:val="005A63D8"/>
    <w:rsid w:val="005A64DE"/>
    <w:rsid w:val="005A6659"/>
    <w:rsid w:val="005A68A7"/>
    <w:rsid w:val="005A6ABF"/>
    <w:rsid w:val="005A6C97"/>
    <w:rsid w:val="005A6EEC"/>
    <w:rsid w:val="005A7320"/>
    <w:rsid w:val="005A74C4"/>
    <w:rsid w:val="005B0424"/>
    <w:rsid w:val="005B0B5A"/>
    <w:rsid w:val="005B1D12"/>
    <w:rsid w:val="005B1D2B"/>
    <w:rsid w:val="005B2467"/>
    <w:rsid w:val="005B25A0"/>
    <w:rsid w:val="005B25F0"/>
    <w:rsid w:val="005B3019"/>
    <w:rsid w:val="005B312E"/>
    <w:rsid w:val="005B34B8"/>
    <w:rsid w:val="005B4868"/>
    <w:rsid w:val="005B4AEF"/>
    <w:rsid w:val="005B4D6F"/>
    <w:rsid w:val="005B5593"/>
    <w:rsid w:val="005B5E2B"/>
    <w:rsid w:val="005B5EDE"/>
    <w:rsid w:val="005B5F5D"/>
    <w:rsid w:val="005B5FF4"/>
    <w:rsid w:val="005B60C3"/>
    <w:rsid w:val="005B612A"/>
    <w:rsid w:val="005B68ED"/>
    <w:rsid w:val="005B6EF7"/>
    <w:rsid w:val="005B797D"/>
    <w:rsid w:val="005B7D42"/>
    <w:rsid w:val="005C0268"/>
    <w:rsid w:val="005C093E"/>
    <w:rsid w:val="005C0A1A"/>
    <w:rsid w:val="005C1590"/>
    <w:rsid w:val="005C217B"/>
    <w:rsid w:val="005C2545"/>
    <w:rsid w:val="005C25A3"/>
    <w:rsid w:val="005C26FB"/>
    <w:rsid w:val="005C2A89"/>
    <w:rsid w:val="005C3757"/>
    <w:rsid w:val="005C38A4"/>
    <w:rsid w:val="005C39FC"/>
    <w:rsid w:val="005C40EB"/>
    <w:rsid w:val="005C4547"/>
    <w:rsid w:val="005C4D2E"/>
    <w:rsid w:val="005C4E25"/>
    <w:rsid w:val="005C5C23"/>
    <w:rsid w:val="005C5EC8"/>
    <w:rsid w:val="005C66CF"/>
    <w:rsid w:val="005C677E"/>
    <w:rsid w:val="005C6D21"/>
    <w:rsid w:val="005C7782"/>
    <w:rsid w:val="005C7E1B"/>
    <w:rsid w:val="005D0942"/>
    <w:rsid w:val="005D09C7"/>
    <w:rsid w:val="005D0A4B"/>
    <w:rsid w:val="005D0F13"/>
    <w:rsid w:val="005D1235"/>
    <w:rsid w:val="005D19A2"/>
    <w:rsid w:val="005D1E2C"/>
    <w:rsid w:val="005D27CE"/>
    <w:rsid w:val="005D30AE"/>
    <w:rsid w:val="005D3533"/>
    <w:rsid w:val="005D36AB"/>
    <w:rsid w:val="005D3C40"/>
    <w:rsid w:val="005D3E91"/>
    <w:rsid w:val="005D40D3"/>
    <w:rsid w:val="005D4ACB"/>
    <w:rsid w:val="005D51E3"/>
    <w:rsid w:val="005D5217"/>
    <w:rsid w:val="005D552C"/>
    <w:rsid w:val="005D5ECD"/>
    <w:rsid w:val="005D657F"/>
    <w:rsid w:val="005D75B5"/>
    <w:rsid w:val="005D79EA"/>
    <w:rsid w:val="005E0391"/>
    <w:rsid w:val="005E05C4"/>
    <w:rsid w:val="005E0B46"/>
    <w:rsid w:val="005E120F"/>
    <w:rsid w:val="005E1965"/>
    <w:rsid w:val="005E2D98"/>
    <w:rsid w:val="005E3740"/>
    <w:rsid w:val="005E39E5"/>
    <w:rsid w:val="005E40E7"/>
    <w:rsid w:val="005E4481"/>
    <w:rsid w:val="005E47F5"/>
    <w:rsid w:val="005E4C00"/>
    <w:rsid w:val="005E5557"/>
    <w:rsid w:val="005E6216"/>
    <w:rsid w:val="005E62D7"/>
    <w:rsid w:val="005E68AF"/>
    <w:rsid w:val="005E6C58"/>
    <w:rsid w:val="005F1119"/>
    <w:rsid w:val="005F1189"/>
    <w:rsid w:val="005F1209"/>
    <w:rsid w:val="005F129C"/>
    <w:rsid w:val="005F17FB"/>
    <w:rsid w:val="005F2596"/>
    <w:rsid w:val="005F25EA"/>
    <w:rsid w:val="005F2CC9"/>
    <w:rsid w:val="005F30B0"/>
    <w:rsid w:val="005F3685"/>
    <w:rsid w:val="005F3994"/>
    <w:rsid w:val="005F3AFB"/>
    <w:rsid w:val="005F3BB6"/>
    <w:rsid w:val="005F4111"/>
    <w:rsid w:val="005F4209"/>
    <w:rsid w:val="005F4772"/>
    <w:rsid w:val="005F4972"/>
    <w:rsid w:val="005F553E"/>
    <w:rsid w:val="005F5799"/>
    <w:rsid w:val="005F60DA"/>
    <w:rsid w:val="005F61D9"/>
    <w:rsid w:val="005F63E2"/>
    <w:rsid w:val="005F64E2"/>
    <w:rsid w:val="005F6DB2"/>
    <w:rsid w:val="005F7100"/>
    <w:rsid w:val="005F733E"/>
    <w:rsid w:val="005F78DA"/>
    <w:rsid w:val="005F7FA4"/>
    <w:rsid w:val="00600202"/>
    <w:rsid w:val="006016B8"/>
    <w:rsid w:val="00601836"/>
    <w:rsid w:val="0060202C"/>
    <w:rsid w:val="00602347"/>
    <w:rsid w:val="00602576"/>
    <w:rsid w:val="00602EA2"/>
    <w:rsid w:val="00603120"/>
    <w:rsid w:val="0060334F"/>
    <w:rsid w:val="006036AE"/>
    <w:rsid w:val="00604D5D"/>
    <w:rsid w:val="00604D8F"/>
    <w:rsid w:val="00605D4C"/>
    <w:rsid w:val="00606B1A"/>
    <w:rsid w:val="00606CDE"/>
    <w:rsid w:val="00606DE2"/>
    <w:rsid w:val="00606F2F"/>
    <w:rsid w:val="006079B0"/>
    <w:rsid w:val="006101DF"/>
    <w:rsid w:val="00610D81"/>
    <w:rsid w:val="00611B98"/>
    <w:rsid w:val="00611C51"/>
    <w:rsid w:val="00611E5B"/>
    <w:rsid w:val="00612611"/>
    <w:rsid w:val="006128D8"/>
    <w:rsid w:val="00612CD2"/>
    <w:rsid w:val="00612E54"/>
    <w:rsid w:val="00613122"/>
    <w:rsid w:val="0061343E"/>
    <w:rsid w:val="006135D1"/>
    <w:rsid w:val="00613BFA"/>
    <w:rsid w:val="00614490"/>
    <w:rsid w:val="006144A5"/>
    <w:rsid w:val="0061481C"/>
    <w:rsid w:val="006148D8"/>
    <w:rsid w:val="0061553D"/>
    <w:rsid w:val="006159BD"/>
    <w:rsid w:val="00615A3C"/>
    <w:rsid w:val="00615F55"/>
    <w:rsid w:val="006177B2"/>
    <w:rsid w:val="006179A1"/>
    <w:rsid w:val="00617CC3"/>
    <w:rsid w:val="006206F9"/>
    <w:rsid w:val="00621580"/>
    <w:rsid w:val="00621EDD"/>
    <w:rsid w:val="00622738"/>
    <w:rsid w:val="00622DB7"/>
    <w:rsid w:val="006237EC"/>
    <w:rsid w:val="00623971"/>
    <w:rsid w:val="00623F77"/>
    <w:rsid w:val="006245AC"/>
    <w:rsid w:val="00625275"/>
    <w:rsid w:val="0062544A"/>
    <w:rsid w:val="00625877"/>
    <w:rsid w:val="00625909"/>
    <w:rsid w:val="00625EFE"/>
    <w:rsid w:val="0062609E"/>
    <w:rsid w:val="00626200"/>
    <w:rsid w:val="006264AC"/>
    <w:rsid w:val="00627450"/>
    <w:rsid w:val="006274AF"/>
    <w:rsid w:val="006300A5"/>
    <w:rsid w:val="00630A7E"/>
    <w:rsid w:val="00630C36"/>
    <w:rsid w:val="00630E39"/>
    <w:rsid w:val="006313BB"/>
    <w:rsid w:val="006315EC"/>
    <w:rsid w:val="006315ED"/>
    <w:rsid w:val="00632C8F"/>
    <w:rsid w:val="00633B2F"/>
    <w:rsid w:val="00633B4F"/>
    <w:rsid w:val="00634EDB"/>
    <w:rsid w:val="00635617"/>
    <w:rsid w:val="006377A6"/>
    <w:rsid w:val="00637A3D"/>
    <w:rsid w:val="00637BC5"/>
    <w:rsid w:val="00637C84"/>
    <w:rsid w:val="00637D82"/>
    <w:rsid w:val="0064059C"/>
    <w:rsid w:val="00640A03"/>
    <w:rsid w:val="00641093"/>
    <w:rsid w:val="006411EF"/>
    <w:rsid w:val="00641B5B"/>
    <w:rsid w:val="00641BB2"/>
    <w:rsid w:val="00642096"/>
    <w:rsid w:val="006427B2"/>
    <w:rsid w:val="00643240"/>
    <w:rsid w:val="00643395"/>
    <w:rsid w:val="006437A9"/>
    <w:rsid w:val="00643CB2"/>
    <w:rsid w:val="006446C7"/>
    <w:rsid w:val="006448E0"/>
    <w:rsid w:val="006451D5"/>
    <w:rsid w:val="00645891"/>
    <w:rsid w:val="00645A50"/>
    <w:rsid w:val="00645BB4"/>
    <w:rsid w:val="00645EB0"/>
    <w:rsid w:val="00646503"/>
    <w:rsid w:val="00646A95"/>
    <w:rsid w:val="00646CED"/>
    <w:rsid w:val="00647072"/>
    <w:rsid w:val="00647A68"/>
    <w:rsid w:val="00647CA3"/>
    <w:rsid w:val="00650484"/>
    <w:rsid w:val="00650BD0"/>
    <w:rsid w:val="00650E1A"/>
    <w:rsid w:val="00650E2A"/>
    <w:rsid w:val="00650FC4"/>
    <w:rsid w:val="00651DA0"/>
    <w:rsid w:val="00652B3C"/>
    <w:rsid w:val="00653DD4"/>
    <w:rsid w:val="00654120"/>
    <w:rsid w:val="00654D6B"/>
    <w:rsid w:val="00654DA4"/>
    <w:rsid w:val="006556C8"/>
    <w:rsid w:val="00655B42"/>
    <w:rsid w:val="00655E71"/>
    <w:rsid w:val="006563D0"/>
    <w:rsid w:val="00656477"/>
    <w:rsid w:val="0065680B"/>
    <w:rsid w:val="00656B71"/>
    <w:rsid w:val="00657891"/>
    <w:rsid w:val="006602E5"/>
    <w:rsid w:val="00660415"/>
    <w:rsid w:val="0066046C"/>
    <w:rsid w:val="00660A2F"/>
    <w:rsid w:val="00661166"/>
    <w:rsid w:val="0066165B"/>
    <w:rsid w:val="00661EED"/>
    <w:rsid w:val="0066223C"/>
    <w:rsid w:val="006632B6"/>
    <w:rsid w:val="0066421F"/>
    <w:rsid w:val="00664334"/>
    <w:rsid w:val="006649CE"/>
    <w:rsid w:val="0066571B"/>
    <w:rsid w:val="00665DF7"/>
    <w:rsid w:val="00665F6B"/>
    <w:rsid w:val="0066620C"/>
    <w:rsid w:val="00667138"/>
    <w:rsid w:val="006676AB"/>
    <w:rsid w:val="0067066C"/>
    <w:rsid w:val="00670A07"/>
    <w:rsid w:val="00670B19"/>
    <w:rsid w:val="00671376"/>
    <w:rsid w:val="0067180D"/>
    <w:rsid w:val="00672118"/>
    <w:rsid w:val="006725BD"/>
    <w:rsid w:val="006729CD"/>
    <w:rsid w:val="00673251"/>
    <w:rsid w:val="006733C6"/>
    <w:rsid w:val="00673461"/>
    <w:rsid w:val="0067352D"/>
    <w:rsid w:val="00673C31"/>
    <w:rsid w:val="006743DB"/>
    <w:rsid w:val="006748B8"/>
    <w:rsid w:val="00674F04"/>
    <w:rsid w:val="006758B2"/>
    <w:rsid w:val="00676723"/>
    <w:rsid w:val="00676E70"/>
    <w:rsid w:val="006775C3"/>
    <w:rsid w:val="00677989"/>
    <w:rsid w:val="00677D5E"/>
    <w:rsid w:val="0068020C"/>
    <w:rsid w:val="00680400"/>
    <w:rsid w:val="0068128C"/>
    <w:rsid w:val="00681464"/>
    <w:rsid w:val="00681887"/>
    <w:rsid w:val="006818B2"/>
    <w:rsid w:val="006819DD"/>
    <w:rsid w:val="0068209D"/>
    <w:rsid w:val="006827BF"/>
    <w:rsid w:val="006831E3"/>
    <w:rsid w:val="006835E3"/>
    <w:rsid w:val="00683943"/>
    <w:rsid w:val="00683CF6"/>
    <w:rsid w:val="006841C1"/>
    <w:rsid w:val="00684289"/>
    <w:rsid w:val="00684848"/>
    <w:rsid w:val="0068518C"/>
    <w:rsid w:val="00685237"/>
    <w:rsid w:val="00685592"/>
    <w:rsid w:val="00685CCD"/>
    <w:rsid w:val="00685CDA"/>
    <w:rsid w:val="00687A44"/>
    <w:rsid w:val="00690399"/>
    <w:rsid w:val="006906EE"/>
    <w:rsid w:val="0069074C"/>
    <w:rsid w:val="00691285"/>
    <w:rsid w:val="006915B6"/>
    <w:rsid w:val="00691AAA"/>
    <w:rsid w:val="00691FF2"/>
    <w:rsid w:val="00692274"/>
    <w:rsid w:val="0069290A"/>
    <w:rsid w:val="00692A67"/>
    <w:rsid w:val="00692DA9"/>
    <w:rsid w:val="00693326"/>
    <w:rsid w:val="006936DE"/>
    <w:rsid w:val="00694C88"/>
    <w:rsid w:val="00695565"/>
    <w:rsid w:val="00696450"/>
    <w:rsid w:val="006972CE"/>
    <w:rsid w:val="00697486"/>
    <w:rsid w:val="006976DF"/>
    <w:rsid w:val="0069775A"/>
    <w:rsid w:val="00697813"/>
    <w:rsid w:val="00697E83"/>
    <w:rsid w:val="006A08EC"/>
    <w:rsid w:val="006A095A"/>
    <w:rsid w:val="006A0A23"/>
    <w:rsid w:val="006A0B9A"/>
    <w:rsid w:val="006A11DF"/>
    <w:rsid w:val="006A1EFB"/>
    <w:rsid w:val="006A1F5D"/>
    <w:rsid w:val="006A220A"/>
    <w:rsid w:val="006A2607"/>
    <w:rsid w:val="006A31EE"/>
    <w:rsid w:val="006A3533"/>
    <w:rsid w:val="006A35D5"/>
    <w:rsid w:val="006A3E04"/>
    <w:rsid w:val="006A3EE8"/>
    <w:rsid w:val="006A3F9F"/>
    <w:rsid w:val="006A42BA"/>
    <w:rsid w:val="006A45B8"/>
    <w:rsid w:val="006A4A01"/>
    <w:rsid w:val="006A5588"/>
    <w:rsid w:val="006A565D"/>
    <w:rsid w:val="006A5685"/>
    <w:rsid w:val="006A5820"/>
    <w:rsid w:val="006A6A7B"/>
    <w:rsid w:val="006A6DF8"/>
    <w:rsid w:val="006A6FDC"/>
    <w:rsid w:val="006A717B"/>
    <w:rsid w:val="006A72BF"/>
    <w:rsid w:val="006A7669"/>
    <w:rsid w:val="006B002E"/>
    <w:rsid w:val="006B020C"/>
    <w:rsid w:val="006B03F2"/>
    <w:rsid w:val="006B087F"/>
    <w:rsid w:val="006B0922"/>
    <w:rsid w:val="006B0AE3"/>
    <w:rsid w:val="006B0F43"/>
    <w:rsid w:val="006B1244"/>
    <w:rsid w:val="006B1AC5"/>
    <w:rsid w:val="006B24C8"/>
    <w:rsid w:val="006B25A2"/>
    <w:rsid w:val="006B2A94"/>
    <w:rsid w:val="006B2AE8"/>
    <w:rsid w:val="006B33E3"/>
    <w:rsid w:val="006B37DC"/>
    <w:rsid w:val="006B41AA"/>
    <w:rsid w:val="006B48CA"/>
    <w:rsid w:val="006B49BA"/>
    <w:rsid w:val="006B4F68"/>
    <w:rsid w:val="006B5191"/>
    <w:rsid w:val="006B53CF"/>
    <w:rsid w:val="006B77A0"/>
    <w:rsid w:val="006B7E01"/>
    <w:rsid w:val="006B7E50"/>
    <w:rsid w:val="006B7EAA"/>
    <w:rsid w:val="006C012C"/>
    <w:rsid w:val="006C01D2"/>
    <w:rsid w:val="006C0592"/>
    <w:rsid w:val="006C07E7"/>
    <w:rsid w:val="006C0A4A"/>
    <w:rsid w:val="006C0CA9"/>
    <w:rsid w:val="006C13C2"/>
    <w:rsid w:val="006C19E1"/>
    <w:rsid w:val="006C1F4E"/>
    <w:rsid w:val="006C272E"/>
    <w:rsid w:val="006C2A34"/>
    <w:rsid w:val="006C3142"/>
    <w:rsid w:val="006C3742"/>
    <w:rsid w:val="006C4926"/>
    <w:rsid w:val="006C4E5C"/>
    <w:rsid w:val="006C5479"/>
    <w:rsid w:val="006C67E9"/>
    <w:rsid w:val="006C67F7"/>
    <w:rsid w:val="006C6A36"/>
    <w:rsid w:val="006C6BC6"/>
    <w:rsid w:val="006C7053"/>
    <w:rsid w:val="006C7736"/>
    <w:rsid w:val="006D013F"/>
    <w:rsid w:val="006D083B"/>
    <w:rsid w:val="006D0A4B"/>
    <w:rsid w:val="006D13B5"/>
    <w:rsid w:val="006D1599"/>
    <w:rsid w:val="006D1D0F"/>
    <w:rsid w:val="006D1EB6"/>
    <w:rsid w:val="006D2269"/>
    <w:rsid w:val="006D3272"/>
    <w:rsid w:val="006D38D7"/>
    <w:rsid w:val="006D3E54"/>
    <w:rsid w:val="006D47B1"/>
    <w:rsid w:val="006D625F"/>
    <w:rsid w:val="006D65B8"/>
    <w:rsid w:val="006D6981"/>
    <w:rsid w:val="006D6E33"/>
    <w:rsid w:val="006D78BA"/>
    <w:rsid w:val="006D7BBD"/>
    <w:rsid w:val="006D7DBA"/>
    <w:rsid w:val="006E056F"/>
    <w:rsid w:val="006E058A"/>
    <w:rsid w:val="006E120A"/>
    <w:rsid w:val="006E1240"/>
    <w:rsid w:val="006E12FF"/>
    <w:rsid w:val="006E1B1B"/>
    <w:rsid w:val="006E1EA9"/>
    <w:rsid w:val="006E230D"/>
    <w:rsid w:val="006E23C2"/>
    <w:rsid w:val="006E2A1E"/>
    <w:rsid w:val="006E2A49"/>
    <w:rsid w:val="006E3BF3"/>
    <w:rsid w:val="006E3C74"/>
    <w:rsid w:val="006E4003"/>
    <w:rsid w:val="006E40BB"/>
    <w:rsid w:val="006E432D"/>
    <w:rsid w:val="006E4B43"/>
    <w:rsid w:val="006E58C0"/>
    <w:rsid w:val="006E58C7"/>
    <w:rsid w:val="006E5BE9"/>
    <w:rsid w:val="006E5D1F"/>
    <w:rsid w:val="006E607E"/>
    <w:rsid w:val="006E684F"/>
    <w:rsid w:val="006E6CDF"/>
    <w:rsid w:val="006E7731"/>
    <w:rsid w:val="006E7F5A"/>
    <w:rsid w:val="006F009E"/>
    <w:rsid w:val="006F0645"/>
    <w:rsid w:val="006F07DC"/>
    <w:rsid w:val="006F0D5F"/>
    <w:rsid w:val="006F2375"/>
    <w:rsid w:val="006F2AEB"/>
    <w:rsid w:val="006F3211"/>
    <w:rsid w:val="006F3788"/>
    <w:rsid w:val="006F3DFE"/>
    <w:rsid w:val="006F481C"/>
    <w:rsid w:val="006F5192"/>
    <w:rsid w:val="006F52EE"/>
    <w:rsid w:val="006F530F"/>
    <w:rsid w:val="006F5CE8"/>
    <w:rsid w:val="006F5EED"/>
    <w:rsid w:val="006F69AB"/>
    <w:rsid w:val="006F7D02"/>
    <w:rsid w:val="007013CD"/>
    <w:rsid w:val="0070149E"/>
    <w:rsid w:val="007014D4"/>
    <w:rsid w:val="0070157B"/>
    <w:rsid w:val="00701C1B"/>
    <w:rsid w:val="00701FEF"/>
    <w:rsid w:val="00702F94"/>
    <w:rsid w:val="007034D7"/>
    <w:rsid w:val="007038AE"/>
    <w:rsid w:val="00703B75"/>
    <w:rsid w:val="0070454C"/>
    <w:rsid w:val="0070591F"/>
    <w:rsid w:val="007064AA"/>
    <w:rsid w:val="007065F2"/>
    <w:rsid w:val="00706C5D"/>
    <w:rsid w:val="00706DFD"/>
    <w:rsid w:val="00706ED8"/>
    <w:rsid w:val="00707333"/>
    <w:rsid w:val="007074C5"/>
    <w:rsid w:val="00707529"/>
    <w:rsid w:val="00707D28"/>
    <w:rsid w:val="007109B0"/>
    <w:rsid w:val="00710F80"/>
    <w:rsid w:val="0071141B"/>
    <w:rsid w:val="00711494"/>
    <w:rsid w:val="0071164F"/>
    <w:rsid w:val="007123D8"/>
    <w:rsid w:val="0071262E"/>
    <w:rsid w:val="00712C15"/>
    <w:rsid w:val="00712C3D"/>
    <w:rsid w:val="00712D57"/>
    <w:rsid w:val="00713BD1"/>
    <w:rsid w:val="0071411C"/>
    <w:rsid w:val="00714C49"/>
    <w:rsid w:val="00714CB3"/>
    <w:rsid w:val="00714E8D"/>
    <w:rsid w:val="00715096"/>
    <w:rsid w:val="00715429"/>
    <w:rsid w:val="00715718"/>
    <w:rsid w:val="00715768"/>
    <w:rsid w:val="00715A36"/>
    <w:rsid w:val="00715C5E"/>
    <w:rsid w:val="007164E7"/>
    <w:rsid w:val="00716832"/>
    <w:rsid w:val="00716B53"/>
    <w:rsid w:val="00716E7A"/>
    <w:rsid w:val="00716EA2"/>
    <w:rsid w:val="00716FF6"/>
    <w:rsid w:val="007171F5"/>
    <w:rsid w:val="0071720F"/>
    <w:rsid w:val="0071751E"/>
    <w:rsid w:val="0071784A"/>
    <w:rsid w:val="007200B3"/>
    <w:rsid w:val="007211E1"/>
    <w:rsid w:val="00721433"/>
    <w:rsid w:val="00721C93"/>
    <w:rsid w:val="00721FBB"/>
    <w:rsid w:val="007223E6"/>
    <w:rsid w:val="00722B05"/>
    <w:rsid w:val="00723885"/>
    <w:rsid w:val="00723C9B"/>
    <w:rsid w:val="00723DEA"/>
    <w:rsid w:val="00723FB5"/>
    <w:rsid w:val="00724351"/>
    <w:rsid w:val="00724453"/>
    <w:rsid w:val="00724972"/>
    <w:rsid w:val="00724C71"/>
    <w:rsid w:val="0072580C"/>
    <w:rsid w:val="00725913"/>
    <w:rsid w:val="00725CAB"/>
    <w:rsid w:val="007261CE"/>
    <w:rsid w:val="00726BCF"/>
    <w:rsid w:val="00727AAA"/>
    <w:rsid w:val="00730036"/>
    <w:rsid w:val="007303FF"/>
    <w:rsid w:val="00730AD0"/>
    <w:rsid w:val="00730EB5"/>
    <w:rsid w:val="00731015"/>
    <w:rsid w:val="007310EB"/>
    <w:rsid w:val="007312EE"/>
    <w:rsid w:val="007321E1"/>
    <w:rsid w:val="00732922"/>
    <w:rsid w:val="00733022"/>
    <w:rsid w:val="00734B0A"/>
    <w:rsid w:val="0073504C"/>
    <w:rsid w:val="0073587D"/>
    <w:rsid w:val="007359A0"/>
    <w:rsid w:val="007360D5"/>
    <w:rsid w:val="00736204"/>
    <w:rsid w:val="00736521"/>
    <w:rsid w:val="00736824"/>
    <w:rsid w:val="00736AF1"/>
    <w:rsid w:val="00736E73"/>
    <w:rsid w:val="00737267"/>
    <w:rsid w:val="007377FC"/>
    <w:rsid w:val="007404BD"/>
    <w:rsid w:val="007404F7"/>
    <w:rsid w:val="00740613"/>
    <w:rsid w:val="0074108E"/>
    <w:rsid w:val="00741114"/>
    <w:rsid w:val="0074174D"/>
    <w:rsid w:val="00741FB7"/>
    <w:rsid w:val="007422AF"/>
    <w:rsid w:val="0074254F"/>
    <w:rsid w:val="007427B5"/>
    <w:rsid w:val="00742DFF"/>
    <w:rsid w:val="00742F81"/>
    <w:rsid w:val="00742FC5"/>
    <w:rsid w:val="007430A5"/>
    <w:rsid w:val="00743612"/>
    <w:rsid w:val="00743824"/>
    <w:rsid w:val="0074394C"/>
    <w:rsid w:val="00743A51"/>
    <w:rsid w:val="00743BC0"/>
    <w:rsid w:val="00743C94"/>
    <w:rsid w:val="00744145"/>
    <w:rsid w:val="0074477A"/>
    <w:rsid w:val="00744864"/>
    <w:rsid w:val="00744C8C"/>
    <w:rsid w:val="00745299"/>
    <w:rsid w:val="007459C2"/>
    <w:rsid w:val="00745EDA"/>
    <w:rsid w:val="00746192"/>
    <w:rsid w:val="007467D4"/>
    <w:rsid w:val="00747534"/>
    <w:rsid w:val="0074792D"/>
    <w:rsid w:val="00747FB6"/>
    <w:rsid w:val="007506D7"/>
    <w:rsid w:val="007515F3"/>
    <w:rsid w:val="0075162E"/>
    <w:rsid w:val="00752381"/>
    <w:rsid w:val="00752D80"/>
    <w:rsid w:val="007534BA"/>
    <w:rsid w:val="00753FA1"/>
    <w:rsid w:val="00754034"/>
    <w:rsid w:val="0075410E"/>
    <w:rsid w:val="007549BF"/>
    <w:rsid w:val="00754E61"/>
    <w:rsid w:val="00754EF5"/>
    <w:rsid w:val="00754F50"/>
    <w:rsid w:val="007550D1"/>
    <w:rsid w:val="007557E8"/>
    <w:rsid w:val="00755E40"/>
    <w:rsid w:val="00756556"/>
    <w:rsid w:val="00756D7B"/>
    <w:rsid w:val="00756D8A"/>
    <w:rsid w:val="007570B3"/>
    <w:rsid w:val="00757388"/>
    <w:rsid w:val="007600FD"/>
    <w:rsid w:val="00760867"/>
    <w:rsid w:val="007615DF"/>
    <w:rsid w:val="00761683"/>
    <w:rsid w:val="00761871"/>
    <w:rsid w:val="007618C4"/>
    <w:rsid w:val="00761F91"/>
    <w:rsid w:val="007625B3"/>
    <w:rsid w:val="007626C4"/>
    <w:rsid w:val="00762F44"/>
    <w:rsid w:val="00762F5D"/>
    <w:rsid w:val="00763DCC"/>
    <w:rsid w:val="00764139"/>
    <w:rsid w:val="00765164"/>
    <w:rsid w:val="007651AA"/>
    <w:rsid w:val="0076548F"/>
    <w:rsid w:val="00765669"/>
    <w:rsid w:val="00765B6F"/>
    <w:rsid w:val="00766094"/>
    <w:rsid w:val="0076629C"/>
    <w:rsid w:val="007666AE"/>
    <w:rsid w:val="007673BA"/>
    <w:rsid w:val="0076746A"/>
    <w:rsid w:val="007677EB"/>
    <w:rsid w:val="0076781D"/>
    <w:rsid w:val="00767980"/>
    <w:rsid w:val="00767DEF"/>
    <w:rsid w:val="00770B19"/>
    <w:rsid w:val="00770E6C"/>
    <w:rsid w:val="00771589"/>
    <w:rsid w:val="00772BDD"/>
    <w:rsid w:val="00772BE0"/>
    <w:rsid w:val="00773594"/>
    <w:rsid w:val="00773ADD"/>
    <w:rsid w:val="00773D54"/>
    <w:rsid w:val="0077463F"/>
    <w:rsid w:val="00774AC3"/>
    <w:rsid w:val="00775360"/>
    <w:rsid w:val="007754DC"/>
    <w:rsid w:val="00775714"/>
    <w:rsid w:val="0077597C"/>
    <w:rsid w:val="007759B4"/>
    <w:rsid w:val="00775A76"/>
    <w:rsid w:val="00775B51"/>
    <w:rsid w:val="00775E46"/>
    <w:rsid w:val="0077646A"/>
    <w:rsid w:val="007766F5"/>
    <w:rsid w:val="00776A6F"/>
    <w:rsid w:val="00776CEA"/>
    <w:rsid w:val="00776FDD"/>
    <w:rsid w:val="00777350"/>
    <w:rsid w:val="007776A6"/>
    <w:rsid w:val="00780B84"/>
    <w:rsid w:val="0078101D"/>
    <w:rsid w:val="007815A7"/>
    <w:rsid w:val="007816A2"/>
    <w:rsid w:val="00782070"/>
    <w:rsid w:val="00782272"/>
    <w:rsid w:val="00782AD9"/>
    <w:rsid w:val="0078367A"/>
    <w:rsid w:val="007836EA"/>
    <w:rsid w:val="00783793"/>
    <w:rsid w:val="007837B0"/>
    <w:rsid w:val="00783C24"/>
    <w:rsid w:val="007841D5"/>
    <w:rsid w:val="00784391"/>
    <w:rsid w:val="00784CDA"/>
    <w:rsid w:val="0078576C"/>
    <w:rsid w:val="00785B82"/>
    <w:rsid w:val="007861D3"/>
    <w:rsid w:val="007868EC"/>
    <w:rsid w:val="00786E3D"/>
    <w:rsid w:val="00787154"/>
    <w:rsid w:val="00787971"/>
    <w:rsid w:val="00787FE1"/>
    <w:rsid w:val="007906C4"/>
    <w:rsid w:val="00790A6D"/>
    <w:rsid w:val="0079189F"/>
    <w:rsid w:val="00791CE8"/>
    <w:rsid w:val="007927E9"/>
    <w:rsid w:val="0079293B"/>
    <w:rsid w:val="0079345A"/>
    <w:rsid w:val="007935D7"/>
    <w:rsid w:val="00793E28"/>
    <w:rsid w:val="007940EA"/>
    <w:rsid w:val="00794D3F"/>
    <w:rsid w:val="00795058"/>
    <w:rsid w:val="00795C5C"/>
    <w:rsid w:val="00795E80"/>
    <w:rsid w:val="007965C1"/>
    <w:rsid w:val="007967E8"/>
    <w:rsid w:val="00796C11"/>
    <w:rsid w:val="007A0197"/>
    <w:rsid w:val="007A0504"/>
    <w:rsid w:val="007A2170"/>
    <w:rsid w:val="007A221E"/>
    <w:rsid w:val="007A2283"/>
    <w:rsid w:val="007A22BF"/>
    <w:rsid w:val="007A25D4"/>
    <w:rsid w:val="007A2898"/>
    <w:rsid w:val="007A2CDE"/>
    <w:rsid w:val="007A2E6D"/>
    <w:rsid w:val="007A3323"/>
    <w:rsid w:val="007A385F"/>
    <w:rsid w:val="007A3E58"/>
    <w:rsid w:val="007A4157"/>
    <w:rsid w:val="007A46A9"/>
    <w:rsid w:val="007A495D"/>
    <w:rsid w:val="007A4E5A"/>
    <w:rsid w:val="007A4FF5"/>
    <w:rsid w:val="007A53DF"/>
    <w:rsid w:val="007A5560"/>
    <w:rsid w:val="007A5A8C"/>
    <w:rsid w:val="007A5DAA"/>
    <w:rsid w:val="007A7828"/>
    <w:rsid w:val="007B0B7D"/>
    <w:rsid w:val="007B16EA"/>
    <w:rsid w:val="007B1925"/>
    <w:rsid w:val="007B28A3"/>
    <w:rsid w:val="007B2BD8"/>
    <w:rsid w:val="007B2CCE"/>
    <w:rsid w:val="007B3150"/>
    <w:rsid w:val="007B3A0D"/>
    <w:rsid w:val="007B3F5C"/>
    <w:rsid w:val="007B43B7"/>
    <w:rsid w:val="007B4881"/>
    <w:rsid w:val="007B4A1D"/>
    <w:rsid w:val="007B517E"/>
    <w:rsid w:val="007B5390"/>
    <w:rsid w:val="007B58E2"/>
    <w:rsid w:val="007B597A"/>
    <w:rsid w:val="007B5CF0"/>
    <w:rsid w:val="007B60CE"/>
    <w:rsid w:val="007B6433"/>
    <w:rsid w:val="007B6C53"/>
    <w:rsid w:val="007B6E52"/>
    <w:rsid w:val="007B72B8"/>
    <w:rsid w:val="007B7335"/>
    <w:rsid w:val="007B73AB"/>
    <w:rsid w:val="007B7A58"/>
    <w:rsid w:val="007C0036"/>
    <w:rsid w:val="007C06E0"/>
    <w:rsid w:val="007C0939"/>
    <w:rsid w:val="007C0BD7"/>
    <w:rsid w:val="007C1695"/>
    <w:rsid w:val="007C1707"/>
    <w:rsid w:val="007C173B"/>
    <w:rsid w:val="007C1868"/>
    <w:rsid w:val="007C19D2"/>
    <w:rsid w:val="007C21B5"/>
    <w:rsid w:val="007C361D"/>
    <w:rsid w:val="007C375A"/>
    <w:rsid w:val="007C3C43"/>
    <w:rsid w:val="007C3FA6"/>
    <w:rsid w:val="007C4212"/>
    <w:rsid w:val="007C4911"/>
    <w:rsid w:val="007C4E2F"/>
    <w:rsid w:val="007C4EA7"/>
    <w:rsid w:val="007C56BE"/>
    <w:rsid w:val="007C577C"/>
    <w:rsid w:val="007C6298"/>
    <w:rsid w:val="007C68BD"/>
    <w:rsid w:val="007C7378"/>
    <w:rsid w:val="007C760E"/>
    <w:rsid w:val="007C7A14"/>
    <w:rsid w:val="007D0340"/>
    <w:rsid w:val="007D03EC"/>
    <w:rsid w:val="007D0C43"/>
    <w:rsid w:val="007D13D9"/>
    <w:rsid w:val="007D13F0"/>
    <w:rsid w:val="007D26B4"/>
    <w:rsid w:val="007D3B31"/>
    <w:rsid w:val="007D465B"/>
    <w:rsid w:val="007D467F"/>
    <w:rsid w:val="007D492E"/>
    <w:rsid w:val="007D4B4C"/>
    <w:rsid w:val="007D4BC2"/>
    <w:rsid w:val="007D4F35"/>
    <w:rsid w:val="007D56D6"/>
    <w:rsid w:val="007D5B29"/>
    <w:rsid w:val="007D5B8C"/>
    <w:rsid w:val="007D5C2B"/>
    <w:rsid w:val="007D6FFF"/>
    <w:rsid w:val="007D7A33"/>
    <w:rsid w:val="007E0A55"/>
    <w:rsid w:val="007E1176"/>
    <w:rsid w:val="007E11E8"/>
    <w:rsid w:val="007E2102"/>
    <w:rsid w:val="007E2B52"/>
    <w:rsid w:val="007E2E86"/>
    <w:rsid w:val="007E30E2"/>
    <w:rsid w:val="007E35E2"/>
    <w:rsid w:val="007E374F"/>
    <w:rsid w:val="007E37BE"/>
    <w:rsid w:val="007E38BA"/>
    <w:rsid w:val="007E3C22"/>
    <w:rsid w:val="007E4218"/>
    <w:rsid w:val="007E4563"/>
    <w:rsid w:val="007E4608"/>
    <w:rsid w:val="007E4BD2"/>
    <w:rsid w:val="007E5247"/>
    <w:rsid w:val="007E52A5"/>
    <w:rsid w:val="007E5531"/>
    <w:rsid w:val="007E5649"/>
    <w:rsid w:val="007E583B"/>
    <w:rsid w:val="007E5BE6"/>
    <w:rsid w:val="007E5BE8"/>
    <w:rsid w:val="007E6BDB"/>
    <w:rsid w:val="007E7E9B"/>
    <w:rsid w:val="007F01D0"/>
    <w:rsid w:val="007F03C7"/>
    <w:rsid w:val="007F066C"/>
    <w:rsid w:val="007F0A66"/>
    <w:rsid w:val="007F0FCD"/>
    <w:rsid w:val="007F1928"/>
    <w:rsid w:val="007F2AA0"/>
    <w:rsid w:val="007F2C8D"/>
    <w:rsid w:val="007F2D9A"/>
    <w:rsid w:val="007F2F54"/>
    <w:rsid w:val="007F3464"/>
    <w:rsid w:val="007F3910"/>
    <w:rsid w:val="007F4243"/>
    <w:rsid w:val="007F42F6"/>
    <w:rsid w:val="007F50A1"/>
    <w:rsid w:val="007F5710"/>
    <w:rsid w:val="007F699C"/>
    <w:rsid w:val="007F6F5A"/>
    <w:rsid w:val="007F7491"/>
    <w:rsid w:val="007F781E"/>
    <w:rsid w:val="008006BD"/>
    <w:rsid w:val="008010BF"/>
    <w:rsid w:val="00801128"/>
    <w:rsid w:val="00801393"/>
    <w:rsid w:val="00801D93"/>
    <w:rsid w:val="00802571"/>
    <w:rsid w:val="00802A56"/>
    <w:rsid w:val="00802F88"/>
    <w:rsid w:val="008035F5"/>
    <w:rsid w:val="00804199"/>
    <w:rsid w:val="0080425B"/>
    <w:rsid w:val="0080430B"/>
    <w:rsid w:val="00805631"/>
    <w:rsid w:val="00805BC5"/>
    <w:rsid w:val="00805D6A"/>
    <w:rsid w:val="0080638D"/>
    <w:rsid w:val="0080649C"/>
    <w:rsid w:val="0080674D"/>
    <w:rsid w:val="00806958"/>
    <w:rsid w:val="0080697E"/>
    <w:rsid w:val="00806F69"/>
    <w:rsid w:val="00807B7B"/>
    <w:rsid w:val="0081056F"/>
    <w:rsid w:val="00810841"/>
    <w:rsid w:val="00810923"/>
    <w:rsid w:val="00810C4E"/>
    <w:rsid w:val="008114F9"/>
    <w:rsid w:val="008119A5"/>
    <w:rsid w:val="00811BFC"/>
    <w:rsid w:val="00811C55"/>
    <w:rsid w:val="008125CA"/>
    <w:rsid w:val="0081293E"/>
    <w:rsid w:val="00812B01"/>
    <w:rsid w:val="00812BA8"/>
    <w:rsid w:val="0081395A"/>
    <w:rsid w:val="008139AE"/>
    <w:rsid w:val="00813DC8"/>
    <w:rsid w:val="00813F9E"/>
    <w:rsid w:val="00814670"/>
    <w:rsid w:val="0081497D"/>
    <w:rsid w:val="00815465"/>
    <w:rsid w:val="00816760"/>
    <w:rsid w:val="00817503"/>
    <w:rsid w:val="00817CA1"/>
    <w:rsid w:val="00817E9A"/>
    <w:rsid w:val="0082004D"/>
    <w:rsid w:val="0082021A"/>
    <w:rsid w:val="0082063E"/>
    <w:rsid w:val="00820C4C"/>
    <w:rsid w:val="008212AD"/>
    <w:rsid w:val="00821363"/>
    <w:rsid w:val="00821813"/>
    <w:rsid w:val="00821F27"/>
    <w:rsid w:val="00822B6F"/>
    <w:rsid w:val="00822E23"/>
    <w:rsid w:val="00822FA1"/>
    <w:rsid w:val="0082398B"/>
    <w:rsid w:val="008240F0"/>
    <w:rsid w:val="0082425B"/>
    <w:rsid w:val="0082471E"/>
    <w:rsid w:val="00824ADB"/>
    <w:rsid w:val="00824B8C"/>
    <w:rsid w:val="00824CB7"/>
    <w:rsid w:val="00824CE8"/>
    <w:rsid w:val="00825496"/>
    <w:rsid w:val="00825A06"/>
    <w:rsid w:val="00826352"/>
    <w:rsid w:val="008263E4"/>
    <w:rsid w:val="008264BF"/>
    <w:rsid w:val="00826A90"/>
    <w:rsid w:val="00826E21"/>
    <w:rsid w:val="00827672"/>
    <w:rsid w:val="00827740"/>
    <w:rsid w:val="00827886"/>
    <w:rsid w:val="0083050D"/>
    <w:rsid w:val="008306BD"/>
    <w:rsid w:val="00830FCA"/>
    <w:rsid w:val="008317E1"/>
    <w:rsid w:val="008317F3"/>
    <w:rsid w:val="00831A80"/>
    <w:rsid w:val="00831B61"/>
    <w:rsid w:val="00831EE1"/>
    <w:rsid w:val="00831F14"/>
    <w:rsid w:val="00832331"/>
    <w:rsid w:val="0083329D"/>
    <w:rsid w:val="00833743"/>
    <w:rsid w:val="008340A4"/>
    <w:rsid w:val="0083410A"/>
    <w:rsid w:val="00834403"/>
    <w:rsid w:val="0083468A"/>
    <w:rsid w:val="008348A0"/>
    <w:rsid w:val="00834ADC"/>
    <w:rsid w:val="00834DF7"/>
    <w:rsid w:val="0083581D"/>
    <w:rsid w:val="0083596C"/>
    <w:rsid w:val="00835D94"/>
    <w:rsid w:val="00835F22"/>
    <w:rsid w:val="008368D7"/>
    <w:rsid w:val="00837152"/>
    <w:rsid w:val="008371C2"/>
    <w:rsid w:val="008379B2"/>
    <w:rsid w:val="008403D3"/>
    <w:rsid w:val="00840DAE"/>
    <w:rsid w:val="0084122A"/>
    <w:rsid w:val="00841517"/>
    <w:rsid w:val="008418A9"/>
    <w:rsid w:val="00841A86"/>
    <w:rsid w:val="00841DD8"/>
    <w:rsid w:val="00841E7D"/>
    <w:rsid w:val="0084272E"/>
    <w:rsid w:val="00844210"/>
    <w:rsid w:val="0084495D"/>
    <w:rsid w:val="00844A48"/>
    <w:rsid w:val="00844D42"/>
    <w:rsid w:val="00845D91"/>
    <w:rsid w:val="0084614C"/>
    <w:rsid w:val="00846692"/>
    <w:rsid w:val="00846F14"/>
    <w:rsid w:val="008470AA"/>
    <w:rsid w:val="00847835"/>
    <w:rsid w:val="00847DAF"/>
    <w:rsid w:val="00847DEA"/>
    <w:rsid w:val="00847FA9"/>
    <w:rsid w:val="00851351"/>
    <w:rsid w:val="00851885"/>
    <w:rsid w:val="00851C79"/>
    <w:rsid w:val="00852183"/>
    <w:rsid w:val="008524EC"/>
    <w:rsid w:val="00852618"/>
    <w:rsid w:val="008529C1"/>
    <w:rsid w:val="0085301F"/>
    <w:rsid w:val="008532AF"/>
    <w:rsid w:val="00853795"/>
    <w:rsid w:val="00854671"/>
    <w:rsid w:val="0085521F"/>
    <w:rsid w:val="0085554F"/>
    <w:rsid w:val="0085602D"/>
    <w:rsid w:val="00856889"/>
    <w:rsid w:val="00856AFC"/>
    <w:rsid w:val="00857607"/>
    <w:rsid w:val="00857729"/>
    <w:rsid w:val="00857C58"/>
    <w:rsid w:val="008600EF"/>
    <w:rsid w:val="00860108"/>
    <w:rsid w:val="008608C6"/>
    <w:rsid w:val="00860AC4"/>
    <w:rsid w:val="00861888"/>
    <w:rsid w:val="008620A6"/>
    <w:rsid w:val="008624F4"/>
    <w:rsid w:val="00862DD8"/>
    <w:rsid w:val="00863322"/>
    <w:rsid w:val="00863CC4"/>
    <w:rsid w:val="00863DD7"/>
    <w:rsid w:val="008642EE"/>
    <w:rsid w:val="00864383"/>
    <w:rsid w:val="008646BC"/>
    <w:rsid w:val="00865858"/>
    <w:rsid w:val="00865E39"/>
    <w:rsid w:val="00866250"/>
    <w:rsid w:val="008669F1"/>
    <w:rsid w:val="00866DBA"/>
    <w:rsid w:val="008678CB"/>
    <w:rsid w:val="00870588"/>
    <w:rsid w:val="00870B91"/>
    <w:rsid w:val="00870D61"/>
    <w:rsid w:val="00871021"/>
    <w:rsid w:val="0087135F"/>
    <w:rsid w:val="00871838"/>
    <w:rsid w:val="00871FD7"/>
    <w:rsid w:val="008723A1"/>
    <w:rsid w:val="00872911"/>
    <w:rsid w:val="00872BBA"/>
    <w:rsid w:val="00872D94"/>
    <w:rsid w:val="0087309B"/>
    <w:rsid w:val="008734C2"/>
    <w:rsid w:val="00873BDD"/>
    <w:rsid w:val="00873EFB"/>
    <w:rsid w:val="00874006"/>
    <w:rsid w:val="00874063"/>
    <w:rsid w:val="00874325"/>
    <w:rsid w:val="008749B8"/>
    <w:rsid w:val="00874B2E"/>
    <w:rsid w:val="008753B0"/>
    <w:rsid w:val="008756CA"/>
    <w:rsid w:val="00875789"/>
    <w:rsid w:val="0087599C"/>
    <w:rsid w:val="00875C0A"/>
    <w:rsid w:val="0087623A"/>
    <w:rsid w:val="00876288"/>
    <w:rsid w:val="00876B10"/>
    <w:rsid w:val="0087710A"/>
    <w:rsid w:val="008774E8"/>
    <w:rsid w:val="00877CA6"/>
    <w:rsid w:val="0088014F"/>
    <w:rsid w:val="00880364"/>
    <w:rsid w:val="008813CC"/>
    <w:rsid w:val="0088199E"/>
    <w:rsid w:val="00882241"/>
    <w:rsid w:val="00882AE9"/>
    <w:rsid w:val="00882E59"/>
    <w:rsid w:val="00882EC6"/>
    <w:rsid w:val="008831FA"/>
    <w:rsid w:val="008837D0"/>
    <w:rsid w:val="0088427E"/>
    <w:rsid w:val="00884622"/>
    <w:rsid w:val="008847BC"/>
    <w:rsid w:val="00884CF2"/>
    <w:rsid w:val="0088534D"/>
    <w:rsid w:val="00885355"/>
    <w:rsid w:val="00885899"/>
    <w:rsid w:val="00885F12"/>
    <w:rsid w:val="0088678B"/>
    <w:rsid w:val="00886BD5"/>
    <w:rsid w:val="00886CFC"/>
    <w:rsid w:val="0088775A"/>
    <w:rsid w:val="00887A79"/>
    <w:rsid w:val="00887F5D"/>
    <w:rsid w:val="008905B4"/>
    <w:rsid w:val="0089089F"/>
    <w:rsid w:val="0089115D"/>
    <w:rsid w:val="0089121D"/>
    <w:rsid w:val="0089131E"/>
    <w:rsid w:val="00891592"/>
    <w:rsid w:val="00891CAA"/>
    <w:rsid w:val="00891E9E"/>
    <w:rsid w:val="0089283D"/>
    <w:rsid w:val="008931FB"/>
    <w:rsid w:val="00893528"/>
    <w:rsid w:val="008947C8"/>
    <w:rsid w:val="00894ED2"/>
    <w:rsid w:val="00894F58"/>
    <w:rsid w:val="00895672"/>
    <w:rsid w:val="00895852"/>
    <w:rsid w:val="00895A5A"/>
    <w:rsid w:val="00895B74"/>
    <w:rsid w:val="0089691B"/>
    <w:rsid w:val="00897AC5"/>
    <w:rsid w:val="00897C47"/>
    <w:rsid w:val="00897FC3"/>
    <w:rsid w:val="008A02D8"/>
    <w:rsid w:val="008A0377"/>
    <w:rsid w:val="008A03AC"/>
    <w:rsid w:val="008A1022"/>
    <w:rsid w:val="008A14AF"/>
    <w:rsid w:val="008A173F"/>
    <w:rsid w:val="008A1746"/>
    <w:rsid w:val="008A1B65"/>
    <w:rsid w:val="008A1CC7"/>
    <w:rsid w:val="008A1D34"/>
    <w:rsid w:val="008A23C0"/>
    <w:rsid w:val="008A2A88"/>
    <w:rsid w:val="008A2B65"/>
    <w:rsid w:val="008A2D0D"/>
    <w:rsid w:val="008A2F68"/>
    <w:rsid w:val="008A2FAD"/>
    <w:rsid w:val="008A365F"/>
    <w:rsid w:val="008A415F"/>
    <w:rsid w:val="008A4DC5"/>
    <w:rsid w:val="008A4E71"/>
    <w:rsid w:val="008A5743"/>
    <w:rsid w:val="008A5D48"/>
    <w:rsid w:val="008A5FC2"/>
    <w:rsid w:val="008A62B3"/>
    <w:rsid w:val="008A6B0D"/>
    <w:rsid w:val="008A7076"/>
    <w:rsid w:val="008A7D69"/>
    <w:rsid w:val="008A7DA0"/>
    <w:rsid w:val="008A7FB9"/>
    <w:rsid w:val="008B07A5"/>
    <w:rsid w:val="008B0E2D"/>
    <w:rsid w:val="008B1469"/>
    <w:rsid w:val="008B1532"/>
    <w:rsid w:val="008B15C2"/>
    <w:rsid w:val="008B2D0F"/>
    <w:rsid w:val="008B32E8"/>
    <w:rsid w:val="008B3BF4"/>
    <w:rsid w:val="008B3F21"/>
    <w:rsid w:val="008B3F81"/>
    <w:rsid w:val="008B4FA6"/>
    <w:rsid w:val="008B5282"/>
    <w:rsid w:val="008B5B4D"/>
    <w:rsid w:val="008B5B92"/>
    <w:rsid w:val="008B6053"/>
    <w:rsid w:val="008B618D"/>
    <w:rsid w:val="008B63F0"/>
    <w:rsid w:val="008B680F"/>
    <w:rsid w:val="008B6B50"/>
    <w:rsid w:val="008B7C17"/>
    <w:rsid w:val="008B7E14"/>
    <w:rsid w:val="008B7EB6"/>
    <w:rsid w:val="008B7EDF"/>
    <w:rsid w:val="008C0014"/>
    <w:rsid w:val="008C0EA9"/>
    <w:rsid w:val="008C18CB"/>
    <w:rsid w:val="008C195F"/>
    <w:rsid w:val="008C19BE"/>
    <w:rsid w:val="008C1A9D"/>
    <w:rsid w:val="008C1FA5"/>
    <w:rsid w:val="008C2308"/>
    <w:rsid w:val="008C27BD"/>
    <w:rsid w:val="008C2BCB"/>
    <w:rsid w:val="008C2D01"/>
    <w:rsid w:val="008C31A7"/>
    <w:rsid w:val="008C3469"/>
    <w:rsid w:val="008C38C6"/>
    <w:rsid w:val="008C40E6"/>
    <w:rsid w:val="008C421A"/>
    <w:rsid w:val="008C43CA"/>
    <w:rsid w:val="008C4BB1"/>
    <w:rsid w:val="008C61E2"/>
    <w:rsid w:val="008C7BA2"/>
    <w:rsid w:val="008C7C10"/>
    <w:rsid w:val="008D0F7A"/>
    <w:rsid w:val="008D1620"/>
    <w:rsid w:val="008D1693"/>
    <w:rsid w:val="008D1F81"/>
    <w:rsid w:val="008D23D3"/>
    <w:rsid w:val="008D2685"/>
    <w:rsid w:val="008D298F"/>
    <w:rsid w:val="008D2BB9"/>
    <w:rsid w:val="008D2C4A"/>
    <w:rsid w:val="008D2F07"/>
    <w:rsid w:val="008D2F8C"/>
    <w:rsid w:val="008D367D"/>
    <w:rsid w:val="008D395C"/>
    <w:rsid w:val="008D3CE7"/>
    <w:rsid w:val="008D3DB2"/>
    <w:rsid w:val="008D4820"/>
    <w:rsid w:val="008D4DFF"/>
    <w:rsid w:val="008D4F3E"/>
    <w:rsid w:val="008D57AF"/>
    <w:rsid w:val="008D5B96"/>
    <w:rsid w:val="008D68E4"/>
    <w:rsid w:val="008D69A3"/>
    <w:rsid w:val="008D6BBC"/>
    <w:rsid w:val="008D6F0B"/>
    <w:rsid w:val="008D7143"/>
    <w:rsid w:val="008D7296"/>
    <w:rsid w:val="008D7E59"/>
    <w:rsid w:val="008E0506"/>
    <w:rsid w:val="008E058F"/>
    <w:rsid w:val="008E06B0"/>
    <w:rsid w:val="008E0CFF"/>
    <w:rsid w:val="008E0DF6"/>
    <w:rsid w:val="008E10C4"/>
    <w:rsid w:val="008E1272"/>
    <w:rsid w:val="008E19F8"/>
    <w:rsid w:val="008E1A25"/>
    <w:rsid w:val="008E1ECB"/>
    <w:rsid w:val="008E2456"/>
    <w:rsid w:val="008E289D"/>
    <w:rsid w:val="008E28D9"/>
    <w:rsid w:val="008E2B76"/>
    <w:rsid w:val="008E2BAA"/>
    <w:rsid w:val="008E3AA7"/>
    <w:rsid w:val="008E3FB1"/>
    <w:rsid w:val="008E40B5"/>
    <w:rsid w:val="008E4114"/>
    <w:rsid w:val="008E41DA"/>
    <w:rsid w:val="008E4405"/>
    <w:rsid w:val="008E4486"/>
    <w:rsid w:val="008E44FA"/>
    <w:rsid w:val="008E45A6"/>
    <w:rsid w:val="008E472B"/>
    <w:rsid w:val="008E4795"/>
    <w:rsid w:val="008E5030"/>
    <w:rsid w:val="008E54F0"/>
    <w:rsid w:val="008E5512"/>
    <w:rsid w:val="008E5D6B"/>
    <w:rsid w:val="008E64AA"/>
    <w:rsid w:val="008E64BF"/>
    <w:rsid w:val="008E6945"/>
    <w:rsid w:val="008E738A"/>
    <w:rsid w:val="008E7621"/>
    <w:rsid w:val="008E76F0"/>
    <w:rsid w:val="008F00C6"/>
    <w:rsid w:val="008F0D2D"/>
    <w:rsid w:val="008F15FE"/>
    <w:rsid w:val="008F1721"/>
    <w:rsid w:val="008F1A05"/>
    <w:rsid w:val="008F2D29"/>
    <w:rsid w:val="008F2E67"/>
    <w:rsid w:val="008F2E9C"/>
    <w:rsid w:val="008F318F"/>
    <w:rsid w:val="008F3BC3"/>
    <w:rsid w:val="008F3C51"/>
    <w:rsid w:val="008F3DD0"/>
    <w:rsid w:val="008F3E5C"/>
    <w:rsid w:val="008F4125"/>
    <w:rsid w:val="008F427C"/>
    <w:rsid w:val="008F455C"/>
    <w:rsid w:val="008F5187"/>
    <w:rsid w:val="008F60D8"/>
    <w:rsid w:val="008F6F6E"/>
    <w:rsid w:val="008F70BC"/>
    <w:rsid w:val="008F7224"/>
    <w:rsid w:val="008F7310"/>
    <w:rsid w:val="008F75F6"/>
    <w:rsid w:val="008F7AAB"/>
    <w:rsid w:val="00901228"/>
    <w:rsid w:val="00901A41"/>
    <w:rsid w:val="00901E8D"/>
    <w:rsid w:val="009020C5"/>
    <w:rsid w:val="00902727"/>
    <w:rsid w:val="0090283C"/>
    <w:rsid w:val="00902E3A"/>
    <w:rsid w:val="0090312B"/>
    <w:rsid w:val="00904476"/>
    <w:rsid w:val="00904570"/>
    <w:rsid w:val="009045FC"/>
    <w:rsid w:val="009057EC"/>
    <w:rsid w:val="00905FEB"/>
    <w:rsid w:val="00906745"/>
    <w:rsid w:val="0090752E"/>
    <w:rsid w:val="00907A8E"/>
    <w:rsid w:val="00907AA6"/>
    <w:rsid w:val="00910D96"/>
    <w:rsid w:val="00911381"/>
    <w:rsid w:val="009115F3"/>
    <w:rsid w:val="009116C7"/>
    <w:rsid w:val="0091227F"/>
    <w:rsid w:val="00912C0E"/>
    <w:rsid w:val="00912E80"/>
    <w:rsid w:val="0091338E"/>
    <w:rsid w:val="00913B3F"/>
    <w:rsid w:val="00913B6E"/>
    <w:rsid w:val="00913CD9"/>
    <w:rsid w:val="00913DCD"/>
    <w:rsid w:val="00913F80"/>
    <w:rsid w:val="00913FAA"/>
    <w:rsid w:val="00913FD7"/>
    <w:rsid w:val="0091402E"/>
    <w:rsid w:val="00914413"/>
    <w:rsid w:val="009145EA"/>
    <w:rsid w:val="0091493E"/>
    <w:rsid w:val="00914B02"/>
    <w:rsid w:val="00914D68"/>
    <w:rsid w:val="00915065"/>
    <w:rsid w:val="009155BC"/>
    <w:rsid w:val="0091591E"/>
    <w:rsid w:val="009161E4"/>
    <w:rsid w:val="00916322"/>
    <w:rsid w:val="0091736D"/>
    <w:rsid w:val="009176F0"/>
    <w:rsid w:val="00917A74"/>
    <w:rsid w:val="00917E33"/>
    <w:rsid w:val="00920186"/>
    <w:rsid w:val="009201B8"/>
    <w:rsid w:val="00920275"/>
    <w:rsid w:val="00920C8B"/>
    <w:rsid w:val="0092126F"/>
    <w:rsid w:val="009220CC"/>
    <w:rsid w:val="009223FC"/>
    <w:rsid w:val="00922C51"/>
    <w:rsid w:val="00922F1E"/>
    <w:rsid w:val="00922FCE"/>
    <w:rsid w:val="00923159"/>
    <w:rsid w:val="00923400"/>
    <w:rsid w:val="00923421"/>
    <w:rsid w:val="0092358F"/>
    <w:rsid w:val="0092390D"/>
    <w:rsid w:val="009239DA"/>
    <w:rsid w:val="00923EC8"/>
    <w:rsid w:val="00924497"/>
    <w:rsid w:val="009249FF"/>
    <w:rsid w:val="00924E37"/>
    <w:rsid w:val="00925438"/>
    <w:rsid w:val="00925670"/>
    <w:rsid w:val="009258DE"/>
    <w:rsid w:val="00925DF5"/>
    <w:rsid w:val="00927768"/>
    <w:rsid w:val="00927BF1"/>
    <w:rsid w:val="00930374"/>
    <w:rsid w:val="0093037A"/>
    <w:rsid w:val="00930393"/>
    <w:rsid w:val="009314EA"/>
    <w:rsid w:val="00931971"/>
    <w:rsid w:val="00932959"/>
    <w:rsid w:val="00932E42"/>
    <w:rsid w:val="00932FA4"/>
    <w:rsid w:val="00933236"/>
    <w:rsid w:val="0093554B"/>
    <w:rsid w:val="00935E76"/>
    <w:rsid w:val="00936509"/>
    <w:rsid w:val="009366B3"/>
    <w:rsid w:val="0093714F"/>
    <w:rsid w:val="0093779F"/>
    <w:rsid w:val="00937BE9"/>
    <w:rsid w:val="009402AE"/>
    <w:rsid w:val="009404F4"/>
    <w:rsid w:val="0094075B"/>
    <w:rsid w:val="00940825"/>
    <w:rsid w:val="00940D8A"/>
    <w:rsid w:val="00940EB3"/>
    <w:rsid w:val="009413A6"/>
    <w:rsid w:val="0094154D"/>
    <w:rsid w:val="0094199D"/>
    <w:rsid w:val="00941BB9"/>
    <w:rsid w:val="00941D41"/>
    <w:rsid w:val="00941DE3"/>
    <w:rsid w:val="00942787"/>
    <w:rsid w:val="00942C37"/>
    <w:rsid w:val="00942D23"/>
    <w:rsid w:val="0094304B"/>
    <w:rsid w:val="009439EB"/>
    <w:rsid w:val="00943AA8"/>
    <w:rsid w:val="00943C18"/>
    <w:rsid w:val="00943DE2"/>
    <w:rsid w:val="00943E27"/>
    <w:rsid w:val="00943FE4"/>
    <w:rsid w:val="00944337"/>
    <w:rsid w:val="0094442A"/>
    <w:rsid w:val="00944B54"/>
    <w:rsid w:val="00944B55"/>
    <w:rsid w:val="00944C9D"/>
    <w:rsid w:val="009451BC"/>
    <w:rsid w:val="00945B39"/>
    <w:rsid w:val="00945F97"/>
    <w:rsid w:val="0094646B"/>
    <w:rsid w:val="00946C1F"/>
    <w:rsid w:val="00947054"/>
    <w:rsid w:val="009470C0"/>
    <w:rsid w:val="009473FA"/>
    <w:rsid w:val="00947894"/>
    <w:rsid w:val="00947DC8"/>
    <w:rsid w:val="0095049E"/>
    <w:rsid w:val="0095069E"/>
    <w:rsid w:val="00950937"/>
    <w:rsid w:val="00950C26"/>
    <w:rsid w:val="00950E49"/>
    <w:rsid w:val="00951191"/>
    <w:rsid w:val="0095155F"/>
    <w:rsid w:val="00951731"/>
    <w:rsid w:val="00951849"/>
    <w:rsid w:val="00951961"/>
    <w:rsid w:val="00951B03"/>
    <w:rsid w:val="00951E20"/>
    <w:rsid w:val="00951F77"/>
    <w:rsid w:val="00952813"/>
    <w:rsid w:val="00952852"/>
    <w:rsid w:val="00952A1F"/>
    <w:rsid w:val="009535CF"/>
    <w:rsid w:val="009540A4"/>
    <w:rsid w:val="00954429"/>
    <w:rsid w:val="00954A9C"/>
    <w:rsid w:val="00955A7D"/>
    <w:rsid w:val="009563CE"/>
    <w:rsid w:val="00956DBD"/>
    <w:rsid w:val="00956EC4"/>
    <w:rsid w:val="00957258"/>
    <w:rsid w:val="00960101"/>
    <w:rsid w:val="00960352"/>
    <w:rsid w:val="00960665"/>
    <w:rsid w:val="0096124E"/>
    <w:rsid w:val="00962478"/>
    <w:rsid w:val="00962925"/>
    <w:rsid w:val="00962BD3"/>
    <w:rsid w:val="00962D82"/>
    <w:rsid w:val="00963110"/>
    <w:rsid w:val="00963208"/>
    <w:rsid w:val="00963690"/>
    <w:rsid w:val="00963C3B"/>
    <w:rsid w:val="009641BE"/>
    <w:rsid w:val="009645F0"/>
    <w:rsid w:val="00964B2C"/>
    <w:rsid w:val="00964BA8"/>
    <w:rsid w:val="009651C0"/>
    <w:rsid w:val="009651E7"/>
    <w:rsid w:val="00965465"/>
    <w:rsid w:val="00965744"/>
    <w:rsid w:val="009657F7"/>
    <w:rsid w:val="00965847"/>
    <w:rsid w:val="009663A2"/>
    <w:rsid w:val="00966C4F"/>
    <w:rsid w:val="00966E47"/>
    <w:rsid w:val="00966FA8"/>
    <w:rsid w:val="009670DD"/>
    <w:rsid w:val="00967407"/>
    <w:rsid w:val="00967450"/>
    <w:rsid w:val="009675E6"/>
    <w:rsid w:val="009705B6"/>
    <w:rsid w:val="0097102B"/>
    <w:rsid w:val="0097163B"/>
    <w:rsid w:val="00971B2F"/>
    <w:rsid w:val="00972492"/>
    <w:rsid w:val="00973030"/>
    <w:rsid w:val="009734B3"/>
    <w:rsid w:val="0097396A"/>
    <w:rsid w:val="00973BE8"/>
    <w:rsid w:val="0097460A"/>
    <w:rsid w:val="0097526C"/>
    <w:rsid w:val="009755B1"/>
    <w:rsid w:val="00976328"/>
    <w:rsid w:val="00976628"/>
    <w:rsid w:val="0097669F"/>
    <w:rsid w:val="0097680D"/>
    <w:rsid w:val="00976E04"/>
    <w:rsid w:val="00977868"/>
    <w:rsid w:val="00977B0F"/>
    <w:rsid w:val="0098004C"/>
    <w:rsid w:val="009802E5"/>
    <w:rsid w:val="009809E1"/>
    <w:rsid w:val="00980C14"/>
    <w:rsid w:val="00980C98"/>
    <w:rsid w:val="00982438"/>
    <w:rsid w:val="00982589"/>
    <w:rsid w:val="00982E44"/>
    <w:rsid w:val="00983BBF"/>
    <w:rsid w:val="00983D99"/>
    <w:rsid w:val="0098404C"/>
    <w:rsid w:val="00984373"/>
    <w:rsid w:val="0098476C"/>
    <w:rsid w:val="00984800"/>
    <w:rsid w:val="00985283"/>
    <w:rsid w:val="00985ED8"/>
    <w:rsid w:val="0098613E"/>
    <w:rsid w:val="0098691C"/>
    <w:rsid w:val="00986967"/>
    <w:rsid w:val="00986986"/>
    <w:rsid w:val="00986FD8"/>
    <w:rsid w:val="00987352"/>
    <w:rsid w:val="009875E2"/>
    <w:rsid w:val="0098767E"/>
    <w:rsid w:val="009877DC"/>
    <w:rsid w:val="009877EE"/>
    <w:rsid w:val="00987848"/>
    <w:rsid w:val="00990133"/>
    <w:rsid w:val="0099070C"/>
    <w:rsid w:val="00990E72"/>
    <w:rsid w:val="0099112A"/>
    <w:rsid w:val="009915B0"/>
    <w:rsid w:val="00991B92"/>
    <w:rsid w:val="009920C3"/>
    <w:rsid w:val="009926F3"/>
    <w:rsid w:val="00993FF4"/>
    <w:rsid w:val="00994672"/>
    <w:rsid w:val="009954C5"/>
    <w:rsid w:val="00995732"/>
    <w:rsid w:val="009957ED"/>
    <w:rsid w:val="00995992"/>
    <w:rsid w:val="00995BC6"/>
    <w:rsid w:val="0099640C"/>
    <w:rsid w:val="009965C9"/>
    <w:rsid w:val="0099715A"/>
    <w:rsid w:val="00997316"/>
    <w:rsid w:val="0099734F"/>
    <w:rsid w:val="00997AB2"/>
    <w:rsid w:val="00997BD4"/>
    <w:rsid w:val="00997C34"/>
    <w:rsid w:val="009A000B"/>
    <w:rsid w:val="009A00ED"/>
    <w:rsid w:val="009A03E5"/>
    <w:rsid w:val="009A05A4"/>
    <w:rsid w:val="009A0F3B"/>
    <w:rsid w:val="009A1988"/>
    <w:rsid w:val="009A1BB4"/>
    <w:rsid w:val="009A1BC9"/>
    <w:rsid w:val="009A20C3"/>
    <w:rsid w:val="009A2628"/>
    <w:rsid w:val="009A2DD8"/>
    <w:rsid w:val="009A3200"/>
    <w:rsid w:val="009A32A5"/>
    <w:rsid w:val="009A3693"/>
    <w:rsid w:val="009A3F1C"/>
    <w:rsid w:val="009A432C"/>
    <w:rsid w:val="009A48DE"/>
    <w:rsid w:val="009A5853"/>
    <w:rsid w:val="009A67D2"/>
    <w:rsid w:val="009A72FB"/>
    <w:rsid w:val="009A7BB8"/>
    <w:rsid w:val="009A7E33"/>
    <w:rsid w:val="009B0455"/>
    <w:rsid w:val="009B0897"/>
    <w:rsid w:val="009B2515"/>
    <w:rsid w:val="009B2573"/>
    <w:rsid w:val="009B3292"/>
    <w:rsid w:val="009B3D14"/>
    <w:rsid w:val="009B4521"/>
    <w:rsid w:val="009B519C"/>
    <w:rsid w:val="009B5428"/>
    <w:rsid w:val="009B5B06"/>
    <w:rsid w:val="009B6100"/>
    <w:rsid w:val="009B691F"/>
    <w:rsid w:val="009B714A"/>
    <w:rsid w:val="009B7B38"/>
    <w:rsid w:val="009B7BD9"/>
    <w:rsid w:val="009C05B6"/>
    <w:rsid w:val="009C0843"/>
    <w:rsid w:val="009C0FB8"/>
    <w:rsid w:val="009C11F6"/>
    <w:rsid w:val="009C13B0"/>
    <w:rsid w:val="009C1400"/>
    <w:rsid w:val="009C1E5B"/>
    <w:rsid w:val="009C23EB"/>
    <w:rsid w:val="009C2864"/>
    <w:rsid w:val="009C30FB"/>
    <w:rsid w:val="009C3145"/>
    <w:rsid w:val="009C33CC"/>
    <w:rsid w:val="009C448C"/>
    <w:rsid w:val="009C4918"/>
    <w:rsid w:val="009C4A99"/>
    <w:rsid w:val="009C6061"/>
    <w:rsid w:val="009C6367"/>
    <w:rsid w:val="009C65C8"/>
    <w:rsid w:val="009C6959"/>
    <w:rsid w:val="009C76CB"/>
    <w:rsid w:val="009C7984"/>
    <w:rsid w:val="009C7A9A"/>
    <w:rsid w:val="009C7DD5"/>
    <w:rsid w:val="009D0142"/>
    <w:rsid w:val="009D0ECD"/>
    <w:rsid w:val="009D1FF6"/>
    <w:rsid w:val="009D20F4"/>
    <w:rsid w:val="009D22B1"/>
    <w:rsid w:val="009D2783"/>
    <w:rsid w:val="009D29F0"/>
    <w:rsid w:val="009D3262"/>
    <w:rsid w:val="009D32D5"/>
    <w:rsid w:val="009D3A14"/>
    <w:rsid w:val="009D3E83"/>
    <w:rsid w:val="009D4492"/>
    <w:rsid w:val="009D46CC"/>
    <w:rsid w:val="009D4715"/>
    <w:rsid w:val="009D47C5"/>
    <w:rsid w:val="009D4C4D"/>
    <w:rsid w:val="009D4F99"/>
    <w:rsid w:val="009D52EF"/>
    <w:rsid w:val="009D59A8"/>
    <w:rsid w:val="009D5D3B"/>
    <w:rsid w:val="009D6B34"/>
    <w:rsid w:val="009D6B91"/>
    <w:rsid w:val="009D7736"/>
    <w:rsid w:val="009D7BBE"/>
    <w:rsid w:val="009E026F"/>
    <w:rsid w:val="009E02A1"/>
    <w:rsid w:val="009E09B8"/>
    <w:rsid w:val="009E105A"/>
    <w:rsid w:val="009E16A4"/>
    <w:rsid w:val="009E1B55"/>
    <w:rsid w:val="009E1C65"/>
    <w:rsid w:val="009E1CEF"/>
    <w:rsid w:val="009E227D"/>
    <w:rsid w:val="009E25B9"/>
    <w:rsid w:val="009E2B11"/>
    <w:rsid w:val="009E39B6"/>
    <w:rsid w:val="009E3E63"/>
    <w:rsid w:val="009E419D"/>
    <w:rsid w:val="009E44D5"/>
    <w:rsid w:val="009E4E22"/>
    <w:rsid w:val="009E4EA2"/>
    <w:rsid w:val="009E4FC6"/>
    <w:rsid w:val="009E5019"/>
    <w:rsid w:val="009E5292"/>
    <w:rsid w:val="009E56DD"/>
    <w:rsid w:val="009E5815"/>
    <w:rsid w:val="009E5CC9"/>
    <w:rsid w:val="009E5DCB"/>
    <w:rsid w:val="009E5EFF"/>
    <w:rsid w:val="009E603A"/>
    <w:rsid w:val="009E71EA"/>
    <w:rsid w:val="009E7A77"/>
    <w:rsid w:val="009F0195"/>
    <w:rsid w:val="009F09B3"/>
    <w:rsid w:val="009F0DC3"/>
    <w:rsid w:val="009F126E"/>
    <w:rsid w:val="009F14D9"/>
    <w:rsid w:val="009F1B4F"/>
    <w:rsid w:val="009F292C"/>
    <w:rsid w:val="009F337E"/>
    <w:rsid w:val="009F3A63"/>
    <w:rsid w:val="009F3AFD"/>
    <w:rsid w:val="009F400F"/>
    <w:rsid w:val="009F47D2"/>
    <w:rsid w:val="009F4927"/>
    <w:rsid w:val="009F4F30"/>
    <w:rsid w:val="009F5B8C"/>
    <w:rsid w:val="009F5CA1"/>
    <w:rsid w:val="009F6156"/>
    <w:rsid w:val="009F76CD"/>
    <w:rsid w:val="009F7E85"/>
    <w:rsid w:val="009F7EF5"/>
    <w:rsid w:val="00A008A9"/>
    <w:rsid w:val="00A01095"/>
    <w:rsid w:val="00A016E1"/>
    <w:rsid w:val="00A01EBB"/>
    <w:rsid w:val="00A024EA"/>
    <w:rsid w:val="00A02DE5"/>
    <w:rsid w:val="00A031D1"/>
    <w:rsid w:val="00A03A48"/>
    <w:rsid w:val="00A04199"/>
    <w:rsid w:val="00A04477"/>
    <w:rsid w:val="00A04853"/>
    <w:rsid w:val="00A04DA2"/>
    <w:rsid w:val="00A04F1B"/>
    <w:rsid w:val="00A0501B"/>
    <w:rsid w:val="00A05374"/>
    <w:rsid w:val="00A05E83"/>
    <w:rsid w:val="00A06316"/>
    <w:rsid w:val="00A064EA"/>
    <w:rsid w:val="00A0699C"/>
    <w:rsid w:val="00A0751B"/>
    <w:rsid w:val="00A07538"/>
    <w:rsid w:val="00A07DD6"/>
    <w:rsid w:val="00A1015F"/>
    <w:rsid w:val="00A1017F"/>
    <w:rsid w:val="00A1027A"/>
    <w:rsid w:val="00A10460"/>
    <w:rsid w:val="00A10903"/>
    <w:rsid w:val="00A10E4A"/>
    <w:rsid w:val="00A10F8D"/>
    <w:rsid w:val="00A11701"/>
    <w:rsid w:val="00A12596"/>
    <w:rsid w:val="00A13A34"/>
    <w:rsid w:val="00A14602"/>
    <w:rsid w:val="00A14947"/>
    <w:rsid w:val="00A158CE"/>
    <w:rsid w:val="00A16016"/>
    <w:rsid w:val="00A1604F"/>
    <w:rsid w:val="00A16311"/>
    <w:rsid w:val="00A16445"/>
    <w:rsid w:val="00A16B3F"/>
    <w:rsid w:val="00A17197"/>
    <w:rsid w:val="00A1723A"/>
    <w:rsid w:val="00A172AB"/>
    <w:rsid w:val="00A174C4"/>
    <w:rsid w:val="00A1792E"/>
    <w:rsid w:val="00A17CC2"/>
    <w:rsid w:val="00A17D36"/>
    <w:rsid w:val="00A204BD"/>
    <w:rsid w:val="00A20FC4"/>
    <w:rsid w:val="00A214D0"/>
    <w:rsid w:val="00A217AD"/>
    <w:rsid w:val="00A21A13"/>
    <w:rsid w:val="00A22AA4"/>
    <w:rsid w:val="00A23B36"/>
    <w:rsid w:val="00A23C17"/>
    <w:rsid w:val="00A23D4E"/>
    <w:rsid w:val="00A23DF6"/>
    <w:rsid w:val="00A24B1B"/>
    <w:rsid w:val="00A253F6"/>
    <w:rsid w:val="00A259F4"/>
    <w:rsid w:val="00A26A2D"/>
    <w:rsid w:val="00A26CE6"/>
    <w:rsid w:val="00A27AE6"/>
    <w:rsid w:val="00A3013C"/>
    <w:rsid w:val="00A30516"/>
    <w:rsid w:val="00A30BF7"/>
    <w:rsid w:val="00A30E89"/>
    <w:rsid w:val="00A321FF"/>
    <w:rsid w:val="00A32A83"/>
    <w:rsid w:val="00A33A80"/>
    <w:rsid w:val="00A345AA"/>
    <w:rsid w:val="00A346E5"/>
    <w:rsid w:val="00A351EE"/>
    <w:rsid w:val="00A35337"/>
    <w:rsid w:val="00A35F9F"/>
    <w:rsid w:val="00A3670A"/>
    <w:rsid w:val="00A368DB"/>
    <w:rsid w:val="00A36956"/>
    <w:rsid w:val="00A36BB5"/>
    <w:rsid w:val="00A371F6"/>
    <w:rsid w:val="00A3786A"/>
    <w:rsid w:val="00A37B7A"/>
    <w:rsid w:val="00A37DAA"/>
    <w:rsid w:val="00A40FE2"/>
    <w:rsid w:val="00A41CA2"/>
    <w:rsid w:val="00A41F53"/>
    <w:rsid w:val="00A4201A"/>
    <w:rsid w:val="00A423AA"/>
    <w:rsid w:val="00A427B3"/>
    <w:rsid w:val="00A42EAC"/>
    <w:rsid w:val="00A4372E"/>
    <w:rsid w:val="00A44268"/>
    <w:rsid w:val="00A44480"/>
    <w:rsid w:val="00A4463B"/>
    <w:rsid w:val="00A44E05"/>
    <w:rsid w:val="00A45759"/>
    <w:rsid w:val="00A4607A"/>
    <w:rsid w:val="00A4612E"/>
    <w:rsid w:val="00A4619E"/>
    <w:rsid w:val="00A4676A"/>
    <w:rsid w:val="00A46BAF"/>
    <w:rsid w:val="00A4711C"/>
    <w:rsid w:val="00A47322"/>
    <w:rsid w:val="00A473C2"/>
    <w:rsid w:val="00A47C6C"/>
    <w:rsid w:val="00A5053B"/>
    <w:rsid w:val="00A52323"/>
    <w:rsid w:val="00A52533"/>
    <w:rsid w:val="00A526C3"/>
    <w:rsid w:val="00A52D8E"/>
    <w:rsid w:val="00A53061"/>
    <w:rsid w:val="00A5370A"/>
    <w:rsid w:val="00A53C10"/>
    <w:rsid w:val="00A53EC6"/>
    <w:rsid w:val="00A543F3"/>
    <w:rsid w:val="00A54EAA"/>
    <w:rsid w:val="00A54FCD"/>
    <w:rsid w:val="00A55151"/>
    <w:rsid w:val="00A5515C"/>
    <w:rsid w:val="00A55228"/>
    <w:rsid w:val="00A55C0F"/>
    <w:rsid w:val="00A5640F"/>
    <w:rsid w:val="00A565B9"/>
    <w:rsid w:val="00A56674"/>
    <w:rsid w:val="00A56C15"/>
    <w:rsid w:val="00A57632"/>
    <w:rsid w:val="00A57738"/>
    <w:rsid w:val="00A57C5A"/>
    <w:rsid w:val="00A60698"/>
    <w:rsid w:val="00A612D1"/>
    <w:rsid w:val="00A61640"/>
    <w:rsid w:val="00A6169B"/>
    <w:rsid w:val="00A61948"/>
    <w:rsid w:val="00A61D1E"/>
    <w:rsid w:val="00A63262"/>
    <w:rsid w:val="00A6348E"/>
    <w:rsid w:val="00A6368F"/>
    <w:rsid w:val="00A63D9F"/>
    <w:rsid w:val="00A641A0"/>
    <w:rsid w:val="00A64830"/>
    <w:rsid w:val="00A648ED"/>
    <w:rsid w:val="00A64E95"/>
    <w:rsid w:val="00A64FF3"/>
    <w:rsid w:val="00A651D1"/>
    <w:rsid w:val="00A655B1"/>
    <w:rsid w:val="00A657D4"/>
    <w:rsid w:val="00A6595E"/>
    <w:rsid w:val="00A65D97"/>
    <w:rsid w:val="00A67089"/>
    <w:rsid w:val="00A671FC"/>
    <w:rsid w:val="00A67443"/>
    <w:rsid w:val="00A67AAD"/>
    <w:rsid w:val="00A67B8A"/>
    <w:rsid w:val="00A67B9B"/>
    <w:rsid w:val="00A67E3F"/>
    <w:rsid w:val="00A7032D"/>
    <w:rsid w:val="00A70362"/>
    <w:rsid w:val="00A70E8D"/>
    <w:rsid w:val="00A719EA"/>
    <w:rsid w:val="00A71BF4"/>
    <w:rsid w:val="00A72928"/>
    <w:rsid w:val="00A735D9"/>
    <w:rsid w:val="00A7497F"/>
    <w:rsid w:val="00A76319"/>
    <w:rsid w:val="00A7678B"/>
    <w:rsid w:val="00A76A56"/>
    <w:rsid w:val="00A77895"/>
    <w:rsid w:val="00A77DA1"/>
    <w:rsid w:val="00A77DA5"/>
    <w:rsid w:val="00A8002B"/>
    <w:rsid w:val="00A804CF"/>
    <w:rsid w:val="00A807E6"/>
    <w:rsid w:val="00A80877"/>
    <w:rsid w:val="00A808E1"/>
    <w:rsid w:val="00A80AE9"/>
    <w:rsid w:val="00A80E4E"/>
    <w:rsid w:val="00A822A4"/>
    <w:rsid w:val="00A826AE"/>
    <w:rsid w:val="00A82939"/>
    <w:rsid w:val="00A82BB9"/>
    <w:rsid w:val="00A82D7C"/>
    <w:rsid w:val="00A8330F"/>
    <w:rsid w:val="00A83EDB"/>
    <w:rsid w:val="00A83F80"/>
    <w:rsid w:val="00A83FFF"/>
    <w:rsid w:val="00A84644"/>
    <w:rsid w:val="00A84DB5"/>
    <w:rsid w:val="00A8526C"/>
    <w:rsid w:val="00A85594"/>
    <w:rsid w:val="00A85A5F"/>
    <w:rsid w:val="00A86516"/>
    <w:rsid w:val="00A86599"/>
    <w:rsid w:val="00A86A4D"/>
    <w:rsid w:val="00A8713F"/>
    <w:rsid w:val="00A8781E"/>
    <w:rsid w:val="00A87E4C"/>
    <w:rsid w:val="00A9047E"/>
    <w:rsid w:val="00A906CD"/>
    <w:rsid w:val="00A907DA"/>
    <w:rsid w:val="00A90A58"/>
    <w:rsid w:val="00A90BA1"/>
    <w:rsid w:val="00A91249"/>
    <w:rsid w:val="00A9218E"/>
    <w:rsid w:val="00A92A59"/>
    <w:rsid w:val="00A9324A"/>
    <w:rsid w:val="00A936F3"/>
    <w:rsid w:val="00A93E7D"/>
    <w:rsid w:val="00A9628C"/>
    <w:rsid w:val="00A962D9"/>
    <w:rsid w:val="00A96851"/>
    <w:rsid w:val="00A96F76"/>
    <w:rsid w:val="00A97612"/>
    <w:rsid w:val="00A97A9A"/>
    <w:rsid w:val="00A97E10"/>
    <w:rsid w:val="00A97E53"/>
    <w:rsid w:val="00AA024A"/>
    <w:rsid w:val="00AA0671"/>
    <w:rsid w:val="00AA068F"/>
    <w:rsid w:val="00AA0E3E"/>
    <w:rsid w:val="00AA0E65"/>
    <w:rsid w:val="00AA1613"/>
    <w:rsid w:val="00AA1A6A"/>
    <w:rsid w:val="00AA20FF"/>
    <w:rsid w:val="00AA2531"/>
    <w:rsid w:val="00AA254F"/>
    <w:rsid w:val="00AA2C4E"/>
    <w:rsid w:val="00AA2FB6"/>
    <w:rsid w:val="00AA307C"/>
    <w:rsid w:val="00AA37A2"/>
    <w:rsid w:val="00AA37E9"/>
    <w:rsid w:val="00AA3847"/>
    <w:rsid w:val="00AA464D"/>
    <w:rsid w:val="00AA4B6E"/>
    <w:rsid w:val="00AA5454"/>
    <w:rsid w:val="00AA6A69"/>
    <w:rsid w:val="00AA776E"/>
    <w:rsid w:val="00AB0376"/>
    <w:rsid w:val="00AB0732"/>
    <w:rsid w:val="00AB0D49"/>
    <w:rsid w:val="00AB1D5D"/>
    <w:rsid w:val="00AB1E09"/>
    <w:rsid w:val="00AB224D"/>
    <w:rsid w:val="00AB26C6"/>
    <w:rsid w:val="00AB2E65"/>
    <w:rsid w:val="00AB2EE4"/>
    <w:rsid w:val="00AB3234"/>
    <w:rsid w:val="00AB35C0"/>
    <w:rsid w:val="00AB375A"/>
    <w:rsid w:val="00AB3944"/>
    <w:rsid w:val="00AB4BE7"/>
    <w:rsid w:val="00AB5248"/>
    <w:rsid w:val="00AB5330"/>
    <w:rsid w:val="00AB55A3"/>
    <w:rsid w:val="00AB5C3C"/>
    <w:rsid w:val="00AB6119"/>
    <w:rsid w:val="00AB65B7"/>
    <w:rsid w:val="00AB6785"/>
    <w:rsid w:val="00AB6B9C"/>
    <w:rsid w:val="00AB70DB"/>
    <w:rsid w:val="00AB7747"/>
    <w:rsid w:val="00AB7D6A"/>
    <w:rsid w:val="00AC034E"/>
    <w:rsid w:val="00AC04AF"/>
    <w:rsid w:val="00AC088D"/>
    <w:rsid w:val="00AC0C69"/>
    <w:rsid w:val="00AC14CE"/>
    <w:rsid w:val="00AC25C2"/>
    <w:rsid w:val="00AC262F"/>
    <w:rsid w:val="00AC286C"/>
    <w:rsid w:val="00AC2A56"/>
    <w:rsid w:val="00AC2AF9"/>
    <w:rsid w:val="00AC2FEA"/>
    <w:rsid w:val="00AC40F1"/>
    <w:rsid w:val="00AC45A9"/>
    <w:rsid w:val="00AC4885"/>
    <w:rsid w:val="00AC4F42"/>
    <w:rsid w:val="00AC59B7"/>
    <w:rsid w:val="00AC7266"/>
    <w:rsid w:val="00AC74FB"/>
    <w:rsid w:val="00AC7E67"/>
    <w:rsid w:val="00AD0137"/>
    <w:rsid w:val="00AD055E"/>
    <w:rsid w:val="00AD093D"/>
    <w:rsid w:val="00AD1226"/>
    <w:rsid w:val="00AD13C2"/>
    <w:rsid w:val="00AD1CC3"/>
    <w:rsid w:val="00AD1D33"/>
    <w:rsid w:val="00AD2A57"/>
    <w:rsid w:val="00AD300D"/>
    <w:rsid w:val="00AD34F1"/>
    <w:rsid w:val="00AD3779"/>
    <w:rsid w:val="00AD3CA0"/>
    <w:rsid w:val="00AD47A7"/>
    <w:rsid w:val="00AD4E1C"/>
    <w:rsid w:val="00AD4E9E"/>
    <w:rsid w:val="00AD53F2"/>
    <w:rsid w:val="00AD5B21"/>
    <w:rsid w:val="00AD5D93"/>
    <w:rsid w:val="00AD6A82"/>
    <w:rsid w:val="00AD6AA4"/>
    <w:rsid w:val="00AD6D0F"/>
    <w:rsid w:val="00AD746E"/>
    <w:rsid w:val="00AD7B2E"/>
    <w:rsid w:val="00AE0664"/>
    <w:rsid w:val="00AE0D27"/>
    <w:rsid w:val="00AE1082"/>
    <w:rsid w:val="00AE1B20"/>
    <w:rsid w:val="00AE1EE0"/>
    <w:rsid w:val="00AE1FFE"/>
    <w:rsid w:val="00AE2303"/>
    <w:rsid w:val="00AE267F"/>
    <w:rsid w:val="00AE2DFE"/>
    <w:rsid w:val="00AE334F"/>
    <w:rsid w:val="00AE3453"/>
    <w:rsid w:val="00AE34DF"/>
    <w:rsid w:val="00AE384C"/>
    <w:rsid w:val="00AE4122"/>
    <w:rsid w:val="00AE48A1"/>
    <w:rsid w:val="00AE5777"/>
    <w:rsid w:val="00AE587D"/>
    <w:rsid w:val="00AE5DE0"/>
    <w:rsid w:val="00AE65EA"/>
    <w:rsid w:val="00AE6792"/>
    <w:rsid w:val="00AE697F"/>
    <w:rsid w:val="00AE7755"/>
    <w:rsid w:val="00AE7800"/>
    <w:rsid w:val="00AF0606"/>
    <w:rsid w:val="00AF0CBF"/>
    <w:rsid w:val="00AF0F6C"/>
    <w:rsid w:val="00AF13BF"/>
    <w:rsid w:val="00AF1B14"/>
    <w:rsid w:val="00AF1B36"/>
    <w:rsid w:val="00AF1C21"/>
    <w:rsid w:val="00AF21C5"/>
    <w:rsid w:val="00AF2219"/>
    <w:rsid w:val="00AF23DD"/>
    <w:rsid w:val="00AF257F"/>
    <w:rsid w:val="00AF29A7"/>
    <w:rsid w:val="00AF33CF"/>
    <w:rsid w:val="00AF43C8"/>
    <w:rsid w:val="00AF469D"/>
    <w:rsid w:val="00AF4910"/>
    <w:rsid w:val="00AF4D50"/>
    <w:rsid w:val="00AF4DE6"/>
    <w:rsid w:val="00AF5457"/>
    <w:rsid w:val="00AF58F3"/>
    <w:rsid w:val="00AF598A"/>
    <w:rsid w:val="00AF5B20"/>
    <w:rsid w:val="00AF5CEA"/>
    <w:rsid w:val="00AF5DB8"/>
    <w:rsid w:val="00AF6179"/>
    <w:rsid w:val="00AF7074"/>
    <w:rsid w:val="00AF746B"/>
    <w:rsid w:val="00AF7D43"/>
    <w:rsid w:val="00B00BAF"/>
    <w:rsid w:val="00B00E30"/>
    <w:rsid w:val="00B00F0D"/>
    <w:rsid w:val="00B0136E"/>
    <w:rsid w:val="00B02090"/>
    <w:rsid w:val="00B020E1"/>
    <w:rsid w:val="00B02216"/>
    <w:rsid w:val="00B025C6"/>
    <w:rsid w:val="00B02DAA"/>
    <w:rsid w:val="00B02DEA"/>
    <w:rsid w:val="00B0312C"/>
    <w:rsid w:val="00B03905"/>
    <w:rsid w:val="00B03DA4"/>
    <w:rsid w:val="00B03F3D"/>
    <w:rsid w:val="00B0445D"/>
    <w:rsid w:val="00B04F88"/>
    <w:rsid w:val="00B04FEC"/>
    <w:rsid w:val="00B0562A"/>
    <w:rsid w:val="00B05BDD"/>
    <w:rsid w:val="00B0612B"/>
    <w:rsid w:val="00B06AFE"/>
    <w:rsid w:val="00B070B1"/>
    <w:rsid w:val="00B072F0"/>
    <w:rsid w:val="00B10502"/>
    <w:rsid w:val="00B10695"/>
    <w:rsid w:val="00B10994"/>
    <w:rsid w:val="00B10BC5"/>
    <w:rsid w:val="00B10DD0"/>
    <w:rsid w:val="00B10F5D"/>
    <w:rsid w:val="00B112F9"/>
    <w:rsid w:val="00B11E0A"/>
    <w:rsid w:val="00B1231A"/>
    <w:rsid w:val="00B123F8"/>
    <w:rsid w:val="00B124E5"/>
    <w:rsid w:val="00B1294B"/>
    <w:rsid w:val="00B1295A"/>
    <w:rsid w:val="00B12B45"/>
    <w:rsid w:val="00B13164"/>
    <w:rsid w:val="00B1340E"/>
    <w:rsid w:val="00B1343C"/>
    <w:rsid w:val="00B13ECA"/>
    <w:rsid w:val="00B14154"/>
    <w:rsid w:val="00B14BE0"/>
    <w:rsid w:val="00B150C8"/>
    <w:rsid w:val="00B155A1"/>
    <w:rsid w:val="00B15727"/>
    <w:rsid w:val="00B158BF"/>
    <w:rsid w:val="00B1629C"/>
    <w:rsid w:val="00B1657B"/>
    <w:rsid w:val="00B167AD"/>
    <w:rsid w:val="00B16824"/>
    <w:rsid w:val="00B16A19"/>
    <w:rsid w:val="00B16CD6"/>
    <w:rsid w:val="00B16FD8"/>
    <w:rsid w:val="00B17384"/>
    <w:rsid w:val="00B174EE"/>
    <w:rsid w:val="00B17847"/>
    <w:rsid w:val="00B17A91"/>
    <w:rsid w:val="00B17E10"/>
    <w:rsid w:val="00B2051E"/>
    <w:rsid w:val="00B20828"/>
    <w:rsid w:val="00B20A45"/>
    <w:rsid w:val="00B20CC5"/>
    <w:rsid w:val="00B2145D"/>
    <w:rsid w:val="00B2190F"/>
    <w:rsid w:val="00B223F8"/>
    <w:rsid w:val="00B22720"/>
    <w:rsid w:val="00B22948"/>
    <w:rsid w:val="00B22C4F"/>
    <w:rsid w:val="00B22C5C"/>
    <w:rsid w:val="00B23D4A"/>
    <w:rsid w:val="00B240C1"/>
    <w:rsid w:val="00B242FD"/>
    <w:rsid w:val="00B245FD"/>
    <w:rsid w:val="00B24F30"/>
    <w:rsid w:val="00B25967"/>
    <w:rsid w:val="00B25A22"/>
    <w:rsid w:val="00B271F1"/>
    <w:rsid w:val="00B27330"/>
    <w:rsid w:val="00B27E43"/>
    <w:rsid w:val="00B30719"/>
    <w:rsid w:val="00B31ABF"/>
    <w:rsid w:val="00B329F9"/>
    <w:rsid w:val="00B32E85"/>
    <w:rsid w:val="00B33385"/>
    <w:rsid w:val="00B3338E"/>
    <w:rsid w:val="00B33A15"/>
    <w:rsid w:val="00B33BE3"/>
    <w:rsid w:val="00B346C7"/>
    <w:rsid w:val="00B34A98"/>
    <w:rsid w:val="00B353A2"/>
    <w:rsid w:val="00B356A8"/>
    <w:rsid w:val="00B356D1"/>
    <w:rsid w:val="00B360EC"/>
    <w:rsid w:val="00B36B6D"/>
    <w:rsid w:val="00B36EDB"/>
    <w:rsid w:val="00B37AF6"/>
    <w:rsid w:val="00B37FD1"/>
    <w:rsid w:val="00B4012D"/>
    <w:rsid w:val="00B40CD4"/>
    <w:rsid w:val="00B40CF0"/>
    <w:rsid w:val="00B40CFF"/>
    <w:rsid w:val="00B4145A"/>
    <w:rsid w:val="00B41573"/>
    <w:rsid w:val="00B41C97"/>
    <w:rsid w:val="00B42160"/>
    <w:rsid w:val="00B425AF"/>
    <w:rsid w:val="00B42F02"/>
    <w:rsid w:val="00B42FE2"/>
    <w:rsid w:val="00B43222"/>
    <w:rsid w:val="00B4389D"/>
    <w:rsid w:val="00B444F9"/>
    <w:rsid w:val="00B4658F"/>
    <w:rsid w:val="00B467E9"/>
    <w:rsid w:val="00B470F5"/>
    <w:rsid w:val="00B4739D"/>
    <w:rsid w:val="00B475DC"/>
    <w:rsid w:val="00B50533"/>
    <w:rsid w:val="00B508DE"/>
    <w:rsid w:val="00B50A89"/>
    <w:rsid w:val="00B50CDD"/>
    <w:rsid w:val="00B5171C"/>
    <w:rsid w:val="00B51CD4"/>
    <w:rsid w:val="00B52A75"/>
    <w:rsid w:val="00B53379"/>
    <w:rsid w:val="00B538EF"/>
    <w:rsid w:val="00B53B5D"/>
    <w:rsid w:val="00B543FF"/>
    <w:rsid w:val="00B54AB7"/>
    <w:rsid w:val="00B54C5D"/>
    <w:rsid w:val="00B54FE5"/>
    <w:rsid w:val="00B550A6"/>
    <w:rsid w:val="00B5555F"/>
    <w:rsid w:val="00B5558F"/>
    <w:rsid w:val="00B55A5C"/>
    <w:rsid w:val="00B55E76"/>
    <w:rsid w:val="00B56B7E"/>
    <w:rsid w:val="00B57382"/>
    <w:rsid w:val="00B6055E"/>
    <w:rsid w:val="00B6317D"/>
    <w:rsid w:val="00B64184"/>
    <w:rsid w:val="00B6513B"/>
    <w:rsid w:val="00B65142"/>
    <w:rsid w:val="00B652E7"/>
    <w:rsid w:val="00B6552F"/>
    <w:rsid w:val="00B65934"/>
    <w:rsid w:val="00B65BE3"/>
    <w:rsid w:val="00B66061"/>
    <w:rsid w:val="00B6688D"/>
    <w:rsid w:val="00B668B2"/>
    <w:rsid w:val="00B66CBD"/>
    <w:rsid w:val="00B671D9"/>
    <w:rsid w:val="00B67792"/>
    <w:rsid w:val="00B67DB0"/>
    <w:rsid w:val="00B70836"/>
    <w:rsid w:val="00B709F9"/>
    <w:rsid w:val="00B70B31"/>
    <w:rsid w:val="00B716C3"/>
    <w:rsid w:val="00B724FF"/>
    <w:rsid w:val="00B72861"/>
    <w:rsid w:val="00B72F47"/>
    <w:rsid w:val="00B73799"/>
    <w:rsid w:val="00B73D03"/>
    <w:rsid w:val="00B74707"/>
    <w:rsid w:val="00B75108"/>
    <w:rsid w:val="00B7519D"/>
    <w:rsid w:val="00B75958"/>
    <w:rsid w:val="00B76124"/>
    <w:rsid w:val="00B762A3"/>
    <w:rsid w:val="00B76FC4"/>
    <w:rsid w:val="00B7723F"/>
    <w:rsid w:val="00B7782E"/>
    <w:rsid w:val="00B80217"/>
    <w:rsid w:val="00B80534"/>
    <w:rsid w:val="00B809F7"/>
    <w:rsid w:val="00B80C5E"/>
    <w:rsid w:val="00B82213"/>
    <w:rsid w:val="00B82608"/>
    <w:rsid w:val="00B83535"/>
    <w:rsid w:val="00B8354B"/>
    <w:rsid w:val="00B83908"/>
    <w:rsid w:val="00B8433C"/>
    <w:rsid w:val="00B84375"/>
    <w:rsid w:val="00B84704"/>
    <w:rsid w:val="00B8470A"/>
    <w:rsid w:val="00B852BB"/>
    <w:rsid w:val="00B852E3"/>
    <w:rsid w:val="00B85592"/>
    <w:rsid w:val="00B85DA6"/>
    <w:rsid w:val="00B85FB9"/>
    <w:rsid w:val="00B86398"/>
    <w:rsid w:val="00B86542"/>
    <w:rsid w:val="00B86968"/>
    <w:rsid w:val="00B87111"/>
    <w:rsid w:val="00B87491"/>
    <w:rsid w:val="00B8789D"/>
    <w:rsid w:val="00B90331"/>
    <w:rsid w:val="00B9042D"/>
    <w:rsid w:val="00B906D4"/>
    <w:rsid w:val="00B909F4"/>
    <w:rsid w:val="00B90C1C"/>
    <w:rsid w:val="00B913C9"/>
    <w:rsid w:val="00B91E9C"/>
    <w:rsid w:val="00B92128"/>
    <w:rsid w:val="00B92511"/>
    <w:rsid w:val="00B9253C"/>
    <w:rsid w:val="00B926B8"/>
    <w:rsid w:val="00B92751"/>
    <w:rsid w:val="00B928F4"/>
    <w:rsid w:val="00B92CD8"/>
    <w:rsid w:val="00B931A1"/>
    <w:rsid w:val="00B9334A"/>
    <w:rsid w:val="00B93540"/>
    <w:rsid w:val="00B9364F"/>
    <w:rsid w:val="00B94403"/>
    <w:rsid w:val="00B94F2D"/>
    <w:rsid w:val="00B94FEF"/>
    <w:rsid w:val="00B9539D"/>
    <w:rsid w:val="00B95831"/>
    <w:rsid w:val="00B95993"/>
    <w:rsid w:val="00B96724"/>
    <w:rsid w:val="00B967A0"/>
    <w:rsid w:val="00B97120"/>
    <w:rsid w:val="00B971A5"/>
    <w:rsid w:val="00B974DD"/>
    <w:rsid w:val="00B97566"/>
    <w:rsid w:val="00BA0340"/>
    <w:rsid w:val="00BA0AD6"/>
    <w:rsid w:val="00BA1798"/>
    <w:rsid w:val="00BA1EAD"/>
    <w:rsid w:val="00BA20F7"/>
    <w:rsid w:val="00BA21E7"/>
    <w:rsid w:val="00BA254C"/>
    <w:rsid w:val="00BA29E9"/>
    <w:rsid w:val="00BA2D44"/>
    <w:rsid w:val="00BA36EC"/>
    <w:rsid w:val="00BA3872"/>
    <w:rsid w:val="00BA447A"/>
    <w:rsid w:val="00BA4496"/>
    <w:rsid w:val="00BA4713"/>
    <w:rsid w:val="00BA4D4D"/>
    <w:rsid w:val="00BA4FE7"/>
    <w:rsid w:val="00BA5115"/>
    <w:rsid w:val="00BA5C5B"/>
    <w:rsid w:val="00BA6675"/>
    <w:rsid w:val="00BA6A0E"/>
    <w:rsid w:val="00BA6FB4"/>
    <w:rsid w:val="00BA7142"/>
    <w:rsid w:val="00BA7159"/>
    <w:rsid w:val="00BA7599"/>
    <w:rsid w:val="00BA7658"/>
    <w:rsid w:val="00BA7D1B"/>
    <w:rsid w:val="00BA7D91"/>
    <w:rsid w:val="00BB02B1"/>
    <w:rsid w:val="00BB19F5"/>
    <w:rsid w:val="00BB1F2C"/>
    <w:rsid w:val="00BB1FAD"/>
    <w:rsid w:val="00BB237C"/>
    <w:rsid w:val="00BB28A8"/>
    <w:rsid w:val="00BB28D1"/>
    <w:rsid w:val="00BB2956"/>
    <w:rsid w:val="00BB2FA3"/>
    <w:rsid w:val="00BB342D"/>
    <w:rsid w:val="00BB3C0F"/>
    <w:rsid w:val="00BB41A3"/>
    <w:rsid w:val="00BB4792"/>
    <w:rsid w:val="00BB5558"/>
    <w:rsid w:val="00BB5A7D"/>
    <w:rsid w:val="00BB5B25"/>
    <w:rsid w:val="00BB673F"/>
    <w:rsid w:val="00BB6955"/>
    <w:rsid w:val="00BB6991"/>
    <w:rsid w:val="00BB69AF"/>
    <w:rsid w:val="00BB69B0"/>
    <w:rsid w:val="00BB7035"/>
    <w:rsid w:val="00BB745A"/>
    <w:rsid w:val="00BB7A0D"/>
    <w:rsid w:val="00BB7D52"/>
    <w:rsid w:val="00BC037A"/>
    <w:rsid w:val="00BC1023"/>
    <w:rsid w:val="00BC10C0"/>
    <w:rsid w:val="00BC1442"/>
    <w:rsid w:val="00BC1975"/>
    <w:rsid w:val="00BC26CE"/>
    <w:rsid w:val="00BC27B1"/>
    <w:rsid w:val="00BC2B47"/>
    <w:rsid w:val="00BC30D5"/>
    <w:rsid w:val="00BC3109"/>
    <w:rsid w:val="00BC32DC"/>
    <w:rsid w:val="00BC34EE"/>
    <w:rsid w:val="00BC35B6"/>
    <w:rsid w:val="00BC3A70"/>
    <w:rsid w:val="00BC3F16"/>
    <w:rsid w:val="00BC42F6"/>
    <w:rsid w:val="00BC446E"/>
    <w:rsid w:val="00BC4690"/>
    <w:rsid w:val="00BC4CD0"/>
    <w:rsid w:val="00BC54BA"/>
    <w:rsid w:val="00BC58B1"/>
    <w:rsid w:val="00BC5A92"/>
    <w:rsid w:val="00BC5C88"/>
    <w:rsid w:val="00BC6273"/>
    <w:rsid w:val="00BC6B1D"/>
    <w:rsid w:val="00BC6BAF"/>
    <w:rsid w:val="00BC6CD1"/>
    <w:rsid w:val="00BC6DE1"/>
    <w:rsid w:val="00BC6F57"/>
    <w:rsid w:val="00BC747A"/>
    <w:rsid w:val="00BC7641"/>
    <w:rsid w:val="00BC7BDE"/>
    <w:rsid w:val="00BD0321"/>
    <w:rsid w:val="00BD0F42"/>
    <w:rsid w:val="00BD1B51"/>
    <w:rsid w:val="00BD1DA9"/>
    <w:rsid w:val="00BD1E3C"/>
    <w:rsid w:val="00BD22D9"/>
    <w:rsid w:val="00BD2C59"/>
    <w:rsid w:val="00BD302D"/>
    <w:rsid w:val="00BD3076"/>
    <w:rsid w:val="00BD34B4"/>
    <w:rsid w:val="00BD3515"/>
    <w:rsid w:val="00BD3CC8"/>
    <w:rsid w:val="00BD3D4A"/>
    <w:rsid w:val="00BD3E9C"/>
    <w:rsid w:val="00BD3FF3"/>
    <w:rsid w:val="00BD4596"/>
    <w:rsid w:val="00BD47D0"/>
    <w:rsid w:val="00BD5DED"/>
    <w:rsid w:val="00BD6F94"/>
    <w:rsid w:val="00BD795D"/>
    <w:rsid w:val="00BD79B1"/>
    <w:rsid w:val="00BD7CBE"/>
    <w:rsid w:val="00BD7E44"/>
    <w:rsid w:val="00BE0991"/>
    <w:rsid w:val="00BE1044"/>
    <w:rsid w:val="00BE13E1"/>
    <w:rsid w:val="00BE1405"/>
    <w:rsid w:val="00BE1738"/>
    <w:rsid w:val="00BE20C7"/>
    <w:rsid w:val="00BE25C2"/>
    <w:rsid w:val="00BE2C36"/>
    <w:rsid w:val="00BE300E"/>
    <w:rsid w:val="00BE312D"/>
    <w:rsid w:val="00BE3160"/>
    <w:rsid w:val="00BE31C0"/>
    <w:rsid w:val="00BE4759"/>
    <w:rsid w:val="00BE4874"/>
    <w:rsid w:val="00BE5833"/>
    <w:rsid w:val="00BE591B"/>
    <w:rsid w:val="00BE5F0D"/>
    <w:rsid w:val="00BE5F20"/>
    <w:rsid w:val="00BE5F8D"/>
    <w:rsid w:val="00BE601A"/>
    <w:rsid w:val="00BE624D"/>
    <w:rsid w:val="00BE6BFE"/>
    <w:rsid w:val="00BE6D90"/>
    <w:rsid w:val="00BE6E8B"/>
    <w:rsid w:val="00BE72C7"/>
    <w:rsid w:val="00BE7D2E"/>
    <w:rsid w:val="00BF0A17"/>
    <w:rsid w:val="00BF0E8A"/>
    <w:rsid w:val="00BF1936"/>
    <w:rsid w:val="00BF1C20"/>
    <w:rsid w:val="00BF2195"/>
    <w:rsid w:val="00BF2D9D"/>
    <w:rsid w:val="00BF2E12"/>
    <w:rsid w:val="00BF2E4D"/>
    <w:rsid w:val="00BF3AF0"/>
    <w:rsid w:val="00BF3CD1"/>
    <w:rsid w:val="00BF3E79"/>
    <w:rsid w:val="00BF3E92"/>
    <w:rsid w:val="00BF3EED"/>
    <w:rsid w:val="00BF4485"/>
    <w:rsid w:val="00BF4702"/>
    <w:rsid w:val="00BF4CA4"/>
    <w:rsid w:val="00BF4E9A"/>
    <w:rsid w:val="00BF52E9"/>
    <w:rsid w:val="00BF56D2"/>
    <w:rsid w:val="00BF5E6A"/>
    <w:rsid w:val="00BF601F"/>
    <w:rsid w:val="00BF6142"/>
    <w:rsid w:val="00BF6A0E"/>
    <w:rsid w:val="00BF7641"/>
    <w:rsid w:val="00BF775B"/>
    <w:rsid w:val="00BF7992"/>
    <w:rsid w:val="00BF7BF6"/>
    <w:rsid w:val="00C00D67"/>
    <w:rsid w:val="00C01291"/>
    <w:rsid w:val="00C018EB"/>
    <w:rsid w:val="00C01C82"/>
    <w:rsid w:val="00C021B4"/>
    <w:rsid w:val="00C03010"/>
    <w:rsid w:val="00C031E9"/>
    <w:rsid w:val="00C0383E"/>
    <w:rsid w:val="00C0479D"/>
    <w:rsid w:val="00C0482F"/>
    <w:rsid w:val="00C04E1E"/>
    <w:rsid w:val="00C0539D"/>
    <w:rsid w:val="00C0563B"/>
    <w:rsid w:val="00C06ABA"/>
    <w:rsid w:val="00C06C81"/>
    <w:rsid w:val="00C06DC7"/>
    <w:rsid w:val="00C07061"/>
    <w:rsid w:val="00C07068"/>
    <w:rsid w:val="00C07266"/>
    <w:rsid w:val="00C077C6"/>
    <w:rsid w:val="00C07A96"/>
    <w:rsid w:val="00C102CB"/>
    <w:rsid w:val="00C10578"/>
    <w:rsid w:val="00C10718"/>
    <w:rsid w:val="00C10EC0"/>
    <w:rsid w:val="00C111F5"/>
    <w:rsid w:val="00C11519"/>
    <w:rsid w:val="00C12215"/>
    <w:rsid w:val="00C12245"/>
    <w:rsid w:val="00C122C5"/>
    <w:rsid w:val="00C1286A"/>
    <w:rsid w:val="00C135BC"/>
    <w:rsid w:val="00C139D3"/>
    <w:rsid w:val="00C14977"/>
    <w:rsid w:val="00C14C8B"/>
    <w:rsid w:val="00C14F85"/>
    <w:rsid w:val="00C15226"/>
    <w:rsid w:val="00C15366"/>
    <w:rsid w:val="00C15421"/>
    <w:rsid w:val="00C15503"/>
    <w:rsid w:val="00C15C95"/>
    <w:rsid w:val="00C16770"/>
    <w:rsid w:val="00C167C8"/>
    <w:rsid w:val="00C16EC3"/>
    <w:rsid w:val="00C16EF5"/>
    <w:rsid w:val="00C17134"/>
    <w:rsid w:val="00C17312"/>
    <w:rsid w:val="00C1741E"/>
    <w:rsid w:val="00C176BB"/>
    <w:rsid w:val="00C17839"/>
    <w:rsid w:val="00C1785A"/>
    <w:rsid w:val="00C17A49"/>
    <w:rsid w:val="00C2009E"/>
    <w:rsid w:val="00C202AD"/>
    <w:rsid w:val="00C216AD"/>
    <w:rsid w:val="00C216E0"/>
    <w:rsid w:val="00C21944"/>
    <w:rsid w:val="00C21AB8"/>
    <w:rsid w:val="00C21DF5"/>
    <w:rsid w:val="00C22444"/>
    <w:rsid w:val="00C23146"/>
    <w:rsid w:val="00C23BDD"/>
    <w:rsid w:val="00C23C97"/>
    <w:rsid w:val="00C23E9F"/>
    <w:rsid w:val="00C24468"/>
    <w:rsid w:val="00C24612"/>
    <w:rsid w:val="00C24924"/>
    <w:rsid w:val="00C2499C"/>
    <w:rsid w:val="00C24A63"/>
    <w:rsid w:val="00C2581B"/>
    <w:rsid w:val="00C2596A"/>
    <w:rsid w:val="00C25D29"/>
    <w:rsid w:val="00C269E0"/>
    <w:rsid w:val="00C26D77"/>
    <w:rsid w:val="00C26DDE"/>
    <w:rsid w:val="00C26FFB"/>
    <w:rsid w:val="00C2708A"/>
    <w:rsid w:val="00C27537"/>
    <w:rsid w:val="00C279D6"/>
    <w:rsid w:val="00C27BC2"/>
    <w:rsid w:val="00C30441"/>
    <w:rsid w:val="00C323FE"/>
    <w:rsid w:val="00C32544"/>
    <w:rsid w:val="00C328FE"/>
    <w:rsid w:val="00C32B61"/>
    <w:rsid w:val="00C33507"/>
    <w:rsid w:val="00C33735"/>
    <w:rsid w:val="00C3391C"/>
    <w:rsid w:val="00C33E7F"/>
    <w:rsid w:val="00C33F11"/>
    <w:rsid w:val="00C33FE3"/>
    <w:rsid w:val="00C3433C"/>
    <w:rsid w:val="00C3473E"/>
    <w:rsid w:val="00C34BCB"/>
    <w:rsid w:val="00C3584C"/>
    <w:rsid w:val="00C35CB9"/>
    <w:rsid w:val="00C3614C"/>
    <w:rsid w:val="00C36DB7"/>
    <w:rsid w:val="00C37116"/>
    <w:rsid w:val="00C371DF"/>
    <w:rsid w:val="00C37EAD"/>
    <w:rsid w:val="00C4052C"/>
    <w:rsid w:val="00C410BC"/>
    <w:rsid w:val="00C427E7"/>
    <w:rsid w:val="00C430D4"/>
    <w:rsid w:val="00C436AB"/>
    <w:rsid w:val="00C43E0C"/>
    <w:rsid w:val="00C44000"/>
    <w:rsid w:val="00C4401A"/>
    <w:rsid w:val="00C4409D"/>
    <w:rsid w:val="00C442AF"/>
    <w:rsid w:val="00C44820"/>
    <w:rsid w:val="00C44C23"/>
    <w:rsid w:val="00C44E72"/>
    <w:rsid w:val="00C459E6"/>
    <w:rsid w:val="00C45A06"/>
    <w:rsid w:val="00C45B83"/>
    <w:rsid w:val="00C462BF"/>
    <w:rsid w:val="00C47429"/>
    <w:rsid w:val="00C47517"/>
    <w:rsid w:val="00C475AD"/>
    <w:rsid w:val="00C47989"/>
    <w:rsid w:val="00C47D9E"/>
    <w:rsid w:val="00C47E5B"/>
    <w:rsid w:val="00C513B2"/>
    <w:rsid w:val="00C514EE"/>
    <w:rsid w:val="00C51714"/>
    <w:rsid w:val="00C51733"/>
    <w:rsid w:val="00C52247"/>
    <w:rsid w:val="00C52502"/>
    <w:rsid w:val="00C525D9"/>
    <w:rsid w:val="00C5268E"/>
    <w:rsid w:val="00C52865"/>
    <w:rsid w:val="00C53278"/>
    <w:rsid w:val="00C5472A"/>
    <w:rsid w:val="00C54EB7"/>
    <w:rsid w:val="00C5529B"/>
    <w:rsid w:val="00C553C7"/>
    <w:rsid w:val="00C55986"/>
    <w:rsid w:val="00C56841"/>
    <w:rsid w:val="00C56CD4"/>
    <w:rsid w:val="00C571C0"/>
    <w:rsid w:val="00C573F0"/>
    <w:rsid w:val="00C576C1"/>
    <w:rsid w:val="00C578B3"/>
    <w:rsid w:val="00C605C6"/>
    <w:rsid w:val="00C606F8"/>
    <w:rsid w:val="00C60F93"/>
    <w:rsid w:val="00C6125D"/>
    <w:rsid w:val="00C6127C"/>
    <w:rsid w:val="00C61654"/>
    <w:rsid w:val="00C616BC"/>
    <w:rsid w:val="00C61E4B"/>
    <w:rsid w:val="00C63772"/>
    <w:rsid w:val="00C63912"/>
    <w:rsid w:val="00C63AE6"/>
    <w:rsid w:val="00C640C2"/>
    <w:rsid w:val="00C6422F"/>
    <w:rsid w:val="00C64BFF"/>
    <w:rsid w:val="00C64DCA"/>
    <w:rsid w:val="00C65481"/>
    <w:rsid w:val="00C65B4A"/>
    <w:rsid w:val="00C66199"/>
    <w:rsid w:val="00C6710F"/>
    <w:rsid w:val="00C6746C"/>
    <w:rsid w:val="00C67C21"/>
    <w:rsid w:val="00C67F67"/>
    <w:rsid w:val="00C700E5"/>
    <w:rsid w:val="00C704E9"/>
    <w:rsid w:val="00C705D8"/>
    <w:rsid w:val="00C708BD"/>
    <w:rsid w:val="00C71048"/>
    <w:rsid w:val="00C711BB"/>
    <w:rsid w:val="00C71498"/>
    <w:rsid w:val="00C720A2"/>
    <w:rsid w:val="00C72FD1"/>
    <w:rsid w:val="00C73768"/>
    <w:rsid w:val="00C74215"/>
    <w:rsid w:val="00C7552D"/>
    <w:rsid w:val="00C75AD4"/>
    <w:rsid w:val="00C763C9"/>
    <w:rsid w:val="00C76802"/>
    <w:rsid w:val="00C76EFB"/>
    <w:rsid w:val="00C76FF0"/>
    <w:rsid w:val="00C7732B"/>
    <w:rsid w:val="00C7778A"/>
    <w:rsid w:val="00C77AAE"/>
    <w:rsid w:val="00C77C39"/>
    <w:rsid w:val="00C77DB7"/>
    <w:rsid w:val="00C80057"/>
    <w:rsid w:val="00C800A4"/>
    <w:rsid w:val="00C8012A"/>
    <w:rsid w:val="00C811AA"/>
    <w:rsid w:val="00C819AA"/>
    <w:rsid w:val="00C81E03"/>
    <w:rsid w:val="00C81E18"/>
    <w:rsid w:val="00C81F7C"/>
    <w:rsid w:val="00C82232"/>
    <w:rsid w:val="00C82756"/>
    <w:rsid w:val="00C82913"/>
    <w:rsid w:val="00C83251"/>
    <w:rsid w:val="00C83526"/>
    <w:rsid w:val="00C83640"/>
    <w:rsid w:val="00C8440C"/>
    <w:rsid w:val="00C847DD"/>
    <w:rsid w:val="00C851E4"/>
    <w:rsid w:val="00C85582"/>
    <w:rsid w:val="00C85C67"/>
    <w:rsid w:val="00C87164"/>
    <w:rsid w:val="00C87483"/>
    <w:rsid w:val="00C8795F"/>
    <w:rsid w:val="00C91040"/>
    <w:rsid w:val="00C91445"/>
    <w:rsid w:val="00C91528"/>
    <w:rsid w:val="00C91EE2"/>
    <w:rsid w:val="00C927FD"/>
    <w:rsid w:val="00C93A83"/>
    <w:rsid w:val="00C93AF5"/>
    <w:rsid w:val="00C93D16"/>
    <w:rsid w:val="00C93DA3"/>
    <w:rsid w:val="00C94107"/>
    <w:rsid w:val="00C949DD"/>
    <w:rsid w:val="00C9548E"/>
    <w:rsid w:val="00C95E55"/>
    <w:rsid w:val="00C960B5"/>
    <w:rsid w:val="00C9629C"/>
    <w:rsid w:val="00C966C0"/>
    <w:rsid w:val="00C96717"/>
    <w:rsid w:val="00C9675D"/>
    <w:rsid w:val="00C96C31"/>
    <w:rsid w:val="00C96EFF"/>
    <w:rsid w:val="00C972B1"/>
    <w:rsid w:val="00C972F7"/>
    <w:rsid w:val="00CA048D"/>
    <w:rsid w:val="00CA083A"/>
    <w:rsid w:val="00CA1375"/>
    <w:rsid w:val="00CA17DA"/>
    <w:rsid w:val="00CA198D"/>
    <w:rsid w:val="00CA25A6"/>
    <w:rsid w:val="00CA2814"/>
    <w:rsid w:val="00CA2CCE"/>
    <w:rsid w:val="00CA3850"/>
    <w:rsid w:val="00CA3B12"/>
    <w:rsid w:val="00CA3FCA"/>
    <w:rsid w:val="00CA4329"/>
    <w:rsid w:val="00CA438B"/>
    <w:rsid w:val="00CA43FD"/>
    <w:rsid w:val="00CA4750"/>
    <w:rsid w:val="00CA4EB9"/>
    <w:rsid w:val="00CA51B3"/>
    <w:rsid w:val="00CA544D"/>
    <w:rsid w:val="00CA5739"/>
    <w:rsid w:val="00CA573A"/>
    <w:rsid w:val="00CA5788"/>
    <w:rsid w:val="00CA5D99"/>
    <w:rsid w:val="00CA6498"/>
    <w:rsid w:val="00CA65E6"/>
    <w:rsid w:val="00CA6C5A"/>
    <w:rsid w:val="00CA6DD4"/>
    <w:rsid w:val="00CA70C4"/>
    <w:rsid w:val="00CA70D6"/>
    <w:rsid w:val="00CA7176"/>
    <w:rsid w:val="00CA72A8"/>
    <w:rsid w:val="00CA742F"/>
    <w:rsid w:val="00CA7965"/>
    <w:rsid w:val="00CA7A36"/>
    <w:rsid w:val="00CA7EF8"/>
    <w:rsid w:val="00CA7F49"/>
    <w:rsid w:val="00CB0851"/>
    <w:rsid w:val="00CB096C"/>
    <w:rsid w:val="00CB0F23"/>
    <w:rsid w:val="00CB0F4F"/>
    <w:rsid w:val="00CB1D34"/>
    <w:rsid w:val="00CB2428"/>
    <w:rsid w:val="00CB257D"/>
    <w:rsid w:val="00CB2DC0"/>
    <w:rsid w:val="00CB381C"/>
    <w:rsid w:val="00CB38D4"/>
    <w:rsid w:val="00CB3EB8"/>
    <w:rsid w:val="00CB419F"/>
    <w:rsid w:val="00CB482F"/>
    <w:rsid w:val="00CB4E2D"/>
    <w:rsid w:val="00CB5BE0"/>
    <w:rsid w:val="00CB67EC"/>
    <w:rsid w:val="00CB776A"/>
    <w:rsid w:val="00CB7AEF"/>
    <w:rsid w:val="00CC0097"/>
    <w:rsid w:val="00CC0898"/>
    <w:rsid w:val="00CC0C72"/>
    <w:rsid w:val="00CC1493"/>
    <w:rsid w:val="00CC1953"/>
    <w:rsid w:val="00CC1D58"/>
    <w:rsid w:val="00CC1F01"/>
    <w:rsid w:val="00CC218C"/>
    <w:rsid w:val="00CC2404"/>
    <w:rsid w:val="00CC349F"/>
    <w:rsid w:val="00CC3513"/>
    <w:rsid w:val="00CC3E44"/>
    <w:rsid w:val="00CC41CF"/>
    <w:rsid w:val="00CC4429"/>
    <w:rsid w:val="00CC4896"/>
    <w:rsid w:val="00CC489B"/>
    <w:rsid w:val="00CC4EA1"/>
    <w:rsid w:val="00CC4F2F"/>
    <w:rsid w:val="00CC533A"/>
    <w:rsid w:val="00CC5727"/>
    <w:rsid w:val="00CC5882"/>
    <w:rsid w:val="00CC5AB7"/>
    <w:rsid w:val="00CC6549"/>
    <w:rsid w:val="00CC6930"/>
    <w:rsid w:val="00CC6EB5"/>
    <w:rsid w:val="00CC7D0E"/>
    <w:rsid w:val="00CD0179"/>
    <w:rsid w:val="00CD0287"/>
    <w:rsid w:val="00CD0992"/>
    <w:rsid w:val="00CD09F0"/>
    <w:rsid w:val="00CD0A25"/>
    <w:rsid w:val="00CD0C31"/>
    <w:rsid w:val="00CD1362"/>
    <w:rsid w:val="00CD206B"/>
    <w:rsid w:val="00CD2238"/>
    <w:rsid w:val="00CD268A"/>
    <w:rsid w:val="00CD2A45"/>
    <w:rsid w:val="00CD2BCD"/>
    <w:rsid w:val="00CD3A4C"/>
    <w:rsid w:val="00CD3A5F"/>
    <w:rsid w:val="00CD42C8"/>
    <w:rsid w:val="00CD4B4B"/>
    <w:rsid w:val="00CD5143"/>
    <w:rsid w:val="00CD5A45"/>
    <w:rsid w:val="00CD5BDF"/>
    <w:rsid w:val="00CD5DA8"/>
    <w:rsid w:val="00CD5F36"/>
    <w:rsid w:val="00CD776A"/>
    <w:rsid w:val="00CD7C24"/>
    <w:rsid w:val="00CE01F7"/>
    <w:rsid w:val="00CE0337"/>
    <w:rsid w:val="00CE0D17"/>
    <w:rsid w:val="00CE10E9"/>
    <w:rsid w:val="00CE117C"/>
    <w:rsid w:val="00CE1B04"/>
    <w:rsid w:val="00CE1E14"/>
    <w:rsid w:val="00CE2259"/>
    <w:rsid w:val="00CE2517"/>
    <w:rsid w:val="00CE2910"/>
    <w:rsid w:val="00CE2B36"/>
    <w:rsid w:val="00CE2C41"/>
    <w:rsid w:val="00CE300C"/>
    <w:rsid w:val="00CE3E29"/>
    <w:rsid w:val="00CE3FF2"/>
    <w:rsid w:val="00CE4DB5"/>
    <w:rsid w:val="00CE4EAD"/>
    <w:rsid w:val="00CE5393"/>
    <w:rsid w:val="00CE6BD8"/>
    <w:rsid w:val="00CE6D1A"/>
    <w:rsid w:val="00CE70B7"/>
    <w:rsid w:val="00CE7DCF"/>
    <w:rsid w:val="00CF0270"/>
    <w:rsid w:val="00CF0550"/>
    <w:rsid w:val="00CF07BE"/>
    <w:rsid w:val="00CF0996"/>
    <w:rsid w:val="00CF0C90"/>
    <w:rsid w:val="00CF1D25"/>
    <w:rsid w:val="00CF207D"/>
    <w:rsid w:val="00CF269D"/>
    <w:rsid w:val="00CF29BF"/>
    <w:rsid w:val="00CF36BE"/>
    <w:rsid w:val="00CF3A26"/>
    <w:rsid w:val="00CF3E56"/>
    <w:rsid w:val="00CF3FB3"/>
    <w:rsid w:val="00CF40C5"/>
    <w:rsid w:val="00CF40FF"/>
    <w:rsid w:val="00CF42EA"/>
    <w:rsid w:val="00CF4B41"/>
    <w:rsid w:val="00CF6000"/>
    <w:rsid w:val="00CF6279"/>
    <w:rsid w:val="00CF6A90"/>
    <w:rsid w:val="00CF7C39"/>
    <w:rsid w:val="00CF7EAD"/>
    <w:rsid w:val="00D00065"/>
    <w:rsid w:val="00D00195"/>
    <w:rsid w:val="00D00337"/>
    <w:rsid w:val="00D003F3"/>
    <w:rsid w:val="00D00BB0"/>
    <w:rsid w:val="00D01035"/>
    <w:rsid w:val="00D01DA4"/>
    <w:rsid w:val="00D01E55"/>
    <w:rsid w:val="00D020F6"/>
    <w:rsid w:val="00D021C1"/>
    <w:rsid w:val="00D02A45"/>
    <w:rsid w:val="00D03097"/>
    <w:rsid w:val="00D03336"/>
    <w:rsid w:val="00D0364F"/>
    <w:rsid w:val="00D03C81"/>
    <w:rsid w:val="00D04241"/>
    <w:rsid w:val="00D046CF"/>
    <w:rsid w:val="00D0501B"/>
    <w:rsid w:val="00D06003"/>
    <w:rsid w:val="00D06710"/>
    <w:rsid w:val="00D06834"/>
    <w:rsid w:val="00D0693E"/>
    <w:rsid w:val="00D06DF0"/>
    <w:rsid w:val="00D06E72"/>
    <w:rsid w:val="00D07641"/>
    <w:rsid w:val="00D07DA3"/>
    <w:rsid w:val="00D07ECA"/>
    <w:rsid w:val="00D11059"/>
    <w:rsid w:val="00D1124C"/>
    <w:rsid w:val="00D11269"/>
    <w:rsid w:val="00D118C8"/>
    <w:rsid w:val="00D11C1F"/>
    <w:rsid w:val="00D122B5"/>
    <w:rsid w:val="00D122E1"/>
    <w:rsid w:val="00D1272D"/>
    <w:rsid w:val="00D139C3"/>
    <w:rsid w:val="00D13B1E"/>
    <w:rsid w:val="00D14952"/>
    <w:rsid w:val="00D14E96"/>
    <w:rsid w:val="00D14EDA"/>
    <w:rsid w:val="00D152A5"/>
    <w:rsid w:val="00D159EC"/>
    <w:rsid w:val="00D15CBE"/>
    <w:rsid w:val="00D15CCB"/>
    <w:rsid w:val="00D15E8B"/>
    <w:rsid w:val="00D1637E"/>
    <w:rsid w:val="00D16553"/>
    <w:rsid w:val="00D16DD3"/>
    <w:rsid w:val="00D17E5E"/>
    <w:rsid w:val="00D20933"/>
    <w:rsid w:val="00D20F37"/>
    <w:rsid w:val="00D21B07"/>
    <w:rsid w:val="00D21E90"/>
    <w:rsid w:val="00D22079"/>
    <w:rsid w:val="00D22287"/>
    <w:rsid w:val="00D223AE"/>
    <w:rsid w:val="00D22813"/>
    <w:rsid w:val="00D22ACD"/>
    <w:rsid w:val="00D238B6"/>
    <w:rsid w:val="00D23A0B"/>
    <w:rsid w:val="00D23F8D"/>
    <w:rsid w:val="00D24594"/>
    <w:rsid w:val="00D24EE8"/>
    <w:rsid w:val="00D2561D"/>
    <w:rsid w:val="00D25CC7"/>
    <w:rsid w:val="00D26460"/>
    <w:rsid w:val="00D2660D"/>
    <w:rsid w:val="00D2667B"/>
    <w:rsid w:val="00D2675A"/>
    <w:rsid w:val="00D26D84"/>
    <w:rsid w:val="00D301C0"/>
    <w:rsid w:val="00D30309"/>
    <w:rsid w:val="00D306FF"/>
    <w:rsid w:val="00D308ED"/>
    <w:rsid w:val="00D319C0"/>
    <w:rsid w:val="00D31CFC"/>
    <w:rsid w:val="00D31D08"/>
    <w:rsid w:val="00D32407"/>
    <w:rsid w:val="00D3256A"/>
    <w:rsid w:val="00D32EAA"/>
    <w:rsid w:val="00D3325F"/>
    <w:rsid w:val="00D33492"/>
    <w:rsid w:val="00D33CB0"/>
    <w:rsid w:val="00D33DC2"/>
    <w:rsid w:val="00D3432E"/>
    <w:rsid w:val="00D349D1"/>
    <w:rsid w:val="00D3501C"/>
    <w:rsid w:val="00D35175"/>
    <w:rsid w:val="00D351BB"/>
    <w:rsid w:val="00D35351"/>
    <w:rsid w:val="00D35391"/>
    <w:rsid w:val="00D35878"/>
    <w:rsid w:val="00D35AFE"/>
    <w:rsid w:val="00D36537"/>
    <w:rsid w:val="00D36D86"/>
    <w:rsid w:val="00D36F6F"/>
    <w:rsid w:val="00D402A3"/>
    <w:rsid w:val="00D414DE"/>
    <w:rsid w:val="00D41A50"/>
    <w:rsid w:val="00D420CC"/>
    <w:rsid w:val="00D42725"/>
    <w:rsid w:val="00D428AA"/>
    <w:rsid w:val="00D42AAC"/>
    <w:rsid w:val="00D42F6D"/>
    <w:rsid w:val="00D4318F"/>
    <w:rsid w:val="00D4354A"/>
    <w:rsid w:val="00D435D7"/>
    <w:rsid w:val="00D43852"/>
    <w:rsid w:val="00D43D6F"/>
    <w:rsid w:val="00D43E2D"/>
    <w:rsid w:val="00D440E3"/>
    <w:rsid w:val="00D45C17"/>
    <w:rsid w:val="00D45D67"/>
    <w:rsid w:val="00D460CD"/>
    <w:rsid w:val="00D46CB9"/>
    <w:rsid w:val="00D46D9A"/>
    <w:rsid w:val="00D47631"/>
    <w:rsid w:val="00D4767D"/>
    <w:rsid w:val="00D50082"/>
    <w:rsid w:val="00D508E9"/>
    <w:rsid w:val="00D50A34"/>
    <w:rsid w:val="00D52108"/>
    <w:rsid w:val="00D524B2"/>
    <w:rsid w:val="00D529B5"/>
    <w:rsid w:val="00D5342B"/>
    <w:rsid w:val="00D53752"/>
    <w:rsid w:val="00D53EFA"/>
    <w:rsid w:val="00D54D6D"/>
    <w:rsid w:val="00D55168"/>
    <w:rsid w:val="00D55CCB"/>
    <w:rsid w:val="00D55D9B"/>
    <w:rsid w:val="00D564AE"/>
    <w:rsid w:val="00D56728"/>
    <w:rsid w:val="00D56C8B"/>
    <w:rsid w:val="00D56E99"/>
    <w:rsid w:val="00D56F1D"/>
    <w:rsid w:val="00D56F6A"/>
    <w:rsid w:val="00D57AA5"/>
    <w:rsid w:val="00D57B16"/>
    <w:rsid w:val="00D60384"/>
    <w:rsid w:val="00D604AF"/>
    <w:rsid w:val="00D60618"/>
    <w:rsid w:val="00D61CE7"/>
    <w:rsid w:val="00D62305"/>
    <w:rsid w:val="00D62349"/>
    <w:rsid w:val="00D62A22"/>
    <w:rsid w:val="00D62E27"/>
    <w:rsid w:val="00D62E6D"/>
    <w:rsid w:val="00D62ED6"/>
    <w:rsid w:val="00D632E3"/>
    <w:rsid w:val="00D63426"/>
    <w:rsid w:val="00D639A8"/>
    <w:rsid w:val="00D63D12"/>
    <w:rsid w:val="00D642C8"/>
    <w:rsid w:val="00D6439E"/>
    <w:rsid w:val="00D64D43"/>
    <w:rsid w:val="00D6558A"/>
    <w:rsid w:val="00D65A0E"/>
    <w:rsid w:val="00D65A5B"/>
    <w:rsid w:val="00D65CC8"/>
    <w:rsid w:val="00D669BE"/>
    <w:rsid w:val="00D67726"/>
    <w:rsid w:val="00D67CE6"/>
    <w:rsid w:val="00D700E9"/>
    <w:rsid w:val="00D702C1"/>
    <w:rsid w:val="00D704D1"/>
    <w:rsid w:val="00D70A77"/>
    <w:rsid w:val="00D7155F"/>
    <w:rsid w:val="00D71A25"/>
    <w:rsid w:val="00D71B71"/>
    <w:rsid w:val="00D71E02"/>
    <w:rsid w:val="00D72273"/>
    <w:rsid w:val="00D72880"/>
    <w:rsid w:val="00D72ADF"/>
    <w:rsid w:val="00D72B26"/>
    <w:rsid w:val="00D72E22"/>
    <w:rsid w:val="00D73844"/>
    <w:rsid w:val="00D7428F"/>
    <w:rsid w:val="00D74A05"/>
    <w:rsid w:val="00D74AD0"/>
    <w:rsid w:val="00D74C47"/>
    <w:rsid w:val="00D75482"/>
    <w:rsid w:val="00D756BB"/>
    <w:rsid w:val="00D75E07"/>
    <w:rsid w:val="00D75E81"/>
    <w:rsid w:val="00D76514"/>
    <w:rsid w:val="00D76DDF"/>
    <w:rsid w:val="00D76EC0"/>
    <w:rsid w:val="00D77957"/>
    <w:rsid w:val="00D77C80"/>
    <w:rsid w:val="00D80119"/>
    <w:rsid w:val="00D8046B"/>
    <w:rsid w:val="00D80B8B"/>
    <w:rsid w:val="00D8100E"/>
    <w:rsid w:val="00D81175"/>
    <w:rsid w:val="00D81D59"/>
    <w:rsid w:val="00D823B0"/>
    <w:rsid w:val="00D82C03"/>
    <w:rsid w:val="00D833A3"/>
    <w:rsid w:val="00D8348A"/>
    <w:rsid w:val="00D83775"/>
    <w:rsid w:val="00D837C7"/>
    <w:rsid w:val="00D83A93"/>
    <w:rsid w:val="00D848CD"/>
    <w:rsid w:val="00D84C2B"/>
    <w:rsid w:val="00D8503C"/>
    <w:rsid w:val="00D850A3"/>
    <w:rsid w:val="00D856A2"/>
    <w:rsid w:val="00D86632"/>
    <w:rsid w:val="00D86C4C"/>
    <w:rsid w:val="00D86D5E"/>
    <w:rsid w:val="00D871A2"/>
    <w:rsid w:val="00D87547"/>
    <w:rsid w:val="00D875E3"/>
    <w:rsid w:val="00D876A1"/>
    <w:rsid w:val="00D87A1B"/>
    <w:rsid w:val="00D90C20"/>
    <w:rsid w:val="00D90E15"/>
    <w:rsid w:val="00D91061"/>
    <w:rsid w:val="00D91EFA"/>
    <w:rsid w:val="00D91FB5"/>
    <w:rsid w:val="00D938D0"/>
    <w:rsid w:val="00D94A7C"/>
    <w:rsid w:val="00D94B9A"/>
    <w:rsid w:val="00D94CB6"/>
    <w:rsid w:val="00D94DBF"/>
    <w:rsid w:val="00D954AA"/>
    <w:rsid w:val="00D95731"/>
    <w:rsid w:val="00D95896"/>
    <w:rsid w:val="00D958BC"/>
    <w:rsid w:val="00D95977"/>
    <w:rsid w:val="00D95C93"/>
    <w:rsid w:val="00D966DC"/>
    <w:rsid w:val="00D966E4"/>
    <w:rsid w:val="00D97412"/>
    <w:rsid w:val="00D97925"/>
    <w:rsid w:val="00D97D32"/>
    <w:rsid w:val="00D97DA5"/>
    <w:rsid w:val="00D97EB4"/>
    <w:rsid w:val="00DA112C"/>
    <w:rsid w:val="00DA1515"/>
    <w:rsid w:val="00DA197B"/>
    <w:rsid w:val="00DA1D85"/>
    <w:rsid w:val="00DA2223"/>
    <w:rsid w:val="00DA2A53"/>
    <w:rsid w:val="00DA2F34"/>
    <w:rsid w:val="00DA420F"/>
    <w:rsid w:val="00DA4283"/>
    <w:rsid w:val="00DA45B8"/>
    <w:rsid w:val="00DA48EC"/>
    <w:rsid w:val="00DA49AA"/>
    <w:rsid w:val="00DA4DD4"/>
    <w:rsid w:val="00DA541B"/>
    <w:rsid w:val="00DA57F8"/>
    <w:rsid w:val="00DA5E52"/>
    <w:rsid w:val="00DA6042"/>
    <w:rsid w:val="00DA66B7"/>
    <w:rsid w:val="00DA6D59"/>
    <w:rsid w:val="00DA74CA"/>
    <w:rsid w:val="00DB00DB"/>
    <w:rsid w:val="00DB0B7F"/>
    <w:rsid w:val="00DB14E2"/>
    <w:rsid w:val="00DB16E4"/>
    <w:rsid w:val="00DB1CBB"/>
    <w:rsid w:val="00DB23F3"/>
    <w:rsid w:val="00DB2983"/>
    <w:rsid w:val="00DB2C9B"/>
    <w:rsid w:val="00DB3148"/>
    <w:rsid w:val="00DB4119"/>
    <w:rsid w:val="00DB456C"/>
    <w:rsid w:val="00DB496A"/>
    <w:rsid w:val="00DB4C2D"/>
    <w:rsid w:val="00DB4E15"/>
    <w:rsid w:val="00DB514F"/>
    <w:rsid w:val="00DB5964"/>
    <w:rsid w:val="00DB5DDE"/>
    <w:rsid w:val="00DB6241"/>
    <w:rsid w:val="00DB6C36"/>
    <w:rsid w:val="00DB6D95"/>
    <w:rsid w:val="00DB7B47"/>
    <w:rsid w:val="00DB7D9B"/>
    <w:rsid w:val="00DC08EB"/>
    <w:rsid w:val="00DC0BE6"/>
    <w:rsid w:val="00DC1257"/>
    <w:rsid w:val="00DC17CB"/>
    <w:rsid w:val="00DC1F81"/>
    <w:rsid w:val="00DC23B9"/>
    <w:rsid w:val="00DC29B9"/>
    <w:rsid w:val="00DC2AA8"/>
    <w:rsid w:val="00DC2D4C"/>
    <w:rsid w:val="00DC3111"/>
    <w:rsid w:val="00DC3273"/>
    <w:rsid w:val="00DC3DC0"/>
    <w:rsid w:val="00DC4164"/>
    <w:rsid w:val="00DC4244"/>
    <w:rsid w:val="00DC4421"/>
    <w:rsid w:val="00DC471B"/>
    <w:rsid w:val="00DC4A60"/>
    <w:rsid w:val="00DC4A63"/>
    <w:rsid w:val="00DC4C80"/>
    <w:rsid w:val="00DC543A"/>
    <w:rsid w:val="00DC595D"/>
    <w:rsid w:val="00DC5A48"/>
    <w:rsid w:val="00DC5B2B"/>
    <w:rsid w:val="00DC5F49"/>
    <w:rsid w:val="00DC5FDE"/>
    <w:rsid w:val="00DC6CCB"/>
    <w:rsid w:val="00DC7B12"/>
    <w:rsid w:val="00DC7B78"/>
    <w:rsid w:val="00DD0968"/>
    <w:rsid w:val="00DD0996"/>
    <w:rsid w:val="00DD11F8"/>
    <w:rsid w:val="00DD120C"/>
    <w:rsid w:val="00DD13BF"/>
    <w:rsid w:val="00DD1FE9"/>
    <w:rsid w:val="00DD2700"/>
    <w:rsid w:val="00DD297E"/>
    <w:rsid w:val="00DD318D"/>
    <w:rsid w:val="00DD3338"/>
    <w:rsid w:val="00DD33D8"/>
    <w:rsid w:val="00DD4599"/>
    <w:rsid w:val="00DD4726"/>
    <w:rsid w:val="00DD59DC"/>
    <w:rsid w:val="00DD5ADC"/>
    <w:rsid w:val="00DD5BA2"/>
    <w:rsid w:val="00DD687B"/>
    <w:rsid w:val="00DD68AA"/>
    <w:rsid w:val="00DD698A"/>
    <w:rsid w:val="00DD6FC9"/>
    <w:rsid w:val="00DD75E4"/>
    <w:rsid w:val="00DD7D8A"/>
    <w:rsid w:val="00DE075B"/>
    <w:rsid w:val="00DE153C"/>
    <w:rsid w:val="00DE29A8"/>
    <w:rsid w:val="00DE3F38"/>
    <w:rsid w:val="00DE408E"/>
    <w:rsid w:val="00DE433C"/>
    <w:rsid w:val="00DE4961"/>
    <w:rsid w:val="00DE4A00"/>
    <w:rsid w:val="00DE4C5D"/>
    <w:rsid w:val="00DE530D"/>
    <w:rsid w:val="00DE5677"/>
    <w:rsid w:val="00DE6392"/>
    <w:rsid w:val="00DE63EA"/>
    <w:rsid w:val="00DE6480"/>
    <w:rsid w:val="00DE71B7"/>
    <w:rsid w:val="00DE742F"/>
    <w:rsid w:val="00DE7959"/>
    <w:rsid w:val="00DF1C5F"/>
    <w:rsid w:val="00DF2397"/>
    <w:rsid w:val="00DF26AB"/>
    <w:rsid w:val="00DF2AB9"/>
    <w:rsid w:val="00DF2E12"/>
    <w:rsid w:val="00DF339C"/>
    <w:rsid w:val="00DF3C93"/>
    <w:rsid w:val="00DF3E44"/>
    <w:rsid w:val="00DF42B1"/>
    <w:rsid w:val="00DF47BF"/>
    <w:rsid w:val="00DF5109"/>
    <w:rsid w:val="00DF514A"/>
    <w:rsid w:val="00DF591A"/>
    <w:rsid w:val="00DF6690"/>
    <w:rsid w:val="00DF6790"/>
    <w:rsid w:val="00DF6804"/>
    <w:rsid w:val="00DF6841"/>
    <w:rsid w:val="00DF68A8"/>
    <w:rsid w:val="00DF71E3"/>
    <w:rsid w:val="00DF739D"/>
    <w:rsid w:val="00DF746C"/>
    <w:rsid w:val="00DF7A90"/>
    <w:rsid w:val="00E009CD"/>
    <w:rsid w:val="00E019A4"/>
    <w:rsid w:val="00E01B59"/>
    <w:rsid w:val="00E02850"/>
    <w:rsid w:val="00E029FE"/>
    <w:rsid w:val="00E0358D"/>
    <w:rsid w:val="00E03CF6"/>
    <w:rsid w:val="00E041C4"/>
    <w:rsid w:val="00E04227"/>
    <w:rsid w:val="00E04323"/>
    <w:rsid w:val="00E04AD0"/>
    <w:rsid w:val="00E04B97"/>
    <w:rsid w:val="00E04BB1"/>
    <w:rsid w:val="00E04CD7"/>
    <w:rsid w:val="00E054B5"/>
    <w:rsid w:val="00E05913"/>
    <w:rsid w:val="00E05D72"/>
    <w:rsid w:val="00E062E9"/>
    <w:rsid w:val="00E06807"/>
    <w:rsid w:val="00E070A2"/>
    <w:rsid w:val="00E071B1"/>
    <w:rsid w:val="00E11B76"/>
    <w:rsid w:val="00E120FA"/>
    <w:rsid w:val="00E123B5"/>
    <w:rsid w:val="00E12FAF"/>
    <w:rsid w:val="00E13927"/>
    <w:rsid w:val="00E13C4E"/>
    <w:rsid w:val="00E13D8A"/>
    <w:rsid w:val="00E14031"/>
    <w:rsid w:val="00E1403F"/>
    <w:rsid w:val="00E14068"/>
    <w:rsid w:val="00E14618"/>
    <w:rsid w:val="00E14C4A"/>
    <w:rsid w:val="00E14F40"/>
    <w:rsid w:val="00E14FF1"/>
    <w:rsid w:val="00E150E0"/>
    <w:rsid w:val="00E163E9"/>
    <w:rsid w:val="00E166C9"/>
    <w:rsid w:val="00E16C6D"/>
    <w:rsid w:val="00E16D10"/>
    <w:rsid w:val="00E172A9"/>
    <w:rsid w:val="00E209B8"/>
    <w:rsid w:val="00E20C77"/>
    <w:rsid w:val="00E21D50"/>
    <w:rsid w:val="00E234C8"/>
    <w:rsid w:val="00E23ED9"/>
    <w:rsid w:val="00E23EDC"/>
    <w:rsid w:val="00E23EE2"/>
    <w:rsid w:val="00E24564"/>
    <w:rsid w:val="00E24825"/>
    <w:rsid w:val="00E24D71"/>
    <w:rsid w:val="00E24FBE"/>
    <w:rsid w:val="00E25300"/>
    <w:rsid w:val="00E2537F"/>
    <w:rsid w:val="00E25708"/>
    <w:rsid w:val="00E25849"/>
    <w:rsid w:val="00E26467"/>
    <w:rsid w:val="00E2656A"/>
    <w:rsid w:val="00E268F9"/>
    <w:rsid w:val="00E26FBB"/>
    <w:rsid w:val="00E274DC"/>
    <w:rsid w:val="00E27602"/>
    <w:rsid w:val="00E27C92"/>
    <w:rsid w:val="00E30399"/>
    <w:rsid w:val="00E30FA7"/>
    <w:rsid w:val="00E31712"/>
    <w:rsid w:val="00E3241B"/>
    <w:rsid w:val="00E3286D"/>
    <w:rsid w:val="00E32F90"/>
    <w:rsid w:val="00E33AE9"/>
    <w:rsid w:val="00E34148"/>
    <w:rsid w:val="00E3519A"/>
    <w:rsid w:val="00E35A1B"/>
    <w:rsid w:val="00E35CFA"/>
    <w:rsid w:val="00E35FB0"/>
    <w:rsid w:val="00E368BC"/>
    <w:rsid w:val="00E37459"/>
    <w:rsid w:val="00E37504"/>
    <w:rsid w:val="00E37944"/>
    <w:rsid w:val="00E37DD5"/>
    <w:rsid w:val="00E40764"/>
    <w:rsid w:val="00E40FE1"/>
    <w:rsid w:val="00E40FE4"/>
    <w:rsid w:val="00E41213"/>
    <w:rsid w:val="00E412D0"/>
    <w:rsid w:val="00E413BE"/>
    <w:rsid w:val="00E415C3"/>
    <w:rsid w:val="00E41766"/>
    <w:rsid w:val="00E418BA"/>
    <w:rsid w:val="00E41FD4"/>
    <w:rsid w:val="00E42608"/>
    <w:rsid w:val="00E42EF3"/>
    <w:rsid w:val="00E4313B"/>
    <w:rsid w:val="00E439F3"/>
    <w:rsid w:val="00E43A24"/>
    <w:rsid w:val="00E4411D"/>
    <w:rsid w:val="00E44415"/>
    <w:rsid w:val="00E44BDD"/>
    <w:rsid w:val="00E452B8"/>
    <w:rsid w:val="00E45C1F"/>
    <w:rsid w:val="00E45F59"/>
    <w:rsid w:val="00E46699"/>
    <w:rsid w:val="00E4689E"/>
    <w:rsid w:val="00E47360"/>
    <w:rsid w:val="00E479CB"/>
    <w:rsid w:val="00E47C0A"/>
    <w:rsid w:val="00E47E84"/>
    <w:rsid w:val="00E50004"/>
    <w:rsid w:val="00E503D2"/>
    <w:rsid w:val="00E50940"/>
    <w:rsid w:val="00E5120C"/>
    <w:rsid w:val="00E512C3"/>
    <w:rsid w:val="00E51C3E"/>
    <w:rsid w:val="00E51FA6"/>
    <w:rsid w:val="00E52530"/>
    <w:rsid w:val="00E52946"/>
    <w:rsid w:val="00E52F1B"/>
    <w:rsid w:val="00E53150"/>
    <w:rsid w:val="00E53178"/>
    <w:rsid w:val="00E54118"/>
    <w:rsid w:val="00E5423F"/>
    <w:rsid w:val="00E55F1B"/>
    <w:rsid w:val="00E56322"/>
    <w:rsid w:val="00E573D9"/>
    <w:rsid w:val="00E57625"/>
    <w:rsid w:val="00E57AC9"/>
    <w:rsid w:val="00E60982"/>
    <w:rsid w:val="00E60F83"/>
    <w:rsid w:val="00E615D4"/>
    <w:rsid w:val="00E6160F"/>
    <w:rsid w:val="00E62108"/>
    <w:rsid w:val="00E62352"/>
    <w:rsid w:val="00E6274A"/>
    <w:rsid w:val="00E62930"/>
    <w:rsid w:val="00E62AC8"/>
    <w:rsid w:val="00E62C62"/>
    <w:rsid w:val="00E63192"/>
    <w:rsid w:val="00E6345C"/>
    <w:rsid w:val="00E63788"/>
    <w:rsid w:val="00E639C9"/>
    <w:rsid w:val="00E64453"/>
    <w:rsid w:val="00E6453C"/>
    <w:rsid w:val="00E64CB5"/>
    <w:rsid w:val="00E654C1"/>
    <w:rsid w:val="00E65D97"/>
    <w:rsid w:val="00E666D7"/>
    <w:rsid w:val="00E66750"/>
    <w:rsid w:val="00E6679E"/>
    <w:rsid w:val="00E66882"/>
    <w:rsid w:val="00E67349"/>
    <w:rsid w:val="00E70082"/>
    <w:rsid w:val="00E70903"/>
    <w:rsid w:val="00E70D98"/>
    <w:rsid w:val="00E72A47"/>
    <w:rsid w:val="00E72A5A"/>
    <w:rsid w:val="00E72A7A"/>
    <w:rsid w:val="00E72FAF"/>
    <w:rsid w:val="00E72FE0"/>
    <w:rsid w:val="00E73354"/>
    <w:rsid w:val="00E75107"/>
    <w:rsid w:val="00E755FF"/>
    <w:rsid w:val="00E75B4B"/>
    <w:rsid w:val="00E75DAA"/>
    <w:rsid w:val="00E76112"/>
    <w:rsid w:val="00E76259"/>
    <w:rsid w:val="00E77BE5"/>
    <w:rsid w:val="00E77C45"/>
    <w:rsid w:val="00E77CBD"/>
    <w:rsid w:val="00E8016D"/>
    <w:rsid w:val="00E808AE"/>
    <w:rsid w:val="00E80AD9"/>
    <w:rsid w:val="00E80D5C"/>
    <w:rsid w:val="00E81A07"/>
    <w:rsid w:val="00E829F6"/>
    <w:rsid w:val="00E83CBB"/>
    <w:rsid w:val="00E83FE9"/>
    <w:rsid w:val="00E84084"/>
    <w:rsid w:val="00E84857"/>
    <w:rsid w:val="00E854FA"/>
    <w:rsid w:val="00E86023"/>
    <w:rsid w:val="00E860F0"/>
    <w:rsid w:val="00E861A1"/>
    <w:rsid w:val="00E86578"/>
    <w:rsid w:val="00E8697A"/>
    <w:rsid w:val="00E877F7"/>
    <w:rsid w:val="00E87FFE"/>
    <w:rsid w:val="00E902B9"/>
    <w:rsid w:val="00E90C31"/>
    <w:rsid w:val="00E90DF5"/>
    <w:rsid w:val="00E91047"/>
    <w:rsid w:val="00E913BE"/>
    <w:rsid w:val="00E91756"/>
    <w:rsid w:val="00E91E45"/>
    <w:rsid w:val="00E91FB1"/>
    <w:rsid w:val="00E91FD7"/>
    <w:rsid w:val="00E9242D"/>
    <w:rsid w:val="00E92C88"/>
    <w:rsid w:val="00E93355"/>
    <w:rsid w:val="00E93AC5"/>
    <w:rsid w:val="00E93D5C"/>
    <w:rsid w:val="00E94033"/>
    <w:rsid w:val="00E94314"/>
    <w:rsid w:val="00E94425"/>
    <w:rsid w:val="00E9472F"/>
    <w:rsid w:val="00E95040"/>
    <w:rsid w:val="00E9570B"/>
    <w:rsid w:val="00E9677C"/>
    <w:rsid w:val="00E96902"/>
    <w:rsid w:val="00E96B09"/>
    <w:rsid w:val="00E96B19"/>
    <w:rsid w:val="00E96E7A"/>
    <w:rsid w:val="00E970AB"/>
    <w:rsid w:val="00E975D5"/>
    <w:rsid w:val="00E9792B"/>
    <w:rsid w:val="00E97DEB"/>
    <w:rsid w:val="00EA0CE5"/>
    <w:rsid w:val="00EA1078"/>
    <w:rsid w:val="00EA19B2"/>
    <w:rsid w:val="00EA24D6"/>
    <w:rsid w:val="00EA2E95"/>
    <w:rsid w:val="00EA376C"/>
    <w:rsid w:val="00EA3CDA"/>
    <w:rsid w:val="00EA3DFB"/>
    <w:rsid w:val="00EA3E7A"/>
    <w:rsid w:val="00EA4938"/>
    <w:rsid w:val="00EA4A59"/>
    <w:rsid w:val="00EA4B2F"/>
    <w:rsid w:val="00EA513A"/>
    <w:rsid w:val="00EA5578"/>
    <w:rsid w:val="00EA5769"/>
    <w:rsid w:val="00EA600F"/>
    <w:rsid w:val="00EA65B8"/>
    <w:rsid w:val="00EA6EC2"/>
    <w:rsid w:val="00EA711C"/>
    <w:rsid w:val="00EA72B7"/>
    <w:rsid w:val="00EA77D7"/>
    <w:rsid w:val="00EA7C1D"/>
    <w:rsid w:val="00EA7D18"/>
    <w:rsid w:val="00EB039D"/>
    <w:rsid w:val="00EB07C3"/>
    <w:rsid w:val="00EB0A7E"/>
    <w:rsid w:val="00EB0CE2"/>
    <w:rsid w:val="00EB0E10"/>
    <w:rsid w:val="00EB26FA"/>
    <w:rsid w:val="00EB2A51"/>
    <w:rsid w:val="00EB2BCF"/>
    <w:rsid w:val="00EB3789"/>
    <w:rsid w:val="00EB3B39"/>
    <w:rsid w:val="00EB3B3D"/>
    <w:rsid w:val="00EB44ED"/>
    <w:rsid w:val="00EB4CD5"/>
    <w:rsid w:val="00EB50E8"/>
    <w:rsid w:val="00EB5255"/>
    <w:rsid w:val="00EB5302"/>
    <w:rsid w:val="00EB5570"/>
    <w:rsid w:val="00EB5755"/>
    <w:rsid w:val="00EB5C47"/>
    <w:rsid w:val="00EB5F7C"/>
    <w:rsid w:val="00EB6292"/>
    <w:rsid w:val="00EB6502"/>
    <w:rsid w:val="00EB66E6"/>
    <w:rsid w:val="00EB68C2"/>
    <w:rsid w:val="00EB73B1"/>
    <w:rsid w:val="00EB73F4"/>
    <w:rsid w:val="00EC10CC"/>
    <w:rsid w:val="00EC28DF"/>
    <w:rsid w:val="00EC2DA1"/>
    <w:rsid w:val="00EC35CA"/>
    <w:rsid w:val="00EC36FB"/>
    <w:rsid w:val="00EC3DF6"/>
    <w:rsid w:val="00EC426E"/>
    <w:rsid w:val="00EC468D"/>
    <w:rsid w:val="00EC480A"/>
    <w:rsid w:val="00EC4A37"/>
    <w:rsid w:val="00EC5177"/>
    <w:rsid w:val="00EC5FFC"/>
    <w:rsid w:val="00EC63E2"/>
    <w:rsid w:val="00EC6CEA"/>
    <w:rsid w:val="00EC7466"/>
    <w:rsid w:val="00EC7598"/>
    <w:rsid w:val="00EC7B4D"/>
    <w:rsid w:val="00ED0248"/>
    <w:rsid w:val="00ED0507"/>
    <w:rsid w:val="00ED0639"/>
    <w:rsid w:val="00ED070A"/>
    <w:rsid w:val="00ED0AA9"/>
    <w:rsid w:val="00ED0BF7"/>
    <w:rsid w:val="00ED1827"/>
    <w:rsid w:val="00ED185C"/>
    <w:rsid w:val="00ED18B1"/>
    <w:rsid w:val="00ED1917"/>
    <w:rsid w:val="00ED1A95"/>
    <w:rsid w:val="00ED21EF"/>
    <w:rsid w:val="00ED233D"/>
    <w:rsid w:val="00ED23E1"/>
    <w:rsid w:val="00ED2414"/>
    <w:rsid w:val="00ED25BC"/>
    <w:rsid w:val="00ED2D7D"/>
    <w:rsid w:val="00ED322E"/>
    <w:rsid w:val="00ED4074"/>
    <w:rsid w:val="00ED40F0"/>
    <w:rsid w:val="00ED4558"/>
    <w:rsid w:val="00ED50BE"/>
    <w:rsid w:val="00ED58F1"/>
    <w:rsid w:val="00ED5B89"/>
    <w:rsid w:val="00ED5ED2"/>
    <w:rsid w:val="00ED606F"/>
    <w:rsid w:val="00ED6827"/>
    <w:rsid w:val="00ED6977"/>
    <w:rsid w:val="00ED69D9"/>
    <w:rsid w:val="00ED6B5D"/>
    <w:rsid w:val="00ED6C48"/>
    <w:rsid w:val="00EE11D4"/>
    <w:rsid w:val="00EE1AB4"/>
    <w:rsid w:val="00EE2110"/>
    <w:rsid w:val="00EE2717"/>
    <w:rsid w:val="00EE2E8E"/>
    <w:rsid w:val="00EE30E6"/>
    <w:rsid w:val="00EE36EC"/>
    <w:rsid w:val="00EE4056"/>
    <w:rsid w:val="00EE4303"/>
    <w:rsid w:val="00EE4B59"/>
    <w:rsid w:val="00EE550D"/>
    <w:rsid w:val="00EE5E01"/>
    <w:rsid w:val="00EE618C"/>
    <w:rsid w:val="00EE6196"/>
    <w:rsid w:val="00EE62FF"/>
    <w:rsid w:val="00EE6794"/>
    <w:rsid w:val="00EE6C75"/>
    <w:rsid w:val="00EE71AE"/>
    <w:rsid w:val="00EF0057"/>
    <w:rsid w:val="00EF01F3"/>
    <w:rsid w:val="00EF01F5"/>
    <w:rsid w:val="00EF06C8"/>
    <w:rsid w:val="00EF0798"/>
    <w:rsid w:val="00EF101F"/>
    <w:rsid w:val="00EF161B"/>
    <w:rsid w:val="00EF1715"/>
    <w:rsid w:val="00EF1CD2"/>
    <w:rsid w:val="00EF2740"/>
    <w:rsid w:val="00EF2C08"/>
    <w:rsid w:val="00EF2F96"/>
    <w:rsid w:val="00EF3061"/>
    <w:rsid w:val="00EF35E5"/>
    <w:rsid w:val="00EF3AF3"/>
    <w:rsid w:val="00EF3BC0"/>
    <w:rsid w:val="00EF4755"/>
    <w:rsid w:val="00EF4AAB"/>
    <w:rsid w:val="00EF4D94"/>
    <w:rsid w:val="00EF5034"/>
    <w:rsid w:val="00EF535E"/>
    <w:rsid w:val="00EF6A61"/>
    <w:rsid w:val="00EF7135"/>
    <w:rsid w:val="00EF7497"/>
    <w:rsid w:val="00EF7CAE"/>
    <w:rsid w:val="00EF7DF9"/>
    <w:rsid w:val="00F00856"/>
    <w:rsid w:val="00F008A0"/>
    <w:rsid w:val="00F0100D"/>
    <w:rsid w:val="00F011CD"/>
    <w:rsid w:val="00F012BA"/>
    <w:rsid w:val="00F013CF"/>
    <w:rsid w:val="00F0142A"/>
    <w:rsid w:val="00F01BC7"/>
    <w:rsid w:val="00F01FDE"/>
    <w:rsid w:val="00F02741"/>
    <w:rsid w:val="00F027DB"/>
    <w:rsid w:val="00F031D6"/>
    <w:rsid w:val="00F03D1E"/>
    <w:rsid w:val="00F044CE"/>
    <w:rsid w:val="00F0493D"/>
    <w:rsid w:val="00F0498E"/>
    <w:rsid w:val="00F05146"/>
    <w:rsid w:val="00F05500"/>
    <w:rsid w:val="00F05640"/>
    <w:rsid w:val="00F05BAD"/>
    <w:rsid w:val="00F05CE5"/>
    <w:rsid w:val="00F0659D"/>
    <w:rsid w:val="00F066F3"/>
    <w:rsid w:val="00F067CB"/>
    <w:rsid w:val="00F075D6"/>
    <w:rsid w:val="00F07750"/>
    <w:rsid w:val="00F0780F"/>
    <w:rsid w:val="00F07AC1"/>
    <w:rsid w:val="00F07F47"/>
    <w:rsid w:val="00F07FE5"/>
    <w:rsid w:val="00F104D8"/>
    <w:rsid w:val="00F10FEB"/>
    <w:rsid w:val="00F11322"/>
    <w:rsid w:val="00F114F3"/>
    <w:rsid w:val="00F11673"/>
    <w:rsid w:val="00F1203F"/>
    <w:rsid w:val="00F12AAF"/>
    <w:rsid w:val="00F13414"/>
    <w:rsid w:val="00F13457"/>
    <w:rsid w:val="00F13AA8"/>
    <w:rsid w:val="00F14A60"/>
    <w:rsid w:val="00F14A7A"/>
    <w:rsid w:val="00F14B38"/>
    <w:rsid w:val="00F14DF9"/>
    <w:rsid w:val="00F15CAE"/>
    <w:rsid w:val="00F15E3D"/>
    <w:rsid w:val="00F16063"/>
    <w:rsid w:val="00F167EA"/>
    <w:rsid w:val="00F16F07"/>
    <w:rsid w:val="00F179FF"/>
    <w:rsid w:val="00F17C03"/>
    <w:rsid w:val="00F203F3"/>
    <w:rsid w:val="00F21274"/>
    <w:rsid w:val="00F223A0"/>
    <w:rsid w:val="00F22881"/>
    <w:rsid w:val="00F22985"/>
    <w:rsid w:val="00F22A0E"/>
    <w:rsid w:val="00F22ACA"/>
    <w:rsid w:val="00F246A5"/>
    <w:rsid w:val="00F249AE"/>
    <w:rsid w:val="00F2602F"/>
    <w:rsid w:val="00F26662"/>
    <w:rsid w:val="00F270C5"/>
    <w:rsid w:val="00F2784B"/>
    <w:rsid w:val="00F27D9D"/>
    <w:rsid w:val="00F31682"/>
    <w:rsid w:val="00F323FB"/>
    <w:rsid w:val="00F32E94"/>
    <w:rsid w:val="00F33195"/>
    <w:rsid w:val="00F3383E"/>
    <w:rsid w:val="00F33A23"/>
    <w:rsid w:val="00F33E50"/>
    <w:rsid w:val="00F33EE2"/>
    <w:rsid w:val="00F345B6"/>
    <w:rsid w:val="00F34727"/>
    <w:rsid w:val="00F354AC"/>
    <w:rsid w:val="00F35764"/>
    <w:rsid w:val="00F367BE"/>
    <w:rsid w:val="00F36A99"/>
    <w:rsid w:val="00F36CCF"/>
    <w:rsid w:val="00F36FF8"/>
    <w:rsid w:val="00F375C6"/>
    <w:rsid w:val="00F37F05"/>
    <w:rsid w:val="00F402AA"/>
    <w:rsid w:val="00F4040F"/>
    <w:rsid w:val="00F407E6"/>
    <w:rsid w:val="00F40B4F"/>
    <w:rsid w:val="00F41429"/>
    <w:rsid w:val="00F414E7"/>
    <w:rsid w:val="00F416AD"/>
    <w:rsid w:val="00F419DB"/>
    <w:rsid w:val="00F42AC8"/>
    <w:rsid w:val="00F42E4E"/>
    <w:rsid w:val="00F433E2"/>
    <w:rsid w:val="00F43778"/>
    <w:rsid w:val="00F4395F"/>
    <w:rsid w:val="00F43AFB"/>
    <w:rsid w:val="00F43DC7"/>
    <w:rsid w:val="00F44285"/>
    <w:rsid w:val="00F44389"/>
    <w:rsid w:val="00F44741"/>
    <w:rsid w:val="00F447A8"/>
    <w:rsid w:val="00F44DAA"/>
    <w:rsid w:val="00F45017"/>
    <w:rsid w:val="00F45488"/>
    <w:rsid w:val="00F465A7"/>
    <w:rsid w:val="00F46C10"/>
    <w:rsid w:val="00F478A4"/>
    <w:rsid w:val="00F47AA2"/>
    <w:rsid w:val="00F47B35"/>
    <w:rsid w:val="00F50576"/>
    <w:rsid w:val="00F50B7C"/>
    <w:rsid w:val="00F50E7F"/>
    <w:rsid w:val="00F51832"/>
    <w:rsid w:val="00F519B9"/>
    <w:rsid w:val="00F51ADF"/>
    <w:rsid w:val="00F51F58"/>
    <w:rsid w:val="00F52750"/>
    <w:rsid w:val="00F529E3"/>
    <w:rsid w:val="00F52A4F"/>
    <w:rsid w:val="00F5332F"/>
    <w:rsid w:val="00F53562"/>
    <w:rsid w:val="00F55035"/>
    <w:rsid w:val="00F550E6"/>
    <w:rsid w:val="00F55AA2"/>
    <w:rsid w:val="00F571A2"/>
    <w:rsid w:val="00F6069D"/>
    <w:rsid w:val="00F60C32"/>
    <w:rsid w:val="00F60F95"/>
    <w:rsid w:val="00F60FA4"/>
    <w:rsid w:val="00F624D8"/>
    <w:rsid w:val="00F626D0"/>
    <w:rsid w:val="00F629AC"/>
    <w:rsid w:val="00F637D4"/>
    <w:rsid w:val="00F63C7C"/>
    <w:rsid w:val="00F64E2F"/>
    <w:rsid w:val="00F64ECF"/>
    <w:rsid w:val="00F650FF"/>
    <w:rsid w:val="00F651B0"/>
    <w:rsid w:val="00F651B3"/>
    <w:rsid w:val="00F65BA7"/>
    <w:rsid w:val="00F65C6C"/>
    <w:rsid w:val="00F664B0"/>
    <w:rsid w:val="00F664B6"/>
    <w:rsid w:val="00F664F1"/>
    <w:rsid w:val="00F66D89"/>
    <w:rsid w:val="00F67484"/>
    <w:rsid w:val="00F674CD"/>
    <w:rsid w:val="00F674F4"/>
    <w:rsid w:val="00F676AC"/>
    <w:rsid w:val="00F67875"/>
    <w:rsid w:val="00F67890"/>
    <w:rsid w:val="00F67E27"/>
    <w:rsid w:val="00F70F54"/>
    <w:rsid w:val="00F7104C"/>
    <w:rsid w:val="00F713BF"/>
    <w:rsid w:val="00F71CA3"/>
    <w:rsid w:val="00F72621"/>
    <w:rsid w:val="00F726DA"/>
    <w:rsid w:val="00F731DD"/>
    <w:rsid w:val="00F732CF"/>
    <w:rsid w:val="00F7332F"/>
    <w:rsid w:val="00F73374"/>
    <w:rsid w:val="00F73957"/>
    <w:rsid w:val="00F73AA1"/>
    <w:rsid w:val="00F73B7A"/>
    <w:rsid w:val="00F73F7B"/>
    <w:rsid w:val="00F74345"/>
    <w:rsid w:val="00F74529"/>
    <w:rsid w:val="00F747BC"/>
    <w:rsid w:val="00F75183"/>
    <w:rsid w:val="00F7526C"/>
    <w:rsid w:val="00F752FE"/>
    <w:rsid w:val="00F75CC6"/>
    <w:rsid w:val="00F769B3"/>
    <w:rsid w:val="00F76CDA"/>
    <w:rsid w:val="00F76D73"/>
    <w:rsid w:val="00F76E75"/>
    <w:rsid w:val="00F77011"/>
    <w:rsid w:val="00F77748"/>
    <w:rsid w:val="00F7785D"/>
    <w:rsid w:val="00F80A0A"/>
    <w:rsid w:val="00F82B0A"/>
    <w:rsid w:val="00F82B19"/>
    <w:rsid w:val="00F830DF"/>
    <w:rsid w:val="00F831BF"/>
    <w:rsid w:val="00F83214"/>
    <w:rsid w:val="00F8385E"/>
    <w:rsid w:val="00F83905"/>
    <w:rsid w:val="00F8493E"/>
    <w:rsid w:val="00F84A07"/>
    <w:rsid w:val="00F84BE4"/>
    <w:rsid w:val="00F85489"/>
    <w:rsid w:val="00F85C00"/>
    <w:rsid w:val="00F85ED1"/>
    <w:rsid w:val="00F86647"/>
    <w:rsid w:val="00F86E91"/>
    <w:rsid w:val="00F86F27"/>
    <w:rsid w:val="00F87096"/>
    <w:rsid w:val="00F87EC3"/>
    <w:rsid w:val="00F90264"/>
    <w:rsid w:val="00F9034F"/>
    <w:rsid w:val="00F90E9D"/>
    <w:rsid w:val="00F917AA"/>
    <w:rsid w:val="00F91E2E"/>
    <w:rsid w:val="00F91EE9"/>
    <w:rsid w:val="00F9212D"/>
    <w:rsid w:val="00F922B1"/>
    <w:rsid w:val="00F9252B"/>
    <w:rsid w:val="00F9306D"/>
    <w:rsid w:val="00F93623"/>
    <w:rsid w:val="00F93E5C"/>
    <w:rsid w:val="00F94337"/>
    <w:rsid w:val="00F94800"/>
    <w:rsid w:val="00F94C62"/>
    <w:rsid w:val="00F94C89"/>
    <w:rsid w:val="00F94FD8"/>
    <w:rsid w:val="00F9507F"/>
    <w:rsid w:val="00F950B8"/>
    <w:rsid w:val="00F955BE"/>
    <w:rsid w:val="00F962BA"/>
    <w:rsid w:val="00F962D5"/>
    <w:rsid w:val="00F964A3"/>
    <w:rsid w:val="00F965DA"/>
    <w:rsid w:val="00F967B3"/>
    <w:rsid w:val="00F968A0"/>
    <w:rsid w:val="00F96AEF"/>
    <w:rsid w:val="00F96B5C"/>
    <w:rsid w:val="00F96DC3"/>
    <w:rsid w:val="00F96EE9"/>
    <w:rsid w:val="00FA036F"/>
    <w:rsid w:val="00FA044E"/>
    <w:rsid w:val="00FA066D"/>
    <w:rsid w:val="00FA0B2F"/>
    <w:rsid w:val="00FA1E46"/>
    <w:rsid w:val="00FA2424"/>
    <w:rsid w:val="00FA254D"/>
    <w:rsid w:val="00FA25F8"/>
    <w:rsid w:val="00FA2E9D"/>
    <w:rsid w:val="00FA3569"/>
    <w:rsid w:val="00FA37AD"/>
    <w:rsid w:val="00FA406A"/>
    <w:rsid w:val="00FA4441"/>
    <w:rsid w:val="00FA54B8"/>
    <w:rsid w:val="00FA582B"/>
    <w:rsid w:val="00FA59C4"/>
    <w:rsid w:val="00FA5C2D"/>
    <w:rsid w:val="00FA64D4"/>
    <w:rsid w:val="00FA6546"/>
    <w:rsid w:val="00FA65C4"/>
    <w:rsid w:val="00FA6692"/>
    <w:rsid w:val="00FA6959"/>
    <w:rsid w:val="00FA69A8"/>
    <w:rsid w:val="00FA6C35"/>
    <w:rsid w:val="00FA6DC0"/>
    <w:rsid w:val="00FA7E56"/>
    <w:rsid w:val="00FB04A4"/>
    <w:rsid w:val="00FB0D40"/>
    <w:rsid w:val="00FB1E18"/>
    <w:rsid w:val="00FB1E3C"/>
    <w:rsid w:val="00FB2461"/>
    <w:rsid w:val="00FB25FB"/>
    <w:rsid w:val="00FB30D0"/>
    <w:rsid w:val="00FB32B3"/>
    <w:rsid w:val="00FB343A"/>
    <w:rsid w:val="00FB42CA"/>
    <w:rsid w:val="00FB4867"/>
    <w:rsid w:val="00FB48C1"/>
    <w:rsid w:val="00FB503A"/>
    <w:rsid w:val="00FB516C"/>
    <w:rsid w:val="00FB53B7"/>
    <w:rsid w:val="00FB58F1"/>
    <w:rsid w:val="00FB5964"/>
    <w:rsid w:val="00FB63F1"/>
    <w:rsid w:val="00FB68DB"/>
    <w:rsid w:val="00FB6974"/>
    <w:rsid w:val="00FB6FDB"/>
    <w:rsid w:val="00FC0018"/>
    <w:rsid w:val="00FC04E0"/>
    <w:rsid w:val="00FC0516"/>
    <w:rsid w:val="00FC0810"/>
    <w:rsid w:val="00FC0C0D"/>
    <w:rsid w:val="00FC2029"/>
    <w:rsid w:val="00FC2D2D"/>
    <w:rsid w:val="00FC372F"/>
    <w:rsid w:val="00FC4486"/>
    <w:rsid w:val="00FC4667"/>
    <w:rsid w:val="00FC4BA3"/>
    <w:rsid w:val="00FC514E"/>
    <w:rsid w:val="00FC51EC"/>
    <w:rsid w:val="00FC5585"/>
    <w:rsid w:val="00FC575C"/>
    <w:rsid w:val="00FC5C31"/>
    <w:rsid w:val="00FC5DF3"/>
    <w:rsid w:val="00FC61CA"/>
    <w:rsid w:val="00FC6794"/>
    <w:rsid w:val="00FC6F09"/>
    <w:rsid w:val="00FC7156"/>
    <w:rsid w:val="00FC7232"/>
    <w:rsid w:val="00FC749B"/>
    <w:rsid w:val="00FC7616"/>
    <w:rsid w:val="00FC77FE"/>
    <w:rsid w:val="00FC7D41"/>
    <w:rsid w:val="00FD01C6"/>
    <w:rsid w:val="00FD0236"/>
    <w:rsid w:val="00FD0946"/>
    <w:rsid w:val="00FD0BB6"/>
    <w:rsid w:val="00FD0D5D"/>
    <w:rsid w:val="00FD1042"/>
    <w:rsid w:val="00FD1195"/>
    <w:rsid w:val="00FD1542"/>
    <w:rsid w:val="00FD18F4"/>
    <w:rsid w:val="00FD26D5"/>
    <w:rsid w:val="00FD2E09"/>
    <w:rsid w:val="00FD319B"/>
    <w:rsid w:val="00FD3348"/>
    <w:rsid w:val="00FD3972"/>
    <w:rsid w:val="00FD3C19"/>
    <w:rsid w:val="00FD470A"/>
    <w:rsid w:val="00FD470B"/>
    <w:rsid w:val="00FD4968"/>
    <w:rsid w:val="00FD5096"/>
    <w:rsid w:val="00FD54DB"/>
    <w:rsid w:val="00FD58ED"/>
    <w:rsid w:val="00FD6174"/>
    <w:rsid w:val="00FD619F"/>
    <w:rsid w:val="00FD650B"/>
    <w:rsid w:val="00FD6AD9"/>
    <w:rsid w:val="00FD6CED"/>
    <w:rsid w:val="00FD6CF4"/>
    <w:rsid w:val="00FD758E"/>
    <w:rsid w:val="00FD76D3"/>
    <w:rsid w:val="00FD77EC"/>
    <w:rsid w:val="00FD781D"/>
    <w:rsid w:val="00FD7A57"/>
    <w:rsid w:val="00FD7C3B"/>
    <w:rsid w:val="00FE032F"/>
    <w:rsid w:val="00FE1B83"/>
    <w:rsid w:val="00FE20CB"/>
    <w:rsid w:val="00FE276F"/>
    <w:rsid w:val="00FE3277"/>
    <w:rsid w:val="00FE37A0"/>
    <w:rsid w:val="00FE3E7F"/>
    <w:rsid w:val="00FE5114"/>
    <w:rsid w:val="00FE5724"/>
    <w:rsid w:val="00FE57AD"/>
    <w:rsid w:val="00FE647A"/>
    <w:rsid w:val="00FE670F"/>
    <w:rsid w:val="00FE6837"/>
    <w:rsid w:val="00FE71BC"/>
    <w:rsid w:val="00FE787D"/>
    <w:rsid w:val="00FE7CCB"/>
    <w:rsid w:val="00FE7F88"/>
    <w:rsid w:val="00FF082D"/>
    <w:rsid w:val="00FF088D"/>
    <w:rsid w:val="00FF0A24"/>
    <w:rsid w:val="00FF14FF"/>
    <w:rsid w:val="00FF1BDE"/>
    <w:rsid w:val="00FF1D38"/>
    <w:rsid w:val="00FF2281"/>
    <w:rsid w:val="00FF35B6"/>
    <w:rsid w:val="00FF3D07"/>
    <w:rsid w:val="00FF5117"/>
    <w:rsid w:val="00FF592B"/>
    <w:rsid w:val="00FF5DD1"/>
    <w:rsid w:val="00FF654F"/>
    <w:rsid w:val="00FF65AE"/>
    <w:rsid w:val="00FF6CDC"/>
    <w:rsid w:val="00FF6D39"/>
    <w:rsid w:val="00FF6E20"/>
    <w:rsid w:val="00FF7299"/>
    <w:rsid w:val="00FF73ED"/>
    <w:rsid w:val="00FF742E"/>
    <w:rsid w:val="00FF7A26"/>
    <w:rsid w:val="00FF7BDF"/>
    <w:rsid w:val="01050F22"/>
    <w:rsid w:val="01290F7E"/>
    <w:rsid w:val="014D28C9"/>
    <w:rsid w:val="015D1E09"/>
    <w:rsid w:val="018C1643"/>
    <w:rsid w:val="025F0B06"/>
    <w:rsid w:val="02697903"/>
    <w:rsid w:val="027A7417"/>
    <w:rsid w:val="02F96569"/>
    <w:rsid w:val="02F96864"/>
    <w:rsid w:val="03EA7B21"/>
    <w:rsid w:val="042C4A18"/>
    <w:rsid w:val="04561A95"/>
    <w:rsid w:val="051B23D6"/>
    <w:rsid w:val="051D4CCD"/>
    <w:rsid w:val="051E6A56"/>
    <w:rsid w:val="053517F5"/>
    <w:rsid w:val="05796405"/>
    <w:rsid w:val="05926AFC"/>
    <w:rsid w:val="05F83EAE"/>
    <w:rsid w:val="063E7D85"/>
    <w:rsid w:val="06905732"/>
    <w:rsid w:val="06BD5DFB"/>
    <w:rsid w:val="06E15F8D"/>
    <w:rsid w:val="07293586"/>
    <w:rsid w:val="07295285"/>
    <w:rsid w:val="073360BD"/>
    <w:rsid w:val="07636392"/>
    <w:rsid w:val="07770C56"/>
    <w:rsid w:val="077E37DC"/>
    <w:rsid w:val="07A64AE1"/>
    <w:rsid w:val="08A6123D"/>
    <w:rsid w:val="092217DD"/>
    <w:rsid w:val="09267C87"/>
    <w:rsid w:val="09306D58"/>
    <w:rsid w:val="093A7294"/>
    <w:rsid w:val="09BC683E"/>
    <w:rsid w:val="0A263993"/>
    <w:rsid w:val="0A2D3AC2"/>
    <w:rsid w:val="0AA755DF"/>
    <w:rsid w:val="0B120D44"/>
    <w:rsid w:val="0B795F52"/>
    <w:rsid w:val="0BB05F2E"/>
    <w:rsid w:val="0BC74986"/>
    <w:rsid w:val="0BD27BF6"/>
    <w:rsid w:val="0C3B3C7D"/>
    <w:rsid w:val="0C7758A6"/>
    <w:rsid w:val="0CAB2EAE"/>
    <w:rsid w:val="0CCE2B10"/>
    <w:rsid w:val="0D015128"/>
    <w:rsid w:val="0D621C7D"/>
    <w:rsid w:val="0D6C40D7"/>
    <w:rsid w:val="0E664FCA"/>
    <w:rsid w:val="0E73034D"/>
    <w:rsid w:val="0EB360D1"/>
    <w:rsid w:val="0EC57F43"/>
    <w:rsid w:val="0F13775A"/>
    <w:rsid w:val="0F3B0205"/>
    <w:rsid w:val="0F4911DB"/>
    <w:rsid w:val="0F5F45FE"/>
    <w:rsid w:val="0F9A112B"/>
    <w:rsid w:val="0FAC2EB1"/>
    <w:rsid w:val="0FB75ADD"/>
    <w:rsid w:val="0FB81855"/>
    <w:rsid w:val="0FBA737B"/>
    <w:rsid w:val="106D2F64"/>
    <w:rsid w:val="10B63710"/>
    <w:rsid w:val="10F10820"/>
    <w:rsid w:val="111C2F7A"/>
    <w:rsid w:val="1122167C"/>
    <w:rsid w:val="11665CA1"/>
    <w:rsid w:val="11CC15E8"/>
    <w:rsid w:val="12A80663"/>
    <w:rsid w:val="12B207DE"/>
    <w:rsid w:val="12F86B39"/>
    <w:rsid w:val="13545D39"/>
    <w:rsid w:val="13951726"/>
    <w:rsid w:val="13BD568C"/>
    <w:rsid w:val="13DA623E"/>
    <w:rsid w:val="14301CC2"/>
    <w:rsid w:val="14396509"/>
    <w:rsid w:val="14BC76F2"/>
    <w:rsid w:val="14D964F6"/>
    <w:rsid w:val="14DD2C3C"/>
    <w:rsid w:val="14DE3B0C"/>
    <w:rsid w:val="15113AF9"/>
    <w:rsid w:val="155B5FDB"/>
    <w:rsid w:val="15EA028F"/>
    <w:rsid w:val="16087E1D"/>
    <w:rsid w:val="165D083E"/>
    <w:rsid w:val="17400AAE"/>
    <w:rsid w:val="17701D14"/>
    <w:rsid w:val="17735226"/>
    <w:rsid w:val="178F7340"/>
    <w:rsid w:val="17E93364"/>
    <w:rsid w:val="18354B4A"/>
    <w:rsid w:val="183B1275"/>
    <w:rsid w:val="1890336F"/>
    <w:rsid w:val="189F624C"/>
    <w:rsid w:val="18A137CE"/>
    <w:rsid w:val="18E44A63"/>
    <w:rsid w:val="198804EA"/>
    <w:rsid w:val="19CC03D7"/>
    <w:rsid w:val="1A02029D"/>
    <w:rsid w:val="1A1C66C0"/>
    <w:rsid w:val="1A1E0154"/>
    <w:rsid w:val="1A42393B"/>
    <w:rsid w:val="1A600992"/>
    <w:rsid w:val="1AAD45DE"/>
    <w:rsid w:val="1AB33DA0"/>
    <w:rsid w:val="1AF851FC"/>
    <w:rsid w:val="1B046F80"/>
    <w:rsid w:val="1B3267B5"/>
    <w:rsid w:val="1B40161D"/>
    <w:rsid w:val="1B441859"/>
    <w:rsid w:val="1B6606B1"/>
    <w:rsid w:val="1BCF728C"/>
    <w:rsid w:val="1BD25A4D"/>
    <w:rsid w:val="1C5E7925"/>
    <w:rsid w:val="1CC25AC1"/>
    <w:rsid w:val="1CF57C45"/>
    <w:rsid w:val="1CFD070F"/>
    <w:rsid w:val="1D2B7B0B"/>
    <w:rsid w:val="1D41732E"/>
    <w:rsid w:val="1D5A03F0"/>
    <w:rsid w:val="1D5F6196"/>
    <w:rsid w:val="1D6132A5"/>
    <w:rsid w:val="1D6F5C49"/>
    <w:rsid w:val="1D8E56D5"/>
    <w:rsid w:val="1E7A43DA"/>
    <w:rsid w:val="1EE12B77"/>
    <w:rsid w:val="1F0625DD"/>
    <w:rsid w:val="1F10185B"/>
    <w:rsid w:val="1F1D7927"/>
    <w:rsid w:val="1F4934E4"/>
    <w:rsid w:val="1FE7539E"/>
    <w:rsid w:val="20174376"/>
    <w:rsid w:val="202D76F6"/>
    <w:rsid w:val="204C4020"/>
    <w:rsid w:val="20671BE0"/>
    <w:rsid w:val="20963CB8"/>
    <w:rsid w:val="20A81A1B"/>
    <w:rsid w:val="20AA7A53"/>
    <w:rsid w:val="20B07FB6"/>
    <w:rsid w:val="20B646FB"/>
    <w:rsid w:val="20BA367F"/>
    <w:rsid w:val="213B74B1"/>
    <w:rsid w:val="215A2310"/>
    <w:rsid w:val="21DE318A"/>
    <w:rsid w:val="21EF5B80"/>
    <w:rsid w:val="221B014E"/>
    <w:rsid w:val="222B5EB7"/>
    <w:rsid w:val="22484588"/>
    <w:rsid w:val="22576990"/>
    <w:rsid w:val="22813D29"/>
    <w:rsid w:val="22833F45"/>
    <w:rsid w:val="22BF5F96"/>
    <w:rsid w:val="22D36C7A"/>
    <w:rsid w:val="22F47480"/>
    <w:rsid w:val="231921B3"/>
    <w:rsid w:val="237F295E"/>
    <w:rsid w:val="23DE1C48"/>
    <w:rsid w:val="240210CD"/>
    <w:rsid w:val="241F37F9"/>
    <w:rsid w:val="24BF09F7"/>
    <w:rsid w:val="25140E84"/>
    <w:rsid w:val="252D53FE"/>
    <w:rsid w:val="25331C52"/>
    <w:rsid w:val="253634F0"/>
    <w:rsid w:val="25CE197B"/>
    <w:rsid w:val="25CE49BD"/>
    <w:rsid w:val="25D6438C"/>
    <w:rsid w:val="25EC2D81"/>
    <w:rsid w:val="26485289"/>
    <w:rsid w:val="27394226"/>
    <w:rsid w:val="277057A2"/>
    <w:rsid w:val="277B343D"/>
    <w:rsid w:val="27C14FE2"/>
    <w:rsid w:val="286D0FD7"/>
    <w:rsid w:val="28BA1D43"/>
    <w:rsid w:val="29206EB8"/>
    <w:rsid w:val="2933310F"/>
    <w:rsid w:val="29595666"/>
    <w:rsid w:val="29712D49"/>
    <w:rsid w:val="29874881"/>
    <w:rsid w:val="29A749BD"/>
    <w:rsid w:val="29E325E0"/>
    <w:rsid w:val="29F95130"/>
    <w:rsid w:val="2A452503"/>
    <w:rsid w:val="2AE5579D"/>
    <w:rsid w:val="2AED63FF"/>
    <w:rsid w:val="2B011EAB"/>
    <w:rsid w:val="2B8C6EE5"/>
    <w:rsid w:val="2B8D155F"/>
    <w:rsid w:val="2B940F71"/>
    <w:rsid w:val="2BA936A8"/>
    <w:rsid w:val="2C22657D"/>
    <w:rsid w:val="2C315A5A"/>
    <w:rsid w:val="2C4B1C25"/>
    <w:rsid w:val="2C92725E"/>
    <w:rsid w:val="2CE67188"/>
    <w:rsid w:val="2D9E56F5"/>
    <w:rsid w:val="2DAF5BEE"/>
    <w:rsid w:val="2DB11966"/>
    <w:rsid w:val="2DD71092"/>
    <w:rsid w:val="2DFB0E33"/>
    <w:rsid w:val="2E0E500A"/>
    <w:rsid w:val="2E3A779D"/>
    <w:rsid w:val="2E667F96"/>
    <w:rsid w:val="2E8226AB"/>
    <w:rsid w:val="2ED95618"/>
    <w:rsid w:val="2EFE0BDB"/>
    <w:rsid w:val="2F3A598B"/>
    <w:rsid w:val="2FD065E6"/>
    <w:rsid w:val="2FD96870"/>
    <w:rsid w:val="2FE029D7"/>
    <w:rsid w:val="304E5B92"/>
    <w:rsid w:val="30580BC9"/>
    <w:rsid w:val="30921E98"/>
    <w:rsid w:val="311E2ED7"/>
    <w:rsid w:val="31342FDA"/>
    <w:rsid w:val="315619EE"/>
    <w:rsid w:val="315947EF"/>
    <w:rsid w:val="315C449C"/>
    <w:rsid w:val="31B82709"/>
    <w:rsid w:val="31D05482"/>
    <w:rsid w:val="32195D2C"/>
    <w:rsid w:val="323B0398"/>
    <w:rsid w:val="32400B34"/>
    <w:rsid w:val="329E6876"/>
    <w:rsid w:val="32A337F4"/>
    <w:rsid w:val="32C24615"/>
    <w:rsid w:val="32EC3440"/>
    <w:rsid w:val="333015F2"/>
    <w:rsid w:val="334B6320"/>
    <w:rsid w:val="33596D28"/>
    <w:rsid w:val="337662DE"/>
    <w:rsid w:val="338673F1"/>
    <w:rsid w:val="33AD2BD0"/>
    <w:rsid w:val="33C34B98"/>
    <w:rsid w:val="33D934D4"/>
    <w:rsid w:val="33DF6B01"/>
    <w:rsid w:val="33FE2F6A"/>
    <w:rsid w:val="340E07E5"/>
    <w:rsid w:val="34235BF7"/>
    <w:rsid w:val="342A096A"/>
    <w:rsid w:val="34496D9C"/>
    <w:rsid w:val="34871673"/>
    <w:rsid w:val="35123632"/>
    <w:rsid w:val="35773495"/>
    <w:rsid w:val="35847960"/>
    <w:rsid w:val="358C5DAA"/>
    <w:rsid w:val="358C5FA8"/>
    <w:rsid w:val="35C15DF1"/>
    <w:rsid w:val="36074A7F"/>
    <w:rsid w:val="36343134"/>
    <w:rsid w:val="36923549"/>
    <w:rsid w:val="36B75FBF"/>
    <w:rsid w:val="36BD0C45"/>
    <w:rsid w:val="36D3294D"/>
    <w:rsid w:val="37135AB7"/>
    <w:rsid w:val="37E00298"/>
    <w:rsid w:val="383A69FC"/>
    <w:rsid w:val="38A544FE"/>
    <w:rsid w:val="38B302F9"/>
    <w:rsid w:val="38F12CD3"/>
    <w:rsid w:val="38F94775"/>
    <w:rsid w:val="392971ED"/>
    <w:rsid w:val="39325651"/>
    <w:rsid w:val="3A872856"/>
    <w:rsid w:val="3A916DA7"/>
    <w:rsid w:val="3AE12C7D"/>
    <w:rsid w:val="3AE400AD"/>
    <w:rsid w:val="3B3763D1"/>
    <w:rsid w:val="3B7346FF"/>
    <w:rsid w:val="3BBC60A6"/>
    <w:rsid w:val="3BEB0739"/>
    <w:rsid w:val="3C2F6E1E"/>
    <w:rsid w:val="3C4F64BA"/>
    <w:rsid w:val="3C8F5568"/>
    <w:rsid w:val="3CDA245A"/>
    <w:rsid w:val="3CE5162C"/>
    <w:rsid w:val="3D0F2205"/>
    <w:rsid w:val="3D1E06B7"/>
    <w:rsid w:val="3D2D6B2F"/>
    <w:rsid w:val="3DFF20A6"/>
    <w:rsid w:val="3E015FF2"/>
    <w:rsid w:val="3E1C2D73"/>
    <w:rsid w:val="3E2B7BEE"/>
    <w:rsid w:val="3E75078E"/>
    <w:rsid w:val="3E78202C"/>
    <w:rsid w:val="3EDA0523"/>
    <w:rsid w:val="3F0C10F2"/>
    <w:rsid w:val="3F272900"/>
    <w:rsid w:val="3F852C53"/>
    <w:rsid w:val="407A6407"/>
    <w:rsid w:val="41E9396D"/>
    <w:rsid w:val="4200449D"/>
    <w:rsid w:val="42254914"/>
    <w:rsid w:val="4235270E"/>
    <w:rsid w:val="423A3BCC"/>
    <w:rsid w:val="424E57D2"/>
    <w:rsid w:val="42B26C49"/>
    <w:rsid w:val="42DF519E"/>
    <w:rsid w:val="431C742A"/>
    <w:rsid w:val="433A6FE6"/>
    <w:rsid w:val="43480868"/>
    <w:rsid w:val="4350713C"/>
    <w:rsid w:val="436653E0"/>
    <w:rsid w:val="43AA0EDA"/>
    <w:rsid w:val="43C4431A"/>
    <w:rsid w:val="43D67F21"/>
    <w:rsid w:val="44272BFC"/>
    <w:rsid w:val="44A83F32"/>
    <w:rsid w:val="44B951CC"/>
    <w:rsid w:val="44CD14E0"/>
    <w:rsid w:val="44E93C84"/>
    <w:rsid w:val="44F20B0B"/>
    <w:rsid w:val="450B5CE2"/>
    <w:rsid w:val="452E5F4C"/>
    <w:rsid w:val="45612018"/>
    <w:rsid w:val="4574710B"/>
    <w:rsid w:val="458946E9"/>
    <w:rsid w:val="45A47C0E"/>
    <w:rsid w:val="45D264C6"/>
    <w:rsid w:val="45F0315A"/>
    <w:rsid w:val="46577FD6"/>
    <w:rsid w:val="46D955A7"/>
    <w:rsid w:val="47133957"/>
    <w:rsid w:val="47A07E0C"/>
    <w:rsid w:val="484C255F"/>
    <w:rsid w:val="485D5716"/>
    <w:rsid w:val="48665F4B"/>
    <w:rsid w:val="4870272E"/>
    <w:rsid w:val="48A57EC2"/>
    <w:rsid w:val="49090450"/>
    <w:rsid w:val="49746212"/>
    <w:rsid w:val="49CA7BE0"/>
    <w:rsid w:val="49DC7715"/>
    <w:rsid w:val="49F033BE"/>
    <w:rsid w:val="49FC29AC"/>
    <w:rsid w:val="4A023139"/>
    <w:rsid w:val="4A5751EC"/>
    <w:rsid w:val="4A7B576F"/>
    <w:rsid w:val="4AC72371"/>
    <w:rsid w:val="4AF313B8"/>
    <w:rsid w:val="4AF561A9"/>
    <w:rsid w:val="4B2E419E"/>
    <w:rsid w:val="4B315A3D"/>
    <w:rsid w:val="4BB9615E"/>
    <w:rsid w:val="4C324162"/>
    <w:rsid w:val="4C4A0649"/>
    <w:rsid w:val="4C7E5ECA"/>
    <w:rsid w:val="4C7E6688"/>
    <w:rsid w:val="4C876AA5"/>
    <w:rsid w:val="4C934494"/>
    <w:rsid w:val="4D0E00FB"/>
    <w:rsid w:val="4D176606"/>
    <w:rsid w:val="4D183358"/>
    <w:rsid w:val="4D491763"/>
    <w:rsid w:val="4D665E71"/>
    <w:rsid w:val="4D706861"/>
    <w:rsid w:val="4D720CBA"/>
    <w:rsid w:val="4DEC4FB0"/>
    <w:rsid w:val="4E075D8A"/>
    <w:rsid w:val="4E3715BC"/>
    <w:rsid w:val="4E4763F8"/>
    <w:rsid w:val="4E964534"/>
    <w:rsid w:val="4E9F4A0A"/>
    <w:rsid w:val="4EC00FAD"/>
    <w:rsid w:val="4EF120B3"/>
    <w:rsid w:val="4F1A46D6"/>
    <w:rsid w:val="4F5D5052"/>
    <w:rsid w:val="4F8C3B89"/>
    <w:rsid w:val="4F9843DC"/>
    <w:rsid w:val="4FC62A8C"/>
    <w:rsid w:val="4FE20F0D"/>
    <w:rsid w:val="4FE51552"/>
    <w:rsid w:val="500E202B"/>
    <w:rsid w:val="50504C4B"/>
    <w:rsid w:val="509C6E7C"/>
    <w:rsid w:val="50DB402B"/>
    <w:rsid w:val="510D07FE"/>
    <w:rsid w:val="514C35D0"/>
    <w:rsid w:val="5162104E"/>
    <w:rsid w:val="517A013D"/>
    <w:rsid w:val="51AC29BC"/>
    <w:rsid w:val="51BB2504"/>
    <w:rsid w:val="52097713"/>
    <w:rsid w:val="523227C6"/>
    <w:rsid w:val="52CF44B9"/>
    <w:rsid w:val="52DD5D28"/>
    <w:rsid w:val="53114AD1"/>
    <w:rsid w:val="53A039CC"/>
    <w:rsid w:val="53A1505A"/>
    <w:rsid w:val="54063E08"/>
    <w:rsid w:val="54302D35"/>
    <w:rsid w:val="543437E8"/>
    <w:rsid w:val="545A4256"/>
    <w:rsid w:val="54613836"/>
    <w:rsid w:val="54F73313"/>
    <w:rsid w:val="54F80955"/>
    <w:rsid w:val="55173EF5"/>
    <w:rsid w:val="555170A7"/>
    <w:rsid w:val="5587536D"/>
    <w:rsid w:val="559B174B"/>
    <w:rsid w:val="559B17C5"/>
    <w:rsid w:val="55CA0F67"/>
    <w:rsid w:val="55CE0CF4"/>
    <w:rsid w:val="55F304BE"/>
    <w:rsid w:val="55F87F11"/>
    <w:rsid w:val="56B22A9C"/>
    <w:rsid w:val="57272B15"/>
    <w:rsid w:val="572D17AE"/>
    <w:rsid w:val="576D42A0"/>
    <w:rsid w:val="57B72A76"/>
    <w:rsid w:val="57C3426C"/>
    <w:rsid w:val="57CE1F93"/>
    <w:rsid w:val="588743D1"/>
    <w:rsid w:val="5887701A"/>
    <w:rsid w:val="58D323A3"/>
    <w:rsid w:val="59011144"/>
    <w:rsid w:val="592D04F5"/>
    <w:rsid w:val="59554FEC"/>
    <w:rsid w:val="595E4F42"/>
    <w:rsid w:val="598A113A"/>
    <w:rsid w:val="59AF6DF2"/>
    <w:rsid w:val="59C0439F"/>
    <w:rsid w:val="59F14D15"/>
    <w:rsid w:val="5A1548AA"/>
    <w:rsid w:val="5ABE2233"/>
    <w:rsid w:val="5B37709F"/>
    <w:rsid w:val="5B995664"/>
    <w:rsid w:val="5B9C6F02"/>
    <w:rsid w:val="5BC85F49"/>
    <w:rsid w:val="5BDF5D95"/>
    <w:rsid w:val="5BFE7528"/>
    <w:rsid w:val="5C49708A"/>
    <w:rsid w:val="5C6519EA"/>
    <w:rsid w:val="5C7C6260"/>
    <w:rsid w:val="5CCB5CF1"/>
    <w:rsid w:val="5D301FF8"/>
    <w:rsid w:val="5D485594"/>
    <w:rsid w:val="5DBE13B2"/>
    <w:rsid w:val="5E053485"/>
    <w:rsid w:val="5E2467F1"/>
    <w:rsid w:val="5F1020E1"/>
    <w:rsid w:val="5F1A2B43"/>
    <w:rsid w:val="5FB837BB"/>
    <w:rsid w:val="5FF4440E"/>
    <w:rsid w:val="60B62814"/>
    <w:rsid w:val="60CC405A"/>
    <w:rsid w:val="60EC092C"/>
    <w:rsid w:val="610B741E"/>
    <w:rsid w:val="6122434D"/>
    <w:rsid w:val="61E215D8"/>
    <w:rsid w:val="621B3775"/>
    <w:rsid w:val="62364782"/>
    <w:rsid w:val="6245505D"/>
    <w:rsid w:val="625422E5"/>
    <w:rsid w:val="628030DA"/>
    <w:rsid w:val="6287090C"/>
    <w:rsid w:val="62E33669"/>
    <w:rsid w:val="62FA7330"/>
    <w:rsid w:val="63224191"/>
    <w:rsid w:val="634A36E8"/>
    <w:rsid w:val="6394356A"/>
    <w:rsid w:val="63C61B2C"/>
    <w:rsid w:val="63D40BE9"/>
    <w:rsid w:val="64102431"/>
    <w:rsid w:val="64395C36"/>
    <w:rsid w:val="64A5243A"/>
    <w:rsid w:val="64F531DE"/>
    <w:rsid w:val="651F307E"/>
    <w:rsid w:val="65373578"/>
    <w:rsid w:val="65E16585"/>
    <w:rsid w:val="65FE0EE5"/>
    <w:rsid w:val="662A7F2C"/>
    <w:rsid w:val="66794A10"/>
    <w:rsid w:val="668154C4"/>
    <w:rsid w:val="671F124A"/>
    <w:rsid w:val="67627252"/>
    <w:rsid w:val="677A33C6"/>
    <w:rsid w:val="681F6961"/>
    <w:rsid w:val="68610A2F"/>
    <w:rsid w:val="68805514"/>
    <w:rsid w:val="68EA5751"/>
    <w:rsid w:val="69316E2F"/>
    <w:rsid w:val="694E2071"/>
    <w:rsid w:val="69766163"/>
    <w:rsid w:val="697A3B33"/>
    <w:rsid w:val="69A578CA"/>
    <w:rsid w:val="69D00DEB"/>
    <w:rsid w:val="69D44760"/>
    <w:rsid w:val="69F06D97"/>
    <w:rsid w:val="6A0E4DAA"/>
    <w:rsid w:val="6A520EC7"/>
    <w:rsid w:val="6A5F0581"/>
    <w:rsid w:val="6A80713A"/>
    <w:rsid w:val="6A8D0A8A"/>
    <w:rsid w:val="6AB57FE0"/>
    <w:rsid w:val="6AF87E20"/>
    <w:rsid w:val="6B250C6B"/>
    <w:rsid w:val="6B322639"/>
    <w:rsid w:val="6BF07522"/>
    <w:rsid w:val="6BFB7C75"/>
    <w:rsid w:val="6C120F5B"/>
    <w:rsid w:val="6C4F20FE"/>
    <w:rsid w:val="6C557385"/>
    <w:rsid w:val="6C636C38"/>
    <w:rsid w:val="6C743216"/>
    <w:rsid w:val="6CB5251A"/>
    <w:rsid w:val="6D01750D"/>
    <w:rsid w:val="6D5D0BE7"/>
    <w:rsid w:val="6D855A48"/>
    <w:rsid w:val="6DB34098"/>
    <w:rsid w:val="6DB545B6"/>
    <w:rsid w:val="6DE02FB4"/>
    <w:rsid w:val="6E162B44"/>
    <w:rsid w:val="6E514CED"/>
    <w:rsid w:val="6E9C573F"/>
    <w:rsid w:val="6EB563D5"/>
    <w:rsid w:val="6ED92677"/>
    <w:rsid w:val="6F1277AF"/>
    <w:rsid w:val="6F225983"/>
    <w:rsid w:val="6F437969"/>
    <w:rsid w:val="6FFC5590"/>
    <w:rsid w:val="70455E0A"/>
    <w:rsid w:val="704C0A9F"/>
    <w:rsid w:val="706D1DD0"/>
    <w:rsid w:val="70856B87"/>
    <w:rsid w:val="708B399D"/>
    <w:rsid w:val="70D527EE"/>
    <w:rsid w:val="7101188A"/>
    <w:rsid w:val="71353F2D"/>
    <w:rsid w:val="715B5300"/>
    <w:rsid w:val="71810C1C"/>
    <w:rsid w:val="719941B8"/>
    <w:rsid w:val="71C864A6"/>
    <w:rsid w:val="71D27F8A"/>
    <w:rsid w:val="71E5030C"/>
    <w:rsid w:val="71F118FE"/>
    <w:rsid w:val="72553024"/>
    <w:rsid w:val="72663015"/>
    <w:rsid w:val="72C272A6"/>
    <w:rsid w:val="73122968"/>
    <w:rsid w:val="731955B0"/>
    <w:rsid w:val="731F5D5E"/>
    <w:rsid w:val="7327134F"/>
    <w:rsid w:val="735C724B"/>
    <w:rsid w:val="738E13CF"/>
    <w:rsid w:val="73C51AD5"/>
    <w:rsid w:val="73EB3842"/>
    <w:rsid w:val="741E793C"/>
    <w:rsid w:val="745E3944"/>
    <w:rsid w:val="74956EB9"/>
    <w:rsid w:val="74D9773A"/>
    <w:rsid w:val="75752846"/>
    <w:rsid w:val="75DB4D9F"/>
    <w:rsid w:val="76085468"/>
    <w:rsid w:val="7635099D"/>
    <w:rsid w:val="76593F16"/>
    <w:rsid w:val="765D3A06"/>
    <w:rsid w:val="766151C3"/>
    <w:rsid w:val="7671125F"/>
    <w:rsid w:val="76766876"/>
    <w:rsid w:val="769E7E68"/>
    <w:rsid w:val="76B92C06"/>
    <w:rsid w:val="76B949B4"/>
    <w:rsid w:val="77762421"/>
    <w:rsid w:val="778154D2"/>
    <w:rsid w:val="77B43AFA"/>
    <w:rsid w:val="77B56B1F"/>
    <w:rsid w:val="780F09F4"/>
    <w:rsid w:val="78A90480"/>
    <w:rsid w:val="78AA6CAB"/>
    <w:rsid w:val="79B37DE1"/>
    <w:rsid w:val="7A0D1FB0"/>
    <w:rsid w:val="7A2B7977"/>
    <w:rsid w:val="7A364017"/>
    <w:rsid w:val="7A410F49"/>
    <w:rsid w:val="7A6C06BC"/>
    <w:rsid w:val="7A8265E1"/>
    <w:rsid w:val="7AD60341"/>
    <w:rsid w:val="7B686D42"/>
    <w:rsid w:val="7B841746"/>
    <w:rsid w:val="7BFC1292"/>
    <w:rsid w:val="7C6C5AC7"/>
    <w:rsid w:val="7CC540B3"/>
    <w:rsid w:val="7CC6544B"/>
    <w:rsid w:val="7CCF0A8E"/>
    <w:rsid w:val="7D0239FF"/>
    <w:rsid w:val="7D3354C1"/>
    <w:rsid w:val="7D5E40CD"/>
    <w:rsid w:val="7DA0067C"/>
    <w:rsid w:val="7DC46119"/>
    <w:rsid w:val="7DCD56F2"/>
    <w:rsid w:val="7DF82266"/>
    <w:rsid w:val="7F001CE7"/>
    <w:rsid w:val="7F0F7867"/>
    <w:rsid w:val="7F233689"/>
    <w:rsid w:val="7F4A6AF1"/>
    <w:rsid w:val="7F74591C"/>
    <w:rsid w:val="7FA36202"/>
    <w:rsid w:val="7FC13662"/>
    <w:rsid w:val="7FE47E5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1.5pt" color="#000000"/>
    </o:shapedefaults>
    <o:shapelayout v:ext="edit">
      <o:idmap v:ext="edit" data="1,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name="heading 2" w:locked="1"/>
    <w:lsdException w:qFormat="1" w:unhideWhenUsed="0" w:uiPriority="0"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0" w:name="index 1" w:locked="1"/>
    <w:lsdException w:uiPriority="0" w:name="index 2" w:locked="1"/>
    <w:lsdException w:uiPriority="0" w:name="index 3" w:locked="1"/>
    <w:lsdException w:uiPriority="0" w:name="index 4" w:locked="1"/>
    <w:lsdException w:uiPriority="0" w:name="index 5" w:locked="1"/>
    <w:lsdException w:uiPriority="0" w:name="index 6" w:locked="1"/>
    <w:lsdException w:uiPriority="0" w:name="index 7" w:locked="1"/>
    <w:lsdException w:uiPriority="0" w:name="index 8" w:locked="1"/>
    <w:lsdException w:qFormat="1" w:unhideWhenUsed="0" w:uiPriority="99" w:name="index 9" w:locked="1"/>
    <w:lsdException w:qFormat="1" w:unhideWhenUsed="0" w:uiPriority="0" w:semiHidden="0" w:name="toc 1" w:locked="1"/>
    <w:lsdException w:uiPriority="0" w:name="toc 2" w:locked="1"/>
    <w:lsdException w:uiPriority="0" w:name="toc 3" w:locked="1"/>
    <w:lsdException w:uiPriority="0" w:name="toc 4" w:locked="1"/>
    <w:lsdException w:uiPriority="0" w:name="toc 5" w:locked="1"/>
    <w:lsdException w:uiPriority="0" w:name="toc 6" w:locked="1"/>
    <w:lsdException w:uiPriority="0" w:name="toc 7" w:locked="1"/>
    <w:lsdException w:uiPriority="0" w:name="toc 8" w:locked="1"/>
    <w:lsdException w:uiPriority="0" w:name="toc 9" w:locked="1"/>
    <w:lsdException w:qFormat="1" w:unhideWhenUsed="0" w:uiPriority="99" w:semiHidden="0" w:name="Normal Indent" w:locked="1"/>
    <w:lsdException w:uiPriority="0" w:name="footnote text" w:locked="1"/>
    <w:lsdException w:qFormat="1" w:unhideWhenUsed="0" w:uiPriority="0" w:name="annotation text"/>
    <w:lsdException w:qFormat="1" w:unhideWhenUsed="0" w:uiPriority="0" w:semiHidden="0" w:name="header"/>
    <w:lsdException w:qFormat="1" w:unhideWhenUsed="0" w:uiPriority="99" w:semiHidden="0" w:name="footer"/>
    <w:lsdException w:uiPriority="0" w:name="index heading" w:locked="1"/>
    <w:lsdException w:qFormat="1" w:unhideWhenUsed="0" w:uiPriority="35" w:semiHidden="0" w:name="caption" w:locked="1"/>
    <w:lsdException w:uiPriority="0" w:name="table of figures" w:locked="1"/>
    <w:lsdException w:uiPriority="0" w:name="envelope address" w:locked="1"/>
    <w:lsdException w:uiPriority="0" w:name="envelope return" w:locked="1"/>
    <w:lsdException w:uiPriority="0" w:name="footnote reference" w:locked="1"/>
    <w:lsdException w:qFormat="1" w:unhideWhenUsed="0" w:uiPriority="0" w:name="annotation reference"/>
    <w:lsdException w:uiPriority="0" w:name="line number" w:locked="1"/>
    <w:lsdException w:qFormat="1" w:unhideWhenUsed="0" w:uiPriority="0" w:semiHidden="0" w:name="page number" w:locked="1"/>
    <w:lsdException w:uiPriority="0" w:name="endnote reference" w:locked="1"/>
    <w:lsdException w:uiPriority="0" w:name="endnote text" w:locked="1"/>
    <w:lsdException w:uiPriority="0" w:name="table of authorities" w:locked="1"/>
    <w:lsdException w:uiPriority="0" w:name="macro" w:locked="1"/>
    <w:lsdException w:uiPriority="0" w:name="toa heading" w:locked="1"/>
    <w:lsdException w:uiPriority="0" w:name="List" w:locked="1"/>
    <w:lsdException w:uiPriority="0" w:name="List Bullet" w:locked="1"/>
    <w:lsdException w:unhideWhenUsed="0" w:uiPriority="0" w:semiHidden="0" w:name="List Number" w:locked="1"/>
    <w:lsdException w:uiPriority="0" w:name="List 2" w:locked="1"/>
    <w:lsdException w:uiPriority="0" w:name="List 3" w:locked="1"/>
    <w:lsdException w:unhideWhenUsed="0" w:uiPriority="0" w:semiHidden="0" w:name="List 4" w:locked="1"/>
    <w:lsdException w:unhideWhenUsed="0" w:uiPriority="0" w:semiHidden="0" w:name="List 5" w:locked="1"/>
    <w:lsdException w:uiPriority="0" w:name="List Bullet 2" w:locked="1"/>
    <w:lsdException w:uiPriority="0" w:name="List Bullet 3" w:locked="1"/>
    <w:lsdException w:uiPriority="0" w:name="List Bullet 4" w:locked="1"/>
    <w:lsdException w:uiPriority="0" w:name="List Bullet 5" w:locked="1"/>
    <w:lsdException w:uiPriority="0" w:name="List Number 2" w:locked="1"/>
    <w:lsdException w:uiPriority="0" w:name="List Number 3" w:locked="1"/>
    <w:lsdException w:uiPriority="0" w:name="List Number 4" w:locked="1"/>
    <w:lsdException w:uiPriority="0" w:name="List Number 5" w:locked="1"/>
    <w:lsdException w:qFormat="1" w:unhideWhenUsed="0" w:uiPriority="0" w:semiHidden="0" w:name="Title" w:locked="1"/>
    <w:lsdException w:uiPriority="0" w:name="Closing" w:locked="1"/>
    <w:lsdException w:uiPriority="0" w:name="Signature" w:locked="1"/>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ocked="1"/>
    <w:lsdException w:uiPriority="0" w:name="List Continue 2" w:locked="1"/>
    <w:lsdException w:uiPriority="0" w:name="List Continue 3" w:locked="1"/>
    <w:lsdException w:uiPriority="0" w:name="List Continue 4" w:locked="1"/>
    <w:lsdException w:uiPriority="0" w:name="List Continue 5" w:locked="1"/>
    <w:lsdException w:uiPriority="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qFormat="1" w:unhideWhenUsed="0" w:uiPriority="0" w:semiHidden="0" w:name="Body Text First Indent" w:locked="1"/>
    <w:lsdException w:qFormat="1" w:unhideWhenUsed="0" w:uiPriority="0" w:semiHidden="0" w:name="Body Text First Indent 2" w:locked="1"/>
    <w:lsdException w:uiPriority="0" w:name="Note Heading" w:locked="1"/>
    <w:lsdException w:uiPriority="0" w:name="Body Text 2" w:locked="1"/>
    <w:lsdException w:uiPriority="0" w:name="Body Text 3" w:locked="1"/>
    <w:lsdException w:uiPriority="0" w:name="Body Text Indent 2" w:locked="1"/>
    <w:lsdException w:uiPriority="0" w:name="Body Text Indent 3" w:locked="1"/>
    <w:lsdException w:uiPriority="0" w:name="Block Text" w:locked="1"/>
    <w:lsdException w:qFormat="1" w:uiPriority="0" w:name="Hyperlink" w:locked="1"/>
    <w:lsdException w:uiPriority="0" w:name="FollowedHyperlink" w:locked="1"/>
    <w:lsdException w:qFormat="1" w:unhideWhenUsed="0" w:uiPriority="22" w:semiHidden="0" w:name="Strong" w:locked="1"/>
    <w:lsdException w:qFormat="1" w:unhideWhenUsed="0" w:uiPriority="0" w:semiHidden="0" w:name="Emphasis" w:locked="1"/>
    <w:lsdException w:qFormat="1" w:unhideWhenUsed="0" w:uiPriority="0" w:semiHidden="0" w:name="Document Map" w:locked="1"/>
    <w:lsdException w:qFormat="1" w:unhideWhenUsed="0" w:uiPriority="99" w:semiHidden="0" w:name="Plain Text" w:locked="1"/>
    <w:lsdException w:uiPriority="0" w:name="E-mail Signature" w:locked="1"/>
    <w:lsdException w:qFormat="1" w:unhideWhenUsed="0" w:uiPriority="0" w:semiHidden="0" w:name="Normal (Web)"/>
    <w:lsdException w:uiPriority="0" w:name="HTML Acronym" w:locked="1"/>
    <w:lsdException w:uiPriority="0" w:name="HTML Address" w:locked="1"/>
    <w:lsdException w:uiPriority="0" w:name="HTML Cite" w:locked="1"/>
    <w:lsdException w:uiPriority="0" w:name="HTML Code" w:locked="1"/>
    <w:lsdException w:uiPriority="0" w:name="HTML Definition" w:locked="1"/>
    <w:lsdException w:uiPriority="0" w:name="HTML Keyboard" w:locked="1"/>
    <w:lsdException w:uiPriority="0" w:name="HTML Preformatted" w:locked="1"/>
    <w:lsdException w:uiPriority="0" w:name="HTML Sample" w:locked="1"/>
    <w:lsdException w:uiPriority="0" w:name="HTML Typewriter" w:locked="1"/>
    <w:lsdException w:uiPriority="0" w:name="HTML Variable" w:locked="1"/>
    <w:lsdException w:qFormat="1" w:uiPriority="99" w:name="Normal Table"/>
    <w:lsdException w:qFormat="1" w:unhideWhenUsed="0" w:uiPriority="0" w:name="annotation subject"/>
    <w:lsdException w:uiPriority="0" w:name="Table Simple 1" w:locked="1"/>
    <w:lsdException w:uiPriority="0" w:name="Table Simple 2" w:locked="1"/>
    <w:lsdException w:uiPriority="0" w:name="Table Simple 3" w:locked="1"/>
    <w:lsdException w:uiPriority="0" w:name="Table Classic 1" w:locked="1"/>
    <w:lsdException w:uiPriority="0" w:name="Table Classic 2" w:locked="1"/>
    <w:lsdException w:uiPriority="0" w:name="Table Classic 3" w:locked="1"/>
    <w:lsdException w:uiPriority="0" w:name="Table Classic 4" w:locked="1"/>
    <w:lsdException w:uiPriority="0" w:name="Table Colorful 1" w:locked="1"/>
    <w:lsdException w:uiPriority="0" w:name="Table Colorful 2" w:locked="1"/>
    <w:lsdException w:uiPriority="0" w:name="Table Colorful 3" w:locked="1"/>
    <w:lsdException w:uiPriority="0" w:name="Table Columns 1" w:locked="1"/>
    <w:lsdException w:uiPriority="0" w:name="Table Columns 2" w:locked="1"/>
    <w:lsdException w:uiPriority="0" w:name="Table Columns 3" w:locked="1"/>
    <w:lsdException w:uiPriority="0" w:name="Table Columns 4" w:locked="1"/>
    <w:lsdException w:uiPriority="0" w:name="Table Columns 5" w:locked="1"/>
    <w:lsdException w:uiPriority="0" w:name="Table Grid 1" w:locked="1"/>
    <w:lsdException w:uiPriority="0" w:name="Table Grid 2" w:locked="1"/>
    <w:lsdException w:uiPriority="0" w:name="Table Grid 3" w:locked="1"/>
    <w:lsdException w:uiPriority="0" w:name="Table Grid 4" w:locked="1"/>
    <w:lsdException w:uiPriority="0" w:name="Table Grid 5" w:locked="1"/>
    <w:lsdException w:uiPriority="0" w:name="Table Grid 6" w:locked="1"/>
    <w:lsdException w:uiPriority="0" w:name="Table Grid 7" w:locked="1"/>
    <w:lsdException w:uiPriority="0" w:name="Table Grid 8" w:locked="1"/>
    <w:lsdException w:uiPriority="0" w:name="Table List 1" w:locked="1"/>
    <w:lsdException w:uiPriority="0" w:name="Table List 2" w:locked="1"/>
    <w:lsdException w:uiPriority="0" w:name="Table List 3" w:locked="1"/>
    <w:lsdException w:uiPriority="0" w:name="Table List 4" w:locked="1"/>
    <w:lsdException w:uiPriority="0" w:name="Table List 5" w:locked="1"/>
    <w:lsdException w:uiPriority="0" w:name="Table List 6" w:locked="1"/>
    <w:lsdException w:uiPriority="0" w:name="Table List 7" w:locked="1"/>
    <w:lsdException w:uiPriority="0" w:name="Table List 8" w:locked="1"/>
    <w:lsdException w:uiPriority="0" w:name="Table 3D effects 1" w:locked="1"/>
    <w:lsdException w:uiPriority="0" w:name="Table 3D effects 2" w:locked="1"/>
    <w:lsdException w:uiPriority="0" w:name="Table 3D effects 3" w:locked="1"/>
    <w:lsdException w:uiPriority="0" w:name="Table Contemporary" w:locked="1"/>
    <w:lsdException w:uiPriority="0" w:name="Table Elegant" w:locked="1"/>
    <w:lsdException w:uiPriority="0" w:name="Table Professional" w:locked="1"/>
    <w:lsdException w:uiPriority="0" w:name="Table Subtle 1" w:locked="1"/>
    <w:lsdException w:uiPriority="0" w:name="Table Subtle 2" w:locked="1"/>
    <w:lsdException w:uiPriority="0" w:name="Table Web 1" w:locked="1"/>
    <w:lsdException w:uiPriority="0" w:name="Table Web 2" w:locked="1"/>
    <w:lsdException w:uiPriority="0" w:name="Table Web 3" w:locked="1"/>
    <w:lsdException w:qFormat="1" w:unhideWhenUsed="0" w:uiPriority="0" w:name="Balloon Text"/>
    <w:lsdException w:qFormat="1" w:unhideWhenUsed="0" w:uiPriority="0" w:semiHidden="0" w:name="Table Grid"/>
    <w:lsdException w:uiPriority="0" w:name="Table Theme" w:locked="1"/>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600" w:firstLineChars="200"/>
      <w:jc w:val="both"/>
    </w:pPr>
    <w:rPr>
      <w:rFonts w:ascii="Times New Roman" w:hAnsi="Times New Roman" w:eastAsia="宋体" w:cs="Times New Roman"/>
      <w:kern w:val="2"/>
      <w:sz w:val="21"/>
      <w:szCs w:val="24"/>
      <w:lang w:val="en-US" w:eastAsia="zh-CN" w:bidi="ar-SA"/>
    </w:rPr>
  </w:style>
  <w:style w:type="paragraph" w:styleId="5">
    <w:name w:val="heading 1"/>
    <w:basedOn w:val="1"/>
    <w:next w:val="1"/>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9">
    <w:name w:val="heading 2"/>
    <w:basedOn w:val="1"/>
    <w:next w:val="1"/>
    <w:link w:val="94"/>
    <w:semiHidden/>
    <w:unhideWhenUsed/>
    <w:qFormat/>
    <w:locked/>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10">
    <w:name w:val="heading 3"/>
    <w:basedOn w:val="1"/>
    <w:next w:val="1"/>
    <w:qFormat/>
    <w:locked/>
    <w:uiPriority w:val="0"/>
    <w:pPr>
      <w:keepNext/>
      <w:keepLines/>
      <w:spacing w:line="413" w:lineRule="auto"/>
      <w:outlineLvl w:val="2"/>
    </w:pPr>
    <w:rPr>
      <w:b/>
      <w:bCs/>
      <w:sz w:val="32"/>
      <w:szCs w:val="32"/>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customStyle="1" w:styleId="2">
    <w:name w:val="0正文"/>
    <w:basedOn w:val="3"/>
    <w:next w:val="6"/>
    <w:qFormat/>
    <w:uiPriority w:val="0"/>
    <w:pPr>
      <w:ind w:firstLine="720"/>
    </w:pPr>
    <w:rPr>
      <w:rFonts w:ascii="等线" w:hAnsi="等线" w:eastAsia="等线"/>
      <w:szCs w:val="22"/>
    </w:rPr>
  </w:style>
  <w:style w:type="paragraph" w:styleId="3">
    <w:name w:val="Body Text Indent"/>
    <w:basedOn w:val="1"/>
    <w:next w:val="4"/>
    <w:link w:val="46"/>
    <w:qFormat/>
    <w:uiPriority w:val="0"/>
    <w:pPr>
      <w:spacing w:after="120"/>
      <w:ind w:left="420" w:leftChars="200"/>
    </w:pPr>
    <w:rPr>
      <w:kern w:val="0"/>
      <w:sz w:val="24"/>
      <w:szCs w:val="20"/>
    </w:rPr>
  </w:style>
  <w:style w:type="paragraph" w:customStyle="1" w:styleId="4">
    <w:name w:val="样式 标题 1一级标题 + 段前: 0.5 行 段后: 0.5 行"/>
    <w:basedOn w:val="5"/>
    <w:qFormat/>
    <w:uiPriority w:val="99"/>
    <w:pPr>
      <w:spacing w:line="320" w:lineRule="exact"/>
      <w:outlineLvl w:val="9"/>
    </w:pPr>
    <w:rPr>
      <w:spacing w:val="-6"/>
      <w:sz w:val="21"/>
      <w:szCs w:val="21"/>
    </w:rPr>
  </w:style>
  <w:style w:type="paragraph" w:styleId="6">
    <w:name w:val="header"/>
    <w:basedOn w:val="1"/>
    <w:next w:val="7"/>
    <w:link w:val="44"/>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7">
    <w:name w:val="样式5"/>
    <w:basedOn w:val="8"/>
    <w:next w:val="1"/>
    <w:qFormat/>
    <w:uiPriority w:val="0"/>
    <w:pPr>
      <w:spacing w:line="380" w:lineRule="exact"/>
      <w:ind w:firstLine="566" w:firstLineChars="202"/>
    </w:pPr>
    <w:rPr>
      <w:rFonts w:eastAsia="华文行楷"/>
      <w:sz w:val="28"/>
    </w:rPr>
  </w:style>
  <w:style w:type="paragraph" w:styleId="8">
    <w:name w:val="Normal Indent"/>
    <w:basedOn w:val="1"/>
    <w:next w:val="1"/>
    <w:link w:val="49"/>
    <w:qFormat/>
    <w:locked/>
    <w:uiPriority w:val="99"/>
    <w:pPr>
      <w:ind w:firstLine="420"/>
    </w:pPr>
  </w:style>
  <w:style w:type="paragraph" w:styleId="11">
    <w:name w:val="caption"/>
    <w:basedOn w:val="1"/>
    <w:next w:val="1"/>
    <w:link w:val="56"/>
    <w:qFormat/>
    <w:locked/>
    <w:uiPriority w:val="35"/>
    <w:pPr>
      <w:jc w:val="center"/>
    </w:pPr>
    <w:rPr>
      <w:rFonts w:ascii="宋体" w:hAnsi="Arial"/>
      <w:b/>
      <w:szCs w:val="20"/>
    </w:rPr>
  </w:style>
  <w:style w:type="paragraph" w:styleId="12">
    <w:name w:val="Document Map"/>
    <w:basedOn w:val="1"/>
    <w:link w:val="93"/>
    <w:qFormat/>
    <w:locked/>
    <w:uiPriority w:val="0"/>
    <w:rPr>
      <w:rFonts w:ascii="宋体"/>
      <w:sz w:val="18"/>
      <w:szCs w:val="18"/>
    </w:rPr>
  </w:style>
  <w:style w:type="paragraph" w:styleId="13">
    <w:name w:val="annotation text"/>
    <w:basedOn w:val="1"/>
    <w:link w:val="38"/>
    <w:semiHidden/>
    <w:qFormat/>
    <w:uiPriority w:val="0"/>
    <w:pPr>
      <w:jc w:val="left"/>
    </w:pPr>
    <w:rPr>
      <w:kern w:val="0"/>
      <w:sz w:val="24"/>
      <w:szCs w:val="20"/>
    </w:rPr>
  </w:style>
  <w:style w:type="paragraph" w:styleId="14">
    <w:name w:val="Body Text"/>
    <w:basedOn w:val="1"/>
    <w:link w:val="37"/>
    <w:qFormat/>
    <w:uiPriority w:val="0"/>
    <w:pPr>
      <w:widowControl/>
      <w:snapToGrid w:val="0"/>
      <w:spacing w:before="60" w:after="160" w:line="259" w:lineRule="auto"/>
      <w:ind w:right="113"/>
    </w:pPr>
    <w:rPr>
      <w:kern w:val="0"/>
      <w:sz w:val="18"/>
      <w:szCs w:val="20"/>
    </w:rPr>
  </w:style>
  <w:style w:type="paragraph" w:styleId="15">
    <w:name w:val="Plain Text"/>
    <w:basedOn w:val="1"/>
    <w:qFormat/>
    <w:locked/>
    <w:uiPriority w:val="99"/>
    <w:rPr>
      <w:rFonts w:ascii="宋体" w:hAnsi="Courier New"/>
      <w:sz w:val="20"/>
      <w:szCs w:val="20"/>
    </w:rPr>
  </w:style>
  <w:style w:type="paragraph" w:styleId="16">
    <w:name w:val="Date"/>
    <w:basedOn w:val="1"/>
    <w:next w:val="1"/>
    <w:link w:val="33"/>
    <w:qFormat/>
    <w:uiPriority w:val="0"/>
    <w:pPr>
      <w:ind w:left="100" w:leftChars="2500"/>
    </w:pPr>
    <w:rPr>
      <w:kern w:val="0"/>
      <w:sz w:val="24"/>
      <w:szCs w:val="20"/>
    </w:rPr>
  </w:style>
  <w:style w:type="paragraph" w:styleId="17">
    <w:name w:val="Balloon Text"/>
    <w:basedOn w:val="1"/>
    <w:link w:val="42"/>
    <w:semiHidden/>
    <w:qFormat/>
    <w:uiPriority w:val="0"/>
    <w:rPr>
      <w:kern w:val="0"/>
      <w:sz w:val="18"/>
      <w:szCs w:val="20"/>
    </w:rPr>
  </w:style>
  <w:style w:type="paragraph" w:styleId="18">
    <w:name w:val="footer"/>
    <w:basedOn w:val="1"/>
    <w:link w:val="32"/>
    <w:qFormat/>
    <w:uiPriority w:val="99"/>
    <w:pPr>
      <w:tabs>
        <w:tab w:val="center" w:pos="4153"/>
        <w:tab w:val="right" w:pos="8306"/>
      </w:tabs>
      <w:snapToGrid w:val="0"/>
      <w:jc w:val="left"/>
    </w:pPr>
    <w:rPr>
      <w:kern w:val="0"/>
      <w:sz w:val="18"/>
      <w:szCs w:val="20"/>
    </w:rPr>
  </w:style>
  <w:style w:type="paragraph" w:styleId="19">
    <w:name w:val="toc 1"/>
    <w:basedOn w:val="1"/>
    <w:next w:val="1"/>
    <w:qFormat/>
    <w:locked/>
    <w:uiPriority w:val="0"/>
    <w:pPr>
      <w:adjustRightInd w:val="0"/>
      <w:snapToGrid w:val="0"/>
      <w:spacing w:line="320" w:lineRule="exact"/>
      <w:jc w:val="center"/>
    </w:pPr>
    <w:rPr>
      <w:rFonts w:ascii="宋体" w:hAnsi="宋体"/>
      <w:szCs w:val="20"/>
    </w:rPr>
  </w:style>
  <w:style w:type="paragraph" w:styleId="20">
    <w:name w:val="index 9"/>
    <w:basedOn w:val="1"/>
    <w:next w:val="1"/>
    <w:semiHidden/>
    <w:qFormat/>
    <w:locked/>
    <w:uiPriority w:val="99"/>
    <w:pPr>
      <w:ind w:left="3360"/>
      <w:jc w:val="left"/>
    </w:pPr>
  </w:style>
  <w:style w:type="paragraph" w:styleId="21">
    <w:name w:val="Normal (Web)"/>
    <w:basedOn w:val="1"/>
    <w:link w:val="35"/>
    <w:qFormat/>
    <w:uiPriority w:val="0"/>
    <w:pPr>
      <w:widowControl/>
      <w:spacing w:before="100" w:beforeAutospacing="1" w:after="100" w:afterAutospacing="1"/>
      <w:jc w:val="left"/>
    </w:pPr>
    <w:rPr>
      <w:rFonts w:ascii="宋体" w:hAnsi="宋体"/>
      <w:kern w:val="0"/>
      <w:sz w:val="24"/>
      <w:szCs w:val="20"/>
    </w:rPr>
  </w:style>
  <w:style w:type="paragraph" w:styleId="22">
    <w:name w:val="annotation subject"/>
    <w:basedOn w:val="13"/>
    <w:next w:val="13"/>
    <w:link w:val="43"/>
    <w:semiHidden/>
    <w:qFormat/>
    <w:uiPriority w:val="0"/>
    <w:rPr>
      <w:b/>
    </w:rPr>
  </w:style>
  <w:style w:type="paragraph" w:styleId="23">
    <w:name w:val="Body Text First Indent"/>
    <w:basedOn w:val="14"/>
    <w:qFormat/>
    <w:locked/>
    <w:uiPriority w:val="0"/>
    <w:pPr>
      <w:widowControl w:val="0"/>
      <w:snapToGrid/>
      <w:spacing w:before="0" w:after="120" w:line="240" w:lineRule="auto"/>
      <w:ind w:right="0" w:firstLine="420" w:firstLineChars="100"/>
    </w:pPr>
    <w:rPr>
      <w:kern w:val="2"/>
      <w:sz w:val="21"/>
    </w:rPr>
  </w:style>
  <w:style w:type="paragraph" w:styleId="24">
    <w:name w:val="Body Text First Indent 2"/>
    <w:basedOn w:val="3"/>
    <w:link w:val="55"/>
    <w:qFormat/>
    <w:locked/>
    <w:uiPriority w:val="0"/>
    <w:pPr>
      <w:ind w:firstLine="420"/>
    </w:pPr>
    <w:rPr>
      <w:kern w:val="2"/>
      <w:sz w:val="21"/>
      <w:szCs w:val="24"/>
    </w:rPr>
  </w:style>
  <w:style w:type="table" w:styleId="26">
    <w:name w:val="Table Grid"/>
    <w:basedOn w:val="2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8">
    <w:name w:val="Strong"/>
    <w:qFormat/>
    <w:locked/>
    <w:uiPriority w:val="22"/>
    <w:rPr>
      <w:b/>
      <w:bCs/>
    </w:rPr>
  </w:style>
  <w:style w:type="character" w:styleId="29">
    <w:name w:val="page number"/>
    <w:basedOn w:val="27"/>
    <w:qFormat/>
    <w:locked/>
    <w:uiPriority w:val="0"/>
  </w:style>
  <w:style w:type="character" w:styleId="30">
    <w:name w:val="Hyperlink"/>
    <w:basedOn w:val="27"/>
    <w:semiHidden/>
    <w:unhideWhenUsed/>
    <w:qFormat/>
    <w:locked/>
    <w:uiPriority w:val="0"/>
    <w:rPr>
      <w:color w:val="0000FF"/>
      <w:u w:val="single"/>
    </w:rPr>
  </w:style>
  <w:style w:type="character" w:styleId="31">
    <w:name w:val="annotation reference"/>
    <w:semiHidden/>
    <w:qFormat/>
    <w:uiPriority w:val="0"/>
    <w:rPr>
      <w:sz w:val="21"/>
    </w:rPr>
  </w:style>
  <w:style w:type="character" w:customStyle="1" w:styleId="32">
    <w:name w:val="页脚 Char"/>
    <w:link w:val="18"/>
    <w:qFormat/>
    <w:locked/>
    <w:uiPriority w:val="99"/>
    <w:rPr>
      <w:sz w:val="18"/>
    </w:rPr>
  </w:style>
  <w:style w:type="character" w:customStyle="1" w:styleId="33">
    <w:name w:val="日期 Char"/>
    <w:link w:val="16"/>
    <w:qFormat/>
    <w:locked/>
    <w:uiPriority w:val="0"/>
    <w:rPr>
      <w:rFonts w:ascii="Times New Roman" w:hAnsi="Times New Roman" w:eastAsia="宋体"/>
      <w:sz w:val="24"/>
    </w:rPr>
  </w:style>
  <w:style w:type="character" w:customStyle="1" w:styleId="34">
    <w:name w:val="页脚 字符"/>
    <w:basedOn w:val="27"/>
    <w:qFormat/>
    <w:uiPriority w:val="99"/>
  </w:style>
  <w:style w:type="character" w:customStyle="1" w:styleId="35">
    <w:name w:val="普通(网站) Char"/>
    <w:link w:val="21"/>
    <w:qFormat/>
    <w:locked/>
    <w:uiPriority w:val="99"/>
    <w:rPr>
      <w:rFonts w:ascii="宋体" w:hAnsi="宋体" w:eastAsia="宋体"/>
      <w:sz w:val="24"/>
    </w:rPr>
  </w:style>
  <w:style w:type="character" w:customStyle="1" w:styleId="36">
    <w:name w:val="正文文本 字符1"/>
    <w:semiHidden/>
    <w:qFormat/>
    <w:uiPriority w:val="0"/>
    <w:rPr>
      <w:rFonts w:ascii="Times New Roman" w:hAnsi="Times New Roman" w:eastAsia="宋体"/>
      <w:sz w:val="24"/>
    </w:rPr>
  </w:style>
  <w:style w:type="character" w:customStyle="1" w:styleId="37">
    <w:name w:val="正文文本 Char"/>
    <w:link w:val="14"/>
    <w:qFormat/>
    <w:locked/>
    <w:uiPriority w:val="0"/>
    <w:rPr>
      <w:sz w:val="18"/>
    </w:rPr>
  </w:style>
  <w:style w:type="character" w:customStyle="1" w:styleId="38">
    <w:name w:val="批注文字 Char"/>
    <w:link w:val="13"/>
    <w:qFormat/>
    <w:locked/>
    <w:uiPriority w:val="0"/>
    <w:rPr>
      <w:rFonts w:ascii="Times New Roman" w:hAnsi="Times New Roman" w:eastAsia="宋体"/>
      <w:sz w:val="24"/>
    </w:rPr>
  </w:style>
  <w:style w:type="character" w:customStyle="1" w:styleId="39">
    <w:name w:val="表格 Char"/>
    <w:link w:val="40"/>
    <w:qFormat/>
    <w:locked/>
    <w:uiPriority w:val="0"/>
    <w:rPr>
      <w:sz w:val="21"/>
      <w:szCs w:val="21"/>
    </w:rPr>
  </w:style>
  <w:style w:type="paragraph" w:customStyle="1" w:styleId="40">
    <w:name w:val="表格"/>
    <w:basedOn w:val="1"/>
    <w:next w:val="1"/>
    <w:link w:val="39"/>
    <w:qFormat/>
    <w:uiPriority w:val="0"/>
    <w:pPr>
      <w:adjustRightInd w:val="0"/>
      <w:snapToGrid w:val="0"/>
      <w:spacing w:line="240" w:lineRule="auto"/>
      <w:ind w:firstLine="0" w:firstLineChars="0"/>
      <w:jc w:val="center"/>
    </w:pPr>
    <w:rPr>
      <w:kern w:val="0"/>
      <w:szCs w:val="21"/>
    </w:rPr>
  </w:style>
  <w:style w:type="character" w:customStyle="1" w:styleId="41">
    <w:name w:val="日期 字符"/>
    <w:semiHidden/>
    <w:qFormat/>
    <w:uiPriority w:val="0"/>
    <w:rPr>
      <w:rFonts w:ascii="Times New Roman" w:hAnsi="Times New Roman" w:eastAsia="宋体"/>
      <w:sz w:val="24"/>
    </w:rPr>
  </w:style>
  <w:style w:type="character" w:customStyle="1" w:styleId="42">
    <w:name w:val="批注框文本 Char"/>
    <w:link w:val="17"/>
    <w:semiHidden/>
    <w:qFormat/>
    <w:locked/>
    <w:uiPriority w:val="0"/>
    <w:rPr>
      <w:rFonts w:ascii="Times New Roman" w:hAnsi="Times New Roman" w:eastAsia="宋体"/>
      <w:sz w:val="18"/>
    </w:rPr>
  </w:style>
  <w:style w:type="character" w:customStyle="1" w:styleId="43">
    <w:name w:val="批注主题 Char"/>
    <w:link w:val="22"/>
    <w:semiHidden/>
    <w:qFormat/>
    <w:locked/>
    <w:uiPriority w:val="0"/>
    <w:rPr>
      <w:rFonts w:ascii="Times New Roman" w:hAnsi="Times New Roman" w:eastAsia="宋体"/>
      <w:b/>
      <w:kern w:val="2"/>
      <w:sz w:val="24"/>
    </w:rPr>
  </w:style>
  <w:style w:type="character" w:customStyle="1" w:styleId="44">
    <w:name w:val="页眉 Char"/>
    <w:link w:val="6"/>
    <w:qFormat/>
    <w:locked/>
    <w:uiPriority w:val="0"/>
    <w:rPr>
      <w:sz w:val="18"/>
    </w:rPr>
  </w:style>
  <w:style w:type="character" w:customStyle="1" w:styleId="45">
    <w:name w:val="批注文字 字符1"/>
    <w:semiHidden/>
    <w:qFormat/>
    <w:uiPriority w:val="0"/>
    <w:rPr>
      <w:rFonts w:ascii="Times New Roman" w:hAnsi="Times New Roman" w:eastAsia="宋体"/>
      <w:sz w:val="24"/>
    </w:rPr>
  </w:style>
  <w:style w:type="character" w:customStyle="1" w:styleId="46">
    <w:name w:val="正文文本缩进 Char"/>
    <w:link w:val="3"/>
    <w:semiHidden/>
    <w:qFormat/>
    <w:locked/>
    <w:uiPriority w:val="0"/>
    <w:rPr>
      <w:rFonts w:ascii="Times New Roman" w:hAnsi="Times New Roman" w:eastAsia="宋体"/>
      <w:sz w:val="24"/>
    </w:rPr>
  </w:style>
  <w:style w:type="paragraph" w:customStyle="1" w:styleId="47">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48">
    <w:name w:val="普通(网站)2"/>
    <w:basedOn w:val="1"/>
    <w:qFormat/>
    <w:uiPriority w:val="0"/>
    <w:pPr>
      <w:widowControl/>
      <w:spacing w:before="100" w:beforeAutospacing="1" w:after="100" w:afterAutospacing="1"/>
      <w:jc w:val="left"/>
    </w:pPr>
    <w:rPr>
      <w:rFonts w:ascii="宋体" w:hAnsi="宋体"/>
      <w:sz w:val="24"/>
      <w:szCs w:val="20"/>
    </w:rPr>
  </w:style>
  <w:style w:type="character" w:customStyle="1" w:styleId="49">
    <w:name w:val="正文缩进 Char"/>
    <w:link w:val="8"/>
    <w:qFormat/>
    <w:uiPriority w:val="99"/>
    <w:rPr>
      <w:kern w:val="2"/>
      <w:sz w:val="21"/>
      <w:szCs w:val="24"/>
    </w:rPr>
  </w:style>
  <w:style w:type="paragraph" w:customStyle="1" w:styleId="50">
    <w:name w:val="报告正文"/>
    <w:basedOn w:val="1"/>
    <w:link w:val="103"/>
    <w:qFormat/>
    <w:uiPriority w:val="0"/>
    <w:pPr>
      <w:spacing w:line="480" w:lineRule="exact"/>
      <w:ind w:firstLine="480"/>
    </w:pPr>
    <w:rPr>
      <w:sz w:val="24"/>
      <w:szCs w:val="22"/>
    </w:rPr>
  </w:style>
  <w:style w:type="paragraph" w:customStyle="1" w:styleId="51">
    <w:name w:val="表格内容"/>
    <w:basedOn w:val="1"/>
    <w:qFormat/>
    <w:uiPriority w:val="0"/>
    <w:pPr>
      <w:overflowPunct w:val="0"/>
      <w:adjustRightInd w:val="0"/>
      <w:snapToGrid w:val="0"/>
      <w:spacing w:line="360" w:lineRule="exact"/>
      <w:jc w:val="center"/>
      <w:textAlignment w:val="baseline"/>
    </w:pPr>
    <w:rPr>
      <w:kern w:val="0"/>
    </w:rPr>
  </w:style>
  <w:style w:type="paragraph" w:customStyle="1" w:styleId="52">
    <w:name w:val="_Style 47"/>
    <w:basedOn w:val="1"/>
    <w:qFormat/>
    <w:uiPriority w:val="0"/>
    <w:rPr>
      <w:szCs w:val="20"/>
    </w:rPr>
  </w:style>
  <w:style w:type="paragraph" w:customStyle="1" w:styleId="53">
    <w:name w:val="样式1"/>
    <w:basedOn w:val="1"/>
    <w:link w:val="54"/>
    <w:qFormat/>
    <w:uiPriority w:val="0"/>
    <w:pPr>
      <w:suppressAutoHyphens/>
      <w:adjustRightInd w:val="0"/>
      <w:snapToGrid w:val="0"/>
      <w:spacing w:beforeLines="50"/>
      <w:ind w:firstLine="420"/>
      <w:jc w:val="left"/>
    </w:pPr>
    <w:rPr>
      <w:bCs/>
      <w:kern w:val="0"/>
      <w:szCs w:val="21"/>
    </w:rPr>
  </w:style>
  <w:style w:type="character" w:customStyle="1" w:styleId="54">
    <w:name w:val="样式1 Char"/>
    <w:link w:val="53"/>
    <w:qFormat/>
    <w:uiPriority w:val="0"/>
    <w:rPr>
      <w:bCs/>
      <w:sz w:val="21"/>
      <w:szCs w:val="21"/>
    </w:rPr>
  </w:style>
  <w:style w:type="character" w:customStyle="1" w:styleId="55">
    <w:name w:val="正文首行缩进 2 Char"/>
    <w:link w:val="24"/>
    <w:qFormat/>
    <w:uiPriority w:val="0"/>
    <w:rPr>
      <w:rFonts w:ascii="Times New Roman" w:hAnsi="Times New Roman" w:eastAsia="宋体"/>
      <w:kern w:val="2"/>
      <w:sz w:val="21"/>
      <w:szCs w:val="24"/>
    </w:rPr>
  </w:style>
  <w:style w:type="character" w:customStyle="1" w:styleId="56">
    <w:name w:val="题注 Char"/>
    <w:link w:val="11"/>
    <w:qFormat/>
    <w:uiPriority w:val="35"/>
    <w:rPr>
      <w:rFonts w:ascii="宋体" w:hAnsi="Arial"/>
      <w:b/>
      <w:kern w:val="2"/>
      <w:sz w:val="21"/>
    </w:rPr>
  </w:style>
  <w:style w:type="character" w:customStyle="1" w:styleId="57">
    <w:name w:val="表头 Char Char"/>
    <w:qFormat/>
    <w:uiPriority w:val="0"/>
    <w:rPr>
      <w:rFonts w:ascii="宋体" w:hAnsi="宋体" w:eastAsia="黑体"/>
      <w:b/>
      <w:kern w:val="2"/>
      <w:sz w:val="24"/>
      <w:szCs w:val="24"/>
      <w:lang w:val="en-US" w:eastAsia="zh-CN" w:bidi="ar-SA"/>
    </w:rPr>
  </w:style>
  <w:style w:type="character" w:customStyle="1" w:styleId="58">
    <w:name w:val="正文2 Char"/>
    <w:link w:val="59"/>
    <w:qFormat/>
    <w:uiPriority w:val="99"/>
    <w:rPr>
      <w:kern w:val="2"/>
      <w:sz w:val="21"/>
      <w:szCs w:val="21"/>
    </w:rPr>
  </w:style>
  <w:style w:type="paragraph" w:customStyle="1" w:styleId="59">
    <w:name w:val="正文2"/>
    <w:basedOn w:val="1"/>
    <w:link w:val="58"/>
    <w:qFormat/>
    <w:uiPriority w:val="99"/>
    <w:pPr>
      <w:adjustRightInd w:val="0"/>
      <w:snapToGrid w:val="0"/>
      <w:spacing w:line="400" w:lineRule="exact"/>
      <w:ind w:firstLine="420"/>
    </w:pPr>
    <w:rPr>
      <w:szCs w:val="21"/>
    </w:rPr>
  </w:style>
  <w:style w:type="paragraph" w:styleId="60">
    <w:name w:val="List Paragraph"/>
    <w:basedOn w:val="1"/>
    <w:qFormat/>
    <w:uiPriority w:val="34"/>
    <w:pPr>
      <w:ind w:firstLine="420"/>
    </w:pPr>
  </w:style>
  <w:style w:type="paragraph" w:customStyle="1" w:styleId="61">
    <w:name w:val="中文报告书样式"/>
    <w:basedOn w:val="1"/>
    <w:qFormat/>
    <w:uiPriority w:val="0"/>
    <w:pPr>
      <w:adjustRightInd w:val="0"/>
      <w:spacing w:line="480" w:lineRule="atLeast"/>
      <w:ind w:firstLine="482"/>
    </w:pPr>
    <w:rPr>
      <w:kern w:val="24"/>
      <w:sz w:val="24"/>
      <w:szCs w:val="20"/>
    </w:rPr>
  </w:style>
  <w:style w:type="paragraph" w:customStyle="1" w:styleId="62">
    <w:name w:val="Default"/>
    <w:link w:val="104"/>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63">
    <w:name w:val="正文内容"/>
    <w:basedOn w:val="1"/>
    <w:qFormat/>
    <w:uiPriority w:val="0"/>
    <w:pPr>
      <w:ind w:firstLine="624"/>
    </w:pPr>
    <w:rPr>
      <w:rFonts w:ascii="宋体"/>
      <w:sz w:val="24"/>
    </w:rPr>
  </w:style>
  <w:style w:type="character" w:customStyle="1" w:styleId="64">
    <w:name w:val="正文文字 Char"/>
    <w:qFormat/>
    <w:uiPriority w:val="0"/>
    <w:rPr>
      <w:rFonts w:eastAsia="宋体"/>
      <w:kern w:val="2"/>
      <w:sz w:val="24"/>
      <w:szCs w:val="24"/>
      <w:lang w:val="en-US" w:eastAsia="zh-CN" w:bidi="ar-SA"/>
    </w:rPr>
  </w:style>
  <w:style w:type="paragraph" w:customStyle="1" w:styleId="65">
    <w:name w:val="标题3"/>
    <w:basedOn w:val="59"/>
    <w:qFormat/>
    <w:uiPriority w:val="0"/>
    <w:pPr>
      <w:suppressAutoHyphens/>
      <w:ind w:firstLine="482"/>
    </w:pPr>
    <w:rPr>
      <w:rFonts w:cs="宋体"/>
      <w:b/>
      <w:bCs/>
      <w:spacing w:val="18"/>
      <w:kern w:val="0"/>
      <w:szCs w:val="20"/>
    </w:rPr>
  </w:style>
  <w:style w:type="character" w:customStyle="1" w:styleId="66">
    <w:name w:val="正 Char"/>
    <w:link w:val="67"/>
    <w:qFormat/>
    <w:uiPriority w:val="0"/>
    <w:rPr>
      <w:kern w:val="2"/>
      <w:sz w:val="24"/>
      <w:szCs w:val="21"/>
    </w:rPr>
  </w:style>
  <w:style w:type="paragraph" w:customStyle="1" w:styleId="67">
    <w:name w:val="正"/>
    <w:basedOn w:val="1"/>
    <w:link w:val="66"/>
    <w:qFormat/>
    <w:uiPriority w:val="0"/>
    <w:pPr>
      <w:ind w:firstLine="200"/>
    </w:pPr>
    <w:rPr>
      <w:sz w:val="24"/>
      <w:szCs w:val="21"/>
    </w:rPr>
  </w:style>
  <w:style w:type="character" w:customStyle="1" w:styleId="68">
    <w:name w:val="表格正文 Char"/>
    <w:link w:val="69"/>
    <w:qFormat/>
    <w:locked/>
    <w:uiPriority w:val="0"/>
    <w:rPr>
      <w:kern w:val="2"/>
      <w:sz w:val="21"/>
      <w:szCs w:val="24"/>
    </w:rPr>
  </w:style>
  <w:style w:type="paragraph" w:customStyle="1" w:styleId="69">
    <w:name w:val="表格正文"/>
    <w:basedOn w:val="1"/>
    <w:next w:val="1"/>
    <w:link w:val="68"/>
    <w:qFormat/>
    <w:uiPriority w:val="0"/>
    <w:pPr>
      <w:jc w:val="center"/>
    </w:pPr>
  </w:style>
  <w:style w:type="paragraph" w:customStyle="1" w:styleId="70">
    <w:name w:val="Char Char Char Char Char Char Char Char Char Char Char Char Char Char Char Char Char Char Char Char Char Char"/>
    <w:basedOn w:val="1"/>
    <w:semiHidden/>
    <w:qFormat/>
    <w:uiPriority w:val="0"/>
    <w:pPr>
      <w:widowControl/>
      <w:spacing w:after="160" w:line="240" w:lineRule="exact"/>
      <w:jc w:val="left"/>
    </w:pPr>
    <w:rPr>
      <w:szCs w:val="20"/>
    </w:rPr>
  </w:style>
  <w:style w:type="paragraph" w:customStyle="1" w:styleId="71">
    <w:name w:val="表1-"/>
    <w:link w:val="72"/>
    <w:qFormat/>
    <w:uiPriority w:val="0"/>
    <w:pPr>
      <w:numPr>
        <w:ilvl w:val="0"/>
        <w:numId w:val="1"/>
      </w:numPr>
      <w:tabs>
        <w:tab w:val="left" w:pos="0"/>
      </w:tabs>
      <w:ind w:left="0" w:firstLine="0"/>
      <w:jc w:val="center"/>
    </w:pPr>
    <w:rPr>
      <w:rFonts w:hint="eastAsia" w:ascii="Times New Roman" w:hAnsi="Times New Roman" w:eastAsia="宋体" w:cs="Times New Roman"/>
      <w:b/>
      <w:sz w:val="21"/>
      <w:szCs w:val="21"/>
      <w:lang w:val="en-US" w:eastAsia="zh-CN" w:bidi="ar-SA"/>
    </w:rPr>
  </w:style>
  <w:style w:type="character" w:customStyle="1" w:styleId="72">
    <w:name w:val="表头1 Char"/>
    <w:link w:val="71"/>
    <w:qFormat/>
    <w:uiPriority w:val="0"/>
    <w:rPr>
      <w:rFonts w:hint="eastAsia" w:ascii="Times New Roman" w:hAnsi="Times New Roman" w:eastAsia="宋体"/>
      <w:b/>
      <w:sz w:val="21"/>
      <w:szCs w:val="21"/>
    </w:rPr>
  </w:style>
  <w:style w:type="paragraph" w:customStyle="1" w:styleId="73">
    <w:name w:val="表2-"/>
    <w:qFormat/>
    <w:uiPriority w:val="0"/>
    <w:pPr>
      <w:tabs>
        <w:tab w:val="left" w:pos="420"/>
      </w:tabs>
      <w:adjustRightInd w:val="0"/>
      <w:snapToGrid w:val="0"/>
      <w:jc w:val="center"/>
    </w:pPr>
    <w:rPr>
      <w:rFonts w:ascii="Times New Roman" w:hAnsi="Times New Roman" w:eastAsia="宋体" w:cs="Times New Roman"/>
      <w:b/>
      <w:bCs/>
      <w:sz w:val="21"/>
      <w:szCs w:val="21"/>
      <w:lang w:val="en-US" w:eastAsia="zh-CN" w:bidi="ar-SA"/>
    </w:rPr>
  </w:style>
  <w:style w:type="paragraph" w:customStyle="1" w:styleId="74">
    <w:name w:val="表3-"/>
    <w:qFormat/>
    <w:uiPriority w:val="0"/>
    <w:pPr>
      <w:tabs>
        <w:tab w:val="left" w:pos="420"/>
      </w:tabs>
      <w:adjustRightInd w:val="0"/>
      <w:snapToGrid w:val="0"/>
      <w:ind w:firstLine="420"/>
      <w:jc w:val="center"/>
    </w:pPr>
    <w:rPr>
      <w:rFonts w:ascii="Times New Roman" w:hAnsi="Times New Roman" w:eastAsia="宋体" w:cs="Times New Roman"/>
      <w:b/>
      <w:bCs/>
      <w:sz w:val="21"/>
      <w:szCs w:val="21"/>
      <w:lang w:val="en-US" w:eastAsia="zh-CN" w:bidi="ar-SA"/>
    </w:rPr>
  </w:style>
  <w:style w:type="paragraph" w:customStyle="1" w:styleId="75">
    <w:name w:val="表4-"/>
    <w:qFormat/>
    <w:uiPriority w:val="0"/>
    <w:pPr>
      <w:numPr>
        <w:ilvl w:val="0"/>
        <w:numId w:val="2"/>
      </w:numPr>
      <w:tabs>
        <w:tab w:val="left" w:pos="0"/>
      </w:tabs>
      <w:ind w:left="0" w:firstLine="0"/>
      <w:jc w:val="center"/>
    </w:pPr>
    <w:rPr>
      <w:rFonts w:ascii="Times New Roman" w:hAnsi="Times New Roman" w:eastAsia="宋体" w:cs="Times New Roman"/>
      <w:b/>
      <w:sz w:val="21"/>
      <w:szCs w:val="21"/>
      <w:lang w:val="en-US" w:eastAsia="zh-CN" w:bidi="ar-SA"/>
    </w:rPr>
  </w:style>
  <w:style w:type="paragraph" w:customStyle="1" w:styleId="76">
    <w:name w:val="图2-"/>
    <w:qFormat/>
    <w:uiPriority w:val="0"/>
    <w:pPr>
      <w:numPr>
        <w:ilvl w:val="0"/>
        <w:numId w:val="3"/>
      </w:numPr>
      <w:adjustRightInd w:val="0"/>
      <w:snapToGrid w:val="0"/>
      <w:spacing w:line="400" w:lineRule="exact"/>
      <w:jc w:val="center"/>
    </w:pPr>
    <w:rPr>
      <w:rFonts w:hint="eastAsia" w:ascii="Times New Roman" w:hAnsi="Times New Roman" w:eastAsia="宋体" w:cs="Times New Roman"/>
      <w:b/>
      <w:sz w:val="21"/>
      <w:szCs w:val="21"/>
      <w:lang w:val="en-US" w:eastAsia="zh-CN" w:bidi="ar-SA"/>
    </w:rPr>
  </w:style>
  <w:style w:type="character" w:customStyle="1" w:styleId="77">
    <w:name w:val="font11"/>
    <w:basedOn w:val="27"/>
    <w:qFormat/>
    <w:uiPriority w:val="0"/>
    <w:rPr>
      <w:rFonts w:hint="default" w:ascii="Calibri" w:hAnsi="Calibri" w:cs="Calibri"/>
      <w:color w:val="000000"/>
      <w:sz w:val="24"/>
      <w:szCs w:val="24"/>
      <w:u w:val="none"/>
    </w:rPr>
  </w:style>
  <w:style w:type="character" w:customStyle="1" w:styleId="78">
    <w:name w:val="font01"/>
    <w:basedOn w:val="27"/>
    <w:qFormat/>
    <w:uiPriority w:val="0"/>
    <w:rPr>
      <w:rFonts w:hint="eastAsia" w:ascii="宋体" w:hAnsi="宋体" w:eastAsia="宋体" w:cs="宋体"/>
      <w:color w:val="000000"/>
      <w:sz w:val="24"/>
      <w:szCs w:val="24"/>
      <w:u w:val="none"/>
    </w:rPr>
  </w:style>
  <w:style w:type="character" w:customStyle="1" w:styleId="79">
    <w:name w:val="font31"/>
    <w:basedOn w:val="27"/>
    <w:qFormat/>
    <w:uiPriority w:val="0"/>
    <w:rPr>
      <w:rFonts w:hint="eastAsia" w:ascii="宋体" w:hAnsi="宋体" w:eastAsia="宋体" w:cs="宋体"/>
      <w:color w:val="000000"/>
      <w:sz w:val="21"/>
      <w:szCs w:val="21"/>
      <w:u w:val="none"/>
    </w:rPr>
  </w:style>
  <w:style w:type="character" w:customStyle="1" w:styleId="80">
    <w:name w:val="font51"/>
    <w:basedOn w:val="27"/>
    <w:qFormat/>
    <w:uiPriority w:val="0"/>
    <w:rPr>
      <w:rFonts w:hint="default" w:ascii="Times New Roman" w:hAnsi="Times New Roman" w:cs="Times New Roman"/>
      <w:color w:val="000000"/>
      <w:sz w:val="21"/>
      <w:szCs w:val="21"/>
      <w:u w:val="none"/>
    </w:rPr>
  </w:style>
  <w:style w:type="character" w:customStyle="1" w:styleId="81">
    <w:name w:val="font21"/>
    <w:basedOn w:val="27"/>
    <w:qFormat/>
    <w:uiPriority w:val="0"/>
    <w:rPr>
      <w:rFonts w:hint="default" w:ascii="Times New Roman" w:hAnsi="Times New Roman" w:cs="Times New Roman"/>
      <w:color w:val="000000"/>
      <w:sz w:val="21"/>
      <w:szCs w:val="21"/>
      <w:u w:val="none"/>
      <w:vertAlign w:val="superscript"/>
    </w:rPr>
  </w:style>
  <w:style w:type="character" w:customStyle="1" w:styleId="82">
    <w:name w:val="font41"/>
    <w:basedOn w:val="27"/>
    <w:qFormat/>
    <w:uiPriority w:val="0"/>
    <w:rPr>
      <w:rFonts w:hint="default" w:ascii="Times New Roman" w:hAnsi="Times New Roman" w:cs="Times New Roman"/>
      <w:color w:val="000000"/>
      <w:sz w:val="22"/>
      <w:szCs w:val="22"/>
      <w:u w:val="none"/>
    </w:rPr>
  </w:style>
  <w:style w:type="character" w:customStyle="1" w:styleId="83">
    <w:name w:val="font61"/>
    <w:basedOn w:val="27"/>
    <w:qFormat/>
    <w:uiPriority w:val="0"/>
    <w:rPr>
      <w:rFonts w:hint="default" w:ascii="Times New Roman" w:hAnsi="Times New Roman" w:cs="Times New Roman"/>
      <w:color w:val="000000"/>
      <w:sz w:val="22"/>
      <w:szCs w:val="22"/>
      <w:u w:val="none"/>
    </w:rPr>
  </w:style>
  <w:style w:type="character" w:customStyle="1" w:styleId="84">
    <w:name w:val="font71"/>
    <w:basedOn w:val="27"/>
    <w:qFormat/>
    <w:uiPriority w:val="0"/>
    <w:rPr>
      <w:rFonts w:ascii="黑体" w:hAnsi="宋体" w:eastAsia="黑体" w:cs="黑体"/>
      <w:color w:val="000000"/>
      <w:sz w:val="21"/>
      <w:szCs w:val="21"/>
      <w:u w:val="none"/>
    </w:rPr>
  </w:style>
  <w:style w:type="character" w:customStyle="1" w:styleId="85">
    <w:name w:val="font81"/>
    <w:basedOn w:val="27"/>
    <w:qFormat/>
    <w:uiPriority w:val="0"/>
    <w:rPr>
      <w:rFonts w:hint="default" w:ascii="Times New Roman" w:hAnsi="Times New Roman" w:cs="Times New Roman"/>
      <w:color w:val="000000"/>
      <w:sz w:val="21"/>
      <w:szCs w:val="21"/>
      <w:u w:val="none"/>
    </w:rPr>
  </w:style>
  <w:style w:type="paragraph" w:customStyle="1" w:styleId="86">
    <w:name w:val="Table Paragraph"/>
    <w:basedOn w:val="1"/>
    <w:qFormat/>
    <w:uiPriority w:val="1"/>
    <w:rPr>
      <w:bCs/>
      <w:color w:val="000000"/>
      <w:sz w:val="28"/>
      <w:szCs w:val="28"/>
    </w:rPr>
  </w:style>
  <w:style w:type="paragraph" w:customStyle="1" w:styleId="87">
    <w:name w:val="无间隔1"/>
    <w:next w:val="1"/>
    <w:link w:val="102"/>
    <w:qFormat/>
    <w:uiPriority w:val="0"/>
    <w:pPr>
      <w:adjustRightInd w:val="0"/>
      <w:snapToGrid w:val="0"/>
      <w:spacing w:line="360" w:lineRule="auto"/>
      <w:jc w:val="center"/>
    </w:pPr>
    <w:rPr>
      <w:rFonts w:ascii="Calibri" w:hAnsi="Calibri" w:eastAsia="宋体" w:cs="Times New Roman"/>
      <w:b/>
      <w:snapToGrid w:val="0"/>
      <w:sz w:val="21"/>
      <w:szCs w:val="22"/>
      <w:lang w:val="en-US" w:eastAsia="zh-CN" w:bidi="ar-SA"/>
    </w:rPr>
  </w:style>
  <w:style w:type="paragraph" w:customStyle="1" w:styleId="88">
    <w:name w:val="正文_7"/>
    <w:qFormat/>
    <w:uiPriority w:val="0"/>
    <w:pPr>
      <w:widowControl w:val="0"/>
      <w:jc w:val="both"/>
    </w:pPr>
    <w:rPr>
      <w:rFonts w:ascii="Calibri" w:hAnsi="Calibri" w:eastAsia="宋体" w:cs="Times New Roman"/>
      <w:kern w:val="2"/>
      <w:sz w:val="21"/>
      <w:lang w:val="en-US" w:eastAsia="zh-CN" w:bidi="ar-SA"/>
    </w:rPr>
  </w:style>
  <w:style w:type="paragraph" w:customStyle="1" w:styleId="89">
    <w:name w:val="正文小四"/>
    <w:basedOn w:val="1"/>
    <w:qFormat/>
    <w:uiPriority w:val="0"/>
    <w:pPr>
      <w:spacing w:line="460" w:lineRule="exact"/>
    </w:pPr>
    <w:rPr>
      <w:rFonts w:ascii="宋体" w:hAnsi="宋体"/>
      <w:color w:val="000000"/>
      <w:spacing w:val="30"/>
      <w:kern w:val="24"/>
      <w:sz w:val="24"/>
      <w:szCs w:val="20"/>
    </w:rPr>
  </w:style>
  <w:style w:type="paragraph" w:customStyle="1" w:styleId="90">
    <w:name w:val="样式 首行缩进:  2 字符"/>
    <w:basedOn w:val="1"/>
    <w:qFormat/>
    <w:uiPriority w:val="0"/>
    <w:pPr>
      <w:adjustRightInd w:val="0"/>
      <w:snapToGrid w:val="0"/>
      <w:ind w:firstLine="480"/>
    </w:pPr>
    <w:rPr>
      <w:rFonts w:ascii="Calibri" w:hAnsi="Calibri"/>
      <w:kern w:val="0"/>
      <w:sz w:val="24"/>
      <w:szCs w:val="20"/>
    </w:rPr>
  </w:style>
  <w:style w:type="paragraph" w:customStyle="1" w:styleId="91">
    <w:name w:val="图表"/>
    <w:basedOn w:val="1"/>
    <w:qFormat/>
    <w:uiPriority w:val="0"/>
    <w:pPr>
      <w:snapToGrid w:val="0"/>
      <w:spacing w:line="340" w:lineRule="exact"/>
      <w:jc w:val="center"/>
    </w:pPr>
    <w:rPr>
      <w:rFonts w:eastAsia="FangSong_GB2312"/>
      <w:snapToGrid w:val="0"/>
      <w:color w:val="000000"/>
      <w:spacing w:val="6"/>
      <w:kern w:val="0"/>
      <w:szCs w:val="21"/>
    </w:rPr>
  </w:style>
  <w:style w:type="paragraph" w:styleId="92">
    <w:name w:val="No Spacing"/>
    <w:basedOn w:val="1"/>
    <w:next w:val="1"/>
    <w:qFormat/>
    <w:uiPriority w:val="1"/>
    <w:pPr>
      <w:spacing w:line="500" w:lineRule="exact"/>
      <w:ind w:firstLine="200"/>
    </w:pPr>
    <w:rPr>
      <w:color w:val="000000"/>
      <w:kern w:val="0"/>
      <w:sz w:val="24"/>
      <w:szCs w:val="23"/>
    </w:rPr>
  </w:style>
  <w:style w:type="character" w:customStyle="1" w:styleId="93">
    <w:name w:val="文档结构图 Char"/>
    <w:basedOn w:val="27"/>
    <w:link w:val="12"/>
    <w:qFormat/>
    <w:uiPriority w:val="0"/>
    <w:rPr>
      <w:rFonts w:ascii="宋体"/>
      <w:kern w:val="2"/>
      <w:sz w:val="18"/>
      <w:szCs w:val="18"/>
    </w:rPr>
  </w:style>
  <w:style w:type="character" w:customStyle="1" w:styleId="94">
    <w:name w:val="标题 2 Char"/>
    <w:basedOn w:val="27"/>
    <w:link w:val="9"/>
    <w:semiHidden/>
    <w:qFormat/>
    <w:uiPriority w:val="0"/>
    <w:rPr>
      <w:rFonts w:asciiTheme="majorHAnsi" w:hAnsiTheme="majorHAnsi" w:eastAsiaTheme="majorEastAsia" w:cstheme="majorBidi"/>
      <w:b/>
      <w:bCs/>
      <w:kern w:val="2"/>
      <w:sz w:val="32"/>
      <w:szCs w:val="32"/>
    </w:rPr>
  </w:style>
  <w:style w:type="character" w:customStyle="1" w:styleId="95">
    <w:name w:val="标题 2 字符"/>
    <w:qFormat/>
    <w:uiPriority w:val="0"/>
    <w:rPr>
      <w:b/>
      <w:bCs/>
      <w:kern w:val="2"/>
      <w:sz w:val="30"/>
      <w:szCs w:val="32"/>
    </w:rPr>
  </w:style>
  <w:style w:type="character" w:customStyle="1" w:styleId="96">
    <w:name w:val="普通(网站) 字符"/>
    <w:qFormat/>
    <w:locked/>
    <w:uiPriority w:val="0"/>
    <w:rPr>
      <w:rFonts w:ascii="宋体" w:hAnsi="宋体" w:eastAsia="宋体"/>
      <w:sz w:val="24"/>
    </w:rPr>
  </w:style>
  <w:style w:type="paragraph" w:customStyle="1" w:styleId="97">
    <w:name w:val="WPSOffice手动目录 1"/>
    <w:qFormat/>
    <w:uiPriority w:val="0"/>
    <w:rPr>
      <w:rFonts w:ascii="Times New Roman" w:hAnsi="Times New Roman" w:eastAsia="宋体" w:cs="Times New Roman"/>
      <w:lang w:val="en-US" w:eastAsia="zh-CN" w:bidi="ar-SA"/>
    </w:rPr>
  </w:style>
  <w:style w:type="paragraph" w:customStyle="1" w:styleId="98">
    <w:name w:val="7表格内容7"/>
    <w:basedOn w:val="1"/>
    <w:qFormat/>
    <w:uiPriority w:val="0"/>
    <w:pPr>
      <w:widowControl/>
      <w:spacing w:line="260" w:lineRule="exact"/>
      <w:jc w:val="center"/>
    </w:pPr>
    <w:rPr>
      <w:kern w:val="0"/>
      <w:szCs w:val="21"/>
    </w:rPr>
  </w:style>
  <w:style w:type="paragraph" w:customStyle="1" w:styleId="99">
    <w:name w:val="2"/>
    <w:basedOn w:val="14"/>
    <w:next w:val="23"/>
    <w:qFormat/>
    <w:uiPriority w:val="0"/>
    <w:pPr>
      <w:widowControl w:val="0"/>
      <w:snapToGrid/>
      <w:spacing w:before="0" w:after="120" w:line="240" w:lineRule="auto"/>
      <w:ind w:right="0" w:firstLine="420" w:firstLineChars="100"/>
      <w:jc w:val="left"/>
    </w:pPr>
    <w:rPr>
      <w:rFonts w:ascii="宋体" w:hAnsi="宋体" w:cs="宋体"/>
      <w:kern w:val="2"/>
      <w:sz w:val="21"/>
    </w:rPr>
  </w:style>
  <w:style w:type="paragraph" w:customStyle="1" w:styleId="100">
    <w:name w:val="1"/>
    <w:basedOn w:val="14"/>
    <w:next w:val="23"/>
    <w:qFormat/>
    <w:uiPriority w:val="0"/>
    <w:pPr>
      <w:widowControl w:val="0"/>
      <w:snapToGrid/>
      <w:spacing w:before="0" w:after="120" w:line="240" w:lineRule="auto"/>
      <w:ind w:right="0" w:firstLine="420" w:firstLineChars="100"/>
      <w:jc w:val="left"/>
    </w:pPr>
    <w:rPr>
      <w:rFonts w:ascii="宋体" w:hAnsi="宋体" w:cs="宋体"/>
      <w:kern w:val="2"/>
      <w:sz w:val="21"/>
    </w:rPr>
  </w:style>
  <w:style w:type="paragraph" w:customStyle="1" w:styleId="101">
    <w:name w:val="正文11"/>
    <w:qFormat/>
    <w:uiPriority w:val="0"/>
    <w:pPr>
      <w:widowControl w:val="0"/>
      <w:jc w:val="both"/>
    </w:pPr>
    <w:rPr>
      <w:rFonts w:ascii="Calibri" w:hAnsi="Calibri" w:eastAsia="宋体" w:cs="宋体"/>
      <w:lang w:val="en-US" w:eastAsia="zh-CN" w:bidi="hi-IN"/>
    </w:rPr>
  </w:style>
  <w:style w:type="character" w:customStyle="1" w:styleId="102">
    <w:name w:val="图名 Char"/>
    <w:link w:val="87"/>
    <w:qFormat/>
    <w:uiPriority w:val="0"/>
    <w:rPr>
      <w:rFonts w:ascii="Calibri" w:hAnsi="Calibri"/>
      <w:b/>
      <w:snapToGrid w:val="0"/>
      <w:sz w:val="21"/>
      <w:szCs w:val="22"/>
    </w:rPr>
  </w:style>
  <w:style w:type="character" w:customStyle="1" w:styleId="103">
    <w:name w:val="报告正文 Char Char"/>
    <w:link w:val="50"/>
    <w:qFormat/>
    <w:uiPriority w:val="0"/>
    <w:rPr>
      <w:kern w:val="2"/>
      <w:sz w:val="24"/>
      <w:szCs w:val="22"/>
    </w:rPr>
  </w:style>
  <w:style w:type="character" w:customStyle="1" w:styleId="104">
    <w:name w:val="Default Char"/>
    <w:link w:val="62"/>
    <w:qFormat/>
    <w:locked/>
    <w:uiPriority w:val="0"/>
    <w:rPr>
      <w:rFonts w:ascii="宋体" w:cs="宋体"/>
      <w:color w:val="000000"/>
      <w:sz w:val="24"/>
      <w:szCs w:val="24"/>
    </w:rPr>
  </w:style>
  <w:style w:type="paragraph" w:customStyle="1" w:styleId="105">
    <w:name w:val="1博创正文"/>
    <w:basedOn w:val="1"/>
    <w:link w:val="106"/>
    <w:qFormat/>
    <w:uiPriority w:val="0"/>
    <w:pPr>
      <w:adjustRightInd w:val="0"/>
      <w:snapToGrid w:val="0"/>
      <w:spacing w:line="500" w:lineRule="exact"/>
      <w:ind w:firstLine="720"/>
    </w:pPr>
    <w:rPr>
      <w:kern w:val="0"/>
      <w:sz w:val="24"/>
    </w:rPr>
  </w:style>
  <w:style w:type="character" w:customStyle="1" w:styleId="106">
    <w:name w:val="1兴业正文 Char"/>
    <w:link w:val="105"/>
    <w:qFormat/>
    <w:uiPriority w:val="0"/>
    <w:rPr>
      <w:sz w:val="24"/>
      <w:szCs w:val="24"/>
    </w:rPr>
  </w:style>
  <w:style w:type="paragraph" w:customStyle="1" w:styleId="107">
    <w:name w:val="_Style 1"/>
    <w:basedOn w:val="1"/>
    <w:qFormat/>
    <w:uiPriority w:val="0"/>
    <w:pPr>
      <w:widowControl/>
      <w:spacing w:line="240" w:lineRule="auto"/>
      <w:ind w:left="720" w:firstLine="0" w:firstLineChars="0"/>
      <w:contextualSpacing/>
      <w:jc w:val="left"/>
    </w:pPr>
    <w:rPr>
      <w:rFonts w:ascii="Calibri" w:hAnsi="Calibri"/>
      <w:kern w:val="0"/>
      <w:sz w:val="24"/>
      <w:lang w:eastAsia="en-US" w:bidi="en-US"/>
    </w:rPr>
  </w:style>
  <w:style w:type="paragraph" w:customStyle="1" w:styleId="108">
    <w:name w:val="表格文本"/>
    <w:basedOn w:val="1"/>
    <w:qFormat/>
    <w:uiPriority w:val="0"/>
    <w:pPr>
      <w:spacing w:line="240" w:lineRule="auto"/>
      <w:ind w:firstLine="0" w:firstLineChars="0"/>
      <w:jc w:val="center"/>
    </w:pPr>
    <w:rPr>
      <w:szCs w:val="22"/>
    </w:rPr>
  </w:style>
  <w:style w:type="paragraph" w:customStyle="1" w:styleId="109">
    <w:name w:val="表格标题"/>
    <w:basedOn w:val="1"/>
    <w:next w:val="1"/>
    <w:qFormat/>
    <w:uiPriority w:val="0"/>
    <w:pPr>
      <w:tabs>
        <w:tab w:val="center" w:pos="4153"/>
        <w:tab w:val="right" w:pos="8306"/>
      </w:tabs>
      <w:overflowPunct w:val="0"/>
      <w:adjustRightInd w:val="0"/>
      <w:snapToGrid w:val="0"/>
      <w:spacing w:line="240" w:lineRule="auto"/>
      <w:ind w:firstLine="0" w:firstLineChars="0"/>
      <w:jc w:val="center"/>
      <w:textAlignment w:val="baseline"/>
    </w:pPr>
    <w:rPr>
      <w:b/>
      <w:kern w:val="24"/>
      <w:szCs w:val="21"/>
    </w:rPr>
  </w:style>
  <w:style w:type="paragraph" w:customStyle="1" w:styleId="110">
    <w:name w:val="正文文本缩进 31"/>
    <w:basedOn w:val="1"/>
    <w:qFormat/>
    <w:uiPriority w:val="0"/>
    <w:pPr>
      <w:spacing w:after="120" w:line="240" w:lineRule="auto"/>
      <w:ind w:left="420" w:leftChars="200" w:firstLine="0" w:firstLineChars="0"/>
    </w:pPr>
    <w:rPr>
      <w:sz w:val="16"/>
      <w:szCs w:val="16"/>
    </w:rPr>
  </w:style>
  <w:style w:type="paragraph" w:customStyle="1" w:styleId="111">
    <w:name w:val="样式4"/>
    <w:basedOn w:val="1"/>
    <w:qFormat/>
    <w:uiPriority w:val="0"/>
    <w:pPr>
      <w:snapToGrid w:val="0"/>
      <w:spacing w:line="240" w:lineRule="auto"/>
      <w:ind w:firstLine="480" w:firstLineChars="0"/>
    </w:pPr>
    <w:rPr>
      <w:rFonts w:ascii="宋体" w:hAnsi="宋体"/>
    </w:rPr>
  </w:style>
  <w:style w:type="character" w:customStyle="1" w:styleId="112">
    <w:name w:val="样式 小四 黑色 行距: 固定值 25 磅1 Char"/>
    <w:basedOn w:val="27"/>
    <w:link w:val="113"/>
    <w:qFormat/>
    <w:uiPriority w:val="0"/>
    <w:rPr>
      <w:color w:val="000000"/>
    </w:rPr>
  </w:style>
  <w:style w:type="paragraph" w:customStyle="1" w:styleId="113">
    <w:name w:val="样式 小四 黑色 行距: 固定值 25 磅1"/>
    <w:basedOn w:val="1"/>
    <w:link w:val="112"/>
    <w:qFormat/>
    <w:uiPriority w:val="0"/>
    <w:pPr>
      <w:spacing w:line="500" w:lineRule="exact"/>
      <w:ind w:firstLine="480"/>
    </w:pPr>
    <w:rPr>
      <w:color w:val="000000"/>
      <w:kern w:val="0"/>
      <w:sz w:val="20"/>
      <w:szCs w:val="20"/>
    </w:rPr>
  </w:style>
  <w:style w:type="paragraph" w:customStyle="1" w:styleId="114">
    <w:name w:val="样式 小四 黑色 行距: 固定值 25 磅"/>
    <w:basedOn w:val="1"/>
    <w:qFormat/>
    <w:uiPriority w:val="0"/>
    <w:pPr>
      <w:spacing w:line="500" w:lineRule="exact"/>
      <w:ind w:firstLine="480" w:firstLineChars="0"/>
    </w:pPr>
    <w:rPr>
      <w:rFonts w:cs="宋体"/>
      <w:color w:val="00000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0" Type="http://schemas.microsoft.com/office/2011/relationships/people" Target="people.xml"/><Relationship Id="rId3" Type="http://schemas.openxmlformats.org/officeDocument/2006/relationships/footnotes" Target="footnotes.xml"/><Relationship Id="rId29" Type="http://schemas.openxmlformats.org/officeDocument/2006/relationships/fontTable" Target="fontTable.xml"/><Relationship Id="rId28" Type="http://schemas.openxmlformats.org/officeDocument/2006/relationships/customXml" Target="../customXml/item2.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9.jpeg"/><Relationship Id="rId24" Type="http://schemas.openxmlformats.org/officeDocument/2006/relationships/hyperlink" Target="http://www.biaozhi.net/eNews/news/200602/0030_0000002014.shtml" TargetMode="External"/><Relationship Id="rId23" Type="http://schemas.openxmlformats.org/officeDocument/2006/relationships/image" Target="media/image8.png"/><Relationship Id="rId22" Type="http://schemas.openxmlformats.org/officeDocument/2006/relationships/hyperlink" Target="http://www.biaozhi.net/eNews/news/200602/0029_0000000909.shtml" TargetMode="External"/><Relationship Id="rId21" Type="http://schemas.openxmlformats.org/officeDocument/2006/relationships/image" Target="media/image7.png"/><Relationship Id="rId20" Type="http://schemas.openxmlformats.org/officeDocument/2006/relationships/hyperlink" Target="http://www.biaozhi.net/eNews/news/200602/0029_0000000907.shtml" TargetMode="External"/><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jpeg"/><Relationship Id="rId17" Type="http://schemas.openxmlformats.org/officeDocument/2006/relationships/image" Target="media/image4.jpeg"/><Relationship Id="rId16" Type="http://schemas.openxmlformats.org/officeDocument/2006/relationships/image" Target="media/image3.png"/><Relationship Id="rId15" Type="http://schemas.openxmlformats.org/officeDocument/2006/relationships/image" Target="media/image2.jpe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ADD60F4-BC56-453C-9327-3B7F19DD42D2}">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64</Pages>
  <Words>7183</Words>
  <Characters>40948</Characters>
  <Lines>341</Lines>
  <Paragraphs>96</Paragraphs>
  <TotalTime>135</TotalTime>
  <ScaleCrop>false</ScaleCrop>
  <LinksUpToDate>false</LinksUpToDate>
  <CharactersWithSpaces>48035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2025-04-02T02:09:00Z</dcterms:created>
  <dc:creator>lhj</dc:creator>
  <cp:lastModifiedBy>LYQ</cp:lastModifiedBy>
  <cp:lastPrinted>2025-04-10T01:53:00Z</cp:lastPrinted>
  <dcterms:modified xsi:type="dcterms:W3CDTF">2026-03-10T03:39:05Z</dcterms:modified>
  <dc:title>附件2</dc:title>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15795C2F9ED04333A53436F0F0E93433_13</vt:lpwstr>
  </property>
</Properties>
</file>