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440"/>
        <w:jc w:val="center"/>
        <w:rPr>
          <w:rFonts w:ascii="黑体" w:hAnsi="黑体" w:eastAsia="黑体"/>
          <w:sz w:val="72"/>
        </w:rPr>
      </w:pPr>
    </w:p>
    <w:p>
      <w:pPr>
        <w:spacing w:line="480" w:lineRule="auto"/>
        <w:ind w:firstLine="1440"/>
        <w:jc w:val="center"/>
        <w:rPr>
          <w:rFonts w:ascii="黑体" w:hAnsi="黑体" w:eastAsia="黑体"/>
          <w:sz w:val="72"/>
        </w:rPr>
      </w:pPr>
    </w:p>
    <w:p>
      <w:pPr>
        <w:spacing w:line="480" w:lineRule="auto"/>
        <w:jc w:val="center"/>
        <w:rPr>
          <w:rFonts w:ascii="黑体" w:hAnsi="黑体" w:eastAsia="黑体"/>
          <w:sz w:val="72"/>
        </w:rPr>
      </w:pPr>
      <w:r>
        <w:rPr>
          <w:rFonts w:ascii="黑体" w:hAnsi="黑体" w:eastAsia="黑体"/>
          <w:sz w:val="72"/>
        </w:rPr>
        <w:t>2016</w:t>
      </w:r>
      <w:r>
        <w:rPr>
          <w:rFonts w:hint="eastAsia" w:ascii="黑体" w:hAnsi="黑体" w:eastAsia="黑体"/>
          <w:sz w:val="72"/>
        </w:rPr>
        <w:t>年度</w:t>
      </w:r>
    </w:p>
    <w:p>
      <w:pPr>
        <w:spacing w:line="480" w:lineRule="auto"/>
        <w:ind w:firstLine="1920"/>
        <w:rPr>
          <w:sz w:val="96"/>
        </w:rPr>
      </w:pPr>
    </w:p>
    <w:p>
      <w:pPr>
        <w:spacing w:line="480" w:lineRule="auto"/>
        <w:ind w:firstLine="1920"/>
        <w:rPr>
          <w:sz w:val="96"/>
        </w:rPr>
      </w:pPr>
    </w:p>
    <w:p>
      <w:pPr>
        <w:spacing w:line="480" w:lineRule="auto"/>
        <w:ind w:firstLine="1920"/>
        <w:rPr>
          <w:sz w:val="96"/>
        </w:rPr>
      </w:pPr>
    </w:p>
    <w:p>
      <w:pPr>
        <w:spacing w:line="480" w:lineRule="auto"/>
        <w:ind w:firstLine="1920"/>
        <w:rPr>
          <w:sz w:val="96"/>
        </w:rPr>
      </w:pPr>
    </w:p>
    <w:p>
      <w:pPr>
        <w:spacing w:line="480" w:lineRule="auto"/>
        <w:jc w:val="center"/>
        <w:rPr>
          <w:rFonts w:ascii="黑体" w:hAnsi="黑体" w:eastAsia="黑体"/>
          <w:sz w:val="72"/>
        </w:rPr>
      </w:pPr>
      <w:r>
        <w:rPr>
          <w:rFonts w:hint="eastAsia" w:ascii="黑体" w:hAnsi="黑体" w:eastAsia="黑体"/>
          <w:sz w:val="72"/>
        </w:rPr>
        <w:t>秦皇岛市抚宁区</w:t>
      </w:r>
    </w:p>
    <w:p>
      <w:pPr>
        <w:spacing w:line="480" w:lineRule="auto"/>
        <w:jc w:val="center"/>
        <w:rPr>
          <w:rFonts w:ascii="黑体" w:hAnsi="黑体" w:eastAsia="黑体"/>
          <w:sz w:val="72"/>
        </w:rPr>
      </w:pPr>
      <w:r>
        <w:rPr>
          <w:rFonts w:hint="eastAsia" w:ascii="黑体" w:hAnsi="黑体" w:eastAsia="黑体"/>
          <w:sz w:val="72"/>
        </w:rPr>
        <w:t>茶棚乡人民政府</w:t>
      </w:r>
    </w:p>
    <w:p>
      <w:pPr>
        <w:spacing w:line="480" w:lineRule="auto"/>
        <w:jc w:val="center"/>
        <w:rPr>
          <w:rFonts w:ascii="黑体" w:hAnsi="黑体" w:eastAsia="黑体"/>
          <w:sz w:val="72"/>
        </w:rPr>
      </w:pPr>
      <w:r>
        <w:rPr>
          <w:rFonts w:hint="eastAsia" w:ascii="黑体" w:hAnsi="黑体" w:eastAsia="黑体"/>
          <w:sz w:val="72"/>
        </w:rPr>
        <w:t>部门决算</w:t>
      </w:r>
    </w:p>
    <w:p>
      <w:pPr>
        <w:spacing w:line="480" w:lineRule="auto"/>
        <w:ind w:firstLine="880"/>
        <w:jc w:val="center"/>
        <w:rPr>
          <w:rFonts w:asciiTheme="minorEastAsia" w:hAnsiTheme="minorEastAsia" w:eastAsiaTheme="minorEastAsia"/>
          <w:sz w:val="44"/>
          <w:szCs w:val="44"/>
        </w:rPr>
      </w:pPr>
    </w:p>
    <w:p>
      <w:pPr>
        <w:ind w:firstLine="880"/>
        <w:jc w:val="center"/>
        <w:rPr>
          <w:rFonts w:asciiTheme="minorEastAsia" w:hAnsiTheme="minorEastAsia" w:eastAsiaTheme="minorEastAsia"/>
          <w:sz w:val="44"/>
          <w:szCs w:val="44"/>
        </w:rPr>
      </w:pPr>
    </w:p>
    <w:p>
      <w:pPr>
        <w:ind w:firstLine="880"/>
        <w:jc w:val="center"/>
        <w:rPr>
          <w:rFonts w:asciiTheme="minorEastAsia" w:hAnsiTheme="minorEastAsia" w:eastAsiaTheme="minorEastAsia"/>
          <w:sz w:val="44"/>
          <w:szCs w:val="44"/>
        </w:rPr>
      </w:pPr>
    </w:p>
    <w:p>
      <w:pPr>
        <w:rPr>
          <w:rFonts w:ascii="仿宋" w:hAnsi="仿宋" w:eastAsia="仿宋" w:cs="Times New Roman"/>
          <w:sz w:val="28"/>
          <w:szCs w:val="28"/>
        </w:rPr>
      </w:pPr>
    </w:p>
    <w:p>
      <w:pPr>
        <w:rPr>
          <w:rFonts w:ascii="仿宋" w:hAnsi="仿宋" w:eastAsia="仿宋" w:cs="Times New Roman"/>
          <w:sz w:val="28"/>
          <w:szCs w:val="28"/>
        </w:rPr>
      </w:pPr>
    </w:p>
    <w:p>
      <w:pPr>
        <w:ind w:firstLine="883"/>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 xml:space="preserve">目 </w:t>
      </w:r>
      <w:r>
        <w:rPr>
          <w:rFonts w:asciiTheme="minorEastAsia" w:hAnsiTheme="minorEastAsia" w:eastAsiaTheme="minorEastAsia"/>
          <w:b/>
          <w:sz w:val="44"/>
          <w:szCs w:val="44"/>
        </w:rPr>
        <w:t xml:space="preserve">  </w:t>
      </w:r>
      <w:r>
        <w:rPr>
          <w:rFonts w:hint="eastAsia" w:asciiTheme="minorEastAsia" w:hAnsiTheme="minorEastAsia" w:eastAsiaTheme="minorEastAsia"/>
          <w:b/>
          <w:sz w:val="44"/>
          <w:szCs w:val="44"/>
        </w:rPr>
        <w:t>录</w:t>
      </w:r>
    </w:p>
    <w:p>
      <w:pPr>
        <w:ind w:firstLine="883"/>
        <w:jc w:val="center"/>
        <w:rPr>
          <w:rFonts w:ascii="华文仿宋" w:hAnsi="华文仿宋" w:eastAsia="华文仿宋"/>
          <w:b/>
          <w:sz w:val="32"/>
          <w:szCs w:val="32"/>
        </w:rPr>
      </w:pPr>
    </w:p>
    <w:p>
      <w:pPr>
        <w:ind w:firstLine="640"/>
        <w:rPr>
          <w:rFonts w:ascii="黑体" w:hAnsi="华文仿宋" w:eastAsia="黑体"/>
          <w:sz w:val="32"/>
          <w:szCs w:val="32"/>
        </w:rPr>
      </w:pPr>
      <w:r>
        <w:rPr>
          <w:rFonts w:hint="eastAsia" w:ascii="黑体" w:hAnsi="华文仿宋" w:eastAsia="黑体"/>
          <w:sz w:val="32"/>
          <w:szCs w:val="32"/>
        </w:rPr>
        <w:t>第一部分   部门概况</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一、部门职责</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二、部门决算单位构成</w:t>
      </w:r>
    </w:p>
    <w:p>
      <w:pPr>
        <w:ind w:firstLine="640"/>
        <w:rPr>
          <w:rFonts w:ascii="黑体" w:hAnsi="华文仿宋" w:eastAsia="黑体"/>
          <w:sz w:val="32"/>
          <w:szCs w:val="32"/>
        </w:rPr>
      </w:pPr>
      <w:r>
        <w:rPr>
          <w:rFonts w:hint="eastAsia" w:ascii="黑体" w:hAnsi="华文仿宋" w:eastAsia="黑体"/>
          <w:sz w:val="32"/>
          <w:szCs w:val="32"/>
        </w:rPr>
        <w:t>第二部分   2016年度部门决算报表</w:t>
      </w:r>
    </w:p>
    <w:p>
      <w:pPr>
        <w:ind w:left="640" w:firstLine="640"/>
        <w:rPr>
          <w:rFonts w:ascii="华文仿宋" w:hAnsi="华文仿宋" w:eastAsia="华文仿宋"/>
          <w:sz w:val="32"/>
          <w:szCs w:val="32"/>
        </w:rPr>
      </w:pPr>
      <w:r>
        <w:rPr>
          <w:rFonts w:hint="eastAsia" w:ascii="华文仿宋" w:hAnsi="华文仿宋" w:eastAsia="华文仿宋"/>
          <w:sz w:val="32"/>
          <w:szCs w:val="32"/>
        </w:rPr>
        <w:t>一、收入支出决算总表</w:t>
      </w:r>
    </w:p>
    <w:p>
      <w:pPr>
        <w:ind w:left="640" w:firstLine="640"/>
        <w:rPr>
          <w:rFonts w:ascii="华文仿宋" w:hAnsi="华文仿宋" w:eastAsia="华文仿宋"/>
          <w:sz w:val="32"/>
          <w:szCs w:val="32"/>
        </w:rPr>
      </w:pPr>
      <w:r>
        <w:rPr>
          <w:rFonts w:hint="eastAsia" w:ascii="华文仿宋" w:hAnsi="华文仿宋" w:eastAsia="华文仿宋"/>
          <w:sz w:val="32"/>
          <w:szCs w:val="32"/>
        </w:rPr>
        <w:t>二、收入决算总表</w:t>
      </w:r>
    </w:p>
    <w:p>
      <w:pPr>
        <w:ind w:left="640" w:firstLine="640"/>
        <w:rPr>
          <w:rFonts w:ascii="华文仿宋" w:hAnsi="华文仿宋" w:eastAsia="华文仿宋"/>
          <w:sz w:val="32"/>
          <w:szCs w:val="32"/>
        </w:rPr>
      </w:pPr>
      <w:r>
        <w:rPr>
          <w:rFonts w:hint="eastAsia" w:ascii="华文仿宋" w:hAnsi="华文仿宋" w:eastAsia="华文仿宋"/>
          <w:sz w:val="32"/>
          <w:szCs w:val="32"/>
        </w:rPr>
        <w:t>三、支出决算总表</w:t>
      </w:r>
    </w:p>
    <w:p>
      <w:pPr>
        <w:ind w:left="640" w:firstLine="640"/>
        <w:rPr>
          <w:rFonts w:ascii="华文仿宋" w:hAnsi="华文仿宋" w:eastAsia="华文仿宋"/>
          <w:sz w:val="32"/>
          <w:szCs w:val="32"/>
        </w:rPr>
      </w:pPr>
      <w:r>
        <w:rPr>
          <w:rFonts w:hint="eastAsia" w:ascii="华文仿宋" w:hAnsi="华文仿宋" w:eastAsia="华文仿宋"/>
          <w:sz w:val="32"/>
          <w:szCs w:val="32"/>
        </w:rPr>
        <w:t>四、财政拨款收入支出决算总表</w:t>
      </w:r>
    </w:p>
    <w:p>
      <w:pPr>
        <w:ind w:left="640" w:firstLine="640"/>
        <w:rPr>
          <w:rFonts w:ascii="华文仿宋" w:hAnsi="华文仿宋" w:eastAsia="华文仿宋"/>
          <w:sz w:val="32"/>
          <w:szCs w:val="32"/>
        </w:rPr>
      </w:pPr>
      <w:r>
        <w:rPr>
          <w:rFonts w:hint="eastAsia" w:ascii="华文仿宋" w:hAnsi="华文仿宋" w:eastAsia="华文仿宋"/>
          <w:sz w:val="32"/>
          <w:szCs w:val="32"/>
        </w:rPr>
        <w:t>五、一般公共预算财政拨款收入支出决算表</w:t>
      </w:r>
    </w:p>
    <w:p>
      <w:pPr>
        <w:ind w:left="640" w:firstLine="640"/>
        <w:rPr>
          <w:rFonts w:ascii="华文仿宋" w:hAnsi="华文仿宋" w:eastAsia="华文仿宋"/>
          <w:sz w:val="32"/>
          <w:szCs w:val="32"/>
        </w:rPr>
      </w:pPr>
      <w:r>
        <w:rPr>
          <w:rFonts w:hint="eastAsia" w:ascii="华文仿宋" w:hAnsi="华文仿宋" w:eastAsia="华文仿宋"/>
          <w:sz w:val="32"/>
          <w:szCs w:val="32"/>
        </w:rPr>
        <w:t>六、一般公共预算财政拨款基本支出决算表</w:t>
      </w:r>
    </w:p>
    <w:p>
      <w:pPr>
        <w:ind w:left="640" w:firstLine="640"/>
        <w:rPr>
          <w:rFonts w:ascii="华文仿宋" w:hAnsi="华文仿宋" w:eastAsia="华文仿宋"/>
          <w:sz w:val="32"/>
          <w:szCs w:val="32"/>
        </w:rPr>
      </w:pPr>
      <w:r>
        <w:rPr>
          <w:rFonts w:hint="eastAsia" w:ascii="华文仿宋" w:hAnsi="华文仿宋" w:eastAsia="华文仿宋"/>
          <w:sz w:val="32"/>
          <w:szCs w:val="32"/>
        </w:rPr>
        <w:t>七、政府性基金预算财政拨款收入支出决算表</w:t>
      </w:r>
    </w:p>
    <w:p>
      <w:pPr>
        <w:ind w:left="640" w:firstLine="640"/>
        <w:rPr>
          <w:rFonts w:ascii="华文仿宋" w:hAnsi="华文仿宋" w:eastAsia="华文仿宋"/>
          <w:sz w:val="32"/>
          <w:szCs w:val="32"/>
        </w:rPr>
      </w:pPr>
      <w:r>
        <w:rPr>
          <w:rFonts w:hint="eastAsia" w:ascii="华文仿宋" w:hAnsi="华文仿宋" w:eastAsia="华文仿宋"/>
          <w:sz w:val="32"/>
          <w:szCs w:val="32"/>
        </w:rPr>
        <w:t>八、国有资本经营预算财政拨款收入支出决算表</w:t>
      </w:r>
    </w:p>
    <w:p>
      <w:pPr>
        <w:adjustRightInd w:val="0"/>
        <w:snapToGrid w:val="0"/>
        <w:spacing w:line="400" w:lineRule="exact"/>
        <w:ind w:firstLine="1280" w:firstLineChars="400"/>
        <w:rPr>
          <w:rFonts w:ascii="仿宋_GB2312" w:hAnsi="仿宋" w:eastAsia="仿宋_GB2312" w:cs="Times New Roman"/>
          <w:sz w:val="32"/>
          <w:szCs w:val="32"/>
        </w:rPr>
      </w:pPr>
      <w:r>
        <w:rPr>
          <w:rFonts w:hint="eastAsia" w:ascii="华文仿宋" w:hAnsi="华文仿宋" w:eastAsia="华文仿宋"/>
          <w:sz w:val="32"/>
          <w:szCs w:val="32"/>
        </w:rPr>
        <w:t>九、</w:t>
      </w:r>
      <w:r>
        <w:rPr>
          <w:rFonts w:hint="eastAsia" w:ascii="仿宋_GB2312" w:eastAsia="仿宋_GB2312"/>
          <w:sz w:val="32"/>
          <w:szCs w:val="32"/>
        </w:rPr>
        <w:t>“三公”经费及相关信息统计表</w:t>
      </w:r>
    </w:p>
    <w:p>
      <w:pPr>
        <w:ind w:left="640" w:firstLine="640"/>
        <w:rPr>
          <w:rFonts w:ascii="华文仿宋" w:hAnsi="华文仿宋" w:eastAsia="华文仿宋"/>
          <w:sz w:val="32"/>
          <w:szCs w:val="32"/>
        </w:rPr>
      </w:pPr>
      <w:r>
        <w:rPr>
          <w:rFonts w:hint="eastAsia" w:ascii="华文仿宋" w:hAnsi="华文仿宋" w:eastAsia="华文仿宋"/>
          <w:sz w:val="32"/>
          <w:szCs w:val="32"/>
        </w:rPr>
        <w:t>十、政府采购情况表</w:t>
      </w:r>
    </w:p>
    <w:p>
      <w:pPr>
        <w:ind w:firstLine="640"/>
        <w:rPr>
          <w:rFonts w:ascii="黑体" w:hAnsi="华文仿宋" w:eastAsia="黑体"/>
          <w:sz w:val="32"/>
          <w:szCs w:val="32"/>
        </w:rPr>
      </w:pPr>
      <w:r>
        <w:rPr>
          <w:rFonts w:hint="eastAsia" w:ascii="黑体" w:hAnsi="华文仿宋" w:eastAsia="黑体"/>
          <w:sz w:val="32"/>
          <w:szCs w:val="32"/>
        </w:rPr>
        <w:t>第三部分  2016年部门决算情况说明</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一、预算执行情况分析。</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二、一般公共预算财政拨款“三公”经费支出决算情况说明。</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三、机关运行经费支出情况的说明。</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四、政府采购情况的说明。</w:t>
      </w:r>
    </w:p>
    <w:p>
      <w:pPr>
        <w:ind w:firstLine="1273" w:firstLineChars="398"/>
        <w:rPr>
          <w:rFonts w:ascii="华文仿宋" w:hAnsi="华文仿宋" w:eastAsia="华文仿宋"/>
          <w:sz w:val="32"/>
          <w:szCs w:val="32"/>
        </w:rPr>
      </w:pPr>
      <w:r>
        <w:rPr>
          <w:rFonts w:hint="eastAsia" w:ascii="华文仿宋" w:hAnsi="华文仿宋" w:eastAsia="华文仿宋"/>
          <w:sz w:val="32"/>
          <w:szCs w:val="32"/>
        </w:rPr>
        <w:t>五、国有资产占用情况。</w:t>
      </w:r>
    </w:p>
    <w:p>
      <w:pPr>
        <w:ind w:left="640" w:firstLine="633" w:firstLineChars="198"/>
        <w:rPr>
          <w:rFonts w:ascii="华文仿宋" w:hAnsi="华文仿宋" w:eastAsia="华文仿宋"/>
          <w:sz w:val="32"/>
          <w:szCs w:val="32"/>
        </w:rPr>
      </w:pPr>
      <w:r>
        <w:rPr>
          <w:rFonts w:hint="eastAsia" w:ascii="华文仿宋" w:hAnsi="华文仿宋" w:eastAsia="华文仿宋"/>
          <w:sz w:val="32"/>
          <w:szCs w:val="32"/>
        </w:rPr>
        <w:t>六、绩效预算情况说明</w:t>
      </w:r>
    </w:p>
    <w:p>
      <w:pPr>
        <w:ind w:left="640" w:firstLine="633" w:firstLineChars="198"/>
        <w:rPr>
          <w:rFonts w:ascii="华文仿宋" w:hAnsi="华文仿宋" w:eastAsia="华文仿宋"/>
          <w:sz w:val="32"/>
          <w:szCs w:val="32"/>
        </w:rPr>
      </w:pPr>
      <w:r>
        <w:rPr>
          <w:rFonts w:hint="eastAsia" w:ascii="华文仿宋" w:hAnsi="华文仿宋" w:eastAsia="华文仿宋"/>
          <w:sz w:val="32"/>
          <w:szCs w:val="32"/>
        </w:rPr>
        <w:t>七、其他重要事项的情况说明。</w:t>
      </w:r>
    </w:p>
    <w:p>
      <w:pPr>
        <w:ind w:firstLine="640"/>
        <w:rPr>
          <w:rFonts w:ascii="黑体" w:hAnsi="华文仿宋" w:eastAsia="黑体"/>
          <w:sz w:val="32"/>
          <w:szCs w:val="32"/>
        </w:rPr>
      </w:pPr>
      <w:r>
        <w:rPr>
          <w:rFonts w:hint="eastAsia" w:ascii="黑体" w:hAnsi="华文仿宋" w:eastAsia="黑体"/>
          <w:sz w:val="32"/>
          <w:szCs w:val="32"/>
        </w:rPr>
        <w:t>第四部分  名词解释</w:t>
      </w:r>
    </w:p>
    <w:p>
      <w:pPr>
        <w:ind w:firstLine="883"/>
        <w:jc w:val="center"/>
        <w:rPr>
          <w:rFonts w:asciiTheme="minorEastAsia" w:hAnsiTheme="minorEastAsia" w:eastAsiaTheme="minorEastAsia"/>
          <w:b/>
          <w:sz w:val="44"/>
          <w:szCs w:val="44"/>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sz w:val="32"/>
          <w:szCs w:val="32"/>
        </w:rPr>
      </w:pPr>
    </w:p>
    <w:p>
      <w:pPr>
        <w:rPr>
          <w:rFonts w:ascii="仿宋_GB2312" w:hAnsi="黑体"/>
          <w:szCs w:val="32"/>
        </w:rPr>
      </w:pPr>
      <w:r>
        <w:rPr>
          <w:rFonts w:hint="eastAsia" w:ascii="黑体" w:hAnsi="黑体" w:eastAsia="黑体"/>
          <w:sz w:val="40"/>
          <w:szCs w:val="32"/>
        </w:rPr>
        <w:t>第一部分 秦皇岛市抚宁区茶棚乡人民政府部门概况</w:t>
      </w:r>
    </w:p>
    <w:p>
      <w:pPr>
        <w:ind w:firstLine="1273" w:firstLineChars="398"/>
        <w:rPr>
          <w:rFonts w:ascii="华文仿宋" w:hAnsi="华文仿宋" w:eastAsia="华文仿宋"/>
          <w:sz w:val="32"/>
          <w:szCs w:val="32"/>
        </w:rPr>
      </w:pPr>
    </w:p>
    <w:p>
      <w:pPr>
        <w:pStyle w:val="24"/>
        <w:numPr>
          <w:ilvl w:val="0"/>
          <w:numId w:val="1"/>
        </w:numPr>
        <w:ind w:firstLineChars="0"/>
        <w:rPr>
          <w:rFonts w:ascii="华文仿宋" w:hAnsi="华文仿宋" w:eastAsia="华文仿宋"/>
          <w:szCs w:val="32"/>
        </w:rPr>
      </w:pPr>
      <w:r>
        <w:rPr>
          <w:rFonts w:hint="eastAsia" w:ascii="华文仿宋" w:hAnsi="华文仿宋" w:eastAsia="华文仿宋"/>
          <w:szCs w:val="32"/>
        </w:rPr>
        <w:t>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（一）贯彻执行党和国家的路线、方针、政策、法律、法规。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（二）拟定和实施本乡农业、农村经济发展规划、年度计划。</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（三）负责本乡企业发展、企业体制改革、科技进步、经济技术协作，推动外向型经济发展。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（四）管理和指导本乡农业、企业计划、财务、统计、审计、价格、物资、设备、技术、劳动、保险、安全生产、质量、土地管理、村镇建设、环境保护等工作。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（五）指导农业、企业固定资产投资项目的咨询、论证、审查；集体经济组织的资产管理和评估；为经济发展提供经济、技术、法律、信息服务。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（六）指导和管理本乡教育、文化、科技体育、卫生、人民调解组织建设；做好法制宣传、教育、法律服务、民间纠纷调解工作。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（七）拟定和实施本乡社会治安综合治理计划，并组织、指导、协调、检查各单位工作。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（八）拟定本乡民政事业发展和年度工作计划，做好定补、救灾救济扶贫、双拥、优待、抚恤、老龄、五保、殡改等工作。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（九）搞好本乡民兵组织建设、国防教育、军事训练、征兵等工作。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（十）贯彻执行党和国家的计划生育方针、政策、法规，拟定本乡人口与计划生育的年度计划，做好调查研究，检查督促和统计工作。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（十一）编制财政预算内、预算外、自筹资金的年度预算、决算和管理，执行乡人代会审查批准的财政收支预算和区政府下达的收支任务，做好各项财政收入的征收管理、划解工作。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（十二）建立健全各项财务会计制度，加强对本乡企业、事业、行政单位财务指导管理，提高财政资金使用效益，促进经济和社会事业的协调发展。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cs="仿宋"/>
          <w:sz w:val="32"/>
          <w:szCs w:val="32"/>
        </w:rPr>
      </w:pPr>
      <w:r>
        <w:rPr>
          <w:rFonts w:hint="eastAsia" w:ascii="华文仿宋" w:hAnsi="华文仿宋" w:eastAsia="华文仿宋" w:cs="仿宋"/>
          <w:sz w:val="32"/>
          <w:szCs w:val="32"/>
        </w:rPr>
        <w:t>（十三）抓好精神文明建设，丰富群众文化生活，提倡移风易俗，反对封建迷信，破除陈规陋习，树立社会主义新风尚。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cs="仿宋"/>
          <w:sz w:val="32"/>
          <w:szCs w:val="32"/>
        </w:rPr>
      </w:pPr>
      <w:r>
        <w:rPr>
          <w:rFonts w:hint="eastAsia" w:ascii="华文仿宋" w:hAnsi="华文仿宋" w:eastAsia="华文仿宋" w:cs="仿宋"/>
          <w:sz w:val="32"/>
          <w:szCs w:val="32"/>
        </w:rPr>
        <w:t>（十四）完成上级政府交办的其它事项。</w:t>
      </w:r>
    </w:p>
    <w:p>
      <w:pPr>
        <w:ind w:firstLine="640"/>
        <w:rPr>
          <w:rFonts w:ascii="华文仿宋" w:hAnsi="华文仿宋" w:eastAsia="华文仿宋"/>
          <w:sz w:val="32"/>
          <w:szCs w:val="32"/>
        </w:rPr>
      </w:pPr>
      <w:r>
        <w:rPr>
          <w:rFonts w:hint="eastAsia" w:ascii="华文仿宋" w:hAnsi="华文仿宋" w:eastAsia="华文仿宋"/>
          <w:sz w:val="32"/>
          <w:szCs w:val="32"/>
        </w:rPr>
        <w:t>二、部门决算单位构成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华文仿宋" w:hAnsi="华文仿宋" w:eastAsia="华文仿宋"/>
          <w:sz w:val="32"/>
          <w:szCs w:val="32"/>
        </w:rPr>
      </w:pPr>
      <w:r>
        <w:rPr>
          <w:rFonts w:hint="eastAsia" w:ascii="华文仿宋" w:hAnsi="华文仿宋" w:eastAsia="华文仿宋" w:cs="仿宋"/>
          <w:sz w:val="32"/>
          <w:szCs w:val="32"/>
        </w:rPr>
        <w:t>本级决算包括秦皇岛市抚宁区茶棚乡人民政府一个一级决算单位，无下属单位。</w:t>
      </w:r>
    </w:p>
    <w:p>
      <w:pPr>
        <w:adjustRightInd w:val="0"/>
        <w:snapToGrid w:val="0"/>
        <w:spacing w:line="580" w:lineRule="exact"/>
        <w:rPr>
          <w:rFonts w:ascii="仿宋" w:hAnsi="仿宋" w:eastAsia="仿宋" w:cs="Times New Roman"/>
          <w:sz w:val="32"/>
          <w:szCs w:val="32"/>
        </w:rPr>
      </w:pPr>
    </w:p>
    <w:p>
      <w:pPr>
        <w:adjustRightInd w:val="0"/>
        <w:snapToGrid w:val="0"/>
        <w:spacing w:line="580" w:lineRule="exact"/>
        <w:rPr>
          <w:rFonts w:ascii="仿宋" w:hAnsi="仿宋" w:eastAsia="仿宋" w:cs="Times New Roman"/>
          <w:b/>
          <w:bCs/>
          <w:sz w:val="32"/>
          <w:szCs w:val="32"/>
        </w:rPr>
      </w:pPr>
    </w:p>
    <w:p>
      <w:pPr>
        <w:adjustRightInd w:val="0"/>
        <w:snapToGrid w:val="0"/>
        <w:spacing w:line="580" w:lineRule="exact"/>
        <w:rPr>
          <w:rFonts w:ascii="仿宋" w:hAnsi="仿宋" w:eastAsia="仿宋" w:cs="Times New Roman"/>
          <w:b/>
          <w:bCs/>
          <w:sz w:val="32"/>
          <w:szCs w:val="32"/>
        </w:rPr>
      </w:pPr>
    </w:p>
    <w:p>
      <w:pPr>
        <w:adjustRightInd w:val="0"/>
        <w:snapToGrid w:val="0"/>
        <w:spacing w:line="580" w:lineRule="exact"/>
        <w:rPr>
          <w:rFonts w:ascii="仿宋" w:hAnsi="仿宋" w:eastAsia="仿宋" w:cs="Times New Roman"/>
          <w:b/>
          <w:bCs/>
          <w:sz w:val="32"/>
          <w:szCs w:val="32"/>
        </w:rPr>
        <w:sectPr>
          <w:footerReference r:id="rId3" w:type="default"/>
          <w:pgSz w:w="11906" w:h="16838"/>
          <w:pgMar w:top="1871" w:right="1304" w:bottom="1758" w:left="1531" w:header="851" w:footer="992" w:gutter="0"/>
          <w:pgNumType w:fmt="chineseCounting" w:start="2"/>
          <w:cols w:space="425" w:num="1"/>
          <w:docGrid w:type="lines" w:linePitch="312" w:charSpace="0"/>
        </w:sectPr>
      </w:pPr>
    </w:p>
    <w:p>
      <w:pPr>
        <w:ind w:firstLine="800"/>
        <w:jc w:val="center"/>
        <w:rPr>
          <w:rFonts w:ascii="黑体" w:hAnsi="黑体" w:eastAsia="黑体"/>
          <w:sz w:val="40"/>
          <w:szCs w:val="32"/>
        </w:rPr>
      </w:pPr>
      <w:r>
        <w:rPr>
          <w:rFonts w:hint="eastAsia" w:ascii="黑体" w:hAnsi="黑体" w:eastAsia="黑体"/>
          <w:sz w:val="40"/>
          <w:szCs w:val="32"/>
        </w:rPr>
        <w:t>第二部分</w:t>
      </w:r>
    </w:p>
    <w:p>
      <w:pPr>
        <w:ind w:firstLine="800"/>
        <w:jc w:val="center"/>
        <w:rPr>
          <w:rFonts w:ascii="黑体" w:hAnsi="黑体" w:eastAsia="黑体"/>
          <w:sz w:val="40"/>
          <w:szCs w:val="32"/>
        </w:rPr>
      </w:pPr>
      <w:r>
        <w:rPr>
          <w:rFonts w:hint="eastAsia" w:ascii="黑体" w:hAnsi="黑体" w:eastAsia="黑体"/>
          <w:sz w:val="40"/>
          <w:szCs w:val="32"/>
        </w:rPr>
        <w:t>秦皇岛市抚宁区茶棚乡人民政府</w:t>
      </w:r>
    </w:p>
    <w:p>
      <w:pPr>
        <w:ind w:firstLine="800"/>
        <w:jc w:val="center"/>
        <w:rPr>
          <w:rFonts w:ascii="黑体" w:hAnsi="黑体" w:eastAsia="黑体"/>
          <w:sz w:val="40"/>
          <w:szCs w:val="32"/>
        </w:rPr>
      </w:pPr>
      <w:r>
        <w:rPr>
          <w:rFonts w:hint="eastAsia" w:ascii="黑体" w:hAnsi="黑体" w:eastAsia="黑体"/>
          <w:sz w:val="40"/>
          <w:szCs w:val="32"/>
        </w:rPr>
        <w:t>2016年度部门决算报表</w:t>
      </w:r>
    </w:p>
    <w:p>
      <w:pPr>
        <w:adjustRightInd w:val="0"/>
        <w:snapToGrid w:val="0"/>
        <w:spacing w:line="400" w:lineRule="exact"/>
        <w:ind w:firstLine="643" w:firstLineChars="200"/>
        <w:rPr>
          <w:rFonts w:ascii="仿宋" w:hAnsi="仿宋" w:eastAsia="仿宋" w:cs="仿宋"/>
          <w:b/>
          <w:bCs/>
          <w:sz w:val="32"/>
          <w:szCs w:val="32"/>
        </w:rPr>
      </w:pPr>
    </w:p>
    <w:p>
      <w:pPr>
        <w:ind w:firstLine="640" w:firstLineChars="200"/>
        <w:rPr>
          <w:rFonts w:ascii="仿宋_GB2312" w:eastAsia="仿宋_GB2312"/>
          <w:sz w:val="32"/>
          <w:szCs w:val="32"/>
        </w:rPr>
      </w:pPr>
      <w:r>
        <w:rPr>
          <w:rFonts w:hint="eastAsia" w:ascii="仿宋_GB2312" w:eastAsia="仿宋_GB2312"/>
          <w:sz w:val="32"/>
          <w:szCs w:val="32"/>
        </w:rPr>
        <w:t>一、收入支出决算总表</w:t>
      </w:r>
    </w:p>
    <w:p>
      <w:pPr>
        <w:adjustRightInd w:val="0"/>
        <w:snapToGrid w:val="0"/>
        <w:spacing w:line="400" w:lineRule="exact"/>
        <w:jc w:val="center"/>
        <w:rPr>
          <w:rFonts w:ascii="仿宋_GB2312" w:hAnsi="仿宋" w:eastAsia="仿宋_GB2312" w:cs="仿宋"/>
          <w:bCs/>
          <w:sz w:val="32"/>
          <w:szCs w:val="32"/>
        </w:rPr>
      </w:pPr>
      <w:r>
        <w:rPr>
          <w:rFonts w:hint="eastAsia" w:ascii="仿宋_GB2312" w:hAnsi="仿宋" w:eastAsia="仿宋_GB2312" w:cs="仿宋"/>
          <w:bCs/>
          <w:sz w:val="32"/>
          <w:szCs w:val="32"/>
        </w:rPr>
        <w:t>收入支出决算总表</w:t>
      </w:r>
    </w:p>
    <w:tbl>
      <w:tblPr>
        <w:tblStyle w:val="6"/>
        <w:tblW w:w="13420" w:type="dxa"/>
        <w:tblInd w:w="93" w:type="dxa"/>
        <w:tblLayout w:type="fixed"/>
        <w:tblCellMar>
          <w:top w:w="0" w:type="dxa"/>
          <w:left w:w="108" w:type="dxa"/>
          <w:bottom w:w="0" w:type="dxa"/>
          <w:right w:w="108" w:type="dxa"/>
        </w:tblCellMar>
      </w:tblPr>
      <w:tblGrid>
        <w:gridCol w:w="3520"/>
        <w:gridCol w:w="580"/>
        <w:gridCol w:w="2260"/>
        <w:gridCol w:w="4220"/>
        <w:gridCol w:w="580"/>
        <w:gridCol w:w="2260"/>
      </w:tblGrid>
      <w:tr>
        <w:tblPrEx>
          <w:tblLayout w:type="fixed"/>
          <w:tblCellMar>
            <w:top w:w="0" w:type="dxa"/>
            <w:left w:w="108" w:type="dxa"/>
            <w:bottom w:w="0" w:type="dxa"/>
            <w:right w:w="108" w:type="dxa"/>
          </w:tblCellMar>
        </w:tblPrEx>
        <w:trPr>
          <w:trHeight w:val="255" w:hRule="atLeast"/>
        </w:trPr>
        <w:tc>
          <w:tcPr>
            <w:tcW w:w="352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58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226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422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58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2260" w:type="dxa"/>
            <w:tcBorders>
              <w:top w:val="nil"/>
              <w:left w:val="nil"/>
              <w:bottom w:val="nil"/>
              <w:right w:val="nil"/>
            </w:tcBorders>
            <w:shd w:val="clear" w:color="auto" w:fill="auto"/>
            <w:vAlign w:val="bottom"/>
          </w:tcPr>
          <w:p>
            <w:pPr>
              <w:widowControl/>
              <w:jc w:val="right"/>
              <w:rPr>
                <w:rFonts w:ascii="宋体" w:hAnsi="宋体" w:cs="Arial"/>
                <w:kern w:val="0"/>
                <w:sz w:val="20"/>
                <w:szCs w:val="20"/>
              </w:rPr>
            </w:pPr>
            <w:r>
              <w:rPr>
                <w:rFonts w:hint="eastAsia" w:ascii="宋体" w:hAnsi="宋体" w:cs="Arial"/>
                <w:kern w:val="0"/>
                <w:sz w:val="20"/>
                <w:szCs w:val="20"/>
              </w:rPr>
              <w:t>公开01表</w:t>
            </w:r>
          </w:p>
        </w:tc>
      </w:tr>
      <w:tr>
        <w:tblPrEx>
          <w:tblLayout w:type="fixed"/>
          <w:tblCellMar>
            <w:top w:w="0" w:type="dxa"/>
            <w:left w:w="108" w:type="dxa"/>
            <w:bottom w:w="0" w:type="dxa"/>
            <w:right w:w="108" w:type="dxa"/>
          </w:tblCellMar>
        </w:tblPrEx>
        <w:trPr>
          <w:trHeight w:val="300" w:hRule="atLeast"/>
        </w:trPr>
        <w:tc>
          <w:tcPr>
            <w:tcW w:w="3520" w:type="dxa"/>
            <w:tcBorders>
              <w:top w:val="nil"/>
              <w:left w:val="nil"/>
              <w:bottom w:val="nil"/>
              <w:right w:val="nil"/>
            </w:tcBorders>
            <w:shd w:val="clear" w:color="auto" w:fill="auto"/>
            <w:vAlign w:val="bottom"/>
          </w:tcPr>
          <w:p>
            <w:pPr>
              <w:widowControl/>
              <w:jc w:val="left"/>
              <w:rPr>
                <w:rFonts w:ascii="宋体" w:hAnsi="宋体" w:cs="Arial"/>
                <w:kern w:val="0"/>
                <w:sz w:val="20"/>
                <w:szCs w:val="20"/>
              </w:rPr>
            </w:pPr>
            <w:r>
              <w:rPr>
                <w:rFonts w:hint="eastAsia" w:ascii="宋体" w:hAnsi="宋体" w:cs="Arial"/>
                <w:kern w:val="0"/>
                <w:sz w:val="20"/>
                <w:szCs w:val="20"/>
              </w:rPr>
              <w:t>部门：秦皇岛市抚宁区茶棚乡人民政府</w:t>
            </w:r>
          </w:p>
        </w:tc>
        <w:tc>
          <w:tcPr>
            <w:tcW w:w="58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2260" w:type="dxa"/>
            <w:tcBorders>
              <w:top w:val="nil"/>
              <w:left w:val="nil"/>
              <w:bottom w:val="nil"/>
              <w:right w:val="nil"/>
            </w:tcBorders>
            <w:shd w:val="clear" w:color="auto" w:fill="auto"/>
            <w:vAlign w:val="bottom"/>
          </w:tcPr>
          <w:p>
            <w:pPr>
              <w:widowControl/>
              <w:jc w:val="center"/>
              <w:rPr>
                <w:rFonts w:ascii="宋体" w:hAnsi="宋体" w:cs="Arial"/>
                <w:kern w:val="0"/>
                <w:sz w:val="24"/>
                <w:szCs w:val="24"/>
              </w:rPr>
            </w:pPr>
            <w:r>
              <w:rPr>
                <w:rFonts w:hint="eastAsia" w:ascii="宋体" w:hAnsi="宋体" w:cs="Arial"/>
                <w:kern w:val="0"/>
                <w:sz w:val="24"/>
                <w:szCs w:val="24"/>
              </w:rPr>
              <w:t xml:space="preserve">        2016年度</w:t>
            </w:r>
          </w:p>
        </w:tc>
        <w:tc>
          <w:tcPr>
            <w:tcW w:w="422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580" w:type="dxa"/>
            <w:tcBorders>
              <w:top w:val="nil"/>
              <w:left w:val="nil"/>
              <w:bottom w:val="nil"/>
              <w:right w:val="nil"/>
            </w:tcBorders>
            <w:shd w:val="clear" w:color="auto" w:fill="auto"/>
            <w:vAlign w:val="bottom"/>
          </w:tcPr>
          <w:p>
            <w:pPr>
              <w:widowControl/>
              <w:jc w:val="left"/>
              <w:rPr>
                <w:rFonts w:ascii="Arial" w:hAnsi="Arial" w:cs="Arial"/>
                <w:kern w:val="0"/>
                <w:sz w:val="20"/>
                <w:szCs w:val="20"/>
              </w:rPr>
            </w:pPr>
          </w:p>
        </w:tc>
        <w:tc>
          <w:tcPr>
            <w:tcW w:w="2260" w:type="dxa"/>
            <w:tcBorders>
              <w:top w:val="nil"/>
              <w:left w:val="nil"/>
              <w:bottom w:val="nil"/>
              <w:right w:val="nil"/>
            </w:tcBorders>
            <w:shd w:val="clear" w:color="auto" w:fill="auto"/>
            <w:vAlign w:val="bottom"/>
          </w:tcPr>
          <w:p>
            <w:pPr>
              <w:widowControl/>
              <w:jc w:val="right"/>
              <w:rPr>
                <w:rFonts w:ascii="宋体" w:hAnsi="宋体" w:cs="Arial"/>
                <w:kern w:val="0"/>
                <w:sz w:val="20"/>
                <w:szCs w:val="20"/>
              </w:rPr>
            </w:pPr>
            <w:r>
              <w:rPr>
                <w:rFonts w:hint="eastAsia" w:ascii="宋体" w:hAnsi="宋体" w:cs="Arial"/>
                <w:kern w:val="0"/>
                <w:sz w:val="20"/>
                <w:szCs w:val="20"/>
              </w:rPr>
              <w:t>单位：万元</w:t>
            </w:r>
          </w:p>
        </w:tc>
      </w:tr>
      <w:tr>
        <w:tblPrEx>
          <w:tblLayout w:type="fixed"/>
          <w:tblCellMar>
            <w:top w:w="0" w:type="dxa"/>
            <w:left w:w="108" w:type="dxa"/>
            <w:bottom w:w="0" w:type="dxa"/>
            <w:right w:w="108" w:type="dxa"/>
          </w:tblCellMar>
        </w:tblPrEx>
        <w:trPr>
          <w:trHeight w:val="308" w:hRule="atLeast"/>
        </w:trPr>
        <w:tc>
          <w:tcPr>
            <w:tcW w:w="6360" w:type="dxa"/>
            <w:gridSpan w:val="3"/>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收入</w:t>
            </w:r>
          </w:p>
        </w:tc>
        <w:tc>
          <w:tcPr>
            <w:tcW w:w="7060" w:type="dxa"/>
            <w:gridSpan w:val="3"/>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支出</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项目</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行次</w:t>
            </w:r>
          </w:p>
        </w:tc>
        <w:tc>
          <w:tcPr>
            <w:tcW w:w="22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决算数</w:t>
            </w:r>
          </w:p>
        </w:tc>
        <w:tc>
          <w:tcPr>
            <w:tcW w:w="42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项目</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行次</w:t>
            </w:r>
          </w:p>
        </w:tc>
        <w:tc>
          <w:tcPr>
            <w:tcW w:w="226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决算数</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栏次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　</w:t>
            </w:r>
          </w:p>
        </w:tc>
        <w:tc>
          <w:tcPr>
            <w:tcW w:w="22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w:t>
            </w:r>
          </w:p>
        </w:tc>
        <w:tc>
          <w:tcPr>
            <w:tcW w:w="42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栏次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　</w:t>
            </w:r>
          </w:p>
        </w:tc>
        <w:tc>
          <w:tcPr>
            <w:tcW w:w="226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一、财政拨款收入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975.39</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一、一般公共服务支出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29</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559.13</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二、上级补助收入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二、外交支出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30</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三、事业收入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三、国防支出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31</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四、经营收入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四、公共安全支出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32</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五、附属单位上缴收入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五、教育支出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33</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六、其他收入</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6</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六、科学技术支出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34</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7</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七、文化体育与传媒支出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35</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8</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八、社会保障和就业支出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36</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192.91</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9</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九、医疗卫生与计划生育支出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37</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32.42</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10</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十、节能环保支出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38</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11</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十一、城乡社区支出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39</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12</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十二、农林水支出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40</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164.92</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13</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十三、交通运输支出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41</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14</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十四、资源勘探信息等支出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42</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15</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十五、商业服务业等支出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43</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16</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十六、金融支出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44</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17</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十七、援助其他地区支出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45</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18</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十八、国土海洋气象等支出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46</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19</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十九、住房保障支出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47</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26.01</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20</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二十、粮油物资储备支出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48</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21</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二十一、其他支出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49</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22</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二十二、债务还本支出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50</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23</w:t>
            </w:r>
          </w:p>
        </w:tc>
        <w:tc>
          <w:tcPr>
            <w:tcW w:w="226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二十三、债务付息支出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51</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b/>
                <w:bCs/>
                <w:kern w:val="0"/>
                <w:sz w:val="22"/>
                <w:szCs w:val="22"/>
              </w:rPr>
            </w:pPr>
            <w:r>
              <w:rPr>
                <w:rFonts w:hint="eastAsia" w:ascii="宋体" w:hAnsi="宋体" w:cs="Arial"/>
                <w:b/>
                <w:bCs/>
                <w:kern w:val="0"/>
                <w:sz w:val="22"/>
                <w:szCs w:val="22"/>
              </w:rPr>
              <w:t>本年收入合计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24</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975.39</w:t>
            </w:r>
          </w:p>
        </w:tc>
        <w:tc>
          <w:tcPr>
            <w:tcW w:w="42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b/>
                <w:bCs/>
                <w:kern w:val="0"/>
                <w:sz w:val="22"/>
                <w:szCs w:val="22"/>
              </w:rPr>
            </w:pPr>
            <w:r>
              <w:rPr>
                <w:rFonts w:hint="eastAsia" w:ascii="宋体" w:hAnsi="宋体" w:cs="Arial"/>
                <w:b/>
                <w:bCs/>
                <w:kern w:val="0"/>
                <w:sz w:val="22"/>
                <w:szCs w:val="22"/>
              </w:rPr>
              <w:t>本年支出合计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52</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975.39</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xml:space="preserve">    用事业基金弥补收支差额</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25</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xml:space="preserve">    结余分配</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53</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xml:space="preserve">    年初结转和结余</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26</w:t>
            </w:r>
          </w:p>
        </w:tc>
        <w:tc>
          <w:tcPr>
            <w:tcW w:w="22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c>
          <w:tcPr>
            <w:tcW w:w="422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kern w:val="0"/>
                <w:sz w:val="22"/>
                <w:szCs w:val="22"/>
              </w:rPr>
            </w:pPr>
            <w:r>
              <w:rPr>
                <w:rFonts w:hint="eastAsia" w:ascii="宋体" w:hAnsi="宋体" w:cs="Arial"/>
                <w:kern w:val="0"/>
                <w:sz w:val="22"/>
                <w:szCs w:val="22"/>
              </w:rPr>
              <w:t xml:space="preserve">    年末结转和结余</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54</w:t>
            </w:r>
          </w:p>
        </w:tc>
        <w:tc>
          <w:tcPr>
            <w:tcW w:w="22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0.00</w:t>
            </w:r>
          </w:p>
        </w:tc>
      </w:tr>
      <w:tr>
        <w:tblPrEx>
          <w:tblLayout w:type="fixed"/>
          <w:tblCellMar>
            <w:top w:w="0" w:type="dxa"/>
            <w:left w:w="108" w:type="dxa"/>
            <w:bottom w:w="0" w:type="dxa"/>
            <w:right w:w="108" w:type="dxa"/>
          </w:tblCellMar>
        </w:tblPrEx>
        <w:trPr>
          <w:trHeight w:val="308" w:hRule="atLeast"/>
        </w:trPr>
        <w:tc>
          <w:tcPr>
            <w:tcW w:w="3520" w:type="dxa"/>
            <w:tcBorders>
              <w:top w:val="nil"/>
              <w:left w:val="single" w:color="000000" w:sz="8" w:space="0"/>
              <w:bottom w:val="nil"/>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nil"/>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27</w:t>
            </w:r>
          </w:p>
        </w:tc>
        <w:tc>
          <w:tcPr>
            <w:tcW w:w="2260" w:type="dxa"/>
            <w:tcBorders>
              <w:top w:val="nil"/>
              <w:left w:val="nil"/>
              <w:bottom w:val="nil"/>
              <w:right w:val="single" w:color="000000" w:sz="4"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c>
          <w:tcPr>
            <w:tcW w:w="4220" w:type="dxa"/>
            <w:tcBorders>
              <w:top w:val="nil"/>
              <w:left w:val="nil"/>
              <w:bottom w:val="nil"/>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　</w:t>
            </w:r>
          </w:p>
        </w:tc>
        <w:tc>
          <w:tcPr>
            <w:tcW w:w="580" w:type="dxa"/>
            <w:tcBorders>
              <w:top w:val="nil"/>
              <w:left w:val="nil"/>
              <w:bottom w:val="nil"/>
              <w:right w:val="single" w:color="000000"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55</w:t>
            </w:r>
          </w:p>
        </w:tc>
        <w:tc>
          <w:tcPr>
            <w:tcW w:w="2260" w:type="dxa"/>
            <w:tcBorders>
              <w:top w:val="nil"/>
              <w:left w:val="nil"/>
              <w:bottom w:val="nil"/>
              <w:right w:val="single" w:color="000000" w:sz="8" w:space="0"/>
            </w:tcBorders>
            <w:shd w:val="clear" w:color="000000" w:fill="FFFFFF"/>
            <w:vAlign w:val="center"/>
          </w:tcPr>
          <w:p>
            <w:pPr>
              <w:widowControl/>
              <w:jc w:val="left"/>
              <w:rPr>
                <w:rFonts w:ascii="宋体" w:hAnsi="宋体" w:cs="Arial"/>
                <w:kern w:val="0"/>
                <w:sz w:val="22"/>
                <w:szCs w:val="22"/>
              </w:rPr>
            </w:pPr>
            <w:r>
              <w:rPr>
                <w:rFonts w:hint="eastAsia" w:ascii="宋体" w:hAnsi="宋体" w:cs="Arial"/>
                <w:kern w:val="0"/>
                <w:sz w:val="22"/>
                <w:szCs w:val="22"/>
              </w:rPr>
              <w:t>　</w:t>
            </w:r>
          </w:p>
        </w:tc>
      </w:tr>
      <w:tr>
        <w:tblPrEx>
          <w:tblLayout w:type="fixed"/>
          <w:tblCellMar>
            <w:top w:w="0" w:type="dxa"/>
            <w:left w:w="108" w:type="dxa"/>
            <w:bottom w:w="0" w:type="dxa"/>
            <w:right w:w="108" w:type="dxa"/>
          </w:tblCellMar>
        </w:tblPrEx>
        <w:trPr>
          <w:trHeight w:val="308" w:hRule="atLeast"/>
        </w:trPr>
        <w:tc>
          <w:tcPr>
            <w:tcW w:w="352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b/>
                <w:bCs/>
                <w:kern w:val="0"/>
                <w:sz w:val="22"/>
                <w:szCs w:val="22"/>
              </w:rPr>
            </w:pPr>
            <w:r>
              <w:rPr>
                <w:rFonts w:hint="eastAsia" w:ascii="宋体" w:hAnsi="宋体" w:cs="Arial"/>
                <w:b/>
                <w:bCs/>
                <w:kern w:val="0"/>
                <w:sz w:val="22"/>
                <w:szCs w:val="22"/>
              </w:rPr>
              <w:t>总计</w:t>
            </w:r>
          </w:p>
        </w:tc>
        <w:tc>
          <w:tcPr>
            <w:tcW w:w="580" w:type="dxa"/>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28</w:t>
            </w:r>
          </w:p>
        </w:tc>
        <w:tc>
          <w:tcPr>
            <w:tcW w:w="226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975.39</w:t>
            </w:r>
          </w:p>
        </w:tc>
        <w:tc>
          <w:tcPr>
            <w:tcW w:w="4220" w:type="dxa"/>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b/>
                <w:bCs/>
                <w:kern w:val="0"/>
                <w:sz w:val="22"/>
                <w:szCs w:val="22"/>
              </w:rPr>
            </w:pPr>
            <w:r>
              <w:rPr>
                <w:rFonts w:hint="eastAsia" w:ascii="宋体" w:hAnsi="宋体" w:cs="Arial"/>
                <w:b/>
                <w:bCs/>
                <w:kern w:val="0"/>
                <w:sz w:val="22"/>
                <w:szCs w:val="22"/>
              </w:rPr>
              <w:t>总计</w:t>
            </w:r>
          </w:p>
        </w:tc>
        <w:tc>
          <w:tcPr>
            <w:tcW w:w="580" w:type="dxa"/>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kern w:val="0"/>
                <w:sz w:val="22"/>
                <w:szCs w:val="22"/>
              </w:rPr>
            </w:pPr>
            <w:r>
              <w:rPr>
                <w:rFonts w:hint="eastAsia" w:ascii="宋体" w:hAnsi="宋体" w:cs="Arial"/>
                <w:kern w:val="0"/>
                <w:sz w:val="22"/>
                <w:szCs w:val="22"/>
              </w:rPr>
              <w:t>56</w:t>
            </w:r>
          </w:p>
        </w:tc>
        <w:tc>
          <w:tcPr>
            <w:tcW w:w="226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kern w:val="0"/>
                <w:sz w:val="22"/>
                <w:szCs w:val="22"/>
              </w:rPr>
            </w:pPr>
            <w:r>
              <w:rPr>
                <w:rFonts w:hint="eastAsia" w:ascii="宋体" w:hAnsi="宋体" w:cs="Arial"/>
                <w:kern w:val="0"/>
                <w:sz w:val="22"/>
                <w:szCs w:val="22"/>
              </w:rPr>
              <w:t>975.39</w:t>
            </w:r>
          </w:p>
        </w:tc>
      </w:tr>
      <w:tr>
        <w:tblPrEx>
          <w:tblLayout w:type="fixed"/>
          <w:tblCellMar>
            <w:top w:w="0" w:type="dxa"/>
            <w:left w:w="108" w:type="dxa"/>
            <w:bottom w:w="0" w:type="dxa"/>
            <w:right w:w="108" w:type="dxa"/>
          </w:tblCellMar>
        </w:tblPrEx>
        <w:trPr>
          <w:trHeight w:val="308" w:hRule="atLeast"/>
        </w:trPr>
        <w:tc>
          <w:tcPr>
            <w:tcW w:w="13420" w:type="dxa"/>
            <w:gridSpan w:val="6"/>
            <w:tcBorders>
              <w:top w:val="nil"/>
              <w:left w:val="nil"/>
              <w:bottom w:val="nil"/>
              <w:right w:val="nil"/>
            </w:tcBorders>
            <w:shd w:val="clear" w:color="auto" w:fill="auto"/>
            <w:vAlign w:val="center"/>
          </w:tcPr>
          <w:p>
            <w:pPr>
              <w:widowControl/>
              <w:jc w:val="left"/>
              <w:rPr>
                <w:rFonts w:ascii="宋体" w:hAnsi="宋体" w:cs="Arial"/>
                <w:kern w:val="0"/>
                <w:sz w:val="22"/>
                <w:szCs w:val="22"/>
              </w:rPr>
            </w:pPr>
            <w:r>
              <w:rPr>
                <w:rFonts w:hint="eastAsia" w:ascii="宋体" w:hAnsi="宋体" w:cs="Arial"/>
                <w:kern w:val="0"/>
                <w:sz w:val="22"/>
                <w:szCs w:val="22"/>
              </w:rPr>
              <w:t>注：本表反映部门本年度的总收支和年末结转结余情况。</w:t>
            </w: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二、收入决算总表</w:t>
      </w:r>
    </w:p>
    <w:p>
      <w:pPr>
        <w:adjustRightInd w:val="0"/>
        <w:snapToGrid w:val="0"/>
        <w:spacing w:line="580" w:lineRule="exact"/>
        <w:ind w:firstLine="640" w:firstLineChars="200"/>
        <w:jc w:val="center"/>
        <w:rPr>
          <w:rFonts w:ascii="仿宋_GB2312" w:hAnsi="仿宋" w:eastAsia="仿宋_GB2312" w:cs="Times New Roman"/>
          <w:sz w:val="32"/>
          <w:szCs w:val="32"/>
        </w:rPr>
      </w:pPr>
      <w:r>
        <w:rPr>
          <w:rFonts w:hint="eastAsia" w:ascii="仿宋_GB2312" w:hAnsi="仿宋" w:eastAsia="仿宋_GB2312" w:cs="Times New Roman"/>
          <w:sz w:val="32"/>
          <w:szCs w:val="32"/>
        </w:rPr>
        <w:t>收入决算总表</w:t>
      </w:r>
    </w:p>
    <w:p>
      <w:pPr>
        <w:adjustRightInd w:val="0"/>
        <w:snapToGrid w:val="0"/>
        <w:spacing w:line="580" w:lineRule="exact"/>
        <w:ind w:firstLine="400" w:firstLineChars="200"/>
        <w:jc w:val="right"/>
        <w:rPr>
          <w:rFonts w:cs="Times New Roman" w:asciiTheme="minorEastAsia" w:hAnsiTheme="minorEastAsia" w:eastAsiaTheme="minorEastAsia"/>
          <w:sz w:val="20"/>
          <w:szCs w:val="20"/>
        </w:rPr>
      </w:pPr>
      <w:r>
        <w:rPr>
          <w:rFonts w:hint="eastAsia" w:cs="Times New Roman" w:asciiTheme="minorEastAsia" w:hAnsiTheme="minorEastAsia" w:eastAsiaTheme="minorEastAsia"/>
          <w:sz w:val="20"/>
          <w:szCs w:val="20"/>
        </w:rPr>
        <w:t xml:space="preserve">     公开02表</w:t>
      </w:r>
    </w:p>
    <w:tbl>
      <w:tblPr>
        <w:tblStyle w:val="6"/>
        <w:tblW w:w="13750" w:type="dxa"/>
        <w:tblInd w:w="93" w:type="dxa"/>
        <w:tblLayout w:type="fixed"/>
        <w:tblCellMar>
          <w:top w:w="0" w:type="dxa"/>
          <w:left w:w="108" w:type="dxa"/>
          <w:bottom w:w="0" w:type="dxa"/>
          <w:right w:w="108" w:type="dxa"/>
        </w:tblCellMar>
      </w:tblPr>
      <w:tblGrid>
        <w:gridCol w:w="1020"/>
        <w:gridCol w:w="4430"/>
        <w:gridCol w:w="1800"/>
        <w:gridCol w:w="1696"/>
        <w:gridCol w:w="104"/>
        <w:gridCol w:w="940"/>
        <w:gridCol w:w="940"/>
        <w:gridCol w:w="940"/>
        <w:gridCol w:w="940"/>
        <w:gridCol w:w="940"/>
      </w:tblGrid>
      <w:tr>
        <w:tblPrEx>
          <w:tblLayout w:type="fixed"/>
          <w:tblCellMar>
            <w:top w:w="0" w:type="dxa"/>
            <w:left w:w="108" w:type="dxa"/>
            <w:bottom w:w="0" w:type="dxa"/>
            <w:right w:w="108" w:type="dxa"/>
          </w:tblCellMar>
        </w:tblPrEx>
        <w:trPr>
          <w:trHeight w:val="255" w:hRule="atLeast"/>
        </w:trPr>
        <w:tc>
          <w:tcPr>
            <w:tcW w:w="5450" w:type="dxa"/>
            <w:gridSpan w:val="2"/>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18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696"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044" w:type="dxa"/>
            <w:gridSpan w:val="2"/>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p>
        </w:tc>
        <w:tc>
          <w:tcPr>
            <w:tcW w:w="9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9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80" w:type="dxa"/>
            <w:gridSpan w:val="2"/>
            <w:tcBorders>
              <w:top w:val="nil"/>
              <w:left w:val="nil"/>
              <w:bottom w:val="nil"/>
              <w:right w:val="nil"/>
            </w:tcBorders>
            <w:shd w:val="clear" w:color="auto" w:fill="auto"/>
            <w:vAlign w:val="bottom"/>
          </w:tcPr>
          <w:p>
            <w:pPr>
              <w:widowControl/>
              <w:ind w:right="400"/>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trHeight w:val="308" w:hRule="atLeast"/>
        </w:trPr>
        <w:tc>
          <w:tcPr>
            <w:tcW w:w="5450" w:type="dxa"/>
            <w:gridSpan w:val="2"/>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w:t>
            </w:r>
          </w:p>
        </w:tc>
        <w:tc>
          <w:tcPr>
            <w:tcW w:w="180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本年收入合计</w:t>
            </w:r>
          </w:p>
        </w:tc>
        <w:tc>
          <w:tcPr>
            <w:tcW w:w="1800" w:type="dxa"/>
            <w:gridSpan w:val="2"/>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财政拨款收入</w:t>
            </w:r>
          </w:p>
        </w:tc>
        <w:tc>
          <w:tcPr>
            <w:tcW w:w="9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上级补助收入</w:t>
            </w:r>
          </w:p>
        </w:tc>
        <w:tc>
          <w:tcPr>
            <w:tcW w:w="9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事业收入</w:t>
            </w:r>
          </w:p>
        </w:tc>
        <w:tc>
          <w:tcPr>
            <w:tcW w:w="9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经营收入</w:t>
            </w:r>
          </w:p>
        </w:tc>
        <w:tc>
          <w:tcPr>
            <w:tcW w:w="9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附属单位上缴收入</w:t>
            </w:r>
          </w:p>
        </w:tc>
        <w:tc>
          <w:tcPr>
            <w:tcW w:w="940"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其他收入</w:t>
            </w:r>
          </w:p>
        </w:tc>
      </w:tr>
      <w:tr>
        <w:tblPrEx>
          <w:tblLayout w:type="fixed"/>
          <w:tblCellMar>
            <w:top w:w="0" w:type="dxa"/>
            <w:left w:w="108" w:type="dxa"/>
            <w:bottom w:w="0" w:type="dxa"/>
            <w:right w:w="108" w:type="dxa"/>
          </w:tblCellMar>
        </w:tblPrEx>
        <w:trPr>
          <w:trHeight w:val="312" w:hRule="atLeast"/>
        </w:trPr>
        <w:tc>
          <w:tcPr>
            <w:tcW w:w="1020" w:type="dxa"/>
            <w:vMerge w:val="restart"/>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44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020" w:type="dxa"/>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020" w:type="dxa"/>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4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5450" w:type="dxa"/>
            <w:gridSpan w:val="2"/>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栏次</w:t>
            </w:r>
          </w:p>
        </w:tc>
        <w:tc>
          <w:tcPr>
            <w:tcW w:w="18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1</w:t>
            </w:r>
          </w:p>
        </w:tc>
        <w:tc>
          <w:tcPr>
            <w:tcW w:w="1800" w:type="dxa"/>
            <w:gridSpan w:val="2"/>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w:t>
            </w:r>
          </w:p>
        </w:tc>
        <w:tc>
          <w:tcPr>
            <w:tcW w:w="9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3</w:t>
            </w:r>
          </w:p>
        </w:tc>
        <w:tc>
          <w:tcPr>
            <w:tcW w:w="9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4</w:t>
            </w:r>
          </w:p>
        </w:tc>
        <w:tc>
          <w:tcPr>
            <w:tcW w:w="9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5</w:t>
            </w:r>
          </w:p>
        </w:tc>
        <w:tc>
          <w:tcPr>
            <w:tcW w:w="9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6</w:t>
            </w:r>
          </w:p>
        </w:tc>
        <w:tc>
          <w:tcPr>
            <w:tcW w:w="94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7</w:t>
            </w:r>
          </w:p>
        </w:tc>
      </w:tr>
      <w:tr>
        <w:tblPrEx>
          <w:tblLayout w:type="fixed"/>
          <w:tblCellMar>
            <w:top w:w="0" w:type="dxa"/>
            <w:left w:w="108" w:type="dxa"/>
            <w:bottom w:w="0" w:type="dxa"/>
            <w:right w:w="108" w:type="dxa"/>
          </w:tblCellMar>
        </w:tblPrEx>
        <w:trPr>
          <w:trHeight w:val="308" w:hRule="atLeast"/>
        </w:trPr>
        <w:tc>
          <w:tcPr>
            <w:tcW w:w="5450" w:type="dxa"/>
            <w:gridSpan w:val="2"/>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8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8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9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9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9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9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94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行政运行</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其他财政事务支出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归口管理的行政单位离退休</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抚恤</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死亡抚恤</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医疗保障</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计划生育事务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其他计划生育事务支出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农林水支出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农村综合改革</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000000" w:sz="4" w:space="0"/>
              <w:left w:val="single" w:color="000000" w:sz="8" w:space="0"/>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2130705</w:t>
            </w:r>
          </w:p>
        </w:tc>
        <w:tc>
          <w:tcPr>
            <w:tcW w:w="4430" w:type="dxa"/>
            <w:tcBorders>
              <w:top w:val="nil"/>
              <w:left w:val="nil"/>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对村民委员会和村党支部的补助</w:t>
            </w:r>
          </w:p>
        </w:tc>
        <w:tc>
          <w:tcPr>
            <w:tcW w:w="180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gridSpan w:val="2"/>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9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nil"/>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443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8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9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gridSpan w:val="2"/>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3750" w:type="dxa"/>
            <w:gridSpan w:val="10"/>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注：本表反映部门本年度取得的各项收入情况。</w:t>
            </w:r>
          </w:p>
        </w:tc>
      </w:tr>
    </w:tbl>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三、支出决算总表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支出决算总表</w:t>
      </w:r>
    </w:p>
    <w:tbl>
      <w:tblPr>
        <w:tblStyle w:val="6"/>
        <w:tblW w:w="14190" w:type="dxa"/>
        <w:tblInd w:w="93" w:type="dxa"/>
        <w:tblLayout w:type="fixed"/>
        <w:tblCellMar>
          <w:top w:w="0" w:type="dxa"/>
          <w:left w:w="108" w:type="dxa"/>
          <w:bottom w:w="0" w:type="dxa"/>
          <w:right w:w="108" w:type="dxa"/>
        </w:tblCellMar>
      </w:tblPr>
      <w:tblGrid>
        <w:gridCol w:w="340"/>
        <w:gridCol w:w="340"/>
        <w:gridCol w:w="340"/>
        <w:gridCol w:w="4430"/>
        <w:gridCol w:w="1800"/>
        <w:gridCol w:w="1800"/>
        <w:gridCol w:w="1340"/>
        <w:gridCol w:w="1340"/>
        <w:gridCol w:w="1340"/>
        <w:gridCol w:w="1120"/>
      </w:tblGrid>
      <w:tr>
        <w:tblPrEx>
          <w:tblLayout w:type="fixed"/>
          <w:tblCellMar>
            <w:top w:w="0" w:type="dxa"/>
            <w:left w:w="108" w:type="dxa"/>
            <w:bottom w:w="0" w:type="dxa"/>
            <w:right w:w="108" w:type="dxa"/>
          </w:tblCellMar>
        </w:tblPrEx>
        <w:trPr>
          <w:trHeight w:val="255" w:hRule="atLeast"/>
        </w:trPr>
        <w:tc>
          <w:tcPr>
            <w:tcW w:w="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公开03表</w:t>
            </w:r>
          </w:p>
        </w:tc>
      </w:tr>
      <w:tr>
        <w:tblPrEx>
          <w:tblLayout w:type="fixed"/>
          <w:tblCellMar>
            <w:top w:w="0" w:type="dxa"/>
            <w:left w:w="108" w:type="dxa"/>
            <w:bottom w:w="0" w:type="dxa"/>
            <w:right w:w="108" w:type="dxa"/>
          </w:tblCellMar>
        </w:tblPrEx>
        <w:trPr>
          <w:trHeight w:val="255" w:hRule="atLeast"/>
        </w:trPr>
        <w:tc>
          <w:tcPr>
            <w:tcW w:w="5450" w:type="dxa"/>
            <w:gridSpan w:val="4"/>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18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00"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12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trHeight w:val="312" w:hRule="atLeast"/>
        </w:trPr>
        <w:tc>
          <w:tcPr>
            <w:tcW w:w="5450" w:type="dxa"/>
            <w:gridSpan w:val="4"/>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w:t>
            </w:r>
          </w:p>
        </w:tc>
        <w:tc>
          <w:tcPr>
            <w:tcW w:w="180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本年支出合计</w:t>
            </w:r>
          </w:p>
        </w:tc>
        <w:tc>
          <w:tcPr>
            <w:tcW w:w="180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3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c>
          <w:tcPr>
            <w:tcW w:w="13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上缴上级支出</w:t>
            </w:r>
          </w:p>
        </w:tc>
        <w:tc>
          <w:tcPr>
            <w:tcW w:w="13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经营支出</w:t>
            </w:r>
          </w:p>
        </w:tc>
        <w:tc>
          <w:tcPr>
            <w:tcW w:w="1120"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对附属单位补助支出</w:t>
            </w:r>
          </w:p>
        </w:tc>
      </w:tr>
      <w:tr>
        <w:tblPrEx>
          <w:tblLayout w:type="fixed"/>
          <w:tblCellMar>
            <w:top w:w="0" w:type="dxa"/>
            <w:left w:w="108" w:type="dxa"/>
            <w:bottom w:w="0" w:type="dxa"/>
            <w:right w:w="108" w:type="dxa"/>
          </w:tblCellMar>
        </w:tblPrEx>
        <w:trPr>
          <w:trHeight w:val="312" w:hRule="atLeast"/>
        </w:trPr>
        <w:tc>
          <w:tcPr>
            <w:tcW w:w="5450" w:type="dxa"/>
            <w:gridSpan w:val="4"/>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2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020" w:type="dxa"/>
            <w:gridSpan w:val="3"/>
            <w:vMerge w:val="restart"/>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44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2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020" w:type="dxa"/>
            <w:gridSpan w:val="3"/>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2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545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栏次</w:t>
            </w:r>
          </w:p>
        </w:tc>
        <w:tc>
          <w:tcPr>
            <w:tcW w:w="18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1</w:t>
            </w:r>
          </w:p>
        </w:tc>
        <w:tc>
          <w:tcPr>
            <w:tcW w:w="18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w:t>
            </w:r>
          </w:p>
        </w:tc>
        <w:tc>
          <w:tcPr>
            <w:tcW w:w="13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3</w:t>
            </w:r>
          </w:p>
        </w:tc>
        <w:tc>
          <w:tcPr>
            <w:tcW w:w="13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4</w:t>
            </w:r>
          </w:p>
        </w:tc>
        <w:tc>
          <w:tcPr>
            <w:tcW w:w="13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5</w:t>
            </w:r>
          </w:p>
        </w:tc>
        <w:tc>
          <w:tcPr>
            <w:tcW w:w="112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6</w:t>
            </w:r>
          </w:p>
        </w:tc>
      </w:tr>
      <w:tr>
        <w:tblPrEx>
          <w:tblLayout w:type="fixed"/>
          <w:tblCellMar>
            <w:top w:w="0" w:type="dxa"/>
            <w:left w:w="108" w:type="dxa"/>
            <w:bottom w:w="0" w:type="dxa"/>
            <w:right w:w="108" w:type="dxa"/>
          </w:tblCellMar>
        </w:tblPrEx>
        <w:trPr>
          <w:trHeight w:val="308" w:hRule="atLeast"/>
        </w:trPr>
        <w:tc>
          <w:tcPr>
            <w:tcW w:w="545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8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8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3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3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3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12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行政运行</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其他财政事务支出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归口管理的行政单位离退休</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抚恤</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死亡抚恤</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医疗保障</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计划生育事务</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其他计划生育事务支出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农林水支出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农村综合改革</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对村民委员会和村党支部的补助</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000000" w:sz="4" w:space="0"/>
              <w:left w:val="single" w:color="000000" w:sz="8" w:space="0"/>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4430" w:type="dxa"/>
            <w:tcBorders>
              <w:top w:val="nil"/>
              <w:left w:val="nil"/>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80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3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nil"/>
              <w:left w:val="nil"/>
              <w:bottom w:val="nil"/>
              <w:right w:val="single" w:color="000000" w:sz="8"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2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443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8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3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2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4190" w:type="dxa"/>
            <w:gridSpan w:val="10"/>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注：本表反映部门本年度各项支出情况。</w:t>
            </w:r>
          </w:p>
        </w:tc>
      </w:tr>
    </w:tbl>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adjustRightInd w:val="0"/>
        <w:snapToGrid w:val="0"/>
        <w:spacing w:line="580" w:lineRule="exact"/>
        <w:rPr>
          <w:rFonts w:ascii="仿宋" w:hAnsi="仿宋" w:eastAsia="仿宋" w:cs="仿宋"/>
          <w:b/>
          <w:bCs/>
          <w:sz w:val="32"/>
          <w:szCs w:val="32"/>
        </w:rPr>
      </w:pPr>
    </w:p>
    <w:p>
      <w:pPr>
        <w:ind w:firstLine="640" w:firstLineChars="200"/>
        <w:rPr>
          <w:rFonts w:ascii="仿宋_GB2312" w:eastAsia="仿宋_GB2312"/>
          <w:sz w:val="32"/>
          <w:szCs w:val="32"/>
        </w:rPr>
      </w:pPr>
      <w:r>
        <w:rPr>
          <w:rFonts w:hint="eastAsia" w:ascii="仿宋_GB2312" w:eastAsia="仿宋_GB2312"/>
          <w:sz w:val="32"/>
          <w:szCs w:val="32"/>
        </w:rPr>
        <w:t>四、财政拨款收入支出决算总表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财政拨款收入支出决算总表</w:t>
      </w:r>
    </w:p>
    <w:tbl>
      <w:tblPr>
        <w:tblStyle w:val="6"/>
        <w:tblW w:w="13520" w:type="dxa"/>
        <w:tblInd w:w="93" w:type="dxa"/>
        <w:tblLayout w:type="fixed"/>
        <w:tblCellMar>
          <w:top w:w="0" w:type="dxa"/>
          <w:left w:w="108" w:type="dxa"/>
          <w:bottom w:w="0" w:type="dxa"/>
          <w:right w:w="108" w:type="dxa"/>
        </w:tblCellMar>
      </w:tblPr>
      <w:tblGrid>
        <w:gridCol w:w="3040"/>
        <w:gridCol w:w="580"/>
        <w:gridCol w:w="1540"/>
        <w:gridCol w:w="3100"/>
        <w:gridCol w:w="580"/>
        <w:gridCol w:w="1600"/>
        <w:gridCol w:w="1600"/>
        <w:gridCol w:w="1480"/>
      </w:tblGrid>
      <w:tr>
        <w:tblPrEx>
          <w:tblLayout w:type="fixed"/>
          <w:tblCellMar>
            <w:top w:w="0" w:type="dxa"/>
            <w:left w:w="108" w:type="dxa"/>
            <w:bottom w:w="0" w:type="dxa"/>
            <w:right w:w="108" w:type="dxa"/>
          </w:tblCellMar>
        </w:tblPrEx>
        <w:trPr>
          <w:trHeight w:val="255" w:hRule="atLeast"/>
        </w:trPr>
        <w:tc>
          <w:tcPr>
            <w:tcW w:w="304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58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54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310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58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60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60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480" w:type="dxa"/>
            <w:tcBorders>
              <w:top w:val="nil"/>
              <w:left w:val="nil"/>
              <w:bottom w:val="nil"/>
              <w:right w:val="nil"/>
            </w:tcBorders>
            <w:shd w:val="clear" w:color="000000" w:fill="FFFFFF"/>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公开04表</w:t>
            </w:r>
          </w:p>
        </w:tc>
      </w:tr>
      <w:tr>
        <w:tblPrEx>
          <w:tblLayout w:type="fixed"/>
          <w:tblCellMar>
            <w:top w:w="0" w:type="dxa"/>
            <w:left w:w="108" w:type="dxa"/>
            <w:bottom w:w="0" w:type="dxa"/>
            <w:right w:w="108" w:type="dxa"/>
          </w:tblCellMar>
        </w:tblPrEx>
        <w:trPr>
          <w:trHeight w:val="255" w:hRule="atLeast"/>
        </w:trPr>
        <w:tc>
          <w:tcPr>
            <w:tcW w:w="3620" w:type="dxa"/>
            <w:gridSpan w:val="2"/>
            <w:tcBorders>
              <w:top w:val="nil"/>
              <w:left w:val="nil"/>
              <w:bottom w:val="nil"/>
              <w:right w:val="nil"/>
            </w:tcBorders>
            <w:shd w:val="clear" w:color="000000" w:fill="FFFFFF"/>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154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3100" w:type="dxa"/>
            <w:tcBorders>
              <w:top w:val="nil"/>
              <w:left w:val="nil"/>
              <w:bottom w:val="nil"/>
              <w:right w:val="nil"/>
            </w:tcBorders>
            <w:shd w:val="clear" w:color="000000" w:fill="FFFFFF"/>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58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60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60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480" w:type="dxa"/>
            <w:tcBorders>
              <w:top w:val="nil"/>
              <w:left w:val="nil"/>
              <w:bottom w:val="nil"/>
              <w:right w:val="nil"/>
            </w:tcBorders>
            <w:shd w:val="clear" w:color="000000" w:fill="FFFFFF"/>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trHeight w:val="308" w:hRule="atLeast"/>
        </w:trPr>
        <w:tc>
          <w:tcPr>
            <w:tcW w:w="5160" w:type="dxa"/>
            <w:gridSpan w:val="3"/>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收     入</w:t>
            </w:r>
          </w:p>
        </w:tc>
        <w:tc>
          <w:tcPr>
            <w:tcW w:w="8360" w:type="dxa"/>
            <w:gridSpan w:val="5"/>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支     出</w:t>
            </w:r>
          </w:p>
        </w:tc>
      </w:tr>
      <w:tr>
        <w:tblPrEx>
          <w:tblLayout w:type="fixed"/>
          <w:tblCellMar>
            <w:top w:w="0" w:type="dxa"/>
            <w:left w:w="108" w:type="dxa"/>
            <w:bottom w:w="0" w:type="dxa"/>
            <w:right w:w="108" w:type="dxa"/>
          </w:tblCellMar>
        </w:tblPrEx>
        <w:trPr>
          <w:trHeight w:val="312" w:hRule="atLeast"/>
        </w:trPr>
        <w:tc>
          <w:tcPr>
            <w:tcW w:w="3040"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54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310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60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60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一般公共预算财政拨款</w:t>
            </w:r>
          </w:p>
        </w:tc>
        <w:tc>
          <w:tcPr>
            <w:tcW w:w="1480" w:type="dxa"/>
            <w:vMerge w:val="restart"/>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政府性基金预算财政拨款</w:t>
            </w:r>
          </w:p>
        </w:tc>
      </w:tr>
      <w:tr>
        <w:tblPrEx>
          <w:tblLayout w:type="fixed"/>
          <w:tblCellMar>
            <w:top w:w="0" w:type="dxa"/>
            <w:left w:w="108" w:type="dxa"/>
            <w:bottom w:w="0" w:type="dxa"/>
            <w:right w:w="108" w:type="dxa"/>
          </w:tblCellMar>
        </w:tblPrEx>
        <w:trPr>
          <w:trHeight w:val="615" w:hRule="atLeast"/>
        </w:trPr>
        <w:tc>
          <w:tcPr>
            <w:tcW w:w="3040"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5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1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6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6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nil"/>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15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31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16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6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48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一、一般公共预算财政拨款</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一、一般公共服务支出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二、政府性基金预算财政拨款</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二、外交支出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31</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三、国防支出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32</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四、公共安全支出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33</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五、教育支出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34</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六、科学技术支出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35</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七、文化体育与传媒支出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36</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八、社会保障和就业支出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37</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九、医疗卫生与计划生育支出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38</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十、节能环保支出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39</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十一、城乡社区支出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十二、农林水支出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41</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13</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十三、交通运输支出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42</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14</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十四、资源勘探信息等支出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43</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十五、商业服务业等支出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44</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16</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十六、金融支出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45</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17</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十七、援助其他地区支出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46</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70"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18</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十八、国土海洋气象等支出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47</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19</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十九、住房保障支出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48</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二十、粮油物资储备支出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49</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21</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二十一、其他支出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22</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二十二、债务还本支出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51</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23</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二十三、债务付息支出</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52</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本年收入合计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24</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31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本年支出合计</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53</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年初财政拨款结转和结余</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年末财政拨款结转和结余</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54</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一般公共预算财政拨款</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26</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0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55</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6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000000" w:sz="8" w:space="0"/>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政府性基金预算财政拨款</w:t>
            </w:r>
          </w:p>
        </w:tc>
        <w:tc>
          <w:tcPr>
            <w:tcW w:w="580" w:type="dxa"/>
            <w:tcBorders>
              <w:top w:val="nil"/>
              <w:left w:val="nil"/>
              <w:bottom w:val="nil"/>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27</w:t>
            </w:r>
          </w:p>
        </w:tc>
        <w:tc>
          <w:tcPr>
            <w:tcW w:w="154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00" w:type="dxa"/>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nil"/>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56</w:t>
            </w:r>
          </w:p>
        </w:tc>
        <w:tc>
          <w:tcPr>
            <w:tcW w:w="160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60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nil"/>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304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28</w:t>
            </w:r>
          </w:p>
        </w:tc>
        <w:tc>
          <w:tcPr>
            <w:tcW w:w="154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00" w:type="dxa"/>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57</w:t>
            </w:r>
          </w:p>
        </w:tc>
        <w:tc>
          <w:tcPr>
            <w:tcW w:w="160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60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3040" w:type="dxa"/>
            <w:tcBorders>
              <w:top w:val="nil"/>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总计</w:t>
            </w:r>
          </w:p>
        </w:tc>
        <w:tc>
          <w:tcPr>
            <w:tcW w:w="580" w:type="dxa"/>
            <w:tcBorders>
              <w:top w:val="nil"/>
              <w:left w:val="nil"/>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29</w:t>
            </w:r>
          </w:p>
        </w:tc>
        <w:tc>
          <w:tcPr>
            <w:tcW w:w="154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3100" w:type="dxa"/>
            <w:tcBorders>
              <w:top w:val="nil"/>
              <w:left w:val="nil"/>
              <w:bottom w:val="single" w:color="auto" w:sz="4" w:space="0"/>
              <w:right w:val="single" w:color="auto" w:sz="4" w:space="0"/>
            </w:tcBorders>
            <w:shd w:val="clear" w:color="FFFFFF" w:fill="FFFFFF"/>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总计</w:t>
            </w:r>
          </w:p>
        </w:tc>
        <w:tc>
          <w:tcPr>
            <w:tcW w:w="580" w:type="dxa"/>
            <w:tcBorders>
              <w:top w:val="nil"/>
              <w:left w:val="nil"/>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58</w:t>
            </w:r>
          </w:p>
        </w:tc>
        <w:tc>
          <w:tcPr>
            <w:tcW w:w="160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60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3520" w:type="dxa"/>
            <w:gridSpan w:val="8"/>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注：本表反映部门本年度一般公共预算财政拨款和政府性基金预算财政拨款的总收支和年末结转结余情况。</w:t>
            </w: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五、一般公共预算财政拨款收入支出决算表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一般公共预算财政拨款收入支出决算表</w:t>
      </w:r>
    </w:p>
    <w:tbl>
      <w:tblPr>
        <w:tblStyle w:val="6"/>
        <w:tblW w:w="12890" w:type="dxa"/>
        <w:tblInd w:w="93" w:type="dxa"/>
        <w:tblLayout w:type="fixed"/>
        <w:tblCellMar>
          <w:top w:w="0" w:type="dxa"/>
          <w:left w:w="108" w:type="dxa"/>
          <w:bottom w:w="0" w:type="dxa"/>
          <w:right w:w="108" w:type="dxa"/>
        </w:tblCellMar>
      </w:tblPr>
      <w:tblGrid>
        <w:gridCol w:w="580"/>
        <w:gridCol w:w="480"/>
        <w:gridCol w:w="520"/>
        <w:gridCol w:w="4430"/>
        <w:gridCol w:w="2540"/>
        <w:gridCol w:w="2540"/>
        <w:gridCol w:w="1800"/>
      </w:tblGrid>
      <w:tr>
        <w:tblPrEx>
          <w:tblLayout w:type="fixed"/>
          <w:tblCellMar>
            <w:top w:w="0" w:type="dxa"/>
            <w:left w:w="108" w:type="dxa"/>
            <w:bottom w:w="0" w:type="dxa"/>
            <w:right w:w="108" w:type="dxa"/>
          </w:tblCellMar>
        </w:tblPrEx>
        <w:trPr>
          <w:trHeight w:val="255" w:hRule="atLeast"/>
        </w:trPr>
        <w:tc>
          <w:tcPr>
            <w:tcW w:w="5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5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5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5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0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公开05表</w:t>
            </w:r>
          </w:p>
        </w:tc>
      </w:tr>
      <w:tr>
        <w:tblPrEx>
          <w:tblLayout w:type="fixed"/>
          <w:tblCellMar>
            <w:top w:w="0" w:type="dxa"/>
            <w:left w:w="108" w:type="dxa"/>
            <w:bottom w:w="0" w:type="dxa"/>
            <w:right w:w="108" w:type="dxa"/>
          </w:tblCellMar>
        </w:tblPrEx>
        <w:trPr>
          <w:trHeight w:val="255" w:hRule="atLeast"/>
        </w:trPr>
        <w:tc>
          <w:tcPr>
            <w:tcW w:w="6010" w:type="dxa"/>
            <w:gridSpan w:val="4"/>
            <w:tcBorders>
              <w:top w:val="nil"/>
              <w:left w:val="nil"/>
              <w:bottom w:val="nil"/>
              <w:right w:val="nil"/>
            </w:tcBorders>
            <w:shd w:val="clear" w:color="000000" w:fill="FFFFFF"/>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2540" w:type="dxa"/>
            <w:tcBorders>
              <w:top w:val="nil"/>
              <w:left w:val="nil"/>
              <w:bottom w:val="nil"/>
              <w:right w:val="nil"/>
            </w:tcBorders>
            <w:shd w:val="clear" w:color="000000" w:fill="FFFFFF"/>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2540" w:type="dxa"/>
            <w:tcBorders>
              <w:top w:val="nil"/>
              <w:left w:val="nil"/>
              <w:bottom w:val="nil"/>
              <w:right w:val="nil"/>
            </w:tcBorders>
            <w:shd w:val="clear" w:color="000000" w:fill="FFFFFF"/>
            <w:vAlign w:val="bottom"/>
          </w:tcPr>
          <w:p>
            <w:pPr>
              <w:widowControl/>
              <w:jc w:val="left"/>
              <w:rPr>
                <w:rFonts w:ascii="Arial" w:hAnsi="Arial" w:cs="Arial"/>
                <w:color w:val="000000"/>
                <w:kern w:val="0"/>
                <w:sz w:val="20"/>
                <w:szCs w:val="20"/>
              </w:rPr>
            </w:pPr>
            <w:r>
              <w:rPr>
                <w:rFonts w:ascii="Arial" w:hAnsi="Arial" w:cs="Arial"/>
                <w:color w:val="000000"/>
                <w:kern w:val="0"/>
                <w:sz w:val="20"/>
                <w:szCs w:val="20"/>
              </w:rPr>
              <w:t>　</w:t>
            </w:r>
          </w:p>
        </w:tc>
        <w:tc>
          <w:tcPr>
            <w:tcW w:w="1800" w:type="dxa"/>
            <w:tcBorders>
              <w:top w:val="nil"/>
              <w:left w:val="nil"/>
              <w:bottom w:val="nil"/>
              <w:right w:val="nil"/>
            </w:tcBorders>
            <w:shd w:val="clear" w:color="000000" w:fill="FFFFFF"/>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trHeight w:val="312" w:hRule="atLeast"/>
        </w:trPr>
        <w:tc>
          <w:tcPr>
            <w:tcW w:w="6010" w:type="dxa"/>
            <w:gridSpan w:val="4"/>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w:t>
            </w:r>
          </w:p>
        </w:tc>
        <w:tc>
          <w:tcPr>
            <w:tcW w:w="25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本年支出合计</w:t>
            </w:r>
          </w:p>
        </w:tc>
        <w:tc>
          <w:tcPr>
            <w:tcW w:w="25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800"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r>
      <w:tr>
        <w:tblPrEx>
          <w:tblLayout w:type="fixed"/>
          <w:tblCellMar>
            <w:top w:w="0" w:type="dxa"/>
            <w:left w:w="108" w:type="dxa"/>
            <w:bottom w:w="0" w:type="dxa"/>
            <w:right w:w="108" w:type="dxa"/>
          </w:tblCellMar>
        </w:tblPrEx>
        <w:trPr>
          <w:trHeight w:val="338" w:hRule="atLeast"/>
        </w:trPr>
        <w:tc>
          <w:tcPr>
            <w:tcW w:w="6010" w:type="dxa"/>
            <w:gridSpan w:val="4"/>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580" w:type="dxa"/>
            <w:gridSpan w:val="3"/>
            <w:vMerge w:val="restart"/>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443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38" w:hRule="atLeast"/>
        </w:trPr>
        <w:tc>
          <w:tcPr>
            <w:tcW w:w="1580" w:type="dxa"/>
            <w:gridSpan w:val="3"/>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5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80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601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栏次</w:t>
            </w:r>
          </w:p>
        </w:tc>
        <w:tc>
          <w:tcPr>
            <w:tcW w:w="25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1</w:t>
            </w:r>
          </w:p>
        </w:tc>
        <w:tc>
          <w:tcPr>
            <w:tcW w:w="25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w:t>
            </w:r>
          </w:p>
        </w:tc>
        <w:tc>
          <w:tcPr>
            <w:tcW w:w="180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3</w:t>
            </w:r>
          </w:p>
        </w:tc>
      </w:tr>
      <w:tr>
        <w:tblPrEx>
          <w:tblLayout w:type="fixed"/>
          <w:tblCellMar>
            <w:top w:w="0" w:type="dxa"/>
            <w:left w:w="108" w:type="dxa"/>
            <w:bottom w:w="0" w:type="dxa"/>
            <w:right w:w="108" w:type="dxa"/>
          </w:tblCellMar>
        </w:tblPrEx>
        <w:trPr>
          <w:trHeight w:val="338" w:hRule="atLeast"/>
        </w:trPr>
        <w:tc>
          <w:tcPr>
            <w:tcW w:w="601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2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2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8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443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2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2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559.13</w:t>
            </w:r>
          </w:p>
        </w:tc>
        <w:tc>
          <w:tcPr>
            <w:tcW w:w="18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556.13</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行政运行</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375.62</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180.51</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财政事务</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2010699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其他财政事务支出</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3.00</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192.91</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归口管理的行政单位离退休</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165.19</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抚恤</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2080801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死亡抚恤</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32.42</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医疗保障</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2100501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计划生育事务</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2100799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其他计划生育事务支出</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25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16.53</w:t>
            </w:r>
          </w:p>
        </w:tc>
        <w:tc>
          <w:tcPr>
            <w:tcW w:w="180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000000" w:sz="4" w:space="0"/>
              <w:left w:val="single" w:color="000000" w:sz="8" w:space="0"/>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w:t>
            </w:r>
          </w:p>
        </w:tc>
        <w:tc>
          <w:tcPr>
            <w:tcW w:w="4430" w:type="dxa"/>
            <w:tcBorders>
              <w:top w:val="nil"/>
              <w:left w:val="nil"/>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农林水支出</w:t>
            </w:r>
          </w:p>
        </w:tc>
        <w:tc>
          <w:tcPr>
            <w:tcW w:w="25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254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nil"/>
              <w:left w:val="nil"/>
              <w:bottom w:val="nil"/>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w:t>
            </w:r>
          </w:p>
        </w:tc>
        <w:tc>
          <w:tcPr>
            <w:tcW w:w="443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农村综合改革</w:t>
            </w:r>
          </w:p>
        </w:tc>
        <w:tc>
          <w:tcPr>
            <w:tcW w:w="25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254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2130705</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对村民委员会和村党支部的补助</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164.92</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5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443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25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tblPrEx>
          <w:tblLayout w:type="fixed"/>
          <w:tblCellMar>
            <w:top w:w="0" w:type="dxa"/>
            <w:left w:w="108" w:type="dxa"/>
            <w:bottom w:w="0" w:type="dxa"/>
            <w:right w:w="108" w:type="dxa"/>
          </w:tblCellMar>
        </w:tblPrEx>
        <w:trPr>
          <w:trHeight w:val="308" w:hRule="atLeast"/>
        </w:trPr>
        <w:tc>
          <w:tcPr>
            <w:tcW w:w="12890" w:type="dxa"/>
            <w:gridSpan w:val="7"/>
            <w:tcBorders>
              <w:top w:val="nil"/>
              <w:left w:val="nil"/>
              <w:bottom w:val="nil"/>
              <w:right w:val="nil"/>
            </w:tcBorders>
            <w:shd w:val="clear" w:color="auto" w:fill="auto"/>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注：本表反映部门本年度一般公共预算财政拨款实际支出情况。 </w:t>
            </w: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六、一般公共预算财政拨款基本支出决算表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一般公共预算财政拨款基本支出决算表</w:t>
      </w:r>
    </w:p>
    <w:tbl>
      <w:tblPr>
        <w:tblStyle w:val="6"/>
        <w:tblW w:w="15808" w:type="dxa"/>
        <w:tblInd w:w="-772" w:type="dxa"/>
        <w:tblLayout w:type="fixed"/>
        <w:tblCellMar>
          <w:top w:w="0" w:type="dxa"/>
          <w:left w:w="108" w:type="dxa"/>
          <w:bottom w:w="0" w:type="dxa"/>
          <w:right w:w="108" w:type="dxa"/>
        </w:tblCellMar>
      </w:tblPr>
      <w:tblGrid>
        <w:gridCol w:w="766"/>
        <w:gridCol w:w="26"/>
        <w:gridCol w:w="3304"/>
        <w:gridCol w:w="26"/>
        <w:gridCol w:w="1674"/>
        <w:gridCol w:w="26"/>
        <w:gridCol w:w="874"/>
        <w:gridCol w:w="26"/>
        <w:gridCol w:w="2314"/>
        <w:gridCol w:w="27"/>
        <w:gridCol w:w="1509"/>
        <w:gridCol w:w="64"/>
        <w:gridCol w:w="702"/>
        <w:gridCol w:w="88"/>
        <w:gridCol w:w="2582"/>
        <w:gridCol w:w="99"/>
        <w:gridCol w:w="807"/>
        <w:gridCol w:w="894"/>
      </w:tblGrid>
      <w:tr>
        <w:tblPrEx>
          <w:tblLayout w:type="fixed"/>
          <w:tblCellMar>
            <w:top w:w="0" w:type="dxa"/>
            <w:left w:w="108" w:type="dxa"/>
            <w:bottom w:w="0" w:type="dxa"/>
            <w:right w:w="108" w:type="dxa"/>
          </w:tblCellMar>
        </w:tblPrEx>
        <w:trPr>
          <w:trHeight w:val="390" w:hRule="atLeast"/>
        </w:trPr>
        <w:tc>
          <w:tcPr>
            <w:tcW w:w="792"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333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70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90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341" w:type="dxa"/>
            <w:gridSpan w:val="2"/>
            <w:tcBorders>
              <w:top w:val="nil"/>
              <w:left w:val="nil"/>
              <w:bottom w:val="nil"/>
              <w:right w:val="nil"/>
            </w:tcBorders>
            <w:shd w:val="clear" w:color="auto" w:fill="auto"/>
            <w:vAlign w:val="bottom"/>
          </w:tcPr>
          <w:p>
            <w:pPr>
              <w:widowControl/>
              <w:jc w:val="center"/>
              <w:rPr>
                <w:rFonts w:ascii="宋体" w:hAnsi="宋体" w:cs="Arial"/>
                <w:color w:val="000000"/>
                <w:kern w:val="0"/>
                <w:sz w:val="30"/>
                <w:szCs w:val="30"/>
              </w:rPr>
            </w:pPr>
          </w:p>
        </w:tc>
        <w:tc>
          <w:tcPr>
            <w:tcW w:w="1573"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79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681"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701"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r>
              <w:rPr>
                <w:rFonts w:hint="eastAsia" w:ascii="Arial" w:hAnsi="Arial" w:cs="Arial"/>
                <w:color w:val="000000"/>
                <w:kern w:val="0"/>
                <w:sz w:val="20"/>
                <w:szCs w:val="20"/>
              </w:rPr>
              <w:t>公开06表</w:t>
            </w:r>
          </w:p>
        </w:tc>
      </w:tr>
      <w:tr>
        <w:tblPrEx>
          <w:tblLayout w:type="fixed"/>
          <w:tblCellMar>
            <w:top w:w="0" w:type="dxa"/>
            <w:left w:w="108" w:type="dxa"/>
            <w:bottom w:w="0" w:type="dxa"/>
            <w:right w:w="108" w:type="dxa"/>
          </w:tblCellMar>
        </w:tblPrEx>
        <w:trPr>
          <w:gridAfter w:val="1"/>
          <w:wAfter w:w="894" w:type="dxa"/>
          <w:trHeight w:val="255" w:hRule="atLeast"/>
        </w:trPr>
        <w:tc>
          <w:tcPr>
            <w:tcW w:w="5796" w:type="dxa"/>
            <w:gridSpan w:val="5"/>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900"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340" w:type="dxa"/>
            <w:gridSpan w:val="2"/>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536"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766"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3576" w:type="dxa"/>
            <w:gridSpan w:val="4"/>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gridAfter w:val="1"/>
          <w:wAfter w:w="894" w:type="dxa"/>
          <w:trHeight w:val="308" w:hRule="atLeast"/>
        </w:trPr>
        <w:tc>
          <w:tcPr>
            <w:tcW w:w="5796" w:type="dxa"/>
            <w:gridSpan w:val="5"/>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人员经费</w:t>
            </w:r>
          </w:p>
        </w:tc>
        <w:tc>
          <w:tcPr>
            <w:tcW w:w="9118" w:type="dxa"/>
            <w:gridSpan w:val="12"/>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公用经费</w:t>
            </w:r>
          </w:p>
        </w:tc>
      </w:tr>
      <w:tr>
        <w:tblPrEx>
          <w:tblLayout w:type="fixed"/>
          <w:tblCellMar>
            <w:top w:w="0" w:type="dxa"/>
            <w:left w:w="108" w:type="dxa"/>
            <w:bottom w:w="0" w:type="dxa"/>
            <w:right w:w="108" w:type="dxa"/>
          </w:tblCellMar>
        </w:tblPrEx>
        <w:trPr>
          <w:gridAfter w:val="1"/>
          <w:wAfter w:w="894" w:type="dxa"/>
          <w:trHeight w:val="312" w:hRule="atLeast"/>
        </w:trPr>
        <w:tc>
          <w:tcPr>
            <w:tcW w:w="766"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科目编码</w:t>
            </w:r>
          </w:p>
        </w:tc>
        <w:tc>
          <w:tcPr>
            <w:tcW w:w="3330"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700"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900"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科目编码</w:t>
            </w:r>
          </w:p>
        </w:tc>
        <w:tc>
          <w:tcPr>
            <w:tcW w:w="2340"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536"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766"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科目编码</w:t>
            </w:r>
          </w:p>
        </w:tc>
        <w:tc>
          <w:tcPr>
            <w:tcW w:w="2670" w:type="dxa"/>
            <w:gridSpan w:val="2"/>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906" w:type="dxa"/>
            <w:gridSpan w:val="2"/>
            <w:vMerge w:val="restart"/>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r>
      <w:tr>
        <w:tblPrEx>
          <w:tblLayout w:type="fixed"/>
          <w:tblCellMar>
            <w:top w:w="0" w:type="dxa"/>
            <w:left w:w="108" w:type="dxa"/>
            <w:bottom w:w="0" w:type="dxa"/>
            <w:right w:w="108" w:type="dxa"/>
          </w:tblCellMar>
        </w:tblPrEx>
        <w:trPr>
          <w:gridAfter w:val="1"/>
          <w:wAfter w:w="894" w:type="dxa"/>
          <w:trHeight w:val="312" w:hRule="atLeast"/>
        </w:trPr>
        <w:tc>
          <w:tcPr>
            <w:tcW w:w="766"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33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0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0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34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536"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766"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670"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906" w:type="dxa"/>
            <w:gridSpan w:val="2"/>
            <w:vMerge w:val="continue"/>
            <w:tcBorders>
              <w:top w:val="nil"/>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工资福利支出</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325.66</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商品和服务支出</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173.99</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其他资本性支出</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30101</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基本工资</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136.62</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30201</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办公费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110.82</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31001</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房屋建筑物购建</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30102</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津贴补贴</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176.65</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30202</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印刷费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31002</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办公设备购置</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30103</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奖金</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30203</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咨询费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31003</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专用设备购置</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30104</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其他社会保障缴费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12.39</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30204</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手续费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31005</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基础设施建设</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30106</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伙食补助费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30205</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水费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31006</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大型修缮</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30107</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绩效工资</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30206</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电费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31007</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信息网络及软件购置更新</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30108</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机关事业单位基本养老保险缴费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30207</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邮电费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31008</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物资储备</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30109</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职业年金缴费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30208</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取暖费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10.35</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31009</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土地补偿</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30199</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其他工资福利支出</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30209</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物业管理费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31010</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安置补助</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对个人和家庭的补助</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475.75</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30211</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差旅费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31011</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地上附着物和青苗补偿</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30301</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离休费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30212</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因公出国（境）费用</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31012</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拆迁补偿</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30302</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退休费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162.74</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30213</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维修(护)费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31013</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公务用车购置</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30303</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退职（役）费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30214</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租赁费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31019</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其他交通工具购置</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30304</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抚恤金</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27.72</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30215</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会议费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31020</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产权参股</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30305</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生活补助</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243.04</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30216</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培训费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31099</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其他资本性支出</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30306</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救济费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30217</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公务接待费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对企事业单位的补贴</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3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30307</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医疗费</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15.89</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30218</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专用材料费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30401</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企业政策性补贴</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30308</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助学金</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30224</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被装购置费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30402</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事业单位补贴</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30309</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奖励金</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0.35</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30225</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专用燃料费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30403</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财政贴息</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30310</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生产补贴</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30226</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劳务费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30499</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其他对企事业单位的补贴</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30311</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26.01</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30227</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委托业务费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债务利息支出</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30312</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提租补贴</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30228</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工会经费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3.98</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30701</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国内债务付息</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30313</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购房补贴</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30229</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福利费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3.97</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30707</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国外债务付息</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30314</w:t>
            </w:r>
          </w:p>
        </w:tc>
        <w:tc>
          <w:tcPr>
            <w:tcW w:w="333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采暖补贴</w:t>
            </w:r>
          </w:p>
        </w:tc>
        <w:tc>
          <w:tcPr>
            <w:tcW w:w="1700"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30231</w:t>
            </w:r>
          </w:p>
        </w:tc>
        <w:tc>
          <w:tcPr>
            <w:tcW w:w="234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公务用车运行维护费</w:t>
            </w:r>
          </w:p>
        </w:tc>
        <w:tc>
          <w:tcPr>
            <w:tcW w:w="1536"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9.04</w:t>
            </w:r>
          </w:p>
        </w:tc>
        <w:tc>
          <w:tcPr>
            <w:tcW w:w="766"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399</w:t>
            </w:r>
          </w:p>
        </w:tc>
        <w:tc>
          <w:tcPr>
            <w:tcW w:w="2670" w:type="dxa"/>
            <w:gridSpan w:val="2"/>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其他支出</w:t>
            </w:r>
          </w:p>
        </w:tc>
        <w:tc>
          <w:tcPr>
            <w:tcW w:w="906" w:type="dxa"/>
            <w:gridSpan w:val="2"/>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000000" w:sz="8" w:space="0"/>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30315</w:t>
            </w:r>
          </w:p>
        </w:tc>
        <w:tc>
          <w:tcPr>
            <w:tcW w:w="3330" w:type="dxa"/>
            <w:gridSpan w:val="2"/>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物业服务补贴</w:t>
            </w:r>
          </w:p>
        </w:tc>
        <w:tc>
          <w:tcPr>
            <w:tcW w:w="1700" w:type="dxa"/>
            <w:gridSpan w:val="2"/>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30239</w:t>
            </w:r>
          </w:p>
        </w:tc>
        <w:tc>
          <w:tcPr>
            <w:tcW w:w="2340" w:type="dxa"/>
            <w:gridSpan w:val="2"/>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其他交通费用</w:t>
            </w:r>
          </w:p>
        </w:tc>
        <w:tc>
          <w:tcPr>
            <w:tcW w:w="1536" w:type="dxa"/>
            <w:gridSpan w:val="2"/>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10.83</w:t>
            </w:r>
          </w:p>
        </w:tc>
        <w:tc>
          <w:tcPr>
            <w:tcW w:w="766" w:type="dxa"/>
            <w:gridSpan w:val="2"/>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39906</w:t>
            </w:r>
          </w:p>
        </w:tc>
        <w:tc>
          <w:tcPr>
            <w:tcW w:w="2670" w:type="dxa"/>
            <w:gridSpan w:val="2"/>
            <w:tcBorders>
              <w:top w:val="nil"/>
              <w:left w:val="nil"/>
              <w:bottom w:val="nil"/>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赠与</w:t>
            </w:r>
          </w:p>
        </w:tc>
        <w:tc>
          <w:tcPr>
            <w:tcW w:w="906" w:type="dxa"/>
            <w:gridSpan w:val="2"/>
            <w:tcBorders>
              <w:top w:val="nil"/>
              <w:left w:val="nil"/>
              <w:bottom w:val="nil"/>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30399</w:t>
            </w:r>
          </w:p>
        </w:tc>
        <w:tc>
          <w:tcPr>
            <w:tcW w:w="3330" w:type="dxa"/>
            <w:gridSpan w:val="2"/>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其他对个人和家庭的补助支出</w:t>
            </w:r>
          </w:p>
        </w:tc>
        <w:tc>
          <w:tcPr>
            <w:tcW w:w="170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00" w:type="dxa"/>
            <w:gridSpan w:val="2"/>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30240</w:t>
            </w:r>
          </w:p>
        </w:tc>
        <w:tc>
          <w:tcPr>
            <w:tcW w:w="2340" w:type="dxa"/>
            <w:gridSpan w:val="2"/>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税金及附加费用</w:t>
            </w:r>
          </w:p>
        </w:tc>
        <w:tc>
          <w:tcPr>
            <w:tcW w:w="1536"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670" w:type="dxa"/>
            <w:gridSpan w:val="2"/>
            <w:tcBorders>
              <w:top w:val="single" w:color="auto" w:sz="4" w:space="0"/>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906"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gridAfter w:val="1"/>
          <w:wAfter w:w="894" w:type="dxa"/>
          <w:trHeight w:val="308" w:hRule="atLeast"/>
        </w:trPr>
        <w:tc>
          <w:tcPr>
            <w:tcW w:w="766" w:type="dxa"/>
            <w:tcBorders>
              <w:top w:val="nil"/>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3330" w:type="dxa"/>
            <w:gridSpan w:val="2"/>
            <w:tcBorders>
              <w:top w:val="nil"/>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00" w:type="dxa"/>
            <w:gridSpan w:val="2"/>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900" w:type="dxa"/>
            <w:gridSpan w:val="2"/>
            <w:tcBorders>
              <w:top w:val="nil"/>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30299</w:t>
            </w:r>
          </w:p>
        </w:tc>
        <w:tc>
          <w:tcPr>
            <w:tcW w:w="2340" w:type="dxa"/>
            <w:gridSpan w:val="2"/>
            <w:tcBorders>
              <w:top w:val="nil"/>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其他商品和服务支出</w:t>
            </w:r>
          </w:p>
        </w:tc>
        <w:tc>
          <w:tcPr>
            <w:tcW w:w="1536" w:type="dxa"/>
            <w:gridSpan w:val="2"/>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66" w:type="dxa"/>
            <w:gridSpan w:val="2"/>
            <w:tcBorders>
              <w:top w:val="nil"/>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670" w:type="dxa"/>
            <w:gridSpan w:val="2"/>
            <w:tcBorders>
              <w:top w:val="nil"/>
              <w:left w:val="nil"/>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906" w:type="dxa"/>
            <w:gridSpan w:val="2"/>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gridAfter w:val="1"/>
          <w:wAfter w:w="894" w:type="dxa"/>
          <w:trHeight w:val="368" w:hRule="atLeast"/>
        </w:trPr>
        <w:tc>
          <w:tcPr>
            <w:tcW w:w="4096" w:type="dxa"/>
            <w:gridSpan w:val="3"/>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人员经费合计</w:t>
            </w:r>
          </w:p>
        </w:tc>
        <w:tc>
          <w:tcPr>
            <w:tcW w:w="1700" w:type="dxa"/>
            <w:gridSpan w:val="2"/>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801.41</w:t>
            </w:r>
          </w:p>
        </w:tc>
        <w:tc>
          <w:tcPr>
            <w:tcW w:w="8212" w:type="dxa"/>
            <w:gridSpan w:val="10"/>
            <w:tcBorders>
              <w:top w:val="single" w:color="auto" w:sz="4" w:space="0"/>
              <w:left w:val="nil"/>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公用经费合计</w:t>
            </w:r>
          </w:p>
        </w:tc>
        <w:tc>
          <w:tcPr>
            <w:tcW w:w="906" w:type="dxa"/>
            <w:gridSpan w:val="2"/>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173.99</w:t>
            </w:r>
          </w:p>
        </w:tc>
      </w:tr>
      <w:tr>
        <w:tblPrEx>
          <w:tblLayout w:type="fixed"/>
          <w:tblCellMar>
            <w:top w:w="0" w:type="dxa"/>
            <w:left w:w="108" w:type="dxa"/>
            <w:bottom w:w="0" w:type="dxa"/>
            <w:right w:w="108" w:type="dxa"/>
          </w:tblCellMar>
        </w:tblPrEx>
        <w:trPr>
          <w:gridAfter w:val="1"/>
          <w:wAfter w:w="894" w:type="dxa"/>
          <w:trHeight w:val="308" w:hRule="atLeast"/>
        </w:trPr>
        <w:tc>
          <w:tcPr>
            <w:tcW w:w="14914" w:type="dxa"/>
            <w:gridSpan w:val="17"/>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注：本表反映部门本年度一般公共预算财政拨款基本支出明细情况。</w:t>
            </w: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七、政府性基金预算财政拨款收入支出决算表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政府性基金预算财政拨款收入支出决算表</w:t>
      </w:r>
    </w:p>
    <w:tbl>
      <w:tblPr>
        <w:tblStyle w:val="6"/>
        <w:tblW w:w="13240" w:type="dxa"/>
        <w:tblInd w:w="93" w:type="dxa"/>
        <w:tblLayout w:type="fixed"/>
        <w:tblCellMar>
          <w:top w:w="0" w:type="dxa"/>
          <w:left w:w="108" w:type="dxa"/>
          <w:bottom w:w="0" w:type="dxa"/>
          <w:right w:w="108" w:type="dxa"/>
        </w:tblCellMar>
      </w:tblPr>
      <w:tblGrid>
        <w:gridCol w:w="440"/>
        <w:gridCol w:w="440"/>
        <w:gridCol w:w="500"/>
        <w:gridCol w:w="2980"/>
        <w:gridCol w:w="1480"/>
        <w:gridCol w:w="1480"/>
        <w:gridCol w:w="1480"/>
        <w:gridCol w:w="1480"/>
        <w:gridCol w:w="1480"/>
        <w:gridCol w:w="1480"/>
      </w:tblGrid>
      <w:tr>
        <w:tblPrEx>
          <w:tblLayout w:type="fixed"/>
          <w:tblCellMar>
            <w:top w:w="0" w:type="dxa"/>
            <w:left w:w="108" w:type="dxa"/>
            <w:bottom w:w="0" w:type="dxa"/>
            <w:right w:w="108" w:type="dxa"/>
          </w:tblCellMar>
        </w:tblPrEx>
        <w:trPr>
          <w:trHeight w:val="255" w:hRule="atLeast"/>
        </w:trPr>
        <w:tc>
          <w:tcPr>
            <w:tcW w:w="4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5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9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公开07表</w:t>
            </w:r>
          </w:p>
        </w:tc>
      </w:tr>
      <w:tr>
        <w:tblPrEx>
          <w:tblLayout w:type="fixed"/>
          <w:tblCellMar>
            <w:top w:w="0" w:type="dxa"/>
            <w:left w:w="108" w:type="dxa"/>
            <w:bottom w:w="0" w:type="dxa"/>
            <w:right w:w="108" w:type="dxa"/>
          </w:tblCellMar>
        </w:tblPrEx>
        <w:trPr>
          <w:trHeight w:val="255" w:hRule="atLeast"/>
        </w:trPr>
        <w:tc>
          <w:tcPr>
            <w:tcW w:w="4360" w:type="dxa"/>
            <w:gridSpan w:val="4"/>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部门：秦皇岛市抚宁区茶棚乡人民政府</w:t>
            </w: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8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单位：万元</w:t>
            </w:r>
          </w:p>
        </w:tc>
      </w:tr>
      <w:tr>
        <w:tblPrEx>
          <w:tblLayout w:type="fixed"/>
          <w:tblCellMar>
            <w:top w:w="0" w:type="dxa"/>
            <w:left w:w="108" w:type="dxa"/>
            <w:bottom w:w="0" w:type="dxa"/>
            <w:right w:w="108" w:type="dxa"/>
          </w:tblCellMar>
        </w:tblPrEx>
        <w:trPr>
          <w:trHeight w:val="312" w:hRule="atLeast"/>
        </w:trPr>
        <w:tc>
          <w:tcPr>
            <w:tcW w:w="4360" w:type="dxa"/>
            <w:gridSpan w:val="4"/>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w:t>
            </w:r>
          </w:p>
        </w:tc>
        <w:tc>
          <w:tcPr>
            <w:tcW w:w="148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年初结转和结余</w:t>
            </w:r>
          </w:p>
        </w:tc>
        <w:tc>
          <w:tcPr>
            <w:tcW w:w="148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w:t>
            </w:r>
          </w:p>
        </w:tc>
        <w:tc>
          <w:tcPr>
            <w:tcW w:w="4440" w:type="dxa"/>
            <w:gridSpan w:val="3"/>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w:t>
            </w:r>
          </w:p>
        </w:tc>
        <w:tc>
          <w:tcPr>
            <w:tcW w:w="1480"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年末结转和结余</w:t>
            </w:r>
          </w:p>
        </w:tc>
      </w:tr>
      <w:tr>
        <w:tblPrEx>
          <w:tblLayout w:type="fixed"/>
          <w:tblCellMar>
            <w:top w:w="0" w:type="dxa"/>
            <w:left w:w="108" w:type="dxa"/>
            <w:bottom w:w="0" w:type="dxa"/>
            <w:right w:w="108" w:type="dxa"/>
          </w:tblCellMar>
        </w:tblPrEx>
        <w:trPr>
          <w:trHeight w:val="312" w:hRule="atLeast"/>
        </w:trPr>
        <w:tc>
          <w:tcPr>
            <w:tcW w:w="4360" w:type="dxa"/>
            <w:gridSpan w:val="4"/>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40" w:type="dxa"/>
            <w:gridSpan w:val="3"/>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380" w:type="dxa"/>
            <w:gridSpan w:val="3"/>
            <w:vMerge w:val="restart"/>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29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4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4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c>
          <w:tcPr>
            <w:tcW w:w="148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380" w:type="dxa"/>
            <w:gridSpan w:val="3"/>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9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8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436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4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1</w:t>
            </w:r>
          </w:p>
        </w:tc>
        <w:tc>
          <w:tcPr>
            <w:tcW w:w="14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w:t>
            </w:r>
          </w:p>
        </w:tc>
        <w:tc>
          <w:tcPr>
            <w:tcW w:w="14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3</w:t>
            </w:r>
          </w:p>
        </w:tc>
        <w:tc>
          <w:tcPr>
            <w:tcW w:w="14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4</w:t>
            </w:r>
          </w:p>
        </w:tc>
        <w:tc>
          <w:tcPr>
            <w:tcW w:w="14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5</w:t>
            </w:r>
          </w:p>
        </w:tc>
        <w:tc>
          <w:tcPr>
            <w:tcW w:w="148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6</w:t>
            </w:r>
          </w:p>
        </w:tc>
      </w:tr>
      <w:tr>
        <w:tblPrEx>
          <w:tblLayout w:type="fixed"/>
          <w:tblCellMar>
            <w:top w:w="0" w:type="dxa"/>
            <w:left w:w="108" w:type="dxa"/>
            <w:bottom w:w="0" w:type="dxa"/>
            <w:right w:w="108" w:type="dxa"/>
          </w:tblCellMar>
        </w:tblPrEx>
        <w:trPr>
          <w:trHeight w:val="308" w:hRule="atLeast"/>
        </w:trPr>
        <w:tc>
          <w:tcPr>
            <w:tcW w:w="436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000000" w:sz="4" w:space="0"/>
              <w:left w:val="single" w:color="000000" w:sz="8" w:space="0"/>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000000" w:sz="4" w:space="0"/>
              <w:left w:val="single" w:color="000000" w:sz="8" w:space="0"/>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000000" w:sz="4" w:space="0"/>
              <w:left w:val="single" w:color="000000" w:sz="8" w:space="0"/>
              <w:bottom w:val="nil"/>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nil"/>
              <w:right w:val="single" w:color="000000"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nil"/>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nil"/>
              <w:right w:val="single" w:color="000000" w:sz="8"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single" w:color="auto" w:sz="4" w:space="0"/>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8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80" w:type="dxa"/>
            <w:tcBorders>
              <w:top w:val="nil"/>
              <w:left w:val="nil"/>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240" w:type="dxa"/>
            <w:gridSpan w:val="10"/>
            <w:tcBorders>
              <w:top w:val="nil"/>
              <w:left w:val="nil"/>
              <w:bottom w:val="nil"/>
              <w:right w:val="nil"/>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注：本表反映部门本年度政府性基金预算财政拨款收入支出及结转和结余情况，本单位无此项支出，空表列示。</w:t>
            </w: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adjustRightInd w:val="0"/>
        <w:snapToGrid w:val="0"/>
        <w:spacing w:line="580" w:lineRule="exact"/>
        <w:rPr>
          <w:rFonts w:ascii="仿宋" w:hAnsi="仿宋" w:eastAsia="仿宋" w:cs="Times New Roman"/>
          <w:sz w:val="20"/>
          <w:szCs w:val="20"/>
        </w:rPr>
      </w:pPr>
    </w:p>
    <w:p>
      <w:pPr>
        <w:ind w:firstLine="640" w:firstLineChars="200"/>
        <w:rPr>
          <w:rFonts w:ascii="仿宋_GB2312" w:eastAsia="仿宋_GB2312"/>
          <w:sz w:val="32"/>
          <w:szCs w:val="32"/>
        </w:rPr>
      </w:pPr>
      <w:r>
        <w:rPr>
          <w:rFonts w:hint="eastAsia" w:ascii="仿宋_GB2312" w:eastAsia="仿宋_GB2312"/>
          <w:sz w:val="32"/>
          <w:szCs w:val="32"/>
        </w:rPr>
        <w:t>八、国有资本经营预算财政拨款收入支出决算表</w:t>
      </w: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国有资本经营预算财政拨款收入支出决算表</w:t>
      </w:r>
    </w:p>
    <w:tbl>
      <w:tblPr>
        <w:tblStyle w:val="6"/>
        <w:tblW w:w="13520" w:type="dxa"/>
        <w:tblInd w:w="93" w:type="dxa"/>
        <w:tblLayout w:type="fixed"/>
        <w:tblCellMar>
          <w:top w:w="0" w:type="dxa"/>
          <w:left w:w="108" w:type="dxa"/>
          <w:bottom w:w="0" w:type="dxa"/>
          <w:right w:w="108" w:type="dxa"/>
        </w:tblCellMar>
      </w:tblPr>
      <w:tblGrid>
        <w:gridCol w:w="560"/>
        <w:gridCol w:w="620"/>
        <w:gridCol w:w="600"/>
        <w:gridCol w:w="2980"/>
        <w:gridCol w:w="1460"/>
        <w:gridCol w:w="1460"/>
        <w:gridCol w:w="1460"/>
        <w:gridCol w:w="1460"/>
        <w:gridCol w:w="1460"/>
        <w:gridCol w:w="1460"/>
      </w:tblGrid>
      <w:tr>
        <w:tblPrEx>
          <w:tblLayout w:type="fixed"/>
          <w:tblCellMar>
            <w:top w:w="0" w:type="dxa"/>
            <w:left w:w="108" w:type="dxa"/>
            <w:bottom w:w="0" w:type="dxa"/>
            <w:right w:w="108" w:type="dxa"/>
          </w:tblCellMar>
        </w:tblPrEx>
        <w:trPr>
          <w:trHeight w:val="255" w:hRule="atLeast"/>
        </w:trPr>
        <w:tc>
          <w:tcPr>
            <w:tcW w:w="5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6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6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9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公开08表</w:t>
            </w:r>
          </w:p>
        </w:tc>
      </w:tr>
      <w:tr>
        <w:tblPrEx>
          <w:tblLayout w:type="fixed"/>
          <w:tblCellMar>
            <w:top w:w="0" w:type="dxa"/>
            <w:left w:w="108" w:type="dxa"/>
            <w:bottom w:w="0" w:type="dxa"/>
            <w:right w:w="108" w:type="dxa"/>
          </w:tblCellMar>
        </w:tblPrEx>
        <w:trPr>
          <w:trHeight w:val="255" w:hRule="atLeast"/>
        </w:trPr>
        <w:tc>
          <w:tcPr>
            <w:tcW w:w="4760" w:type="dxa"/>
            <w:gridSpan w:val="4"/>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编制单位：秦皇岛市抚宁区茶棚乡人民政府</w:t>
            </w: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920" w:type="dxa"/>
            <w:gridSpan w:val="2"/>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Layout w:type="fixed"/>
          <w:tblCellMar>
            <w:top w:w="0" w:type="dxa"/>
            <w:left w:w="108" w:type="dxa"/>
            <w:bottom w:w="0" w:type="dxa"/>
            <w:right w:w="108" w:type="dxa"/>
          </w:tblCellMar>
        </w:tblPrEx>
        <w:trPr>
          <w:trHeight w:val="312" w:hRule="atLeast"/>
        </w:trPr>
        <w:tc>
          <w:tcPr>
            <w:tcW w:w="4760" w:type="dxa"/>
            <w:gridSpan w:val="4"/>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w:t>
            </w:r>
          </w:p>
        </w:tc>
        <w:tc>
          <w:tcPr>
            <w:tcW w:w="146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年初结转和结余</w:t>
            </w:r>
          </w:p>
        </w:tc>
        <w:tc>
          <w:tcPr>
            <w:tcW w:w="146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w:t>
            </w:r>
          </w:p>
        </w:tc>
        <w:tc>
          <w:tcPr>
            <w:tcW w:w="4380" w:type="dxa"/>
            <w:gridSpan w:val="3"/>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w:t>
            </w:r>
          </w:p>
        </w:tc>
        <w:tc>
          <w:tcPr>
            <w:tcW w:w="1460"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年末结转和结余</w:t>
            </w:r>
          </w:p>
        </w:tc>
      </w:tr>
      <w:tr>
        <w:tblPrEx>
          <w:tblLayout w:type="fixed"/>
          <w:tblCellMar>
            <w:top w:w="0" w:type="dxa"/>
            <w:left w:w="108" w:type="dxa"/>
            <w:bottom w:w="0" w:type="dxa"/>
            <w:right w:w="108" w:type="dxa"/>
          </w:tblCellMar>
        </w:tblPrEx>
        <w:trPr>
          <w:trHeight w:val="312" w:hRule="atLeast"/>
        </w:trPr>
        <w:tc>
          <w:tcPr>
            <w:tcW w:w="4760" w:type="dxa"/>
            <w:gridSpan w:val="4"/>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380" w:type="dxa"/>
            <w:gridSpan w:val="3"/>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780" w:type="dxa"/>
            <w:gridSpan w:val="3"/>
            <w:vMerge w:val="restart"/>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29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4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4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c>
          <w:tcPr>
            <w:tcW w:w="146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12" w:hRule="atLeast"/>
        </w:trPr>
        <w:tc>
          <w:tcPr>
            <w:tcW w:w="1780" w:type="dxa"/>
            <w:gridSpan w:val="3"/>
            <w:vMerge w:val="continue"/>
            <w:tcBorders>
              <w:top w:val="single" w:color="000000" w:sz="4"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9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60"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476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4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4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4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4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4</w:t>
            </w:r>
          </w:p>
        </w:tc>
        <w:tc>
          <w:tcPr>
            <w:tcW w:w="14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5</w:t>
            </w:r>
          </w:p>
        </w:tc>
        <w:tc>
          <w:tcPr>
            <w:tcW w:w="146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6</w:t>
            </w:r>
          </w:p>
        </w:tc>
      </w:tr>
      <w:tr>
        <w:tblPrEx>
          <w:tblLayout w:type="fixed"/>
          <w:tblCellMar>
            <w:top w:w="0" w:type="dxa"/>
            <w:left w:w="108" w:type="dxa"/>
            <w:bottom w:w="0" w:type="dxa"/>
            <w:right w:w="108" w:type="dxa"/>
          </w:tblCellMar>
        </w:tblPrEx>
        <w:trPr>
          <w:trHeight w:val="308" w:hRule="atLeast"/>
        </w:trPr>
        <w:tc>
          <w:tcPr>
            <w:tcW w:w="4760" w:type="dxa"/>
            <w:gridSpan w:val="4"/>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4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000000" w:sz="4" w:space="0"/>
              <w:left w:val="single" w:color="000000" w:sz="8" w:space="0"/>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nil"/>
              <w:left w:val="nil"/>
              <w:bottom w:val="nil"/>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nil"/>
              <w:right w:val="single" w:color="000000"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nil"/>
              <w:left w:val="nil"/>
              <w:bottom w:val="single" w:color="000000" w:sz="4"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178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9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460" w:type="dxa"/>
            <w:tcBorders>
              <w:top w:val="single" w:color="000000" w:sz="8" w:space="0"/>
              <w:left w:val="nil"/>
              <w:bottom w:val="single" w:color="000000" w:sz="8" w:space="0"/>
              <w:right w:val="single" w:color="000000" w:sz="8" w:space="0"/>
            </w:tcBorders>
            <w:shd w:val="clear" w:color="auto" w:fill="auto"/>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9140" w:type="dxa"/>
            <w:gridSpan w:val="7"/>
            <w:tcBorders>
              <w:top w:val="nil"/>
              <w:left w:val="nil"/>
              <w:bottom w:val="nil"/>
              <w:right w:val="nil"/>
            </w:tcBorders>
            <w:shd w:val="clear" w:color="auto" w:fill="auto"/>
            <w:vAlign w:val="center"/>
          </w:tcPr>
          <w:p>
            <w:pPr>
              <w:widowControl/>
              <w:jc w:val="left"/>
              <w:rPr>
                <w:rFonts w:ascii="宋体" w:hAnsi="宋体" w:cs="Arial"/>
                <w:color w:val="000000"/>
                <w:kern w:val="0"/>
                <w:sz w:val="18"/>
                <w:szCs w:val="18"/>
              </w:rPr>
            </w:pPr>
            <w:r>
              <w:rPr>
                <w:rFonts w:hint="eastAsia" w:ascii="宋体" w:hAnsi="宋体" w:cs="Arial"/>
                <w:color w:val="000000"/>
                <w:kern w:val="0"/>
                <w:sz w:val="18"/>
                <w:szCs w:val="18"/>
              </w:rPr>
              <w:t>注：本表反映部门本年度国有资本经营预算财政拨款支出情况，</w:t>
            </w:r>
            <w:r>
              <w:rPr>
                <w:rFonts w:hint="eastAsia" w:ascii="宋体" w:hAnsi="宋体" w:cs="Arial"/>
                <w:color w:val="000000"/>
                <w:kern w:val="0"/>
                <w:sz w:val="20"/>
                <w:szCs w:val="20"/>
              </w:rPr>
              <w:t>本单位无此项支出，</w:t>
            </w:r>
            <w:r>
              <w:rPr>
                <w:rFonts w:hint="eastAsia" w:ascii="宋体" w:hAnsi="宋体" w:cs="Arial"/>
                <w:color w:val="000000"/>
                <w:kern w:val="0"/>
                <w:sz w:val="18"/>
                <w:szCs w:val="18"/>
              </w:rPr>
              <w:t>空表列示。</w:t>
            </w:r>
          </w:p>
        </w:tc>
        <w:tc>
          <w:tcPr>
            <w:tcW w:w="1460" w:type="dxa"/>
            <w:tcBorders>
              <w:top w:val="nil"/>
              <w:left w:val="nil"/>
              <w:bottom w:val="nil"/>
              <w:right w:val="nil"/>
            </w:tcBorders>
            <w:shd w:val="clear" w:color="auto" w:fill="auto"/>
            <w:vAlign w:val="center"/>
          </w:tcPr>
          <w:p>
            <w:pPr>
              <w:widowControl/>
              <w:jc w:val="left"/>
              <w:rPr>
                <w:rFonts w:ascii="宋体" w:hAnsi="宋体" w:cs="Arial"/>
                <w:color w:val="000000"/>
                <w:kern w:val="0"/>
                <w:sz w:val="20"/>
                <w:szCs w:val="20"/>
              </w:rPr>
            </w:pPr>
          </w:p>
        </w:tc>
        <w:tc>
          <w:tcPr>
            <w:tcW w:w="1460" w:type="dxa"/>
            <w:tcBorders>
              <w:top w:val="nil"/>
              <w:left w:val="nil"/>
              <w:bottom w:val="nil"/>
              <w:right w:val="nil"/>
            </w:tcBorders>
            <w:shd w:val="clear" w:color="auto" w:fill="auto"/>
            <w:vAlign w:val="center"/>
          </w:tcPr>
          <w:p>
            <w:pPr>
              <w:widowControl/>
              <w:jc w:val="left"/>
              <w:rPr>
                <w:rFonts w:ascii="宋体" w:hAnsi="宋体" w:cs="Arial"/>
                <w:color w:val="000000"/>
                <w:kern w:val="0"/>
                <w:sz w:val="20"/>
                <w:szCs w:val="20"/>
              </w:rPr>
            </w:pPr>
          </w:p>
        </w:tc>
        <w:tc>
          <w:tcPr>
            <w:tcW w:w="1460" w:type="dxa"/>
            <w:tcBorders>
              <w:top w:val="nil"/>
              <w:left w:val="nil"/>
              <w:bottom w:val="nil"/>
              <w:right w:val="nil"/>
            </w:tcBorders>
            <w:shd w:val="clear" w:color="auto" w:fill="auto"/>
            <w:vAlign w:val="center"/>
          </w:tcPr>
          <w:p>
            <w:pPr>
              <w:widowControl/>
              <w:jc w:val="left"/>
              <w:rPr>
                <w:rFonts w:ascii="宋体" w:hAnsi="宋体" w:cs="Arial"/>
                <w:color w:val="000000"/>
                <w:kern w:val="0"/>
                <w:sz w:val="20"/>
                <w:szCs w:val="20"/>
              </w:rPr>
            </w:pPr>
          </w:p>
        </w:tc>
      </w:tr>
    </w:tbl>
    <w:p>
      <w:pPr>
        <w:adjustRightInd w:val="0"/>
        <w:snapToGrid w:val="0"/>
        <w:spacing w:line="580" w:lineRule="exact"/>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adjustRightInd w:val="0"/>
        <w:snapToGrid w:val="0"/>
        <w:spacing w:line="580" w:lineRule="exact"/>
        <w:ind w:firstLine="400" w:firstLineChars="200"/>
        <w:rPr>
          <w:rFonts w:ascii="仿宋" w:hAnsi="仿宋" w:eastAsia="仿宋" w:cs="Times New Roman"/>
          <w:sz w:val="20"/>
          <w:szCs w:val="20"/>
        </w:rPr>
      </w:pPr>
    </w:p>
    <w:p>
      <w:pPr>
        <w:spacing w:line="400" w:lineRule="exact"/>
        <w:ind w:firstLine="640" w:firstLineChars="200"/>
        <w:rPr>
          <w:rFonts w:ascii="仿宋_GB2312" w:eastAsia="仿宋_GB2312"/>
          <w:sz w:val="32"/>
          <w:szCs w:val="32"/>
        </w:rPr>
      </w:pPr>
      <w:r>
        <w:rPr>
          <w:rFonts w:hint="eastAsia" w:ascii="仿宋_GB2312" w:eastAsia="仿宋_GB2312"/>
          <w:sz w:val="32"/>
          <w:szCs w:val="32"/>
        </w:rPr>
        <w:t>九、“三公”经费及相关信息统计表</w:t>
      </w:r>
    </w:p>
    <w:p>
      <w:pPr>
        <w:adjustRightInd w:val="0"/>
        <w:snapToGrid w:val="0"/>
        <w:spacing w:line="400" w:lineRule="exact"/>
        <w:jc w:val="center"/>
        <w:rPr>
          <w:rFonts w:ascii="仿宋_GB2312" w:hAnsi="仿宋" w:eastAsia="仿宋_GB2312" w:cs="Times New Roman"/>
          <w:sz w:val="32"/>
          <w:szCs w:val="32"/>
        </w:rPr>
      </w:pPr>
      <w:r>
        <w:rPr>
          <w:rFonts w:hint="eastAsia" w:ascii="仿宋_GB2312" w:eastAsia="仿宋_GB2312"/>
          <w:sz w:val="32"/>
          <w:szCs w:val="32"/>
        </w:rPr>
        <w:t>“三公”经费及相关信息统计表</w:t>
      </w:r>
    </w:p>
    <w:tbl>
      <w:tblPr>
        <w:tblStyle w:val="6"/>
        <w:tblW w:w="13840" w:type="dxa"/>
        <w:tblInd w:w="93" w:type="dxa"/>
        <w:tblLayout w:type="fixed"/>
        <w:tblCellMar>
          <w:top w:w="0" w:type="dxa"/>
          <w:left w:w="108" w:type="dxa"/>
          <w:bottom w:w="0" w:type="dxa"/>
          <w:right w:w="108" w:type="dxa"/>
        </w:tblCellMar>
      </w:tblPr>
      <w:tblGrid>
        <w:gridCol w:w="3760"/>
        <w:gridCol w:w="640"/>
        <w:gridCol w:w="1660"/>
        <w:gridCol w:w="1540"/>
        <w:gridCol w:w="4430"/>
        <w:gridCol w:w="580"/>
        <w:gridCol w:w="1230"/>
      </w:tblGrid>
      <w:tr>
        <w:tblPrEx>
          <w:tblLayout w:type="fixed"/>
          <w:tblCellMar>
            <w:top w:w="0" w:type="dxa"/>
            <w:left w:w="108" w:type="dxa"/>
            <w:bottom w:w="0" w:type="dxa"/>
            <w:right w:w="108" w:type="dxa"/>
          </w:tblCellMar>
        </w:tblPrEx>
        <w:trPr>
          <w:trHeight w:val="255" w:hRule="atLeast"/>
        </w:trPr>
        <w:tc>
          <w:tcPr>
            <w:tcW w:w="37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6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6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54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58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23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公开09表</w:t>
            </w:r>
          </w:p>
        </w:tc>
      </w:tr>
      <w:tr>
        <w:tblPrEx>
          <w:tblLayout w:type="fixed"/>
          <w:tblCellMar>
            <w:top w:w="0" w:type="dxa"/>
            <w:left w:w="108" w:type="dxa"/>
            <w:bottom w:w="0" w:type="dxa"/>
            <w:right w:w="108" w:type="dxa"/>
          </w:tblCellMar>
        </w:tblPrEx>
        <w:trPr>
          <w:trHeight w:val="255" w:hRule="atLeast"/>
        </w:trPr>
        <w:tc>
          <w:tcPr>
            <w:tcW w:w="4400" w:type="dxa"/>
            <w:gridSpan w:val="2"/>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编制单位：秦皇岛市抚宁区茶棚乡人民政府</w:t>
            </w:r>
          </w:p>
        </w:tc>
        <w:tc>
          <w:tcPr>
            <w:tcW w:w="166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540"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443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810" w:type="dxa"/>
            <w:gridSpan w:val="2"/>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Layout w:type="fixed"/>
          <w:tblCellMar>
            <w:top w:w="0" w:type="dxa"/>
            <w:left w:w="108" w:type="dxa"/>
            <w:bottom w:w="0" w:type="dxa"/>
            <w:right w:w="108" w:type="dxa"/>
          </w:tblCellMar>
        </w:tblPrEx>
        <w:trPr>
          <w:trHeight w:val="282" w:hRule="atLeast"/>
        </w:trPr>
        <w:tc>
          <w:tcPr>
            <w:tcW w:w="3760"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  目</w:t>
            </w:r>
          </w:p>
        </w:tc>
        <w:tc>
          <w:tcPr>
            <w:tcW w:w="64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660" w:type="dxa"/>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预算数</w:t>
            </w:r>
          </w:p>
        </w:tc>
        <w:tc>
          <w:tcPr>
            <w:tcW w:w="1540" w:type="dxa"/>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统计数</w:t>
            </w:r>
          </w:p>
        </w:tc>
        <w:tc>
          <w:tcPr>
            <w:tcW w:w="4430" w:type="dxa"/>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  目</w:t>
            </w:r>
          </w:p>
        </w:tc>
        <w:tc>
          <w:tcPr>
            <w:tcW w:w="58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230" w:type="dxa"/>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统计数</w:t>
            </w:r>
          </w:p>
        </w:tc>
      </w:tr>
      <w:tr>
        <w:tblPrEx>
          <w:tblLayout w:type="fixed"/>
          <w:tblCellMar>
            <w:top w:w="0" w:type="dxa"/>
            <w:left w:w="108" w:type="dxa"/>
            <w:bottom w:w="0" w:type="dxa"/>
            <w:right w:w="108" w:type="dxa"/>
          </w:tblCellMar>
        </w:tblPrEx>
        <w:trPr>
          <w:trHeight w:val="23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  次</w:t>
            </w:r>
          </w:p>
        </w:tc>
        <w:tc>
          <w:tcPr>
            <w:tcW w:w="64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6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5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443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  次</w:t>
            </w:r>
          </w:p>
        </w:tc>
        <w:tc>
          <w:tcPr>
            <w:tcW w:w="58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3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一、“三公”经费支出</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二、国有资产占用情况</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22</w:t>
            </w:r>
          </w:p>
        </w:tc>
        <w:tc>
          <w:tcPr>
            <w:tcW w:w="1230" w:type="dxa"/>
            <w:tcBorders>
              <w:top w:val="nil"/>
              <w:left w:val="nil"/>
              <w:bottom w:val="single" w:color="000000" w:sz="4" w:space="0"/>
              <w:right w:val="single" w:color="000000" w:sz="8"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（一）支出合计</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10.04</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（一）车辆数合计（辆）</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23</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2</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1．因公出国（境）费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1．部级领导干部用车</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24</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2．公务用车购置及运行维护费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9.05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9.04</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2．一般公务用车</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25</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（1）公务用车购置费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3．一般执法执勤用车</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26</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（2）公务用车运行维护费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9.05</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9.04</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4．特种专业技术用车</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27</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3．公务接待费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5．其他用车</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28</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（1）国内接待费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1.00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（二）单价50万元以上通用设备（台，套）</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29</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其中：外事接待费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（三）单价100万元以上专用设备（台，套）</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123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（2）国（境）外接待费</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66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31</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308"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（二）相关统计数</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32</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1．因公出国（境）团组数（个）</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33</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2．因公出国（境）人次数（人）</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13</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34</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3．公务用车购置数（辆）</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14</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35</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4．公务用车保有量（辆）</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2</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36</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5．国内公务接待批次（个）</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16</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5</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37</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其中：外事接待批次（个）</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17</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38</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6．国内公务接待人次（人）</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18</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449</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39</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199"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其中：外事接待人次（人）</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19</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7．国（境）外公务接待批次（个）</w:t>
            </w:r>
          </w:p>
        </w:tc>
        <w:tc>
          <w:tcPr>
            <w:tcW w:w="64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20</w:t>
            </w:r>
          </w:p>
        </w:tc>
        <w:tc>
          <w:tcPr>
            <w:tcW w:w="1660"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41</w:t>
            </w:r>
          </w:p>
        </w:tc>
        <w:tc>
          <w:tcPr>
            <w:tcW w:w="1230" w:type="dxa"/>
            <w:tcBorders>
              <w:top w:val="nil"/>
              <w:left w:val="nil"/>
              <w:bottom w:val="single" w:color="000000" w:sz="4"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r>
        <w:tblPrEx>
          <w:tblLayout w:type="fixed"/>
          <w:tblCellMar>
            <w:top w:w="0" w:type="dxa"/>
            <w:left w:w="108" w:type="dxa"/>
            <w:bottom w:w="0" w:type="dxa"/>
            <w:right w:w="108" w:type="dxa"/>
          </w:tblCellMar>
        </w:tblPrEx>
        <w:trPr>
          <w:trHeight w:val="20" w:hRule="atLeast"/>
        </w:trPr>
        <w:tc>
          <w:tcPr>
            <w:tcW w:w="3760" w:type="dxa"/>
            <w:tcBorders>
              <w:top w:val="single" w:color="000000" w:sz="8" w:space="0"/>
              <w:left w:val="single" w:color="000000" w:sz="8" w:space="0"/>
              <w:bottom w:val="single" w:color="000000" w:sz="8"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8．国（境）外公务接待人次（人）</w:t>
            </w:r>
          </w:p>
        </w:tc>
        <w:tc>
          <w:tcPr>
            <w:tcW w:w="640" w:type="dxa"/>
            <w:tcBorders>
              <w:top w:val="single" w:color="000000" w:sz="8" w:space="0"/>
              <w:left w:val="nil"/>
              <w:bottom w:val="single" w:color="000000" w:sz="8"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21</w:t>
            </w:r>
          </w:p>
        </w:tc>
        <w:tc>
          <w:tcPr>
            <w:tcW w:w="1660" w:type="dxa"/>
            <w:tcBorders>
              <w:top w:val="single" w:color="000000" w:sz="8" w:space="0"/>
              <w:left w:val="nil"/>
              <w:bottom w:val="single" w:color="000000" w:sz="8" w:space="0"/>
              <w:right w:val="single" w:color="000000" w:sz="4" w:space="0"/>
            </w:tcBorders>
            <w:shd w:val="clear" w:color="000000" w:fill="FFFFFF"/>
            <w:vAlign w:val="center"/>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w:t>
            </w:r>
          </w:p>
        </w:tc>
        <w:tc>
          <w:tcPr>
            <w:tcW w:w="154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0</w:t>
            </w:r>
          </w:p>
        </w:tc>
        <w:tc>
          <w:tcPr>
            <w:tcW w:w="4430" w:type="dxa"/>
            <w:tcBorders>
              <w:top w:val="single" w:color="000000" w:sz="8" w:space="0"/>
              <w:left w:val="nil"/>
              <w:bottom w:val="single" w:color="000000" w:sz="8"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580" w:type="dxa"/>
            <w:tcBorders>
              <w:top w:val="single" w:color="000000" w:sz="8" w:space="0"/>
              <w:left w:val="nil"/>
              <w:bottom w:val="single" w:color="000000" w:sz="8"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42</w:t>
            </w:r>
          </w:p>
        </w:tc>
        <w:tc>
          <w:tcPr>
            <w:tcW w:w="1230" w:type="dxa"/>
            <w:tcBorders>
              <w:top w:val="single" w:color="000000" w:sz="8" w:space="0"/>
              <w:left w:val="nil"/>
              <w:bottom w:val="single" w:color="000000" w:sz="8" w:space="0"/>
              <w:right w:val="single" w:color="000000" w:sz="8" w:space="0"/>
            </w:tcBorders>
            <w:shd w:val="clear" w:color="000000" w:fill="FFFFFF"/>
            <w:vAlign w:val="center"/>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r>
    </w:tbl>
    <w:p>
      <w:pPr>
        <w:ind w:firstLine="640" w:firstLineChars="200"/>
        <w:rPr>
          <w:rFonts w:ascii="仿宋_GB2312" w:eastAsia="仿宋_GB2312"/>
          <w:sz w:val="32"/>
          <w:szCs w:val="32"/>
        </w:rPr>
      </w:pPr>
      <w:r>
        <w:rPr>
          <w:rFonts w:hint="eastAsia" w:ascii="仿宋_GB2312" w:eastAsia="仿宋_GB2312"/>
          <w:sz w:val="32"/>
          <w:szCs w:val="32"/>
        </w:rPr>
        <w:t>十、政府采购情况表</w:t>
      </w:r>
    </w:p>
    <w:p>
      <w:pPr>
        <w:adjustRightInd w:val="0"/>
        <w:snapToGrid w:val="0"/>
        <w:spacing w:line="580" w:lineRule="exact"/>
        <w:rPr>
          <w:rFonts w:ascii="仿宋" w:hAnsi="仿宋" w:eastAsia="仿宋" w:cs="Times New Roman"/>
          <w:b/>
          <w:sz w:val="32"/>
          <w:szCs w:val="32"/>
        </w:rPr>
      </w:pPr>
    </w:p>
    <w:p>
      <w:pPr>
        <w:adjustRightInd w:val="0"/>
        <w:snapToGrid w:val="0"/>
        <w:spacing w:line="580" w:lineRule="exact"/>
        <w:jc w:val="center"/>
        <w:rPr>
          <w:rFonts w:ascii="仿宋_GB2312" w:hAnsi="仿宋" w:eastAsia="仿宋_GB2312" w:cs="Times New Roman"/>
          <w:sz w:val="32"/>
          <w:szCs w:val="32"/>
        </w:rPr>
      </w:pPr>
      <w:r>
        <w:rPr>
          <w:rFonts w:hint="eastAsia" w:ascii="仿宋_GB2312" w:hAnsi="仿宋" w:eastAsia="仿宋_GB2312" w:cs="Times New Roman"/>
          <w:sz w:val="32"/>
          <w:szCs w:val="32"/>
        </w:rPr>
        <w:t>政府采购情况表</w:t>
      </w:r>
    </w:p>
    <w:tbl>
      <w:tblPr>
        <w:tblStyle w:val="6"/>
        <w:tblW w:w="13780" w:type="dxa"/>
        <w:tblInd w:w="93" w:type="dxa"/>
        <w:tblLayout w:type="fixed"/>
        <w:tblCellMar>
          <w:top w:w="0" w:type="dxa"/>
          <w:left w:w="108" w:type="dxa"/>
          <w:bottom w:w="0" w:type="dxa"/>
          <w:right w:w="108" w:type="dxa"/>
        </w:tblCellMar>
      </w:tblPr>
      <w:tblGrid>
        <w:gridCol w:w="2020"/>
        <w:gridCol w:w="2020"/>
        <w:gridCol w:w="2020"/>
        <w:gridCol w:w="2020"/>
        <w:gridCol w:w="1900"/>
        <w:gridCol w:w="1900"/>
        <w:gridCol w:w="1900"/>
      </w:tblGrid>
      <w:tr>
        <w:tblPrEx>
          <w:tblLayout w:type="fixed"/>
          <w:tblCellMar>
            <w:top w:w="0" w:type="dxa"/>
            <w:left w:w="108" w:type="dxa"/>
            <w:bottom w:w="0" w:type="dxa"/>
            <w:right w:w="108" w:type="dxa"/>
          </w:tblCellMar>
        </w:tblPrEx>
        <w:trPr>
          <w:trHeight w:val="255" w:hRule="atLeast"/>
        </w:trPr>
        <w:tc>
          <w:tcPr>
            <w:tcW w:w="20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0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0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0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公开10表</w:t>
            </w:r>
          </w:p>
        </w:tc>
      </w:tr>
      <w:tr>
        <w:tblPrEx>
          <w:tblLayout w:type="fixed"/>
          <w:tblCellMar>
            <w:top w:w="0" w:type="dxa"/>
            <w:left w:w="108" w:type="dxa"/>
            <w:bottom w:w="0" w:type="dxa"/>
            <w:right w:w="108" w:type="dxa"/>
          </w:tblCellMar>
        </w:tblPrEx>
        <w:trPr>
          <w:trHeight w:val="255" w:hRule="atLeast"/>
        </w:trPr>
        <w:tc>
          <w:tcPr>
            <w:tcW w:w="4040" w:type="dxa"/>
            <w:gridSpan w:val="2"/>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编制单位：秦皇岛市抚宁区茶棚乡人民政府</w:t>
            </w:r>
          </w:p>
        </w:tc>
        <w:tc>
          <w:tcPr>
            <w:tcW w:w="20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020" w:type="dxa"/>
            <w:tcBorders>
              <w:top w:val="nil"/>
              <w:left w:val="nil"/>
              <w:bottom w:val="nil"/>
              <w:right w:val="nil"/>
            </w:tcBorders>
            <w:shd w:val="clear" w:color="auto" w:fill="auto"/>
            <w:vAlign w:val="bottom"/>
          </w:tcPr>
          <w:p>
            <w:pPr>
              <w:widowControl/>
              <w:jc w:val="center"/>
              <w:rPr>
                <w:rFonts w:ascii="宋体" w:hAnsi="宋体" w:cs="Arial"/>
                <w:color w:val="000000"/>
                <w:kern w:val="0"/>
                <w:sz w:val="20"/>
                <w:szCs w:val="20"/>
              </w:rPr>
            </w:pPr>
            <w:r>
              <w:rPr>
                <w:rFonts w:hint="eastAsia" w:ascii="宋体" w:hAnsi="宋体" w:cs="Arial"/>
                <w:color w:val="000000"/>
                <w:kern w:val="0"/>
                <w:sz w:val="20"/>
                <w:szCs w:val="20"/>
              </w:rPr>
              <w:t>2016年度</w:t>
            </w:r>
          </w:p>
        </w:tc>
        <w:tc>
          <w:tcPr>
            <w:tcW w:w="19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Layout w:type="fixed"/>
          <w:tblCellMar>
            <w:top w:w="0" w:type="dxa"/>
            <w:left w:w="108" w:type="dxa"/>
            <w:bottom w:w="0" w:type="dxa"/>
            <w:right w:w="108" w:type="dxa"/>
          </w:tblCellMar>
        </w:tblPrEx>
        <w:trPr>
          <w:trHeight w:val="308" w:hRule="atLeast"/>
        </w:trPr>
        <w:tc>
          <w:tcPr>
            <w:tcW w:w="202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11760" w:type="dxa"/>
            <w:gridSpan w:val="6"/>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采购计划金额</w:t>
            </w:r>
          </w:p>
        </w:tc>
      </w:tr>
      <w:tr>
        <w:tblPrEx>
          <w:tblLayout w:type="fixed"/>
          <w:tblCellMar>
            <w:top w:w="0" w:type="dxa"/>
            <w:left w:w="108" w:type="dxa"/>
            <w:bottom w:w="0" w:type="dxa"/>
            <w:right w:w="108" w:type="dxa"/>
          </w:tblCellMar>
        </w:tblPrEx>
        <w:trPr>
          <w:trHeight w:val="308" w:hRule="atLeast"/>
        </w:trPr>
        <w:tc>
          <w:tcPr>
            <w:tcW w:w="2020" w:type="dxa"/>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总计</w:t>
            </w:r>
          </w:p>
        </w:tc>
        <w:tc>
          <w:tcPr>
            <w:tcW w:w="7840" w:type="dxa"/>
            <w:gridSpan w:val="4"/>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采购预算(财政性资金)</w:t>
            </w:r>
          </w:p>
        </w:tc>
        <w:tc>
          <w:tcPr>
            <w:tcW w:w="1900" w:type="dxa"/>
            <w:vMerge w:val="restart"/>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非财政性资金</w:t>
            </w:r>
          </w:p>
        </w:tc>
      </w:tr>
      <w:tr>
        <w:tblPrEx>
          <w:tblLayout w:type="fixed"/>
          <w:tblCellMar>
            <w:top w:w="0" w:type="dxa"/>
            <w:left w:w="108" w:type="dxa"/>
            <w:bottom w:w="0" w:type="dxa"/>
            <w:right w:w="108" w:type="dxa"/>
          </w:tblCellMar>
        </w:tblPrEx>
        <w:trPr>
          <w:trHeight w:val="308" w:hRule="atLeast"/>
        </w:trPr>
        <w:tc>
          <w:tcPr>
            <w:tcW w:w="2020" w:type="dxa"/>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一般公共预算</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政府性基金预算</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其他资金</w:t>
            </w:r>
          </w:p>
        </w:tc>
        <w:tc>
          <w:tcPr>
            <w:tcW w:w="1900" w:type="dxa"/>
            <w:vMerge w:val="continue"/>
            <w:tcBorders>
              <w:top w:val="nil"/>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90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      计</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货物</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工程</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服务</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11760" w:type="dxa"/>
            <w:gridSpan w:val="6"/>
            <w:tcBorders>
              <w:top w:val="single" w:color="000000" w:sz="4"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实际采购金额</w:t>
            </w:r>
          </w:p>
        </w:tc>
      </w:tr>
      <w:tr>
        <w:tblPrEx>
          <w:tblLayout w:type="fixed"/>
          <w:tblCellMar>
            <w:top w:w="0" w:type="dxa"/>
            <w:left w:w="108" w:type="dxa"/>
            <w:bottom w:w="0" w:type="dxa"/>
            <w:right w:w="108" w:type="dxa"/>
          </w:tblCellMar>
        </w:tblPrEx>
        <w:trPr>
          <w:trHeight w:val="308" w:hRule="atLeast"/>
        </w:trPr>
        <w:tc>
          <w:tcPr>
            <w:tcW w:w="2020"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总计</w:t>
            </w:r>
          </w:p>
        </w:tc>
        <w:tc>
          <w:tcPr>
            <w:tcW w:w="7840" w:type="dxa"/>
            <w:gridSpan w:val="4"/>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采购预算(财政性资金)</w:t>
            </w:r>
          </w:p>
        </w:tc>
        <w:tc>
          <w:tcPr>
            <w:tcW w:w="1900" w:type="dxa"/>
            <w:vMerge w:val="restart"/>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非财政性资金</w:t>
            </w:r>
          </w:p>
        </w:tc>
      </w:tr>
      <w:tr>
        <w:tblPrEx>
          <w:tblLayout w:type="fixed"/>
          <w:tblCellMar>
            <w:top w:w="0" w:type="dxa"/>
            <w:left w:w="108" w:type="dxa"/>
            <w:bottom w:w="0" w:type="dxa"/>
            <w:right w:w="108" w:type="dxa"/>
          </w:tblCellMar>
        </w:tblPrEx>
        <w:trPr>
          <w:trHeight w:val="308" w:hRule="atLeast"/>
        </w:trPr>
        <w:tc>
          <w:tcPr>
            <w:tcW w:w="2020"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一般公共预算</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政府性基金预算</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其他资金</w:t>
            </w:r>
          </w:p>
        </w:tc>
        <w:tc>
          <w:tcPr>
            <w:tcW w:w="1900" w:type="dxa"/>
            <w:vMerge w:val="continue"/>
            <w:tcBorders>
              <w:top w:val="nil"/>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20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90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900"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      计</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货物</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1.82</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工程</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nil"/>
              <w:left w:val="nil"/>
              <w:bottom w:val="single" w:color="000000" w:sz="4"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r>
        <w:tblPrEx>
          <w:tblLayout w:type="fixed"/>
          <w:tblCellMar>
            <w:top w:w="0" w:type="dxa"/>
            <w:left w:w="108" w:type="dxa"/>
            <w:bottom w:w="0" w:type="dxa"/>
            <w:right w:w="108" w:type="dxa"/>
          </w:tblCellMar>
        </w:tblPrEx>
        <w:trPr>
          <w:trHeight w:val="308" w:hRule="atLeast"/>
        </w:trPr>
        <w:tc>
          <w:tcPr>
            <w:tcW w:w="2020" w:type="dxa"/>
            <w:tcBorders>
              <w:top w:val="single" w:color="000000" w:sz="8" w:space="0"/>
              <w:left w:val="single" w:color="000000" w:sz="8" w:space="0"/>
              <w:bottom w:val="single" w:color="000000" w:sz="8"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服务</w:t>
            </w:r>
          </w:p>
        </w:tc>
        <w:tc>
          <w:tcPr>
            <w:tcW w:w="202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202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single" w:color="000000" w:sz="8" w:space="0"/>
              <w:left w:val="nil"/>
              <w:bottom w:val="single" w:color="000000" w:sz="8" w:space="0"/>
              <w:right w:val="single" w:color="000000" w:sz="4"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c>
          <w:tcPr>
            <w:tcW w:w="1900" w:type="dxa"/>
            <w:tcBorders>
              <w:top w:val="single" w:color="000000" w:sz="8" w:space="0"/>
              <w:left w:val="nil"/>
              <w:bottom w:val="single" w:color="000000" w:sz="8" w:space="0"/>
              <w:right w:val="single" w:color="000000" w:sz="8" w:space="0"/>
            </w:tcBorders>
            <w:shd w:val="clear" w:color="000000" w:fill="FFFFFF"/>
            <w:vAlign w:val="center"/>
          </w:tcPr>
          <w:p>
            <w:pPr>
              <w:widowControl/>
              <w:jc w:val="right"/>
              <w:rPr>
                <w:rFonts w:ascii="宋体" w:hAnsi="宋体" w:cs="Arial"/>
                <w:color w:val="000000"/>
                <w:kern w:val="0"/>
                <w:sz w:val="18"/>
                <w:szCs w:val="18"/>
              </w:rPr>
            </w:pPr>
            <w:r>
              <w:rPr>
                <w:rFonts w:hint="eastAsia" w:ascii="宋体" w:hAnsi="宋体" w:cs="Arial"/>
                <w:color w:val="000000"/>
                <w:kern w:val="0"/>
                <w:sz w:val="18"/>
                <w:szCs w:val="18"/>
              </w:rPr>
              <w:t>0.00</w:t>
            </w:r>
          </w:p>
        </w:tc>
      </w:tr>
    </w:tbl>
    <w:p>
      <w:pPr>
        <w:adjustRightInd w:val="0"/>
        <w:snapToGrid w:val="0"/>
        <w:spacing w:line="580" w:lineRule="exact"/>
        <w:rPr>
          <w:rFonts w:ascii="仿宋" w:hAnsi="仿宋" w:eastAsia="仿宋" w:cs="Times New Roman"/>
          <w:sz w:val="20"/>
          <w:szCs w:val="20"/>
        </w:rPr>
        <w:sectPr>
          <w:pgSz w:w="16783" w:h="11850" w:orient="landscape"/>
          <w:pgMar w:top="1531" w:right="1871" w:bottom="1304" w:left="1758" w:header="851" w:footer="992" w:gutter="0"/>
          <w:pgNumType w:fmt="chineseCounting"/>
          <w:cols w:space="0" w:num="1"/>
          <w:docGrid w:type="lines" w:linePitch="312" w:charSpace="0"/>
        </w:sectPr>
      </w:pPr>
      <w:bookmarkStart w:id="0" w:name="RANGE_A1_F13"/>
      <w:bookmarkEnd w:id="0"/>
      <w:bookmarkStart w:id="1" w:name="RANGE_A1_F15"/>
      <w:bookmarkEnd w:id="1"/>
    </w:p>
    <w:p>
      <w:pPr>
        <w:rPr>
          <w:rFonts w:ascii="仿宋_GB2312"/>
          <w:szCs w:val="32"/>
        </w:rPr>
      </w:pPr>
    </w:p>
    <w:p>
      <w:pPr>
        <w:jc w:val="center"/>
        <w:rPr>
          <w:rFonts w:ascii="黑体" w:hAnsi="黑体" w:eastAsia="黑体"/>
          <w:sz w:val="36"/>
          <w:szCs w:val="32"/>
        </w:rPr>
      </w:pPr>
      <w:r>
        <w:rPr>
          <w:rFonts w:hint="eastAsia" w:ascii="黑体" w:hAnsi="黑体" w:eastAsia="黑体"/>
          <w:sz w:val="36"/>
          <w:szCs w:val="32"/>
        </w:rPr>
        <w:t>第三部分</w:t>
      </w:r>
    </w:p>
    <w:p>
      <w:pPr>
        <w:jc w:val="center"/>
        <w:rPr>
          <w:rFonts w:ascii="黑体" w:hAnsi="黑体" w:eastAsia="黑体"/>
          <w:sz w:val="36"/>
          <w:szCs w:val="32"/>
        </w:rPr>
      </w:pPr>
      <w:r>
        <w:rPr>
          <w:rFonts w:hint="eastAsia" w:ascii="黑体" w:hAnsi="黑体" w:eastAsia="黑体"/>
          <w:sz w:val="36"/>
          <w:szCs w:val="32"/>
        </w:rPr>
        <w:t>秦皇岛市抚宁区茶棚乡人民政府部门2016年部门决算</w:t>
      </w:r>
    </w:p>
    <w:p>
      <w:pPr>
        <w:jc w:val="center"/>
        <w:rPr>
          <w:rFonts w:ascii="黑体" w:hAnsi="黑体" w:eastAsia="黑体"/>
          <w:sz w:val="36"/>
          <w:szCs w:val="32"/>
        </w:rPr>
      </w:pPr>
      <w:r>
        <w:rPr>
          <w:rFonts w:hint="eastAsia" w:ascii="黑体" w:hAnsi="黑体" w:eastAsia="黑体"/>
          <w:sz w:val="36"/>
          <w:szCs w:val="32"/>
        </w:rPr>
        <w:t>情况说明</w:t>
      </w:r>
    </w:p>
    <w:p>
      <w:pPr>
        <w:ind w:firstLine="640"/>
        <w:rPr>
          <w:rFonts w:ascii="黑体" w:hAnsi="黑体" w:eastAsia="黑体"/>
          <w:szCs w:val="32"/>
        </w:rPr>
      </w:pPr>
    </w:p>
    <w:p>
      <w:pPr>
        <w:pStyle w:val="24"/>
        <w:numPr>
          <w:ilvl w:val="0"/>
          <w:numId w:val="1"/>
        </w:numPr>
        <w:ind w:firstLineChars="0"/>
        <w:rPr>
          <w:rFonts w:ascii="仿宋_GB2312"/>
          <w:b/>
          <w:szCs w:val="32"/>
        </w:rPr>
      </w:pPr>
      <w:r>
        <w:rPr>
          <w:rFonts w:hint="eastAsia" w:ascii="仿宋_GB2312"/>
          <w:b/>
          <w:szCs w:val="32"/>
        </w:rPr>
        <w:t>预算执行情况分析。</w:t>
      </w:r>
    </w:p>
    <w:p>
      <w:pPr>
        <w:adjustRightInd w:val="0"/>
        <w:snapToGrid w:val="0"/>
        <w:spacing w:line="580" w:lineRule="exact"/>
        <w:ind w:firstLine="640" w:firstLineChars="200"/>
        <w:rPr>
          <w:rFonts w:ascii="华文仿宋" w:hAnsi="华文仿宋" w:eastAsia="华文仿宋" w:cs="仿宋"/>
          <w:sz w:val="32"/>
          <w:szCs w:val="32"/>
        </w:rPr>
      </w:pPr>
      <w:r>
        <w:rPr>
          <w:rFonts w:hint="eastAsia" w:ascii="华文仿宋" w:hAnsi="华文仿宋" w:eastAsia="华文仿宋"/>
          <w:sz w:val="32"/>
          <w:szCs w:val="32"/>
        </w:rPr>
        <w:t>（一）收入支出决算总体情况说明。2015年度，本部门行政单位一般公共预算财政拨款决算数998.82万元，2016年度，一般公共预算财政拨款决算数975.39万元，与上年度相比，决算数减少</w:t>
      </w:r>
      <w:r>
        <w:rPr>
          <w:rFonts w:hint="eastAsia" w:ascii="华文仿宋" w:hAnsi="华文仿宋" w:eastAsia="华文仿宋" w:cs="Times New Roman"/>
          <w:sz w:val="32"/>
          <w:szCs w:val="32"/>
        </w:rPr>
        <w:t>23.43</w:t>
      </w:r>
      <w:r>
        <w:rPr>
          <w:rFonts w:hint="eastAsia" w:ascii="华文仿宋" w:hAnsi="华文仿宋" w:eastAsia="华文仿宋"/>
          <w:sz w:val="32"/>
          <w:szCs w:val="32"/>
        </w:rPr>
        <w:t>万元，主要为基本支出，包括人员经费和日常公用经费、抚恤金以及对村委会和党支部的补助减少。</w:t>
      </w:r>
    </w:p>
    <w:p>
      <w:pPr>
        <w:adjustRightInd w:val="0"/>
        <w:snapToGrid w:val="0"/>
        <w:spacing w:line="580" w:lineRule="exact"/>
        <w:ind w:firstLine="640" w:firstLineChars="200"/>
        <w:rPr>
          <w:rFonts w:ascii="华文仿宋" w:hAnsi="华文仿宋" w:eastAsia="华文仿宋" w:cs="仿宋"/>
          <w:sz w:val="32"/>
          <w:szCs w:val="32"/>
        </w:rPr>
      </w:pPr>
      <w:r>
        <w:rPr>
          <w:rFonts w:hint="eastAsia" w:ascii="华文仿宋" w:hAnsi="华文仿宋" w:eastAsia="华文仿宋"/>
          <w:sz w:val="32"/>
          <w:szCs w:val="32"/>
        </w:rPr>
        <w:t>（二）财政拨款收入支出决算总体情况说明。2015年度，本部门行政单位一般公共预算财政拨款收入支出决算数998.82万元，2016年度，一般公共预算财政拨款收入支出决算数975.39万元，与上年度相比，决算数减少</w:t>
      </w:r>
      <w:r>
        <w:rPr>
          <w:rFonts w:hint="eastAsia" w:ascii="华文仿宋" w:hAnsi="华文仿宋" w:eastAsia="华文仿宋" w:cs="Times New Roman"/>
          <w:sz w:val="32"/>
          <w:szCs w:val="32"/>
        </w:rPr>
        <w:t>23.43</w:t>
      </w:r>
      <w:r>
        <w:rPr>
          <w:rFonts w:hint="eastAsia" w:ascii="华文仿宋" w:hAnsi="华文仿宋" w:eastAsia="华文仿宋"/>
          <w:sz w:val="32"/>
          <w:szCs w:val="32"/>
        </w:rPr>
        <w:t>万元，主要为基本支出，包括人员经费和日常公用经费、抚恤金以及对村委会和党支部的补助减少。</w:t>
      </w:r>
    </w:p>
    <w:p>
      <w:pPr>
        <w:adjustRightInd w:val="0"/>
        <w:snapToGrid w:val="0"/>
        <w:spacing w:line="580" w:lineRule="exact"/>
        <w:ind w:firstLine="640" w:firstLineChars="200"/>
        <w:rPr>
          <w:rFonts w:ascii="华文仿宋" w:hAnsi="华文仿宋" w:eastAsia="华文仿宋" w:cs="仿宋"/>
          <w:sz w:val="32"/>
          <w:szCs w:val="32"/>
        </w:rPr>
      </w:pPr>
      <w:r>
        <w:rPr>
          <w:rFonts w:hint="eastAsia" w:ascii="华文仿宋" w:hAnsi="华文仿宋" w:eastAsia="华文仿宋"/>
          <w:sz w:val="32"/>
          <w:szCs w:val="32"/>
        </w:rPr>
        <w:t>（三）财政拨款支出与年初预算数对比及增减原因分析等。2016年度，本部门行政单位一般公共预算财政拨款年初预算数为472.21万元，年度内调整预算数975.39万元，年终决算数975.39万元，执行数为调整预算数的100%。</w:t>
      </w:r>
      <w:r>
        <w:rPr>
          <w:rFonts w:hint="eastAsia" w:ascii="华文仿宋" w:hAnsi="华文仿宋" w:eastAsia="华文仿宋" w:cs="仿宋"/>
          <w:sz w:val="32"/>
          <w:szCs w:val="32"/>
        </w:rPr>
        <w:t>本年度决算增长的主要原因是</w:t>
      </w:r>
      <w:r>
        <w:rPr>
          <w:rFonts w:ascii="华文仿宋" w:hAnsi="华文仿宋" w:eastAsia="华文仿宋" w:cs="仿宋"/>
          <w:sz w:val="32"/>
          <w:szCs w:val="32"/>
        </w:rPr>
        <w:t>201</w:t>
      </w:r>
      <w:r>
        <w:rPr>
          <w:rFonts w:hint="eastAsia" w:ascii="华文仿宋" w:hAnsi="华文仿宋" w:eastAsia="华文仿宋" w:cs="仿宋"/>
          <w:sz w:val="32"/>
          <w:szCs w:val="32"/>
        </w:rPr>
        <w:t>6年机关事业单位调资增支，医疗保险提标，养老保险制度改革等各项支出都相应增加，导致决算数增加。</w:t>
      </w:r>
    </w:p>
    <w:p>
      <w:pPr>
        <w:adjustRightInd w:val="0"/>
        <w:snapToGrid w:val="0"/>
        <w:spacing w:line="580" w:lineRule="exact"/>
        <w:ind w:firstLine="643" w:firstLineChars="200"/>
        <w:rPr>
          <w:rFonts w:ascii="华文仿宋" w:hAnsi="华文仿宋" w:eastAsia="华文仿宋" w:cs="仿宋"/>
          <w:sz w:val="32"/>
          <w:szCs w:val="32"/>
        </w:rPr>
      </w:pPr>
      <w:r>
        <w:rPr>
          <w:rFonts w:hint="eastAsia" w:ascii="仿宋_GB2312" w:hAnsi="华文仿宋" w:eastAsia="仿宋_GB2312"/>
          <w:b/>
          <w:sz w:val="32"/>
          <w:szCs w:val="32"/>
        </w:rPr>
        <w:t>二、一般公共预算财政拨款“三公”经费支出决算情况说明。</w:t>
      </w:r>
      <w:bookmarkStart w:id="2" w:name="_GoBack"/>
      <w:bookmarkEnd w:id="2"/>
      <w:r>
        <w:rPr>
          <w:rFonts w:hint="eastAsia" w:ascii="华文仿宋" w:hAnsi="华文仿宋" w:eastAsia="华文仿宋" w:cs="仿宋"/>
          <w:sz w:val="32"/>
          <w:szCs w:val="32"/>
        </w:rPr>
        <w:t>2016年度，我单位部门财政拨款“三公”经费决算支出10.04万元，其中因公出国（境）费0万元；公务用车购置及运行维护费9.04万元，（其中：公务用车购置费0万元，公务用车运行维护费9.04万元）本年度未购置公务用车；公务接待费1万元。</w:t>
      </w:r>
    </w:p>
    <w:p>
      <w:pPr>
        <w:adjustRightInd w:val="0"/>
        <w:snapToGrid w:val="0"/>
        <w:spacing w:line="580" w:lineRule="exact"/>
        <w:ind w:firstLine="640" w:firstLineChars="200"/>
        <w:rPr>
          <w:rFonts w:ascii="华文仿宋" w:hAnsi="华文仿宋" w:eastAsia="华文仿宋" w:cs="仿宋"/>
          <w:sz w:val="32"/>
          <w:szCs w:val="32"/>
        </w:rPr>
      </w:pPr>
      <w:r>
        <w:rPr>
          <w:rFonts w:hint="eastAsia" w:ascii="华文仿宋" w:hAnsi="华文仿宋" w:eastAsia="华文仿宋" w:cs="仿宋"/>
          <w:sz w:val="32"/>
          <w:szCs w:val="32"/>
        </w:rPr>
        <w:t>2015年，我单位部门财政拨款“三公”经费决算支出7.05万元，其中因公出国（境）费0万元；公务用车购置及运行维护费7.05万元（其中：公务用车购置费0万元，公务用车运行维护费7.05万元）；</w:t>
      </w:r>
    </w:p>
    <w:p>
      <w:pPr>
        <w:adjustRightInd w:val="0"/>
        <w:snapToGrid w:val="0"/>
        <w:spacing w:line="580" w:lineRule="exact"/>
        <w:ind w:firstLine="640" w:firstLineChars="200"/>
        <w:rPr>
          <w:rFonts w:hint="eastAsia" w:ascii="华文仿宋" w:hAnsi="华文仿宋" w:eastAsia="华文仿宋" w:cs="仿宋"/>
          <w:sz w:val="32"/>
          <w:szCs w:val="32"/>
        </w:rPr>
      </w:pPr>
      <w:r>
        <w:rPr>
          <w:rFonts w:hint="eastAsia" w:ascii="华文仿宋" w:hAnsi="华文仿宋" w:eastAsia="华文仿宋" w:cs="仿宋"/>
          <w:sz w:val="32"/>
          <w:szCs w:val="32"/>
        </w:rPr>
        <w:t>我部门财政拨款“三公”经费决算与2015年度相比增加2.99万元，因我单位护林防火、防汛应急抢险等任务较重，公务用车车辆运行维护费增加，致“三公”经费增加1.99万元。公务接待费比2015年增加1万元，为双违拆除人员用餐费用。</w:t>
      </w:r>
    </w:p>
    <w:p>
      <w:pPr>
        <w:adjustRightInd w:val="0"/>
        <w:snapToGrid w:val="0"/>
        <w:spacing w:line="580" w:lineRule="exact"/>
        <w:ind w:firstLine="640" w:firstLineChars="200"/>
        <w:rPr>
          <w:rFonts w:hint="eastAsia" w:ascii="华文仿宋" w:hAnsi="华文仿宋" w:eastAsia="华文仿宋"/>
          <w:sz w:val="32"/>
          <w:szCs w:val="32"/>
        </w:rPr>
      </w:pPr>
      <w:r>
        <w:rPr>
          <w:rFonts w:hint="eastAsia" w:ascii="华文仿宋" w:hAnsi="华文仿宋" w:eastAsia="华文仿宋"/>
          <w:sz w:val="32"/>
          <w:szCs w:val="32"/>
        </w:rPr>
        <w:t>公务用车购置及保有情况：本年度本单位使用公共预算财政拨款购置公务用车0辆，年末公共预算财政拨款开支运行维护费的公务用车保有量</w:t>
      </w:r>
      <w:r>
        <w:rPr>
          <w:rFonts w:hint="eastAsia" w:ascii="华文仿宋" w:hAnsi="华文仿宋" w:eastAsia="华文仿宋"/>
          <w:sz w:val="32"/>
          <w:szCs w:val="32"/>
          <w:lang w:val="en-US" w:eastAsia="zh-CN"/>
        </w:rPr>
        <w:t>2</w:t>
      </w:r>
      <w:r>
        <w:rPr>
          <w:rFonts w:hint="eastAsia" w:ascii="华文仿宋" w:hAnsi="华文仿宋" w:eastAsia="华文仿宋"/>
          <w:sz w:val="32"/>
          <w:szCs w:val="32"/>
        </w:rPr>
        <w:t>辆。</w:t>
      </w:r>
    </w:p>
    <w:p>
      <w:pPr>
        <w:adjustRightInd w:val="0"/>
        <w:snapToGrid w:val="0"/>
        <w:spacing w:line="580" w:lineRule="exact"/>
        <w:ind w:firstLine="640" w:firstLineChars="200"/>
        <w:rPr>
          <w:rFonts w:ascii="华文仿宋" w:hAnsi="华文仿宋" w:eastAsia="华文仿宋"/>
          <w:sz w:val="32"/>
          <w:szCs w:val="32"/>
        </w:rPr>
      </w:pPr>
      <w:r>
        <w:rPr>
          <w:rFonts w:hint="eastAsia" w:ascii="华文仿宋" w:hAnsi="华文仿宋" w:eastAsia="华文仿宋"/>
          <w:sz w:val="32"/>
          <w:szCs w:val="32"/>
        </w:rPr>
        <w:t>公务接待情况：本年度本单位使用公共预算财政拨款支出的国内公务接待</w:t>
      </w:r>
      <w:r>
        <w:rPr>
          <w:rFonts w:hint="eastAsia" w:ascii="华文仿宋" w:hAnsi="华文仿宋" w:eastAsia="华文仿宋"/>
          <w:sz w:val="32"/>
          <w:szCs w:val="32"/>
          <w:lang w:val="en-US" w:eastAsia="zh-CN"/>
        </w:rPr>
        <w:t>5</w:t>
      </w:r>
      <w:r>
        <w:rPr>
          <w:rFonts w:hint="eastAsia" w:ascii="华文仿宋" w:hAnsi="华文仿宋" w:eastAsia="华文仿宋"/>
          <w:sz w:val="32"/>
          <w:szCs w:val="32"/>
        </w:rPr>
        <w:t>批次，</w:t>
      </w:r>
      <w:r>
        <w:rPr>
          <w:rFonts w:hint="eastAsia" w:ascii="华文仿宋" w:hAnsi="华文仿宋" w:eastAsia="华文仿宋"/>
          <w:sz w:val="32"/>
          <w:szCs w:val="32"/>
          <w:lang w:val="en-US" w:eastAsia="zh-CN"/>
        </w:rPr>
        <w:t>449</w:t>
      </w:r>
      <w:r>
        <w:rPr>
          <w:rFonts w:hint="eastAsia" w:ascii="华文仿宋" w:hAnsi="华文仿宋" w:eastAsia="华文仿宋"/>
          <w:sz w:val="32"/>
          <w:szCs w:val="32"/>
        </w:rPr>
        <w:t>人次，共</w:t>
      </w:r>
      <w:r>
        <w:rPr>
          <w:rFonts w:hint="eastAsia" w:ascii="华文仿宋" w:hAnsi="华文仿宋" w:eastAsia="华文仿宋"/>
          <w:sz w:val="32"/>
          <w:szCs w:val="32"/>
          <w:lang w:val="en-US" w:eastAsia="zh-CN"/>
        </w:rPr>
        <w:t>1</w:t>
      </w:r>
      <w:r>
        <w:rPr>
          <w:rFonts w:hint="eastAsia" w:ascii="华文仿宋" w:hAnsi="华文仿宋" w:eastAsia="华文仿宋"/>
          <w:sz w:val="32"/>
          <w:szCs w:val="32"/>
        </w:rPr>
        <w:t>万元。</w:t>
      </w:r>
    </w:p>
    <w:p>
      <w:pPr>
        <w:adjustRightInd w:val="0"/>
        <w:snapToGrid w:val="0"/>
        <w:spacing w:line="580" w:lineRule="exact"/>
        <w:ind w:firstLine="643" w:firstLineChars="200"/>
        <w:rPr>
          <w:rFonts w:ascii="仿宋_GB2312" w:hAnsi="仿宋" w:eastAsia="仿宋_GB2312"/>
          <w:sz w:val="32"/>
          <w:szCs w:val="32"/>
        </w:rPr>
      </w:pPr>
      <w:r>
        <w:rPr>
          <w:rFonts w:hint="eastAsia" w:ascii="仿宋_GB2312" w:eastAsia="仿宋_GB2312"/>
          <w:b/>
          <w:sz w:val="32"/>
          <w:szCs w:val="32"/>
        </w:rPr>
        <w:t>三、机关运行经费支出情况的说明。</w:t>
      </w:r>
      <w:r>
        <w:rPr>
          <w:rFonts w:hint="eastAsia" w:ascii="华文仿宋" w:hAnsi="华文仿宋" w:eastAsia="华文仿宋"/>
          <w:sz w:val="32"/>
          <w:szCs w:val="32"/>
        </w:rPr>
        <w:t>2016年本部门机关运行经费支出</w:t>
      </w:r>
      <w:r>
        <w:rPr>
          <w:rFonts w:hint="eastAsia" w:ascii="仿宋" w:hAnsi="仿宋" w:eastAsia="仿宋" w:cs="仿宋"/>
          <w:sz w:val="32"/>
          <w:szCs w:val="32"/>
        </w:rPr>
        <w:t>173.99</w:t>
      </w:r>
      <w:r>
        <w:rPr>
          <w:rFonts w:hint="eastAsia" w:ascii="华文仿宋" w:hAnsi="华文仿宋" w:eastAsia="华文仿宋"/>
          <w:sz w:val="32"/>
          <w:szCs w:val="32"/>
        </w:rPr>
        <w:t>万元，</w:t>
      </w:r>
      <w:r>
        <w:rPr>
          <w:rFonts w:hint="eastAsia" w:ascii="华文仿宋" w:hAnsi="华文仿宋" w:eastAsia="华文仿宋" w:cs="仿宋"/>
          <w:sz w:val="32"/>
          <w:szCs w:val="32"/>
        </w:rPr>
        <w:t>主要用于办公用房水电费、日常运行支出，其中：办公费110.82万元、印刷费6万元、电费10万元、邮电费8万元、取暖费10.35万元、公务接待费1万元、工会经费3.98万元、福利费3.97万元、公务用车运行维护费9.04万元、其他交通费用10.83万元。2015年机关运行经费支出270.11万元，本年度</w:t>
      </w:r>
      <w:r>
        <w:rPr>
          <w:rFonts w:hint="eastAsia" w:ascii="华文仿宋" w:hAnsi="华文仿宋" w:eastAsia="华文仿宋"/>
          <w:sz w:val="32"/>
          <w:szCs w:val="32"/>
        </w:rPr>
        <w:t>比2015年减少96.12万元，减少35.59%。主要原因是办公费、印刷费减少。</w:t>
      </w:r>
    </w:p>
    <w:p>
      <w:pPr>
        <w:ind w:firstLine="643" w:firstLineChars="200"/>
        <w:rPr>
          <w:rFonts w:ascii="华文仿宋" w:hAnsi="华文仿宋" w:eastAsia="华文仿宋"/>
          <w:sz w:val="32"/>
          <w:szCs w:val="32"/>
        </w:rPr>
      </w:pPr>
      <w:r>
        <w:rPr>
          <w:rFonts w:hint="eastAsia" w:ascii="仿宋_GB2312" w:hAnsi="华文仿宋" w:eastAsia="仿宋_GB2312"/>
          <w:b/>
          <w:sz w:val="32"/>
          <w:szCs w:val="32"/>
        </w:rPr>
        <w:t>四、政府采购情况的说明。</w:t>
      </w:r>
      <w:r>
        <w:rPr>
          <w:rFonts w:hint="eastAsia" w:ascii="华文仿宋" w:hAnsi="华文仿宋" w:eastAsia="华文仿宋"/>
          <w:sz w:val="32"/>
          <w:szCs w:val="32"/>
        </w:rPr>
        <w:t>2016年本部门政府采购支出总额1.82万元，主要为政府采购货物支出，新购4台计算机设备。</w:t>
      </w:r>
      <w:r>
        <w:rPr>
          <w:rFonts w:hint="eastAsia" w:ascii="华文仿宋" w:hAnsi="华文仿宋" w:eastAsia="华文仿宋" w:cs="仿宋"/>
          <w:sz w:val="32"/>
          <w:szCs w:val="32"/>
        </w:rPr>
        <w:t>详见部门政府采购情况表（公开10表）。</w:t>
      </w:r>
    </w:p>
    <w:p>
      <w:pPr>
        <w:adjustRightInd w:val="0"/>
        <w:snapToGrid w:val="0"/>
        <w:spacing w:line="580" w:lineRule="exact"/>
        <w:ind w:firstLine="642"/>
        <w:rPr>
          <w:rFonts w:ascii="华文仿宋" w:hAnsi="华文仿宋" w:eastAsia="华文仿宋" w:cs="Times New Roman"/>
          <w:sz w:val="32"/>
          <w:szCs w:val="32"/>
        </w:rPr>
      </w:pPr>
      <w:r>
        <w:rPr>
          <w:rFonts w:hint="eastAsia" w:ascii="仿宋_GB2312" w:hAnsi="华文仿宋" w:eastAsia="仿宋_GB2312"/>
          <w:b/>
          <w:sz w:val="32"/>
          <w:szCs w:val="32"/>
        </w:rPr>
        <w:t>五、国有资产占用情况。</w:t>
      </w:r>
      <w:r>
        <w:rPr>
          <w:rFonts w:hint="eastAsia" w:ascii="华文仿宋" w:hAnsi="华文仿宋" w:eastAsia="华文仿宋"/>
          <w:sz w:val="32"/>
          <w:szCs w:val="32"/>
        </w:rPr>
        <w:t>截至2016年12月31日，本部门国有资产总额275.87万元，其中办公用房155.85万元，车辆11.56万元，其他固定资产108.46万元。</w:t>
      </w:r>
      <w:r>
        <w:rPr>
          <w:rFonts w:hint="eastAsia" w:ascii="华文仿宋" w:hAnsi="华文仿宋" w:eastAsia="华文仿宋" w:cs="仿宋"/>
          <w:sz w:val="32"/>
          <w:szCs w:val="32"/>
        </w:rPr>
        <w:t>与上年相比，共增加固定资产7.88万元，分别为新购电脑4台及上级部门划拨电脑</w:t>
      </w:r>
      <w:r>
        <w:rPr>
          <w:rFonts w:ascii="华文仿宋" w:hAnsi="华文仿宋" w:eastAsia="华文仿宋" w:cs="仿宋"/>
          <w:sz w:val="32"/>
          <w:szCs w:val="32"/>
        </w:rPr>
        <w:t>3</w:t>
      </w:r>
      <w:r>
        <w:rPr>
          <w:rFonts w:hint="eastAsia" w:ascii="华文仿宋" w:hAnsi="华文仿宋" w:eastAsia="华文仿宋" w:cs="仿宋"/>
          <w:sz w:val="32"/>
          <w:szCs w:val="32"/>
        </w:rPr>
        <w:t>台，打印机</w:t>
      </w:r>
      <w:r>
        <w:rPr>
          <w:rFonts w:ascii="华文仿宋" w:hAnsi="华文仿宋" w:eastAsia="华文仿宋" w:cs="仿宋"/>
          <w:sz w:val="32"/>
          <w:szCs w:val="32"/>
        </w:rPr>
        <w:t>2</w:t>
      </w:r>
      <w:r>
        <w:rPr>
          <w:rFonts w:hint="eastAsia" w:ascii="华文仿宋" w:hAnsi="华文仿宋" w:eastAsia="华文仿宋" w:cs="仿宋"/>
          <w:sz w:val="32"/>
          <w:szCs w:val="32"/>
        </w:rPr>
        <w:t>台，复印机</w:t>
      </w:r>
      <w:r>
        <w:rPr>
          <w:rFonts w:ascii="华文仿宋" w:hAnsi="华文仿宋" w:eastAsia="华文仿宋" w:cs="仿宋"/>
          <w:sz w:val="32"/>
          <w:szCs w:val="32"/>
        </w:rPr>
        <w:t>1</w:t>
      </w:r>
      <w:r>
        <w:rPr>
          <w:rFonts w:hint="eastAsia" w:ascii="华文仿宋" w:hAnsi="华文仿宋" w:eastAsia="华文仿宋" w:cs="仿宋"/>
          <w:sz w:val="32"/>
          <w:szCs w:val="32"/>
        </w:rPr>
        <w:t>台。本部门</w:t>
      </w:r>
      <w:r>
        <w:rPr>
          <w:rFonts w:hint="eastAsia" w:ascii="华文仿宋" w:hAnsi="华文仿宋" w:eastAsia="华文仿宋"/>
          <w:sz w:val="32"/>
          <w:szCs w:val="32"/>
        </w:rPr>
        <w:t>共有车辆2辆，为一般公务用车；单位无价值200万元以上大型设备。</w:t>
      </w:r>
    </w:p>
    <w:p>
      <w:pPr>
        <w:ind w:firstLine="643" w:firstLineChars="200"/>
        <w:rPr>
          <w:rFonts w:ascii="仿宋_GB2312" w:hAnsi="华文仿宋" w:eastAsia="仿宋_GB2312"/>
          <w:b/>
          <w:sz w:val="32"/>
          <w:szCs w:val="32"/>
        </w:rPr>
      </w:pPr>
      <w:r>
        <w:rPr>
          <w:rFonts w:hint="eastAsia" w:ascii="仿宋_GB2312" w:hAnsi="华文仿宋" w:eastAsia="仿宋_GB2312"/>
          <w:b/>
          <w:sz w:val="32"/>
          <w:szCs w:val="32"/>
        </w:rPr>
        <w:t>六、绩效预算情况说明</w:t>
      </w:r>
    </w:p>
    <w:p>
      <w:pPr>
        <w:adjustRightInd w:val="0"/>
        <w:snapToGrid w:val="0"/>
        <w:spacing w:line="580" w:lineRule="exact"/>
        <w:ind w:firstLine="640" w:firstLineChars="200"/>
        <w:rPr>
          <w:rFonts w:ascii="华文仿宋" w:hAnsi="华文仿宋" w:eastAsia="华文仿宋" w:cs="仿宋"/>
          <w:sz w:val="32"/>
          <w:szCs w:val="32"/>
        </w:rPr>
      </w:pPr>
      <w:r>
        <w:rPr>
          <w:rFonts w:hint="eastAsia" w:ascii="华文仿宋" w:hAnsi="华文仿宋" w:eastAsia="华文仿宋" w:cs="仿宋"/>
          <w:sz w:val="32"/>
          <w:szCs w:val="32"/>
        </w:rPr>
        <w:t>总体绩效目标：突出政务、加强事务、提升服务，力求重点工作出精品，难点工作求突破、基础工作有创新、常规工作见特色。以机关干部作风量化指标为依据，增强了工作综合服务实力。建设运行维护好乡政府应急平台，实现各种实用功能，有效保证乡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做好指导、协调各村、各部门应急工作，确保信息报送及时畅通，不出差错和问题。</w:t>
      </w:r>
    </w:p>
    <w:p>
      <w:pPr>
        <w:ind w:firstLine="640" w:firstLineChars="200"/>
        <w:rPr>
          <w:rFonts w:ascii="华文仿宋" w:hAnsi="华文仿宋" w:eastAsia="华文仿宋"/>
          <w:sz w:val="32"/>
          <w:szCs w:val="32"/>
        </w:rPr>
      </w:pPr>
      <w:r>
        <w:rPr>
          <w:rFonts w:hint="eastAsia" w:ascii="华文仿宋" w:hAnsi="华文仿宋" w:eastAsia="华文仿宋"/>
          <w:sz w:val="32"/>
          <w:szCs w:val="32"/>
        </w:rPr>
        <w:t>我单位部门决算量化评价得分81.5分，其中：预算编制及执行情况得分64.5分，财务状况得分15分，人员情况得分2分。在预算编制的准确完整性得分15分，失15分。对于人员情况评价，我单位得2分，失3分。</w:t>
      </w:r>
    </w:p>
    <w:p>
      <w:pPr>
        <w:ind w:firstLine="640" w:firstLineChars="200"/>
        <w:rPr>
          <w:rFonts w:ascii="华文仿宋" w:hAnsi="华文仿宋" w:eastAsia="华文仿宋"/>
          <w:sz w:val="32"/>
          <w:szCs w:val="32"/>
        </w:rPr>
      </w:pPr>
      <w:r>
        <w:rPr>
          <w:rFonts w:hint="eastAsia" w:ascii="华文仿宋" w:hAnsi="华文仿宋" w:eastAsia="华文仿宋"/>
          <w:sz w:val="32"/>
          <w:szCs w:val="32"/>
        </w:rPr>
        <w:t>《部门决算量化评价表》中差异情况说明：本年收入及支出年初预算数为472.21万元，决算数为975.39万元，差异率为106.56%，财政拨款年初预算数为472.21万元，决算数为975.39万元，差异率为106.56%，主要因为年初预算数中不包含村级经费以及追加指标，所以决算差异较大。</w:t>
      </w:r>
    </w:p>
    <w:p>
      <w:pPr>
        <w:ind w:firstLine="800" w:firstLineChars="250"/>
        <w:rPr>
          <w:rFonts w:ascii="华文仿宋" w:hAnsi="华文仿宋" w:eastAsia="华文仿宋"/>
          <w:sz w:val="32"/>
          <w:szCs w:val="32"/>
        </w:rPr>
      </w:pPr>
      <w:r>
        <w:rPr>
          <w:rFonts w:hint="eastAsia" w:ascii="华文仿宋" w:hAnsi="华文仿宋" w:eastAsia="华文仿宋"/>
          <w:sz w:val="32"/>
          <w:szCs w:val="32"/>
        </w:rPr>
        <w:t>本年度独立编制机构数为5个，行政单位1人，事业单位4个。年末实有人数110人，上年实有人数117人，因调出，死亡比上年度减少7人，所以存在一定差异。</w:t>
      </w:r>
    </w:p>
    <w:p>
      <w:pPr>
        <w:ind w:firstLine="640" w:firstLineChars="200"/>
        <w:rPr>
          <w:rFonts w:ascii="华文仿宋" w:hAnsi="华文仿宋" w:eastAsia="华文仿宋"/>
          <w:sz w:val="32"/>
          <w:szCs w:val="32"/>
        </w:rPr>
      </w:pPr>
      <w:r>
        <w:rPr>
          <w:rFonts w:hint="eastAsia" w:ascii="华文仿宋" w:hAnsi="华文仿宋" w:eastAsia="华文仿宋"/>
          <w:sz w:val="32"/>
          <w:szCs w:val="32"/>
        </w:rPr>
        <w:t>详见《部门决算量化评价表》。</w:t>
      </w:r>
    </w:p>
    <w:p>
      <w:pPr>
        <w:rPr>
          <w:rFonts w:ascii="仿宋_GB2312" w:hAnsi="华文仿宋" w:eastAsia="仿宋_GB2312"/>
          <w:b/>
          <w:sz w:val="32"/>
          <w:szCs w:val="32"/>
        </w:rPr>
        <w:sectPr>
          <w:pgSz w:w="11850" w:h="16783"/>
          <w:pgMar w:top="1871" w:right="1304" w:bottom="1757" w:left="1531" w:header="851" w:footer="992" w:gutter="0"/>
          <w:pgNumType w:fmt="chineseCounting"/>
          <w:cols w:space="0" w:num="1"/>
          <w:docGrid w:type="lines" w:linePitch="312" w:charSpace="0"/>
        </w:sectPr>
      </w:pPr>
    </w:p>
    <w:p>
      <w:pPr>
        <w:jc w:val="center"/>
        <w:rPr>
          <w:rFonts w:ascii="华文仿宋" w:hAnsi="华文仿宋" w:eastAsia="华文仿宋" w:cs="Arial"/>
          <w:color w:val="000000"/>
          <w:kern w:val="0"/>
          <w:sz w:val="32"/>
          <w:szCs w:val="32"/>
        </w:rPr>
      </w:pPr>
      <w:r>
        <w:rPr>
          <w:rFonts w:hint="eastAsia" w:ascii="华文仿宋" w:hAnsi="华文仿宋" w:eastAsia="华文仿宋" w:cs="Arial"/>
          <w:color w:val="000000"/>
          <w:kern w:val="0"/>
          <w:sz w:val="32"/>
          <w:szCs w:val="32"/>
        </w:rPr>
        <w:t>部门决算量化评价表</w:t>
      </w:r>
    </w:p>
    <w:tbl>
      <w:tblPr>
        <w:tblStyle w:val="6"/>
        <w:tblW w:w="15308" w:type="dxa"/>
        <w:tblInd w:w="93" w:type="dxa"/>
        <w:tblLayout w:type="fixed"/>
        <w:tblCellMar>
          <w:top w:w="0" w:type="dxa"/>
          <w:left w:w="108" w:type="dxa"/>
          <w:bottom w:w="0" w:type="dxa"/>
          <w:right w:w="108" w:type="dxa"/>
        </w:tblCellMar>
      </w:tblPr>
      <w:tblGrid>
        <w:gridCol w:w="743"/>
        <w:gridCol w:w="576"/>
        <w:gridCol w:w="1060"/>
        <w:gridCol w:w="580"/>
        <w:gridCol w:w="2443"/>
        <w:gridCol w:w="567"/>
        <w:gridCol w:w="236"/>
        <w:gridCol w:w="756"/>
        <w:gridCol w:w="572"/>
        <w:gridCol w:w="137"/>
        <w:gridCol w:w="99"/>
        <w:gridCol w:w="2693"/>
        <w:gridCol w:w="233"/>
        <w:gridCol w:w="3529"/>
        <w:gridCol w:w="503"/>
        <w:gridCol w:w="581"/>
      </w:tblGrid>
      <w:tr>
        <w:tblPrEx>
          <w:tblLayout w:type="fixed"/>
          <w:tblCellMar>
            <w:top w:w="0" w:type="dxa"/>
            <w:left w:w="108" w:type="dxa"/>
            <w:bottom w:w="0" w:type="dxa"/>
            <w:right w:w="108" w:type="dxa"/>
          </w:tblCellMar>
        </w:tblPrEx>
        <w:trPr>
          <w:trHeight w:val="255" w:hRule="atLeast"/>
        </w:trPr>
        <w:tc>
          <w:tcPr>
            <w:tcW w:w="5969" w:type="dxa"/>
            <w:gridSpan w:val="6"/>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单位名称：秦皇岛市抚宁区茶棚乡人民政府</w:t>
            </w:r>
          </w:p>
        </w:tc>
        <w:tc>
          <w:tcPr>
            <w:tcW w:w="236"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28"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36" w:type="dxa"/>
            <w:gridSpan w:val="2"/>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693"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4846" w:type="dxa"/>
            <w:gridSpan w:val="4"/>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gridAfter w:val="2"/>
          <w:wAfter w:w="1084" w:type="dxa"/>
          <w:trHeight w:val="447" w:hRule="atLeast"/>
        </w:trPr>
        <w:tc>
          <w:tcPr>
            <w:tcW w:w="5969" w:type="dxa"/>
            <w:gridSpan w:val="6"/>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评价指标</w:t>
            </w:r>
          </w:p>
        </w:tc>
        <w:tc>
          <w:tcPr>
            <w:tcW w:w="992" w:type="dxa"/>
            <w:gridSpan w:val="2"/>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计算值</w:t>
            </w:r>
          </w:p>
        </w:tc>
        <w:tc>
          <w:tcPr>
            <w:tcW w:w="709" w:type="dxa"/>
            <w:gridSpan w:val="2"/>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得分</w:t>
            </w:r>
          </w:p>
        </w:tc>
        <w:tc>
          <w:tcPr>
            <w:tcW w:w="3025" w:type="dxa"/>
            <w:gridSpan w:val="3"/>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指标说明</w:t>
            </w:r>
          </w:p>
        </w:tc>
        <w:tc>
          <w:tcPr>
            <w:tcW w:w="3529"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评分标准</w:t>
            </w:r>
          </w:p>
        </w:tc>
      </w:tr>
      <w:tr>
        <w:tblPrEx>
          <w:tblLayout w:type="fixed"/>
          <w:tblCellMar>
            <w:top w:w="0" w:type="dxa"/>
            <w:left w:w="108" w:type="dxa"/>
            <w:bottom w:w="0" w:type="dxa"/>
            <w:right w:w="108" w:type="dxa"/>
          </w:tblCellMar>
        </w:tblPrEx>
        <w:trPr>
          <w:gridAfter w:val="2"/>
          <w:wAfter w:w="1084" w:type="dxa"/>
          <w:trHeight w:val="447" w:hRule="atLeast"/>
        </w:trPr>
        <w:tc>
          <w:tcPr>
            <w:tcW w:w="1319" w:type="dxa"/>
            <w:gridSpan w:val="2"/>
            <w:tcBorders>
              <w:top w:val="single" w:color="000000" w:sz="4"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一级指标</w:t>
            </w:r>
          </w:p>
        </w:tc>
        <w:tc>
          <w:tcPr>
            <w:tcW w:w="1640" w:type="dxa"/>
            <w:gridSpan w:val="2"/>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二级指标</w:t>
            </w:r>
          </w:p>
        </w:tc>
        <w:tc>
          <w:tcPr>
            <w:tcW w:w="3010" w:type="dxa"/>
            <w:gridSpan w:val="2"/>
            <w:tcBorders>
              <w:top w:val="single" w:color="000000" w:sz="4"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三级指标</w:t>
            </w:r>
          </w:p>
        </w:tc>
        <w:tc>
          <w:tcPr>
            <w:tcW w:w="992"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709"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025" w:type="dxa"/>
            <w:gridSpan w:val="3"/>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529"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2"/>
          <w:wAfter w:w="1084" w:type="dxa"/>
          <w:trHeight w:val="447" w:hRule="atLeast"/>
        </w:trPr>
        <w:tc>
          <w:tcPr>
            <w:tcW w:w="743" w:type="dxa"/>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名称</w:t>
            </w:r>
          </w:p>
        </w:tc>
        <w:tc>
          <w:tcPr>
            <w:tcW w:w="576"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权重</w:t>
            </w:r>
          </w:p>
        </w:tc>
        <w:tc>
          <w:tcPr>
            <w:tcW w:w="10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名称</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权重</w:t>
            </w:r>
          </w:p>
        </w:tc>
        <w:tc>
          <w:tcPr>
            <w:tcW w:w="2443"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名称</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权重</w:t>
            </w:r>
          </w:p>
        </w:tc>
        <w:tc>
          <w:tcPr>
            <w:tcW w:w="992"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709" w:type="dxa"/>
            <w:gridSpan w:val="2"/>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025" w:type="dxa"/>
            <w:gridSpan w:val="3"/>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529"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预算编制及执行情况</w:t>
            </w:r>
          </w:p>
        </w:tc>
        <w:tc>
          <w:tcPr>
            <w:tcW w:w="576"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80</w:t>
            </w:r>
          </w:p>
        </w:tc>
        <w:tc>
          <w:tcPr>
            <w:tcW w:w="10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预算编制的准确完整性</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财政拨款收入预决算差异率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106.56</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财政拨款收入：（决算数－年初预算数）/年初预算数*100%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非财政拨款收入预决算差异率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非财政拨款收入：（决算数－年初预算数）/年初预算数*100%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年初结转和结余预决算差异率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年初结转和结余：（决算数－年初预算数）/年初预算数*100%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差异率＝0，得满分；差异率（绝对值）≤100时，扣1分，差异率（绝对值）﹥100时，每增加10%（含）扣减0.5分，减至0分为止。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106.56</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基本支出：（决算数－年初预算数）/年初预算数*100%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预算执行的有效性</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基本支出人员经费预决算差异率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基本支出人员经费：（决算数－调整预算数）/调整预算数*100%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基本支出公用经费预决算差异率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基本支出公用经费：（决算数－调整预算数）/调整预算数*100%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财政拨款结转和结余率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财政拨款结转和结余：（本年年末数/支出调整预算数总计）*100%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结转和结余率=0，得满分；结转和结余率（绝对值）﹥0时，每增加5%（含）扣减0.5分，减至0分为止。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财政拨款结转和结余上下年变动率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财政拨款结转和结余：（本年年末数－上年年末数）/上年年末数*100%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变动率&lt;0，得满分；变动率≥0时，每增加5%（含）扣减0.5分，减至0分为止。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财政收回存量资金占上年财政拨款结转和结余比重</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财政收回存量资金：（财政收回存量资金数/上年财政拨款结转和结余数）*100%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比重＝0，得满分；比重（绝对值）﹥0时，每增加5%（含）扣减0.5分，减至0分为止。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“三公”经费支出预决算差异率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-0.10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“三公”经费：（决算数－年初预算数/年初预算数）*100%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差异率≤0，得满分；差异率（绝对值）﹥0时，每增加5%（含）扣减1分，减至0分为止。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预算编制及执行的规范性</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项目支出中开支在职人员及离退休经费比重</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财政拨款项目支出：（工资福利支出+离休费+退休费+住房改革支出）/项目支出合计*100%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比重＝0，得满分；比重﹥0时，每增加1%（含）扣减0.5分，减至0分为止。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财务状况</w:t>
            </w:r>
          </w:p>
        </w:tc>
        <w:tc>
          <w:tcPr>
            <w:tcW w:w="576"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10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资产状况</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资产类往来款变动率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应收账款+预付账款+其他应收款：（本年年末数－上年年末数）/上年年末数*100%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变动率≤0，得满分；变动率﹥0时，每增加5%（含）扣减0.5分，减至0分为止。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负债状况</w:t>
            </w:r>
          </w:p>
        </w:tc>
        <w:tc>
          <w:tcPr>
            <w:tcW w:w="580"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负债类往来款变动率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应付账款+预收账款+其他应付款+长期应付款：（本年年末数－上年年末数）/上年年末数*100%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变动率≤0，得满分；变动率﹥0时，每增加5%（含）扣减0.5分，减至0分为止。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事业单位借款变动率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短期借款+长期借款：（本年年末数－上年年末数）/上年年末数*100%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变动率≤0，得满分；变动率﹥0时，每增加5%（含）扣减0.5分，减至0分为止。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restart"/>
            <w:tcBorders>
              <w:top w:val="nil"/>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人员情况</w:t>
            </w:r>
          </w:p>
        </w:tc>
        <w:tc>
          <w:tcPr>
            <w:tcW w:w="576" w:type="dxa"/>
            <w:vMerge w:val="restart"/>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06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在职人员控制</w:t>
            </w:r>
          </w:p>
        </w:tc>
        <w:tc>
          <w:tcPr>
            <w:tcW w:w="58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2443"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在职人员控制率</w:t>
            </w:r>
          </w:p>
        </w:tc>
        <w:tc>
          <w:tcPr>
            <w:tcW w:w="56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992"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119.70</w:t>
            </w:r>
          </w:p>
        </w:tc>
        <w:tc>
          <w:tcPr>
            <w:tcW w:w="709" w:type="dxa"/>
            <w:gridSpan w:val="2"/>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w:t>
            </w:r>
          </w:p>
        </w:tc>
        <w:tc>
          <w:tcPr>
            <w:tcW w:w="3025" w:type="dxa"/>
            <w:gridSpan w:val="3"/>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在职人员数：（在职人员数/编制数）*100%</w:t>
            </w:r>
          </w:p>
        </w:tc>
        <w:tc>
          <w:tcPr>
            <w:tcW w:w="3529" w:type="dxa"/>
            <w:tcBorders>
              <w:top w:val="nil"/>
              <w:left w:val="nil"/>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控制率≤100，得满分；控制率每超1%扣减0.5分，减至0分为止。</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nil"/>
              <w:left w:val="single" w:color="000000" w:sz="8" w:space="0"/>
              <w:bottom w:val="single" w:color="auto" w:sz="4" w:space="0"/>
              <w:right w:val="single" w:color="000000" w:sz="4" w:space="0"/>
            </w:tcBorders>
            <w:vAlign w:val="center"/>
          </w:tcPr>
          <w:p>
            <w:pPr>
              <w:widowControl/>
              <w:jc w:val="left"/>
              <w:rPr>
                <w:rFonts w:ascii="宋体" w:hAnsi="宋体" w:cs="Arial"/>
                <w:color w:val="000000"/>
                <w:kern w:val="0"/>
                <w:sz w:val="22"/>
                <w:szCs w:val="22"/>
              </w:rPr>
            </w:pPr>
          </w:p>
        </w:tc>
        <w:tc>
          <w:tcPr>
            <w:tcW w:w="576" w:type="dxa"/>
            <w:vMerge w:val="continue"/>
            <w:tcBorders>
              <w:top w:val="nil"/>
              <w:left w:val="nil"/>
              <w:bottom w:val="single" w:color="auto"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tcBorders>
              <w:top w:val="nil"/>
              <w:left w:val="nil"/>
              <w:bottom w:val="single" w:color="auto"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其他人员控制</w:t>
            </w:r>
          </w:p>
        </w:tc>
        <w:tc>
          <w:tcPr>
            <w:tcW w:w="580" w:type="dxa"/>
            <w:tcBorders>
              <w:top w:val="nil"/>
              <w:left w:val="nil"/>
              <w:bottom w:val="single" w:color="auto"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2443" w:type="dxa"/>
            <w:tcBorders>
              <w:top w:val="nil"/>
              <w:left w:val="nil"/>
              <w:bottom w:val="single" w:color="auto"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其他人员增减率</w:t>
            </w:r>
          </w:p>
        </w:tc>
        <w:tc>
          <w:tcPr>
            <w:tcW w:w="567" w:type="dxa"/>
            <w:tcBorders>
              <w:top w:val="nil"/>
              <w:left w:val="nil"/>
              <w:bottom w:val="single" w:color="auto"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992" w:type="dxa"/>
            <w:gridSpan w:val="2"/>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709" w:type="dxa"/>
            <w:gridSpan w:val="2"/>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w:t>
            </w:r>
          </w:p>
        </w:tc>
        <w:tc>
          <w:tcPr>
            <w:tcW w:w="3025" w:type="dxa"/>
            <w:gridSpan w:val="3"/>
            <w:tcBorders>
              <w:top w:val="nil"/>
              <w:left w:val="nil"/>
              <w:bottom w:val="single" w:color="auto"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其他人员数：（本年数－上年数）/上年数*100%</w:t>
            </w:r>
          </w:p>
        </w:tc>
        <w:tc>
          <w:tcPr>
            <w:tcW w:w="3529" w:type="dxa"/>
            <w:tcBorders>
              <w:top w:val="nil"/>
              <w:left w:val="nil"/>
              <w:bottom w:val="single" w:color="auto"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增减率≤0，得满分；增减率﹥0,扣减1分。</w:t>
            </w:r>
          </w:p>
        </w:tc>
      </w:tr>
      <w:tr>
        <w:tblPrEx>
          <w:tblLayout w:type="fixed"/>
          <w:tblCellMar>
            <w:top w:w="0" w:type="dxa"/>
            <w:left w:w="108" w:type="dxa"/>
            <w:bottom w:w="0" w:type="dxa"/>
            <w:right w:w="108" w:type="dxa"/>
          </w:tblCellMar>
        </w:tblPrEx>
        <w:trPr>
          <w:gridAfter w:val="2"/>
          <w:wAfter w:w="1084" w:type="dxa"/>
          <w:trHeight w:val="923" w:hRule="atLeast"/>
        </w:trPr>
        <w:tc>
          <w:tcPr>
            <w:tcW w:w="74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22"/>
                <w:szCs w:val="22"/>
              </w:rPr>
            </w:pPr>
          </w:p>
        </w:tc>
        <w:tc>
          <w:tcPr>
            <w:tcW w:w="5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22"/>
                <w:szCs w:val="22"/>
              </w:rPr>
            </w:pPr>
          </w:p>
        </w:tc>
        <w:tc>
          <w:tcPr>
            <w:tcW w:w="106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财政拨款（补助）人员控制</w:t>
            </w:r>
          </w:p>
        </w:tc>
        <w:tc>
          <w:tcPr>
            <w:tcW w:w="58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2443"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一般公共预算财政拨款（补助）人员增减率</w:t>
            </w:r>
          </w:p>
        </w:tc>
        <w:tc>
          <w:tcPr>
            <w:tcW w:w="567"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992" w:type="dxa"/>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-8.14</w:t>
            </w:r>
          </w:p>
        </w:tc>
        <w:tc>
          <w:tcPr>
            <w:tcW w:w="709" w:type="dxa"/>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w:t>
            </w:r>
          </w:p>
        </w:tc>
        <w:tc>
          <w:tcPr>
            <w:tcW w:w="3025" w:type="dxa"/>
            <w:gridSpan w:val="3"/>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一般公共预算拨款（补助）开支在职人员数：（本年数－上年数）/上年数*100%</w:t>
            </w:r>
          </w:p>
        </w:tc>
        <w:tc>
          <w:tcPr>
            <w:tcW w:w="3529"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增减率≤0，得满分；增减率﹥0,扣减1分。</w:t>
            </w:r>
          </w:p>
        </w:tc>
      </w:tr>
      <w:tr>
        <w:tblPrEx>
          <w:tblLayout w:type="fixed"/>
          <w:tblCellMar>
            <w:top w:w="0" w:type="dxa"/>
            <w:left w:w="108" w:type="dxa"/>
            <w:bottom w:w="0" w:type="dxa"/>
            <w:right w:w="108" w:type="dxa"/>
          </w:tblCellMar>
        </w:tblPrEx>
        <w:trPr>
          <w:gridAfter w:val="2"/>
          <w:wAfter w:w="1084" w:type="dxa"/>
          <w:trHeight w:val="447" w:hRule="atLeast"/>
        </w:trPr>
        <w:tc>
          <w:tcPr>
            <w:tcW w:w="743"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576"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100</w:t>
            </w:r>
          </w:p>
        </w:tc>
        <w:tc>
          <w:tcPr>
            <w:tcW w:w="106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58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100</w:t>
            </w:r>
          </w:p>
        </w:tc>
        <w:tc>
          <w:tcPr>
            <w:tcW w:w="2443"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567"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100</w:t>
            </w:r>
          </w:p>
        </w:tc>
        <w:tc>
          <w:tcPr>
            <w:tcW w:w="992" w:type="dxa"/>
            <w:gridSpan w:val="2"/>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709" w:type="dxa"/>
            <w:gridSpan w:val="2"/>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81.5</w:t>
            </w:r>
          </w:p>
        </w:tc>
        <w:tc>
          <w:tcPr>
            <w:tcW w:w="3025" w:type="dxa"/>
            <w:gridSpan w:val="3"/>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3529"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gridAfter w:val="2"/>
          <w:wAfter w:w="1084" w:type="dxa"/>
          <w:trHeight w:val="447" w:hRule="atLeast"/>
        </w:trPr>
        <w:tc>
          <w:tcPr>
            <w:tcW w:w="14224" w:type="dxa"/>
            <w:gridSpan w:val="14"/>
            <w:tcBorders>
              <w:top w:val="single" w:color="auto" w:sz="4" w:space="0"/>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注：1.财务状况不含企业化管理事业单位和民间非营利组织。</w:t>
            </w:r>
          </w:p>
        </w:tc>
      </w:tr>
      <w:tr>
        <w:tblPrEx>
          <w:tblLayout w:type="fixed"/>
          <w:tblCellMar>
            <w:top w:w="0" w:type="dxa"/>
            <w:left w:w="108" w:type="dxa"/>
            <w:bottom w:w="0" w:type="dxa"/>
            <w:right w:w="108" w:type="dxa"/>
          </w:tblCellMar>
        </w:tblPrEx>
        <w:trPr>
          <w:gridAfter w:val="2"/>
          <w:wAfter w:w="1084" w:type="dxa"/>
          <w:trHeight w:val="447" w:hRule="atLeast"/>
        </w:trPr>
        <w:tc>
          <w:tcPr>
            <w:tcW w:w="14224" w:type="dxa"/>
            <w:gridSpan w:val="14"/>
            <w:tcBorders>
              <w:top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2.各项评分标准中，对于分子不为0且分母为0的情况，按0分计算；分子、分母同为0的情况，按满分计算。</w:t>
            </w:r>
          </w:p>
        </w:tc>
      </w:tr>
      <w:tr>
        <w:tblPrEx>
          <w:tblLayout w:type="fixed"/>
          <w:tblCellMar>
            <w:top w:w="0" w:type="dxa"/>
            <w:left w:w="108" w:type="dxa"/>
            <w:bottom w:w="0" w:type="dxa"/>
            <w:right w:w="108" w:type="dxa"/>
          </w:tblCellMar>
        </w:tblPrEx>
        <w:trPr>
          <w:gridAfter w:val="2"/>
          <w:wAfter w:w="1084" w:type="dxa"/>
          <w:trHeight w:val="447" w:hRule="atLeast"/>
        </w:trPr>
        <w:tc>
          <w:tcPr>
            <w:tcW w:w="14224" w:type="dxa"/>
            <w:gridSpan w:val="14"/>
            <w:tcBorders>
              <w:top w:val="nil"/>
              <w:bottom w:val="nil"/>
              <w:right w:val="nil"/>
            </w:tcBorders>
            <w:shd w:val="clear" w:color="auto" w:fill="auto"/>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581" w:type="dxa"/>
          <w:trHeight w:val="447" w:hRule="atLeast"/>
        </w:trPr>
        <w:tc>
          <w:tcPr>
            <w:tcW w:w="14727" w:type="dxa"/>
            <w:gridSpan w:val="15"/>
            <w:tcBorders>
              <w:top w:val="nil"/>
              <w:bottom w:val="nil"/>
              <w:right w:val="nil"/>
            </w:tcBorders>
            <w:shd w:val="clear" w:color="auto" w:fill="auto"/>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581" w:type="dxa"/>
          <w:trHeight w:val="447" w:hRule="atLeast"/>
        </w:trPr>
        <w:tc>
          <w:tcPr>
            <w:tcW w:w="14727" w:type="dxa"/>
            <w:gridSpan w:val="15"/>
            <w:tcBorders>
              <w:top w:val="nil"/>
              <w:bottom w:val="nil"/>
              <w:right w:val="nil"/>
            </w:tcBorders>
            <w:shd w:val="clear" w:color="auto" w:fill="auto"/>
            <w:vAlign w:val="center"/>
          </w:tcPr>
          <w:p>
            <w:pPr>
              <w:widowControl/>
              <w:jc w:val="left"/>
              <w:rPr>
                <w:rFonts w:ascii="宋体" w:hAnsi="宋体" w:cs="Arial"/>
                <w:color w:val="000000"/>
                <w:kern w:val="0"/>
                <w:sz w:val="22"/>
                <w:szCs w:val="22"/>
              </w:rPr>
            </w:pPr>
          </w:p>
        </w:tc>
      </w:tr>
    </w:tbl>
    <w:p>
      <w:pPr>
        <w:ind w:firstLine="640" w:firstLineChars="200"/>
        <w:rPr>
          <w:rFonts w:ascii="华文仿宋" w:hAnsi="华文仿宋" w:eastAsia="华文仿宋"/>
          <w:b/>
          <w:sz w:val="32"/>
          <w:szCs w:val="32"/>
        </w:rPr>
        <w:sectPr>
          <w:pgSz w:w="16783" w:h="11850" w:orient="landscape"/>
          <w:pgMar w:top="1531" w:right="1871" w:bottom="1304" w:left="1758" w:header="851" w:footer="992" w:gutter="0"/>
          <w:pgNumType w:fmt="chineseCounting"/>
          <w:cols w:space="0" w:num="1"/>
          <w:docGrid w:type="linesAndChars" w:linePitch="312" w:charSpace="0"/>
        </w:sectPr>
      </w:pPr>
    </w:p>
    <w:p>
      <w:pPr>
        <w:ind w:firstLine="643" w:firstLineChars="200"/>
        <w:rPr>
          <w:rFonts w:ascii="华文仿宋" w:hAnsi="华文仿宋" w:eastAsia="华文仿宋"/>
          <w:b/>
          <w:sz w:val="32"/>
          <w:szCs w:val="32"/>
        </w:rPr>
      </w:pPr>
      <w:r>
        <w:rPr>
          <w:rFonts w:hint="eastAsia" w:ascii="华文仿宋" w:hAnsi="华文仿宋" w:eastAsia="华文仿宋"/>
          <w:b/>
          <w:sz w:val="32"/>
          <w:szCs w:val="32"/>
        </w:rPr>
        <w:t>七、其他重要事项的情况说明。</w:t>
      </w:r>
    </w:p>
    <w:p>
      <w:pPr>
        <w:jc w:val="center"/>
        <w:rPr>
          <w:rFonts w:ascii="华文仿宋" w:hAnsi="华文仿宋" w:eastAsia="华文仿宋" w:cs="黑体"/>
          <w:color w:val="000000"/>
          <w:sz w:val="32"/>
          <w:szCs w:val="32"/>
        </w:rPr>
      </w:pPr>
      <w:r>
        <w:rPr>
          <w:rFonts w:hint="eastAsia" w:ascii="华文仿宋" w:hAnsi="华文仿宋" w:eastAsia="华文仿宋" w:cs="黑体"/>
          <w:color w:val="000000"/>
          <w:sz w:val="32"/>
          <w:szCs w:val="32"/>
        </w:rPr>
        <w:t>部门决算填报说明</w:t>
      </w:r>
    </w:p>
    <w:p>
      <w:pPr>
        <w:spacing w:line="540" w:lineRule="exact"/>
        <w:ind w:firstLine="482"/>
        <w:rPr>
          <w:rFonts w:ascii="Times New Roman" w:hAnsi="Times New Roman" w:cs="Times New Roman"/>
          <w:color w:val="000000"/>
          <w:sz w:val="32"/>
          <w:szCs w:val="32"/>
        </w:rPr>
      </w:pPr>
      <w:r>
        <w:rPr>
          <w:rFonts w:hint="eastAsia" w:ascii="黑体" w:hAnsi="Times New Roman" w:eastAsia="黑体" w:cs="黑体"/>
          <w:color w:val="000000"/>
          <w:sz w:val="32"/>
          <w:szCs w:val="32"/>
        </w:rPr>
        <w:t>一、决算汇编基本情况</w:t>
      </w:r>
    </w:p>
    <w:p>
      <w:pPr>
        <w:spacing w:line="540" w:lineRule="exact"/>
        <w:ind w:firstLine="482"/>
        <w:rPr>
          <w:rFonts w:ascii="华文仿宋" w:hAnsi="华文仿宋" w:eastAsia="华文仿宋" w:cs="Times New Roman"/>
          <w:b/>
          <w:color w:val="000000"/>
          <w:sz w:val="32"/>
          <w:szCs w:val="32"/>
        </w:rPr>
      </w:pPr>
      <w:r>
        <w:rPr>
          <w:rFonts w:hint="eastAsia" w:ascii="华文仿宋" w:hAnsi="华文仿宋" w:eastAsia="华文仿宋" w:cs="仿宋"/>
          <w:b/>
          <w:color w:val="000000"/>
          <w:sz w:val="32"/>
          <w:szCs w:val="32"/>
        </w:rPr>
        <w:t>（一）部门机构情况说明。</w:t>
      </w:r>
    </w:p>
    <w:p>
      <w:pPr>
        <w:spacing w:line="540" w:lineRule="exact"/>
        <w:ind w:firstLine="482"/>
        <w:rPr>
          <w:rFonts w:ascii="华文仿宋" w:hAnsi="华文仿宋" w:eastAsia="华文仿宋" w:cs="Times New Roman"/>
          <w:color w:val="000000"/>
          <w:sz w:val="32"/>
          <w:szCs w:val="32"/>
        </w:rPr>
      </w:pPr>
      <w:r>
        <w:rPr>
          <w:rFonts w:hint="eastAsia" w:ascii="华文仿宋" w:hAnsi="华文仿宋" w:eastAsia="华文仿宋" w:cs="Times New Roman"/>
          <w:color w:val="000000"/>
          <w:sz w:val="32"/>
          <w:szCs w:val="32"/>
        </w:rPr>
        <w:t>2016</w:t>
      </w:r>
      <w:r>
        <w:rPr>
          <w:rFonts w:hint="eastAsia" w:ascii="华文仿宋" w:hAnsi="华文仿宋" w:eastAsia="华文仿宋" w:cs="仿宋"/>
          <w:color w:val="000000"/>
          <w:sz w:val="32"/>
          <w:szCs w:val="32"/>
        </w:rPr>
        <w:t>年度，纳入本部门决算汇编范围的独立核算单位共</w:t>
      </w:r>
      <w:r>
        <w:rPr>
          <w:rFonts w:hint="eastAsia" w:ascii="华文仿宋" w:hAnsi="华文仿宋" w:eastAsia="华文仿宋" w:cs="Times New Roman"/>
          <w:color w:val="000000"/>
          <w:sz w:val="32"/>
          <w:szCs w:val="32"/>
        </w:rPr>
        <w:t> 1</w:t>
      </w:r>
      <w:r>
        <w:rPr>
          <w:rFonts w:hint="eastAsia" w:ascii="华文仿宋" w:hAnsi="华文仿宋" w:eastAsia="华文仿宋" w:cs="仿宋"/>
          <w:color w:val="000000"/>
          <w:sz w:val="32"/>
          <w:szCs w:val="32"/>
        </w:rPr>
        <w:t>个，比上年增减</w:t>
      </w:r>
      <w:r>
        <w:rPr>
          <w:rFonts w:hint="eastAsia" w:ascii="华文仿宋" w:hAnsi="华文仿宋" w:eastAsia="华文仿宋" w:cs="Times New Roman"/>
          <w:color w:val="000000"/>
          <w:sz w:val="32"/>
          <w:szCs w:val="32"/>
        </w:rPr>
        <w:t>  0 </w:t>
      </w:r>
      <w:r>
        <w:rPr>
          <w:rFonts w:hint="eastAsia" w:ascii="华文仿宋" w:hAnsi="华文仿宋" w:eastAsia="华文仿宋" w:cs="仿宋"/>
          <w:color w:val="000000"/>
          <w:sz w:val="32"/>
          <w:szCs w:val="32"/>
        </w:rPr>
        <w:t>个，分类说明如下：</w:t>
      </w:r>
    </w:p>
    <w:tbl>
      <w:tblPr>
        <w:tblStyle w:val="6"/>
        <w:tblW w:w="8091" w:type="dxa"/>
        <w:jc w:val="center"/>
        <w:tblInd w:w="2" w:type="dxa"/>
        <w:tblLayout w:type="fixed"/>
        <w:tblCellMar>
          <w:top w:w="0" w:type="dxa"/>
          <w:left w:w="0" w:type="dxa"/>
          <w:bottom w:w="0" w:type="dxa"/>
          <w:right w:w="0" w:type="dxa"/>
        </w:tblCellMar>
      </w:tblPr>
      <w:tblGrid>
        <w:gridCol w:w="2930"/>
        <w:gridCol w:w="1034"/>
        <w:gridCol w:w="1561"/>
        <w:gridCol w:w="2566"/>
      </w:tblGrid>
      <w:tr>
        <w:tblPrEx>
          <w:tblLayout w:type="fixed"/>
          <w:tblCellMar>
            <w:top w:w="0" w:type="dxa"/>
            <w:left w:w="0" w:type="dxa"/>
            <w:bottom w:w="0" w:type="dxa"/>
            <w:right w:w="0" w:type="dxa"/>
          </w:tblCellMar>
        </w:tblPrEx>
        <w:trPr>
          <w:trHeight w:val="397" w:hRule="atLeast"/>
          <w:jc w:val="center"/>
        </w:trPr>
        <w:tc>
          <w:tcPr>
            <w:tcW w:w="293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20" w:lineRule="exact"/>
              <w:jc w:val="center"/>
              <w:rPr>
                <w:rFonts w:ascii="华文仿宋" w:hAnsi="华文仿宋" w:eastAsia="华文仿宋" w:cs="Times New Roman"/>
                <w:b/>
                <w:sz w:val="24"/>
                <w:szCs w:val="24"/>
              </w:rPr>
            </w:pPr>
            <w:r>
              <w:rPr>
                <w:rFonts w:hint="eastAsia" w:ascii="华文仿宋" w:hAnsi="华文仿宋" w:eastAsia="华文仿宋" w:cs="仿宋_GB2312"/>
                <w:b/>
                <w:color w:val="000000"/>
                <w:sz w:val="24"/>
                <w:szCs w:val="24"/>
              </w:rPr>
              <w:t>项  目</w:t>
            </w:r>
          </w:p>
        </w:tc>
        <w:tc>
          <w:tcPr>
            <w:tcW w:w="103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220" w:lineRule="exact"/>
              <w:jc w:val="center"/>
              <w:rPr>
                <w:rFonts w:ascii="华文仿宋" w:hAnsi="华文仿宋" w:eastAsia="华文仿宋" w:cs="Times New Roman"/>
                <w:b/>
                <w:sz w:val="24"/>
                <w:szCs w:val="24"/>
              </w:rPr>
            </w:pPr>
            <w:r>
              <w:rPr>
                <w:rFonts w:hint="eastAsia" w:ascii="华文仿宋" w:hAnsi="华文仿宋" w:eastAsia="华文仿宋" w:cs="仿宋_GB2312"/>
                <w:b/>
                <w:color w:val="000000"/>
                <w:sz w:val="24"/>
                <w:szCs w:val="24"/>
              </w:rPr>
              <w:t>数量</w:t>
            </w:r>
          </w:p>
        </w:tc>
        <w:tc>
          <w:tcPr>
            <w:tcW w:w="156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220" w:lineRule="exact"/>
              <w:jc w:val="center"/>
              <w:rPr>
                <w:rFonts w:ascii="华文仿宋" w:hAnsi="华文仿宋" w:eastAsia="华文仿宋" w:cs="Times New Roman"/>
                <w:b/>
                <w:sz w:val="24"/>
                <w:szCs w:val="24"/>
              </w:rPr>
            </w:pPr>
            <w:r>
              <w:rPr>
                <w:rFonts w:hint="eastAsia" w:ascii="华文仿宋" w:hAnsi="华文仿宋" w:eastAsia="华文仿宋" w:cs="仿宋_GB2312"/>
                <w:b/>
                <w:color w:val="000000"/>
                <w:sz w:val="24"/>
                <w:szCs w:val="24"/>
              </w:rPr>
              <w:t>比上年增减</w:t>
            </w:r>
          </w:p>
        </w:tc>
        <w:tc>
          <w:tcPr>
            <w:tcW w:w="256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220" w:lineRule="exact"/>
              <w:jc w:val="center"/>
              <w:rPr>
                <w:rFonts w:ascii="华文仿宋" w:hAnsi="华文仿宋" w:eastAsia="华文仿宋" w:cs="Times New Roman"/>
                <w:b/>
                <w:sz w:val="24"/>
                <w:szCs w:val="24"/>
              </w:rPr>
            </w:pPr>
            <w:r>
              <w:rPr>
                <w:rFonts w:hint="eastAsia" w:ascii="华文仿宋" w:hAnsi="华文仿宋" w:eastAsia="华文仿宋" w:cs="仿宋_GB2312"/>
                <w:b/>
                <w:color w:val="000000"/>
                <w:sz w:val="24"/>
                <w:szCs w:val="24"/>
              </w:rPr>
              <w:t>变动原因说明</w:t>
            </w: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合</w:t>
            </w: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计</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一、按单位基本性质</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行政单位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事业单位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其他</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二、按执行会计制度</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行政单位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ind w:firstLine="240" w:firstLineChars="100"/>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事业单位（含行业）</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民间非营利组织</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企业</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hint="eastAsia" w:ascii="华文仿宋" w:hAnsi="华文仿宋" w:eastAsia="华文仿宋" w:cs="仿宋_GB2312"/>
                <w:color w:val="000000"/>
                <w:sz w:val="24"/>
                <w:szCs w:val="24"/>
              </w:rPr>
              <w:t>三、按单位预算级次</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25"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一级预算单位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1</w:t>
            </w: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r>
              <w:rPr>
                <w:rFonts w:hint="eastAsia" w:ascii="华文仿宋" w:hAnsi="华文仿宋" w:eastAsia="华文仿宋" w:cs="Times New Roman"/>
                <w:sz w:val="24"/>
                <w:szCs w:val="24"/>
              </w:rPr>
              <w:t>0</w:t>
            </w: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二级预算单位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r>
        <w:tblPrEx>
          <w:tblLayout w:type="fixed"/>
          <w:tblCellMar>
            <w:top w:w="0" w:type="dxa"/>
            <w:left w:w="0" w:type="dxa"/>
            <w:bottom w:w="0" w:type="dxa"/>
            <w:right w:w="0" w:type="dxa"/>
          </w:tblCellMar>
        </w:tblPrEx>
        <w:trPr>
          <w:trHeight w:val="116" w:hRule="atLeast"/>
          <w:jc w:val="center"/>
        </w:trPr>
        <w:tc>
          <w:tcPr>
            <w:tcW w:w="2930"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280" w:lineRule="exact"/>
              <w:rPr>
                <w:rFonts w:ascii="华文仿宋" w:hAnsi="华文仿宋" w:eastAsia="华文仿宋" w:cs="Times New Roman"/>
                <w:sz w:val="24"/>
                <w:szCs w:val="24"/>
              </w:rPr>
            </w:pPr>
            <w:r>
              <w:rPr>
                <w:rFonts w:ascii="华文仿宋" w:hAnsi="华文仿宋" w:eastAsia="华文仿宋" w:cs="Times New Roman"/>
                <w:color w:val="000000"/>
                <w:sz w:val="24"/>
                <w:szCs w:val="24"/>
              </w:rPr>
              <w:t>    </w:t>
            </w:r>
            <w:r>
              <w:rPr>
                <w:rFonts w:hint="eastAsia" w:ascii="华文仿宋" w:hAnsi="华文仿宋" w:eastAsia="华文仿宋" w:cs="仿宋_GB2312"/>
                <w:color w:val="000000"/>
                <w:sz w:val="24"/>
                <w:szCs w:val="24"/>
              </w:rPr>
              <w:t>三级预算单位</w:t>
            </w:r>
          </w:p>
        </w:tc>
        <w:tc>
          <w:tcPr>
            <w:tcW w:w="1034"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1561"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c>
          <w:tcPr>
            <w:tcW w:w="2566"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280" w:lineRule="exact"/>
              <w:jc w:val="center"/>
              <w:rPr>
                <w:rFonts w:ascii="华文仿宋" w:hAnsi="华文仿宋" w:eastAsia="华文仿宋" w:cs="Times New Roman"/>
                <w:sz w:val="24"/>
                <w:szCs w:val="24"/>
              </w:rPr>
            </w:pPr>
          </w:p>
        </w:tc>
      </w:tr>
    </w:tbl>
    <w:p>
      <w:pPr>
        <w:spacing w:line="540" w:lineRule="exact"/>
        <w:ind w:firstLine="482"/>
        <w:rPr>
          <w:rFonts w:ascii="华文仿宋" w:hAnsi="华文仿宋" w:eastAsia="华文仿宋" w:cs="仿宋"/>
          <w:b/>
          <w:color w:val="000000"/>
          <w:sz w:val="32"/>
          <w:szCs w:val="32"/>
        </w:rPr>
      </w:pPr>
      <w:r>
        <w:rPr>
          <w:rFonts w:hint="eastAsia" w:ascii="华文仿宋" w:hAnsi="华文仿宋" w:eastAsia="华文仿宋" w:cs="仿宋"/>
          <w:b/>
          <w:color w:val="000000"/>
          <w:sz w:val="32"/>
          <w:szCs w:val="32"/>
        </w:rPr>
        <w:t>（二）部门录入户数说明。</w:t>
      </w:r>
    </w:p>
    <w:p>
      <w:pPr>
        <w:spacing w:line="540" w:lineRule="exact"/>
        <w:ind w:firstLine="482"/>
        <w:rPr>
          <w:rFonts w:ascii="华文仿宋" w:hAnsi="华文仿宋" w:eastAsia="华文仿宋" w:cs="Times New Roman"/>
          <w:color w:val="000000"/>
          <w:sz w:val="32"/>
          <w:szCs w:val="32"/>
        </w:rPr>
      </w:pPr>
      <w:r>
        <w:rPr>
          <w:rFonts w:hint="eastAsia" w:ascii="华文仿宋" w:hAnsi="华文仿宋" w:eastAsia="华文仿宋" w:cs="Times New Roman"/>
          <w:color w:val="000000"/>
          <w:sz w:val="32"/>
          <w:szCs w:val="32"/>
        </w:rPr>
        <w:t>2016</w:t>
      </w:r>
      <w:r>
        <w:rPr>
          <w:rFonts w:hint="eastAsia" w:ascii="华文仿宋" w:hAnsi="华文仿宋" w:eastAsia="华文仿宋" w:cs="仿宋"/>
          <w:color w:val="000000"/>
          <w:sz w:val="32"/>
          <w:szCs w:val="32"/>
        </w:rPr>
        <w:t>年度，本部门决算汇编户数共</w:t>
      </w:r>
      <w:r>
        <w:rPr>
          <w:rFonts w:hint="eastAsia" w:ascii="华文仿宋" w:hAnsi="华文仿宋" w:eastAsia="华文仿宋" w:cs="Times New Roman"/>
          <w:color w:val="000000"/>
          <w:sz w:val="32"/>
          <w:szCs w:val="32"/>
        </w:rPr>
        <w:t>  1 </w:t>
      </w:r>
      <w:r>
        <w:rPr>
          <w:rFonts w:hint="eastAsia" w:ascii="华文仿宋" w:hAnsi="华文仿宋" w:eastAsia="华文仿宋" w:cs="仿宋"/>
          <w:color w:val="000000"/>
          <w:sz w:val="32"/>
          <w:szCs w:val="32"/>
        </w:rPr>
        <w:t>个，比上年增减</w:t>
      </w:r>
      <w:r>
        <w:rPr>
          <w:rFonts w:hint="eastAsia" w:ascii="华文仿宋" w:hAnsi="华文仿宋" w:eastAsia="华文仿宋" w:cs="Times New Roman"/>
          <w:color w:val="000000"/>
          <w:sz w:val="32"/>
          <w:szCs w:val="32"/>
        </w:rPr>
        <w:t>  0 </w:t>
      </w:r>
      <w:r>
        <w:rPr>
          <w:rFonts w:hint="eastAsia" w:ascii="华文仿宋" w:hAnsi="华文仿宋" w:eastAsia="华文仿宋" w:cs="仿宋"/>
          <w:color w:val="000000"/>
          <w:sz w:val="32"/>
          <w:szCs w:val="32"/>
        </w:rPr>
        <w:t>个，分类说明如下：</w:t>
      </w:r>
    </w:p>
    <w:tbl>
      <w:tblPr>
        <w:tblStyle w:val="6"/>
        <w:tblW w:w="8646" w:type="dxa"/>
        <w:tblInd w:w="2" w:type="dxa"/>
        <w:tblLayout w:type="fixed"/>
        <w:tblCellMar>
          <w:top w:w="0" w:type="dxa"/>
          <w:left w:w="0" w:type="dxa"/>
          <w:bottom w:w="0" w:type="dxa"/>
          <w:right w:w="0" w:type="dxa"/>
        </w:tblCellMar>
      </w:tblPr>
      <w:tblGrid>
        <w:gridCol w:w="3508"/>
        <w:gridCol w:w="851"/>
        <w:gridCol w:w="1417"/>
        <w:gridCol w:w="2870"/>
      </w:tblGrid>
      <w:tr>
        <w:tblPrEx>
          <w:tblLayout w:type="fixed"/>
          <w:tblCellMar>
            <w:top w:w="0" w:type="dxa"/>
            <w:left w:w="0" w:type="dxa"/>
            <w:bottom w:w="0" w:type="dxa"/>
            <w:right w:w="0" w:type="dxa"/>
          </w:tblCellMar>
        </w:tblPrEx>
        <w:trPr>
          <w:trHeight w:val="387" w:hRule="atLeast"/>
          <w:tblHeader/>
        </w:trPr>
        <w:tc>
          <w:tcPr>
            <w:tcW w:w="3508"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20" w:lineRule="exact"/>
              <w:jc w:val="center"/>
              <w:rPr>
                <w:rFonts w:ascii="仿宋_GB2312" w:hAnsi="Times New Roman" w:eastAsia="仿宋_GB2312" w:cs="仿宋_GB2312"/>
                <w:b/>
                <w:color w:val="000000"/>
              </w:rPr>
            </w:pPr>
            <w:r>
              <w:rPr>
                <w:rFonts w:hint="eastAsia" w:ascii="仿宋_GB2312" w:hAnsi="Times New Roman" w:eastAsia="仿宋_GB2312" w:cs="仿宋_GB2312"/>
                <w:b/>
                <w:color w:val="000000"/>
              </w:rPr>
              <w:t>项  目</w:t>
            </w:r>
          </w:p>
        </w:tc>
        <w:tc>
          <w:tcPr>
            <w:tcW w:w="851"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220" w:lineRule="exact"/>
              <w:jc w:val="center"/>
              <w:rPr>
                <w:rFonts w:ascii="仿宋_GB2312" w:hAnsi="Times New Roman" w:eastAsia="仿宋_GB2312" w:cs="仿宋_GB2312"/>
                <w:b/>
                <w:color w:val="000000"/>
              </w:rPr>
            </w:pPr>
            <w:r>
              <w:rPr>
                <w:rFonts w:hint="eastAsia" w:ascii="仿宋_GB2312" w:hAnsi="Times New Roman" w:eastAsia="仿宋_GB2312" w:cs="仿宋_GB2312"/>
                <w:b/>
                <w:color w:val="000000"/>
              </w:rPr>
              <w:t>数量</w:t>
            </w:r>
          </w:p>
        </w:tc>
        <w:tc>
          <w:tcPr>
            <w:tcW w:w="1417"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220" w:lineRule="exact"/>
              <w:jc w:val="center"/>
              <w:rPr>
                <w:rFonts w:ascii="仿宋_GB2312" w:hAnsi="Times New Roman" w:eastAsia="仿宋_GB2312" w:cs="仿宋_GB2312"/>
                <w:b/>
                <w:color w:val="000000"/>
              </w:rPr>
            </w:pPr>
            <w:r>
              <w:rPr>
                <w:rFonts w:hint="eastAsia" w:ascii="仿宋_GB2312" w:hAnsi="Times New Roman" w:eastAsia="仿宋_GB2312" w:cs="仿宋_GB2312"/>
                <w:b/>
                <w:color w:val="000000"/>
              </w:rPr>
              <w:t>比上年增减</w:t>
            </w:r>
          </w:p>
        </w:tc>
        <w:tc>
          <w:tcPr>
            <w:tcW w:w="2870"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220" w:lineRule="exact"/>
              <w:jc w:val="center"/>
              <w:rPr>
                <w:rFonts w:ascii="仿宋_GB2312" w:hAnsi="Times New Roman" w:eastAsia="仿宋_GB2312" w:cs="仿宋_GB2312"/>
                <w:b/>
                <w:color w:val="000000"/>
              </w:rPr>
            </w:pPr>
            <w:r>
              <w:rPr>
                <w:rFonts w:hint="eastAsia" w:ascii="仿宋_GB2312" w:hAnsi="Times New Roman" w:eastAsia="仿宋_GB2312" w:cs="仿宋_GB2312"/>
                <w:b/>
                <w:color w:val="000000"/>
              </w:rPr>
              <w:t>变动原因说明</w:t>
            </w: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r>
              <w:rPr>
                <w:rFonts w:hint="eastAsia" w:ascii="仿宋_GB2312" w:hAnsi="Times New Roman" w:eastAsia="仿宋_GB2312" w:cs="仿宋_GB2312"/>
                <w:color w:val="000000"/>
              </w:rPr>
              <w:t>合</w:t>
            </w:r>
            <w:r>
              <w:rPr>
                <w:rFonts w:ascii="仿宋_GB2312" w:hAnsi="Times New Roman" w:eastAsia="仿宋_GB2312" w:cs="Times New Roman"/>
                <w:color w:val="000000"/>
              </w:rPr>
              <w:t>    </w:t>
            </w:r>
            <w:r>
              <w:rPr>
                <w:rFonts w:hint="eastAsia" w:ascii="仿宋_GB2312" w:hAnsi="Times New Roman" w:eastAsia="仿宋_GB2312" w:cs="仿宋_GB2312"/>
                <w:color w:val="000000"/>
              </w:rPr>
              <w:t>计</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r>
              <w:rPr>
                <w:rFonts w:hint="eastAsia" w:ascii="Times New Roman" w:hAnsi="Times New Roman" w:cs="Times New Roman"/>
              </w:rPr>
              <w:t>1</w:t>
            </w: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r>
              <w:rPr>
                <w:rFonts w:hint="eastAsia" w:ascii="Times New Roman" w:hAnsi="Times New Roman" w:cs="Times New Roman"/>
              </w:rPr>
              <w:t>0</w:t>
            </w: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一、单户表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二、行政单位汇总录入表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三、事业单位汇总录入表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四、经费自理事业单位汇总录入表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五、乡镇汇总录入表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r>
              <w:rPr>
                <w:rFonts w:hint="eastAsia" w:ascii="Times New Roman" w:hAnsi="Times New Roman" w:cs="Times New Roman"/>
              </w:rPr>
              <w:t>1</w:t>
            </w: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r>
              <w:rPr>
                <w:rFonts w:hint="eastAsia" w:ascii="Times New Roman" w:hAnsi="Times New Roman" w:cs="Times New Roman"/>
              </w:rPr>
              <w:t>0</w:t>
            </w: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六、其他单位汇总录入表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七、经费差额表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240" w:lineRule="exact"/>
              <w:rPr>
                <w:rFonts w:ascii="Times New Roman" w:hAnsi="Times New Roman" w:cs="Times New Roman"/>
              </w:rPr>
            </w:pPr>
            <w:r>
              <w:rPr>
                <w:rFonts w:hint="eastAsia" w:ascii="仿宋_GB2312" w:hAnsi="Times New Roman" w:eastAsia="仿宋_GB2312" w:cs="仿宋_GB2312"/>
                <w:color w:val="000000"/>
              </w:rPr>
              <w:t>八、调整表</w:t>
            </w:r>
          </w:p>
        </w:tc>
        <w:tc>
          <w:tcPr>
            <w:tcW w:w="851"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141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c>
          <w:tcPr>
            <w:tcW w:w="2870"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240" w:lineRule="exact"/>
              <w:jc w:val="center"/>
              <w:rPr>
                <w:rFonts w:ascii="Times New Roman" w:hAnsi="Times New Roman" w:cs="Times New Roman"/>
              </w:rPr>
            </w:pPr>
          </w:p>
        </w:tc>
      </w:tr>
      <w:tr>
        <w:tblPrEx>
          <w:tblLayout w:type="fixed"/>
          <w:tblCellMar>
            <w:top w:w="0" w:type="dxa"/>
            <w:left w:w="0" w:type="dxa"/>
            <w:bottom w:w="0" w:type="dxa"/>
            <w:right w:w="0" w:type="dxa"/>
          </w:tblCellMar>
        </w:tblPrEx>
        <w:trPr>
          <w:trHeight w:val="300" w:hRule="atLeast"/>
        </w:trPr>
        <w:tc>
          <w:tcPr>
            <w:tcW w:w="3508" w:type="dxa"/>
            <w:tcBorders>
              <w:top w:val="single" w:color="000000" w:sz="8" w:space="0"/>
              <w:left w:val="single" w:color="000000" w:sz="8" w:space="0"/>
              <w:bottom w:val="single" w:color="auto" w:sz="4" w:space="0"/>
              <w:right w:val="single" w:color="000000" w:sz="8" w:space="0"/>
            </w:tcBorders>
            <w:tcMar>
              <w:top w:w="0" w:type="dxa"/>
              <w:left w:w="108" w:type="dxa"/>
              <w:bottom w:w="0" w:type="dxa"/>
              <w:right w:w="108" w:type="dxa"/>
            </w:tcMar>
            <w:vAlign w:val="center"/>
          </w:tcPr>
          <w:p>
            <w:pPr>
              <w:spacing w:line="240" w:lineRule="exact"/>
              <w:rPr>
                <w:rFonts w:ascii="仿宋_GB2312" w:hAnsi="Times New Roman" w:eastAsia="仿宋_GB2312" w:cs="仿宋_GB2312"/>
                <w:color w:val="000000"/>
              </w:rPr>
            </w:pPr>
            <w:r>
              <w:rPr>
                <w:rFonts w:hint="eastAsia" w:ascii="仿宋_GB2312" w:hAnsi="Times New Roman" w:eastAsia="仿宋_GB2312" w:cs="仿宋_GB2312"/>
                <w:color w:val="000000"/>
              </w:rPr>
              <w:t>九、叠加汇总表</w:t>
            </w:r>
          </w:p>
        </w:tc>
        <w:tc>
          <w:tcPr>
            <w:tcW w:w="851" w:type="dxa"/>
            <w:tcBorders>
              <w:top w:val="single" w:color="000000" w:sz="8" w:space="0"/>
              <w:left w:val="nil"/>
              <w:bottom w:val="single" w:color="auto" w:sz="4" w:space="0"/>
              <w:right w:val="single" w:color="000000" w:sz="8" w:space="0"/>
            </w:tcBorders>
            <w:tcMar>
              <w:top w:w="0" w:type="dxa"/>
              <w:left w:w="108" w:type="dxa"/>
              <w:bottom w:w="0" w:type="dxa"/>
              <w:right w:w="108" w:type="dxa"/>
            </w:tcMar>
            <w:vAlign w:val="center"/>
          </w:tcPr>
          <w:p>
            <w:pPr>
              <w:spacing w:line="240" w:lineRule="exact"/>
              <w:jc w:val="center"/>
              <w:rPr>
                <w:rFonts w:ascii="仿宋_GB2312" w:hAnsi="Times New Roman" w:eastAsia="仿宋_GB2312" w:cs="仿宋_GB2312"/>
                <w:color w:val="000000"/>
              </w:rPr>
            </w:pPr>
          </w:p>
        </w:tc>
        <w:tc>
          <w:tcPr>
            <w:tcW w:w="1417" w:type="dxa"/>
            <w:tcBorders>
              <w:top w:val="single" w:color="000000" w:sz="8" w:space="0"/>
              <w:left w:val="nil"/>
              <w:bottom w:val="single" w:color="auto" w:sz="4" w:space="0"/>
              <w:right w:val="single" w:color="000000" w:sz="8" w:space="0"/>
            </w:tcBorders>
            <w:tcMar>
              <w:top w:w="0" w:type="dxa"/>
              <w:left w:w="108" w:type="dxa"/>
              <w:bottom w:w="0" w:type="dxa"/>
              <w:right w:w="108" w:type="dxa"/>
            </w:tcMar>
            <w:vAlign w:val="center"/>
          </w:tcPr>
          <w:p>
            <w:pPr>
              <w:spacing w:line="240" w:lineRule="exact"/>
              <w:jc w:val="center"/>
              <w:rPr>
                <w:rFonts w:ascii="仿宋_GB2312" w:hAnsi="Times New Roman" w:eastAsia="仿宋_GB2312" w:cs="仿宋_GB2312"/>
                <w:color w:val="000000"/>
              </w:rPr>
            </w:pPr>
          </w:p>
        </w:tc>
        <w:tc>
          <w:tcPr>
            <w:tcW w:w="2870" w:type="dxa"/>
            <w:tcBorders>
              <w:top w:val="single" w:color="000000" w:sz="8" w:space="0"/>
              <w:left w:val="nil"/>
              <w:bottom w:val="single" w:color="auto" w:sz="4" w:space="0"/>
              <w:right w:val="single" w:color="000000" w:sz="8" w:space="0"/>
            </w:tcBorders>
            <w:tcMar>
              <w:top w:w="0" w:type="dxa"/>
              <w:left w:w="108" w:type="dxa"/>
              <w:bottom w:w="0" w:type="dxa"/>
              <w:right w:w="108" w:type="dxa"/>
            </w:tcMar>
            <w:vAlign w:val="center"/>
          </w:tcPr>
          <w:p>
            <w:pPr>
              <w:spacing w:line="240" w:lineRule="exact"/>
              <w:jc w:val="center"/>
              <w:rPr>
                <w:rFonts w:ascii="仿宋_GB2312" w:hAnsi="Times New Roman" w:eastAsia="仿宋_GB2312" w:cs="仿宋_GB2312"/>
                <w:color w:val="000000"/>
              </w:rPr>
            </w:pPr>
          </w:p>
        </w:tc>
      </w:tr>
      <w:tr>
        <w:tblPrEx>
          <w:tblLayout w:type="fixed"/>
          <w:tblCellMar>
            <w:top w:w="0" w:type="dxa"/>
            <w:left w:w="0" w:type="dxa"/>
            <w:bottom w:w="0" w:type="dxa"/>
            <w:right w:w="0" w:type="dxa"/>
          </w:tblCellMar>
        </w:tblPrEx>
        <w:trPr>
          <w:trHeight w:val="604" w:hRule="atLeast"/>
        </w:trPr>
        <w:tc>
          <w:tcPr>
            <w:tcW w:w="8646" w:type="dxa"/>
            <w:gridSpan w:val="4"/>
            <w:tcBorders>
              <w:top w:val="single" w:color="auto" w:sz="4" w:space="0"/>
            </w:tcBorders>
            <w:tcMar>
              <w:top w:w="0" w:type="dxa"/>
              <w:left w:w="108" w:type="dxa"/>
              <w:bottom w:w="0" w:type="dxa"/>
              <w:right w:w="108" w:type="dxa"/>
            </w:tcMar>
            <w:vAlign w:val="center"/>
          </w:tcPr>
          <w:p>
            <w:pPr>
              <w:spacing w:line="300" w:lineRule="exact"/>
              <w:rPr>
                <w:rFonts w:ascii="Times New Roman" w:hAnsi="Times New Roman" w:cs="Times New Roman"/>
              </w:rPr>
            </w:pPr>
          </w:p>
        </w:tc>
      </w:tr>
    </w:tbl>
    <w:p>
      <w:pPr>
        <w:spacing w:line="560" w:lineRule="exact"/>
        <w:ind w:firstLine="640" w:firstLineChars="200"/>
        <w:rPr>
          <w:rFonts w:ascii="黑体" w:hAnsi="华文仿宋" w:eastAsia="黑体" w:cs="Times New Roman"/>
          <w:color w:val="000000"/>
          <w:sz w:val="32"/>
          <w:szCs w:val="32"/>
        </w:rPr>
      </w:pPr>
      <w:r>
        <w:rPr>
          <w:rFonts w:hint="eastAsia" w:ascii="华文仿宋" w:hAnsi="华文仿宋" w:eastAsia="黑体" w:cs="Times New Roman"/>
          <w:color w:val="000000"/>
          <w:sz w:val="32"/>
          <w:szCs w:val="32"/>
        </w:rPr>
        <w:t> </w:t>
      </w:r>
      <w:r>
        <w:rPr>
          <w:rFonts w:hint="eastAsia" w:ascii="黑体" w:hAnsi="华文仿宋" w:eastAsia="黑体" w:cs="黑体"/>
          <w:color w:val="000000"/>
          <w:sz w:val="32"/>
          <w:szCs w:val="32"/>
        </w:rPr>
        <w:t>二、基础数据核对情况</w:t>
      </w:r>
    </w:p>
    <w:p>
      <w:pPr>
        <w:spacing w:line="560" w:lineRule="exact"/>
        <w:ind w:firstLine="480"/>
        <w:rPr>
          <w:rFonts w:ascii="华文仿宋" w:hAnsi="华文仿宋" w:eastAsia="华文仿宋" w:cs="仿宋"/>
          <w:b/>
          <w:color w:val="000000"/>
          <w:sz w:val="32"/>
          <w:szCs w:val="32"/>
        </w:rPr>
      </w:pPr>
      <w:r>
        <w:rPr>
          <w:rFonts w:hint="eastAsia" w:ascii="华文仿宋" w:hAnsi="华文仿宋" w:eastAsia="华文仿宋" w:cs="仿宋"/>
          <w:b/>
          <w:color w:val="000000"/>
          <w:sz w:val="32"/>
          <w:szCs w:val="32"/>
        </w:rPr>
        <w:t>（一）与财政部门对账情况。</w:t>
      </w:r>
    </w:p>
    <w:p>
      <w:pPr>
        <w:spacing w:line="560" w:lineRule="exact"/>
        <w:ind w:firstLine="480"/>
        <w:rPr>
          <w:rFonts w:ascii="华文仿宋" w:hAnsi="华文仿宋" w:eastAsia="华文仿宋" w:cs="Times New Roman"/>
          <w:color w:val="000000"/>
          <w:sz w:val="32"/>
          <w:szCs w:val="32"/>
        </w:rPr>
      </w:pPr>
      <w:r>
        <w:rPr>
          <w:rFonts w:hint="eastAsia" w:ascii="华文仿宋" w:hAnsi="华文仿宋" w:eastAsia="华文仿宋" w:cs="仿宋"/>
          <w:color w:val="000000"/>
          <w:sz w:val="32"/>
          <w:szCs w:val="32"/>
        </w:rPr>
        <w:t>1．财政拨款核对情况</w:t>
      </w:r>
    </w:p>
    <w:p>
      <w:pPr>
        <w:spacing w:line="560" w:lineRule="exact"/>
        <w:ind w:firstLine="480"/>
        <w:rPr>
          <w:rFonts w:ascii="华文仿宋" w:hAnsi="华文仿宋" w:eastAsia="华文仿宋" w:cs="Times New Roman"/>
          <w:color w:val="000000"/>
          <w:sz w:val="32"/>
          <w:szCs w:val="32"/>
        </w:rPr>
      </w:pPr>
      <w:r>
        <w:rPr>
          <w:rFonts w:hint="eastAsia" w:ascii="华文仿宋" w:hAnsi="华文仿宋" w:eastAsia="华文仿宋" w:cs="仿宋"/>
          <w:color w:val="000000"/>
          <w:sz w:val="32"/>
          <w:szCs w:val="32"/>
        </w:rPr>
        <w:t>单位本年度实际收到的</w:t>
      </w:r>
      <w:r>
        <w:rPr>
          <w:rFonts w:hint="eastAsia" w:ascii="华文仿宋" w:hAnsi="华文仿宋" w:eastAsia="华文仿宋" w:cs="仿宋"/>
          <w:bCs/>
          <w:color w:val="000000"/>
          <w:sz w:val="32"/>
          <w:szCs w:val="32"/>
        </w:rPr>
        <w:t>一般</w:t>
      </w:r>
      <w:r>
        <w:rPr>
          <w:rFonts w:hint="eastAsia" w:ascii="华文仿宋" w:hAnsi="华文仿宋" w:eastAsia="华文仿宋" w:cs="仿宋"/>
          <w:color w:val="000000"/>
          <w:sz w:val="32"/>
          <w:szCs w:val="32"/>
        </w:rPr>
        <w:t>公共预算财政拨款收入975.39万元，财政部门拨款对账单975.39万元，差额0万元。</w:t>
      </w:r>
    </w:p>
    <w:p>
      <w:pPr>
        <w:spacing w:line="560" w:lineRule="exact"/>
        <w:ind w:firstLine="480"/>
        <w:rPr>
          <w:rFonts w:ascii="华文仿宋" w:hAnsi="华文仿宋" w:eastAsia="华文仿宋" w:cs="Times New Roman"/>
          <w:color w:val="000000"/>
          <w:sz w:val="32"/>
          <w:szCs w:val="32"/>
        </w:rPr>
      </w:pPr>
      <w:r>
        <w:rPr>
          <w:rFonts w:hint="eastAsia" w:ascii="华文仿宋" w:hAnsi="华文仿宋" w:eastAsia="华文仿宋" w:cs="仿宋"/>
          <w:color w:val="000000"/>
          <w:sz w:val="32"/>
          <w:szCs w:val="32"/>
        </w:rPr>
        <w:t>2．财政专户管理资金核对情况</w:t>
      </w:r>
    </w:p>
    <w:p>
      <w:pPr>
        <w:spacing w:line="560" w:lineRule="exact"/>
        <w:ind w:firstLine="480"/>
        <w:rPr>
          <w:rFonts w:ascii="华文仿宋" w:hAnsi="华文仿宋" w:eastAsia="华文仿宋" w:cs="Times New Roman"/>
          <w:color w:val="000000"/>
          <w:sz w:val="32"/>
          <w:szCs w:val="32"/>
        </w:rPr>
      </w:pPr>
      <w:r>
        <w:rPr>
          <w:rFonts w:hint="eastAsia" w:ascii="华文仿宋" w:hAnsi="华文仿宋" w:eastAsia="华文仿宋" w:cs="仿宋"/>
          <w:color w:val="000000"/>
          <w:sz w:val="32"/>
          <w:szCs w:val="32"/>
        </w:rPr>
        <w:t>（1）单位本年度缴入财政专户0元，财政部门财政专户缴款对账单0元，差额0元。</w:t>
      </w:r>
    </w:p>
    <w:p>
      <w:pPr>
        <w:spacing w:line="560" w:lineRule="exact"/>
        <w:ind w:firstLine="480"/>
        <w:rPr>
          <w:rFonts w:ascii="华文仿宋" w:hAnsi="华文仿宋" w:eastAsia="华文仿宋" w:cs="仿宋"/>
          <w:color w:val="000000"/>
          <w:sz w:val="32"/>
          <w:szCs w:val="32"/>
        </w:rPr>
      </w:pPr>
      <w:r>
        <w:rPr>
          <w:rFonts w:hint="eastAsia" w:ascii="华文仿宋" w:hAnsi="华文仿宋" w:eastAsia="华文仿宋" w:cs="仿宋"/>
          <w:color w:val="000000"/>
          <w:sz w:val="32"/>
          <w:szCs w:val="32"/>
        </w:rPr>
        <w:t>（2）单位本年度财政专户</w:t>
      </w:r>
      <w:r>
        <w:rPr>
          <w:rFonts w:hint="eastAsia" w:ascii="华文仿宋" w:hAnsi="华文仿宋" w:eastAsia="华文仿宋" w:cs="仿宋"/>
          <w:bCs/>
          <w:color w:val="000000"/>
          <w:sz w:val="32"/>
          <w:szCs w:val="32"/>
        </w:rPr>
        <w:t>管理</w:t>
      </w:r>
      <w:r>
        <w:rPr>
          <w:rFonts w:hint="eastAsia" w:ascii="华文仿宋" w:hAnsi="华文仿宋" w:eastAsia="华文仿宋" w:cs="仿宋"/>
          <w:color w:val="000000"/>
          <w:sz w:val="32"/>
          <w:szCs w:val="32"/>
        </w:rPr>
        <w:t>资金收入0元，财政部门财政专户拨款对账单0元，差额0元。</w:t>
      </w:r>
    </w:p>
    <w:p>
      <w:pPr>
        <w:spacing w:line="560" w:lineRule="exact"/>
        <w:ind w:firstLine="480"/>
        <w:rPr>
          <w:rFonts w:ascii="华文仿宋" w:hAnsi="华文仿宋" w:eastAsia="华文仿宋" w:cs="Times New Roman"/>
          <w:color w:val="000000"/>
          <w:sz w:val="32"/>
          <w:szCs w:val="32"/>
        </w:rPr>
      </w:pPr>
      <w:r>
        <w:rPr>
          <w:rFonts w:hint="eastAsia" w:ascii="华文仿宋" w:hAnsi="华文仿宋" w:eastAsia="华文仿宋" w:cs="仿宋"/>
          <w:color w:val="000000"/>
          <w:sz w:val="32"/>
          <w:szCs w:val="32"/>
        </w:rPr>
        <w:t>3．其他需要说明的情况</w:t>
      </w:r>
    </w:p>
    <w:p>
      <w:pPr>
        <w:spacing w:line="560" w:lineRule="exact"/>
        <w:ind w:firstLine="480"/>
        <w:rPr>
          <w:rFonts w:ascii="楷体_GB2312" w:hAnsi="仿宋" w:eastAsia="楷体_GB2312" w:cs="仿宋"/>
          <w:b/>
          <w:color w:val="000000"/>
          <w:sz w:val="32"/>
          <w:szCs w:val="32"/>
        </w:rPr>
      </w:pPr>
      <w:r>
        <w:rPr>
          <w:rFonts w:hint="eastAsia" w:ascii="楷体_GB2312" w:hAnsi="仿宋" w:eastAsia="楷体_GB2312" w:cs="仿宋"/>
          <w:b/>
          <w:color w:val="000000"/>
          <w:sz w:val="32"/>
          <w:szCs w:val="32"/>
        </w:rPr>
        <w:t>（二）与上年指标核对情况。</w:t>
      </w:r>
    </w:p>
    <w:p>
      <w:pPr>
        <w:spacing w:line="560" w:lineRule="exact"/>
        <w:ind w:firstLine="480"/>
        <w:rPr>
          <w:rFonts w:ascii="仿宋_GB2312" w:hAnsi="Times New Roman" w:eastAsia="仿宋_GB2312" w:cs="Times New Roman"/>
          <w:color w:val="000000"/>
          <w:sz w:val="32"/>
          <w:szCs w:val="32"/>
        </w:rPr>
      </w:pPr>
      <w:r>
        <w:rPr>
          <w:rFonts w:hint="eastAsia" w:ascii="仿宋_GB2312" w:hAnsi="仿宋" w:eastAsia="仿宋_GB2312" w:cs="仿宋"/>
          <w:color w:val="000000"/>
          <w:sz w:val="32"/>
          <w:szCs w:val="32"/>
        </w:rPr>
        <w:t>1．全口径、</w:t>
      </w:r>
      <w:r>
        <w:rPr>
          <w:rFonts w:hint="eastAsia" w:ascii="仿宋_GB2312" w:hAnsi="仿宋" w:eastAsia="仿宋_GB2312" w:cs="仿宋"/>
          <w:bCs/>
          <w:color w:val="000000"/>
          <w:sz w:val="32"/>
          <w:szCs w:val="32"/>
        </w:rPr>
        <w:t>一般</w:t>
      </w:r>
      <w:r>
        <w:rPr>
          <w:rFonts w:hint="eastAsia" w:ascii="仿宋_GB2312" w:hAnsi="仿宋" w:eastAsia="仿宋_GB2312" w:cs="仿宋"/>
          <w:color w:val="000000"/>
          <w:sz w:val="32"/>
          <w:szCs w:val="32"/>
        </w:rPr>
        <w:t>公共预算财政拨款、政府性基金预算财政拨款和财政专户管理资金的结转和结余资金本年年初数与上年年末数一致。</w:t>
      </w:r>
    </w:p>
    <w:p>
      <w:pPr>
        <w:spacing w:line="560" w:lineRule="exact"/>
        <w:ind w:firstLine="480"/>
        <w:rPr>
          <w:rFonts w:ascii="仿宋_GB2312" w:hAnsi="仿宋" w:eastAsia="仿宋_GB2312" w:cs="仿宋"/>
          <w:color w:val="000000"/>
          <w:sz w:val="32"/>
          <w:szCs w:val="32"/>
        </w:rPr>
      </w:pPr>
      <w:r>
        <w:rPr>
          <w:rFonts w:hint="eastAsia" w:ascii="仿宋_GB2312" w:hAnsi="仿宋" w:eastAsia="仿宋_GB2312" w:cs="仿宋"/>
          <w:color w:val="000000"/>
          <w:sz w:val="32"/>
          <w:szCs w:val="32"/>
        </w:rPr>
        <w:t>2.</w:t>
      </w:r>
      <w:r>
        <w:rPr>
          <w:rFonts w:hint="eastAsia" w:ascii="仿宋_GB2312" w:eastAsia="仿宋_GB2312" w:cs="Times New Roman"/>
          <w:color w:val="000000"/>
          <w:sz w:val="32"/>
          <w:szCs w:val="32"/>
        </w:rPr>
        <w:t> </w:t>
      </w:r>
      <w:r>
        <w:rPr>
          <w:rFonts w:hint="eastAsia" w:ascii="仿宋_GB2312" w:hAnsi="仿宋" w:eastAsia="仿宋_GB2312" w:cs="仿宋"/>
          <w:color w:val="000000"/>
          <w:sz w:val="32"/>
          <w:szCs w:val="32"/>
        </w:rPr>
        <w:t>资产负债简表指标本年年初数与上年年末数一致。</w:t>
      </w:r>
    </w:p>
    <w:p>
      <w:pPr>
        <w:spacing w:line="560" w:lineRule="exact"/>
        <w:ind w:firstLine="480"/>
        <w:rPr>
          <w:rFonts w:ascii="仿宋_GB2312" w:hAnsi="Times New Roman" w:eastAsia="仿宋_GB2312" w:cs="Times New Roman"/>
          <w:color w:val="000000"/>
          <w:sz w:val="32"/>
          <w:szCs w:val="32"/>
        </w:rPr>
      </w:pPr>
      <w:r>
        <w:rPr>
          <w:rFonts w:hint="eastAsia" w:ascii="仿宋_GB2312" w:hAnsi="Times New Roman" w:eastAsia="仿宋_GB2312" w:cs="Times New Roman"/>
          <w:color w:val="000000"/>
          <w:sz w:val="32"/>
          <w:szCs w:val="32"/>
        </w:rPr>
        <w:t>3．资产情况表指标本年年初数与上年年末数一致。</w:t>
      </w:r>
    </w:p>
    <w:p>
      <w:pPr>
        <w:spacing w:line="560" w:lineRule="exact"/>
        <w:ind w:firstLine="480"/>
        <w:rPr>
          <w:rFonts w:ascii="仿宋_GB2312" w:hAnsi="Times New Roman" w:eastAsia="仿宋_GB2312" w:cs="Times New Roman"/>
          <w:color w:val="000000"/>
          <w:sz w:val="32"/>
          <w:szCs w:val="32"/>
        </w:rPr>
      </w:pPr>
      <w:r>
        <w:rPr>
          <w:rFonts w:hint="eastAsia" w:ascii="仿宋_GB2312" w:hAnsi="仿宋" w:eastAsia="仿宋_GB2312" w:cs="仿宋"/>
          <w:color w:val="000000"/>
          <w:sz w:val="32"/>
          <w:szCs w:val="32"/>
        </w:rPr>
        <w:t>4．主要指标上下年变动幅度超过20%，其中机构人员指标上下年有变动的，应具体核实并说明原因（详见主要指标变动情况表）。</w:t>
      </w:r>
    </w:p>
    <w:p>
      <w:pPr>
        <w:rPr>
          <w:rFonts w:ascii="华文仿宋" w:hAnsi="华文仿宋" w:eastAsia="华文仿宋" w:cs="仿宋"/>
          <w:sz w:val="32"/>
          <w:szCs w:val="32"/>
        </w:rPr>
      </w:pPr>
    </w:p>
    <w:p>
      <w:pPr>
        <w:jc w:val="center"/>
        <w:rPr>
          <w:rFonts w:ascii="华文仿宋" w:hAnsi="华文仿宋" w:eastAsia="华文仿宋" w:cs="Arial"/>
          <w:color w:val="000000"/>
          <w:kern w:val="0"/>
          <w:sz w:val="32"/>
          <w:szCs w:val="32"/>
        </w:rPr>
        <w:sectPr>
          <w:pgSz w:w="11850" w:h="16783"/>
          <w:pgMar w:top="1871" w:right="1304" w:bottom="1757" w:left="1531" w:header="851" w:footer="992" w:gutter="0"/>
          <w:pgNumType w:fmt="chineseCounting"/>
          <w:cols w:space="0" w:num="1"/>
          <w:docGrid w:type="lines" w:linePitch="312" w:charSpace="0"/>
        </w:sectPr>
      </w:pPr>
    </w:p>
    <w:p>
      <w:pPr>
        <w:jc w:val="center"/>
        <w:rPr>
          <w:rFonts w:ascii="华文仿宋" w:hAnsi="华文仿宋" w:eastAsia="华文仿宋" w:cs="黑体"/>
          <w:kern w:val="0"/>
          <w:sz w:val="32"/>
          <w:szCs w:val="32"/>
        </w:rPr>
      </w:pPr>
      <w:r>
        <w:rPr>
          <w:rFonts w:hint="eastAsia" w:ascii="华文仿宋" w:hAnsi="华文仿宋" w:eastAsia="华文仿宋" w:cs="Arial"/>
          <w:color w:val="000000"/>
          <w:kern w:val="0"/>
          <w:sz w:val="32"/>
          <w:szCs w:val="32"/>
        </w:rPr>
        <w:t>主要指标变动情况表</w:t>
      </w:r>
    </w:p>
    <w:tbl>
      <w:tblPr>
        <w:tblStyle w:val="6"/>
        <w:tblW w:w="13765" w:type="dxa"/>
        <w:tblInd w:w="93" w:type="dxa"/>
        <w:tblLayout w:type="fixed"/>
        <w:tblCellMar>
          <w:top w:w="0" w:type="dxa"/>
          <w:left w:w="108" w:type="dxa"/>
          <w:bottom w:w="0" w:type="dxa"/>
          <w:right w:w="108" w:type="dxa"/>
        </w:tblCellMar>
      </w:tblPr>
      <w:tblGrid>
        <w:gridCol w:w="5090"/>
        <w:gridCol w:w="520"/>
        <w:gridCol w:w="1351"/>
        <w:gridCol w:w="1418"/>
        <w:gridCol w:w="1417"/>
        <w:gridCol w:w="1701"/>
        <w:gridCol w:w="2268"/>
      </w:tblGrid>
      <w:tr>
        <w:tblPrEx>
          <w:tblLayout w:type="fixed"/>
          <w:tblCellMar>
            <w:top w:w="0" w:type="dxa"/>
            <w:left w:w="108" w:type="dxa"/>
            <w:bottom w:w="0" w:type="dxa"/>
            <w:right w:w="108" w:type="dxa"/>
          </w:tblCellMar>
        </w:tblPrEx>
        <w:trPr>
          <w:trHeight w:val="540" w:hRule="atLeast"/>
        </w:trPr>
        <w:tc>
          <w:tcPr>
            <w:tcW w:w="509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520"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351"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418" w:type="dxa"/>
            <w:tcBorders>
              <w:top w:val="nil"/>
              <w:left w:val="nil"/>
              <w:bottom w:val="nil"/>
              <w:right w:val="nil"/>
            </w:tcBorders>
            <w:shd w:val="clear" w:color="auto" w:fill="auto"/>
            <w:vAlign w:val="bottom"/>
          </w:tcPr>
          <w:p>
            <w:pPr>
              <w:widowControl/>
              <w:jc w:val="center"/>
              <w:rPr>
                <w:rFonts w:ascii="宋体" w:hAnsi="宋体" w:cs="Arial"/>
                <w:color w:val="000000"/>
                <w:kern w:val="0"/>
                <w:sz w:val="44"/>
                <w:szCs w:val="44"/>
              </w:rPr>
            </w:pPr>
          </w:p>
        </w:tc>
        <w:tc>
          <w:tcPr>
            <w:tcW w:w="1417"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701"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268"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0" w:hRule="atLeast"/>
        </w:trPr>
        <w:tc>
          <w:tcPr>
            <w:tcW w:w="6961" w:type="dxa"/>
            <w:gridSpan w:val="3"/>
            <w:tcBorders>
              <w:top w:val="nil"/>
              <w:left w:val="nil"/>
              <w:bottom w:val="nil"/>
              <w:right w:val="nil"/>
            </w:tcBorders>
            <w:shd w:val="clear" w:color="auto" w:fill="auto"/>
            <w:vAlign w:val="bottom"/>
          </w:tcPr>
          <w:p>
            <w:pPr>
              <w:widowControl/>
              <w:jc w:val="left"/>
              <w:rPr>
                <w:rFonts w:ascii="宋体" w:hAnsi="宋体" w:cs="Arial"/>
                <w:color w:val="000000"/>
                <w:kern w:val="0"/>
                <w:sz w:val="24"/>
                <w:szCs w:val="24"/>
              </w:rPr>
            </w:pPr>
            <w:r>
              <w:rPr>
                <w:rFonts w:hint="eastAsia" w:ascii="宋体" w:hAnsi="宋体" w:cs="Arial"/>
                <w:color w:val="000000"/>
                <w:kern w:val="0"/>
                <w:sz w:val="24"/>
                <w:szCs w:val="24"/>
              </w:rPr>
              <w:t>编制单位：秦皇岛市抚宁区茶棚乡人民政府</w:t>
            </w:r>
          </w:p>
        </w:tc>
        <w:tc>
          <w:tcPr>
            <w:tcW w:w="1418" w:type="dxa"/>
            <w:tcBorders>
              <w:top w:val="nil"/>
              <w:left w:val="nil"/>
              <w:bottom w:val="nil"/>
              <w:right w:val="nil"/>
            </w:tcBorders>
            <w:shd w:val="clear" w:color="auto" w:fill="auto"/>
            <w:vAlign w:val="bottom"/>
          </w:tcPr>
          <w:p>
            <w:pPr>
              <w:widowControl/>
              <w:jc w:val="center"/>
              <w:rPr>
                <w:rFonts w:ascii="宋体" w:hAnsi="宋体" w:cs="Arial"/>
                <w:color w:val="000000"/>
                <w:kern w:val="0"/>
                <w:sz w:val="24"/>
                <w:szCs w:val="24"/>
              </w:rPr>
            </w:pPr>
            <w:r>
              <w:rPr>
                <w:rFonts w:hint="eastAsia" w:ascii="宋体" w:hAnsi="宋体" w:cs="Arial"/>
                <w:color w:val="000000"/>
                <w:kern w:val="0"/>
                <w:sz w:val="24"/>
                <w:szCs w:val="24"/>
              </w:rPr>
              <w:t>2016年度</w:t>
            </w:r>
          </w:p>
        </w:tc>
        <w:tc>
          <w:tcPr>
            <w:tcW w:w="1417"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1701"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c>
          <w:tcPr>
            <w:tcW w:w="2268" w:type="dxa"/>
            <w:tcBorders>
              <w:top w:val="nil"/>
              <w:left w:val="nil"/>
              <w:bottom w:val="nil"/>
              <w:right w:val="nil"/>
            </w:tcBorders>
            <w:shd w:val="clear" w:color="auto" w:fill="auto"/>
            <w:vAlign w:val="bottom"/>
          </w:tcPr>
          <w:p>
            <w:pPr>
              <w:widowControl/>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12" w:hRule="atLeast"/>
        </w:trPr>
        <w:tc>
          <w:tcPr>
            <w:tcW w:w="509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指    标</w:t>
            </w:r>
          </w:p>
        </w:tc>
        <w:tc>
          <w:tcPr>
            <w:tcW w:w="520"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351"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本年度</w:t>
            </w:r>
          </w:p>
        </w:tc>
        <w:tc>
          <w:tcPr>
            <w:tcW w:w="1418"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上年度</w:t>
            </w:r>
          </w:p>
        </w:tc>
        <w:tc>
          <w:tcPr>
            <w:tcW w:w="1417"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比上年增减</w:t>
            </w:r>
          </w:p>
        </w:tc>
        <w:tc>
          <w:tcPr>
            <w:tcW w:w="1701" w:type="dxa"/>
            <w:vMerge w:val="restart"/>
            <w:tcBorders>
              <w:top w:val="single" w:color="000000" w:sz="8" w:space="0"/>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增减％</w:t>
            </w:r>
          </w:p>
        </w:tc>
        <w:tc>
          <w:tcPr>
            <w:tcW w:w="2268" w:type="dxa"/>
            <w:vMerge w:val="restart"/>
            <w:tcBorders>
              <w:top w:val="single" w:color="000000" w:sz="8" w:space="0"/>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原因</w:t>
            </w:r>
          </w:p>
        </w:tc>
      </w:tr>
      <w:tr>
        <w:tblPrEx>
          <w:tblLayout w:type="fixed"/>
          <w:tblCellMar>
            <w:top w:w="0" w:type="dxa"/>
            <w:left w:w="108" w:type="dxa"/>
            <w:bottom w:w="0" w:type="dxa"/>
            <w:right w:w="108" w:type="dxa"/>
          </w:tblCellMar>
        </w:tblPrEx>
        <w:trPr>
          <w:trHeight w:val="312" w:hRule="atLeast"/>
        </w:trPr>
        <w:tc>
          <w:tcPr>
            <w:tcW w:w="5090" w:type="dxa"/>
            <w:vMerge w:val="continue"/>
            <w:tcBorders>
              <w:top w:val="single" w:color="000000" w:sz="8" w:space="0"/>
              <w:left w:val="single" w:color="000000" w:sz="8"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2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51"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18"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417"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01"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268" w:type="dxa"/>
            <w:vMerge w:val="continue"/>
            <w:tcBorders>
              <w:top w:val="single" w:color="000000" w:sz="8" w:space="0"/>
              <w:left w:val="nil"/>
              <w:bottom w:val="single" w:color="000000" w:sz="4" w:space="0"/>
              <w:right w:val="single" w:color="000000" w:sz="8"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spacing w:after="240"/>
              <w:jc w:val="center"/>
              <w:rPr>
                <w:rFonts w:ascii="宋体" w:hAnsi="宋体" w:cs="Arial"/>
                <w:color w:val="000000"/>
                <w:kern w:val="0"/>
                <w:sz w:val="22"/>
                <w:szCs w:val="22"/>
              </w:rPr>
            </w:pPr>
            <w:r>
              <w:rPr>
                <w:rFonts w:hint="eastAsia" w:ascii="宋体" w:hAnsi="宋体" w:cs="Arial"/>
                <w:color w:val="000000"/>
                <w:kern w:val="0"/>
                <w:sz w:val="22"/>
                <w:szCs w:val="22"/>
              </w:rPr>
              <w:t>栏    次</w:t>
            </w:r>
          </w:p>
        </w:tc>
        <w:tc>
          <w:tcPr>
            <w:tcW w:w="520" w:type="dxa"/>
            <w:vMerge w:val="continue"/>
            <w:tcBorders>
              <w:top w:val="single" w:color="000000" w:sz="8"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51"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418"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417"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701"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2268" w:type="dxa"/>
            <w:tcBorders>
              <w:top w:val="nil"/>
              <w:left w:val="nil"/>
              <w:bottom w:val="single" w:color="000000" w:sz="4" w:space="0"/>
              <w:right w:val="single" w:color="000000" w:sz="8"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一、年度收支情况（单位：元）</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35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8"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7"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70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2268" w:type="dxa"/>
            <w:tcBorders>
              <w:top w:val="nil"/>
              <w:left w:val="nil"/>
              <w:bottom w:val="single" w:color="000000" w:sz="4" w:space="0"/>
              <w:right w:val="single" w:color="000000" w:sz="8"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1.本年收入</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998.82</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-23.43</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-2.35</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其中：一般公共预算财政拨款</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998.82</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-23.43</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-2.35</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政府性基金预算财政拨款</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*事业收入</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经营收入</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*其他收入</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2.本年支出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998.82</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-23.43</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-2.35</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经费支出减少</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其中：基本支出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975.39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998.75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-23.36</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-2.34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经费支出减少</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（1）人员经费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801.40</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728.64</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72.76</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9.99</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人员费用增加</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（2）日常公用经费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173.99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270.11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-96.12</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-35.59</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公用费用减少</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项目支出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-100.00</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本年度无项目资金</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（1）基本建设类项目</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（2）行政事业类项目</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-100.00</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本年度无项目资金</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经营支出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3.年末结转和结余</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其中：一般公共预算财政拨款</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政府性基金预算财政拨款</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二、年末资产负债情况（单位：元）</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19</w:t>
            </w:r>
          </w:p>
        </w:tc>
        <w:tc>
          <w:tcPr>
            <w:tcW w:w="135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8"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7"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70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2268" w:type="dxa"/>
            <w:tcBorders>
              <w:top w:val="nil"/>
              <w:left w:val="nil"/>
              <w:bottom w:val="single" w:color="000000" w:sz="4" w:space="0"/>
              <w:right w:val="single" w:color="000000" w:sz="8" w:space="0"/>
            </w:tcBorders>
            <w:shd w:val="clear" w:color="auto" w:fill="auto"/>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1.资产总计</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843.75</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835.87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7.88</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0.94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其中：固定资产价值</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275.88</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268.00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7.88</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2.94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2.负债总计</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567.87</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567.87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其中：*事业单位借款</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3.净资产总计</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275.88</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268.00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7.88</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2.94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其中：*结转和结余</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*非流动资产基金</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275.88</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268.00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7.88</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2.94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事业单位事业基金</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事业单位专用基金</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三、年末机构人员情况（单位：个、人）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29</w:t>
            </w:r>
          </w:p>
        </w:tc>
        <w:tc>
          <w:tcPr>
            <w:tcW w:w="135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8"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7"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70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2268" w:type="dxa"/>
            <w:tcBorders>
              <w:top w:val="nil"/>
              <w:left w:val="nil"/>
              <w:bottom w:val="single" w:color="000000" w:sz="4" w:space="0"/>
              <w:right w:val="single" w:color="000000" w:sz="8" w:space="0"/>
            </w:tcBorders>
            <w:shd w:val="clear" w:color="auto" w:fill="auto"/>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1.独立编制机构数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其中：行政机构</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事业机构</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2.独立核算机构数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其中：行政机构</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事业机构</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3.年末编制人数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66</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66</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其中：行政工勤人员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39</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其中：参照公务员法管理人员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4.年末实有人数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110</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年末人员减少7人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在职人员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86</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-8.14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在职人员减少7人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22</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-12.00</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行政人员减少3人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其中：行政工勤人员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57</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-6.56</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事业人员减少4人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其中：参照公务员法管理人员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离休人员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-100.00</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离休人员死亡</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退休人员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31</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3.33</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退休人员增加1人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5.年末一般公共预算财政拨款（补助）开支人数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49</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110</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117</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开支人数减少7人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在职人员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79</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86</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-8.14</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在职人员减少7人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其中：行政工勤人员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离休人员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-100.00</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离休人员死亡</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退休人员</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31</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3.33</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退休人员增加1人</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6.年末学生人数</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四、补充资料（单位：元）</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55</w:t>
            </w:r>
          </w:p>
        </w:tc>
        <w:tc>
          <w:tcPr>
            <w:tcW w:w="135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8"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7"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70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2268" w:type="dxa"/>
            <w:tcBorders>
              <w:top w:val="nil"/>
              <w:left w:val="nil"/>
              <w:bottom w:val="single" w:color="000000" w:sz="4" w:space="0"/>
              <w:right w:val="single" w:color="000000" w:sz="8" w:space="0"/>
            </w:tcBorders>
            <w:shd w:val="clear" w:color="auto" w:fill="auto"/>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1.固定资产情况</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56</w:t>
            </w:r>
          </w:p>
        </w:tc>
        <w:tc>
          <w:tcPr>
            <w:tcW w:w="135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8"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417"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1701" w:type="dxa"/>
            <w:tcBorders>
              <w:top w:val="nil"/>
              <w:left w:val="nil"/>
              <w:bottom w:val="single" w:color="000000" w:sz="4" w:space="0"/>
              <w:right w:val="single" w:color="000000" w:sz="4" w:space="0"/>
            </w:tcBorders>
            <w:shd w:val="clear" w:color="000000"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c>
          <w:tcPr>
            <w:tcW w:w="2268" w:type="dxa"/>
            <w:tcBorders>
              <w:top w:val="nil"/>
              <w:left w:val="nil"/>
              <w:bottom w:val="single" w:color="000000" w:sz="4" w:space="0"/>
              <w:right w:val="single" w:color="000000" w:sz="8" w:space="0"/>
            </w:tcBorders>
            <w:shd w:val="clear" w:color="auto" w:fill="auto"/>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房屋原值</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57</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155.85</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155.85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房屋面积（平方米）</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58</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3,120.00</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3,120.00</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汽车原值</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59</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11.56</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11.58</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-0.02</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-0.17</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汽车数量（辆）</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60</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2.“三公”经费支出</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61</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10.04</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2.99</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42.41</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其中：因公出国（境）费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62</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公务用车购置及运行维护费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63</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9.04</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1.99</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28.23</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其中：公务用车购置费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64</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公务用车运行维护费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65</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9.04</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7.05</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1.99</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28.23</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000000"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公务接待费</w:t>
            </w:r>
          </w:p>
        </w:tc>
        <w:tc>
          <w:tcPr>
            <w:tcW w:w="520" w:type="dxa"/>
            <w:tcBorders>
              <w:top w:val="nil"/>
              <w:left w:val="nil"/>
              <w:bottom w:val="single" w:color="000000"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66</w:t>
            </w:r>
          </w:p>
        </w:tc>
        <w:tc>
          <w:tcPr>
            <w:tcW w:w="135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1418"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1701" w:type="dxa"/>
            <w:tcBorders>
              <w:top w:val="nil"/>
              <w:left w:val="nil"/>
              <w:bottom w:val="single" w:color="000000"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nil"/>
              <w:left w:val="nil"/>
              <w:bottom w:val="single" w:color="000000"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nil"/>
              <w:left w:val="single" w:color="000000" w:sz="8" w:space="0"/>
              <w:bottom w:val="single" w:color="auto" w:sz="4" w:space="0"/>
              <w:right w:val="single" w:color="000000"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3.机关运行经费</w:t>
            </w:r>
          </w:p>
        </w:tc>
        <w:tc>
          <w:tcPr>
            <w:tcW w:w="520" w:type="dxa"/>
            <w:tcBorders>
              <w:top w:val="nil"/>
              <w:left w:val="nil"/>
              <w:bottom w:val="single" w:color="auto" w:sz="4" w:space="0"/>
              <w:right w:val="single" w:color="000000"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67</w:t>
            </w:r>
          </w:p>
        </w:tc>
        <w:tc>
          <w:tcPr>
            <w:tcW w:w="1351" w:type="dxa"/>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173.99</w:t>
            </w:r>
          </w:p>
        </w:tc>
        <w:tc>
          <w:tcPr>
            <w:tcW w:w="1418" w:type="dxa"/>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270.11</w:t>
            </w:r>
          </w:p>
        </w:tc>
        <w:tc>
          <w:tcPr>
            <w:tcW w:w="1417" w:type="dxa"/>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-96.12</w:t>
            </w:r>
          </w:p>
        </w:tc>
        <w:tc>
          <w:tcPr>
            <w:tcW w:w="1701" w:type="dxa"/>
            <w:tcBorders>
              <w:top w:val="nil"/>
              <w:left w:val="nil"/>
              <w:bottom w:val="single" w:color="auto" w:sz="4" w:space="0"/>
              <w:right w:val="single" w:color="000000"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-35.59</w:t>
            </w:r>
          </w:p>
        </w:tc>
        <w:tc>
          <w:tcPr>
            <w:tcW w:w="2268" w:type="dxa"/>
            <w:tcBorders>
              <w:top w:val="nil"/>
              <w:left w:val="nil"/>
              <w:bottom w:val="single" w:color="auto" w:sz="4" w:space="0"/>
              <w:right w:val="single" w:color="000000" w:sz="8"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4.会议费</w:t>
            </w:r>
          </w:p>
        </w:tc>
        <w:tc>
          <w:tcPr>
            <w:tcW w:w="52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68</w:t>
            </w:r>
          </w:p>
        </w:tc>
        <w:tc>
          <w:tcPr>
            <w:tcW w:w="135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509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5.培训费</w:t>
            </w:r>
          </w:p>
        </w:tc>
        <w:tc>
          <w:tcPr>
            <w:tcW w:w="520"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69</w:t>
            </w:r>
          </w:p>
        </w:tc>
        <w:tc>
          <w:tcPr>
            <w:tcW w:w="135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0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765" w:type="dxa"/>
            <w:gridSpan w:val="7"/>
            <w:tcBorders>
              <w:top w:val="single" w:color="auto" w:sz="4" w:space="0"/>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注：1．本表反映部门和单位本年收支余、资产负债、机构人员等主要指标与上年数对比变动情况及变动原因，各部门和单位均需填报本表。</w:t>
            </w:r>
          </w:p>
        </w:tc>
      </w:tr>
    </w:tbl>
    <w:p>
      <w:pPr>
        <w:rPr>
          <w:rFonts w:ascii="华文仿宋" w:hAnsi="华文仿宋" w:eastAsia="华文仿宋" w:cs="仿宋"/>
          <w:sz w:val="32"/>
          <w:szCs w:val="32"/>
        </w:rPr>
        <w:sectPr>
          <w:pgSz w:w="16783" w:h="11850" w:orient="landscape"/>
          <w:pgMar w:top="1531" w:right="1871" w:bottom="1304" w:left="1758" w:header="851" w:footer="992" w:gutter="0"/>
          <w:pgNumType w:fmt="chineseCounting"/>
          <w:cols w:space="0" w:num="1"/>
          <w:docGrid w:type="linesAndChars" w:linePitch="312" w:charSpace="0"/>
        </w:sectPr>
      </w:pPr>
    </w:p>
    <w:p>
      <w:pPr>
        <w:spacing w:line="560" w:lineRule="exact"/>
        <w:ind w:firstLine="480"/>
        <w:rPr>
          <w:rFonts w:ascii="Times New Roman" w:hAnsi="Times New Roman" w:cs="Times New Roman"/>
          <w:color w:val="000000"/>
          <w:sz w:val="32"/>
          <w:szCs w:val="32"/>
        </w:rPr>
      </w:pPr>
      <w:r>
        <w:rPr>
          <w:rFonts w:hint="eastAsia" w:ascii="黑体" w:hAnsi="Times New Roman" w:eastAsia="黑体" w:cs="黑体"/>
          <w:color w:val="000000"/>
          <w:sz w:val="32"/>
          <w:szCs w:val="32"/>
        </w:rPr>
        <w:t>三、报表审核情况</w:t>
      </w:r>
    </w:p>
    <w:p>
      <w:pPr>
        <w:ind w:firstLine="480"/>
        <w:rPr>
          <w:rFonts w:ascii="楷体_GB2312" w:hAnsi="仿宋" w:eastAsia="楷体_GB2312" w:cs="仿宋"/>
          <w:b/>
          <w:color w:val="000000"/>
          <w:sz w:val="32"/>
          <w:szCs w:val="32"/>
        </w:rPr>
      </w:pPr>
      <w:r>
        <w:rPr>
          <w:rFonts w:hint="eastAsia" w:ascii="楷体_GB2312" w:hAnsi="仿宋" w:eastAsia="楷体_GB2312" w:cs="仿宋"/>
          <w:b/>
          <w:color w:val="000000"/>
          <w:sz w:val="32"/>
          <w:szCs w:val="32"/>
        </w:rPr>
        <w:t>（一）审核情况。</w:t>
      </w:r>
    </w:p>
    <w:tbl>
      <w:tblPr>
        <w:tblStyle w:val="6"/>
        <w:tblW w:w="8528" w:type="dxa"/>
        <w:tblInd w:w="2" w:type="dxa"/>
        <w:tblLayout w:type="fixed"/>
        <w:tblCellMar>
          <w:top w:w="0" w:type="dxa"/>
          <w:left w:w="0" w:type="dxa"/>
          <w:bottom w:w="0" w:type="dxa"/>
          <w:right w:w="0" w:type="dxa"/>
        </w:tblCellMar>
      </w:tblPr>
      <w:tblGrid>
        <w:gridCol w:w="1827"/>
        <w:gridCol w:w="1259"/>
        <w:gridCol w:w="1787"/>
        <w:gridCol w:w="3655"/>
      </w:tblGrid>
      <w:tr>
        <w:tblPrEx>
          <w:tblLayout w:type="fixed"/>
          <w:tblCellMar>
            <w:top w:w="0" w:type="dxa"/>
            <w:left w:w="0" w:type="dxa"/>
            <w:bottom w:w="0" w:type="dxa"/>
            <w:right w:w="0" w:type="dxa"/>
          </w:tblCellMar>
        </w:tblPrEx>
        <w:trPr>
          <w:trHeight w:val="60" w:hRule="atLeast"/>
        </w:trPr>
        <w:tc>
          <w:tcPr>
            <w:tcW w:w="1827"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审核项目</w:t>
            </w:r>
          </w:p>
        </w:tc>
        <w:tc>
          <w:tcPr>
            <w:tcW w:w="1259"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数量</w:t>
            </w:r>
          </w:p>
        </w:tc>
        <w:tc>
          <w:tcPr>
            <w:tcW w:w="1787"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提示内容</w:t>
            </w:r>
          </w:p>
        </w:tc>
        <w:tc>
          <w:tcPr>
            <w:tcW w:w="3655" w:type="dxa"/>
            <w:tcBorders>
              <w:top w:val="single" w:color="000000" w:sz="8" w:space="0"/>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原因说明</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一、审核公式</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0条</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ascii="仿宋" w:hAnsi="仿宋" w:eastAsia="仿宋" w:cs="仿宋"/>
                <w:color w:val="000000"/>
              </w:rPr>
              <w:t>1.</w:t>
            </w:r>
            <w:r>
              <w:rPr>
                <w:rFonts w:hint="eastAsia" w:ascii="仿宋" w:hAnsi="仿宋" w:eastAsia="仿宋" w:cs="仿宋"/>
                <w:color w:val="000000"/>
              </w:rPr>
              <w:t>表间公式</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0条</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ascii="仿宋" w:hAnsi="仿宋" w:eastAsia="仿宋" w:cs="仿宋"/>
                <w:color w:val="000000"/>
              </w:rPr>
              <w:t>2.</w:t>
            </w:r>
            <w:r>
              <w:rPr>
                <w:rFonts w:hint="eastAsia" w:ascii="仿宋" w:hAnsi="仿宋" w:eastAsia="仿宋" w:cs="仿宋"/>
                <w:color w:val="000000"/>
              </w:rPr>
              <w:t>表内公式</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0条</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二、审核模板</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ascii="仿宋" w:hAnsi="仿宋" w:eastAsia="仿宋" w:cs="仿宋"/>
                <w:color w:val="000000"/>
              </w:rPr>
              <w:t>—</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ascii="仿宋" w:hAnsi="仿宋" w:eastAsia="仿宋" w:cs="仿宋"/>
                <w:color w:val="000000"/>
              </w:rPr>
              <w:t>1</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ascii="仿宋" w:hAnsi="仿宋" w:eastAsia="仿宋" w:cs="仿宋"/>
                <w:color w:val="000000"/>
              </w:rPr>
              <w:t>XX</w:t>
            </w:r>
            <w:r>
              <w:rPr>
                <w:rFonts w:hint="eastAsia" w:ascii="仿宋" w:hAnsi="仿宋" w:eastAsia="仿宋" w:cs="仿宋"/>
                <w:color w:val="000000"/>
              </w:rPr>
              <w:t>个单位</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ascii="仿宋" w:hAnsi="仿宋" w:eastAsia="仿宋" w:cs="仿宋"/>
                <w:color w:val="000000"/>
              </w:rPr>
              <w:t>2</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ascii="仿宋" w:hAnsi="仿宋" w:eastAsia="仿宋" w:cs="仿宋"/>
                <w:color w:val="000000"/>
              </w:rPr>
              <w:t>XX</w:t>
            </w:r>
            <w:r>
              <w:rPr>
                <w:rFonts w:hint="eastAsia" w:ascii="仿宋" w:hAnsi="仿宋" w:eastAsia="仿宋" w:cs="仿宋"/>
                <w:color w:val="000000"/>
              </w:rPr>
              <w:t>个单位</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w:t>
            </w: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r>
              <w:rPr>
                <w:rFonts w:hint="eastAsia" w:ascii="仿宋" w:hAnsi="仿宋" w:eastAsia="仿宋" w:cs="仿宋"/>
                <w:color w:val="000000"/>
              </w:rPr>
              <w:t>…</w:t>
            </w: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r>
              <w:rPr>
                <w:rFonts w:hint="eastAsia" w:ascii="仿宋" w:hAnsi="仿宋" w:eastAsia="仿宋" w:cs="仿宋"/>
                <w:color w:val="000000"/>
              </w:rPr>
              <w:t>　</w:t>
            </w: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r>
        <w:tblPrEx>
          <w:tblLayout w:type="fixed"/>
          <w:tblCellMar>
            <w:top w:w="0" w:type="dxa"/>
            <w:left w:w="0" w:type="dxa"/>
            <w:bottom w:w="0" w:type="dxa"/>
            <w:right w:w="0" w:type="dxa"/>
          </w:tblCellMar>
        </w:tblPrEx>
        <w:trPr>
          <w:trHeight w:val="60" w:hRule="atLeast"/>
        </w:trPr>
        <w:tc>
          <w:tcPr>
            <w:tcW w:w="1827" w:type="dxa"/>
            <w:tcBorders>
              <w:top w:val="nil"/>
              <w:left w:val="single" w:color="000000" w:sz="8" w:space="0"/>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259"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1787"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jc w:val="center"/>
              <w:rPr>
                <w:rFonts w:ascii="Times New Roman" w:hAnsi="Times New Roman" w:cs="Times New Roman"/>
              </w:rPr>
            </w:pPr>
          </w:p>
        </w:tc>
        <w:tc>
          <w:tcPr>
            <w:tcW w:w="3655" w:type="dxa"/>
            <w:tcBorders>
              <w:top w:val="nil"/>
              <w:left w:val="nil"/>
              <w:bottom w:val="single" w:color="000000" w:sz="8" w:space="0"/>
              <w:right w:val="single" w:color="000000" w:sz="8" w:space="0"/>
            </w:tcBorders>
            <w:tcMar>
              <w:top w:w="0" w:type="dxa"/>
              <w:left w:w="108" w:type="dxa"/>
              <w:bottom w:w="0" w:type="dxa"/>
              <w:right w:w="108" w:type="dxa"/>
            </w:tcMar>
            <w:vAlign w:val="center"/>
          </w:tcPr>
          <w:p>
            <w:pPr>
              <w:spacing w:line="60" w:lineRule="atLeast"/>
              <w:rPr>
                <w:rFonts w:ascii="Times New Roman" w:hAnsi="Times New Roman" w:cs="Times New Roman"/>
              </w:rPr>
            </w:pPr>
          </w:p>
        </w:tc>
      </w:tr>
    </w:tbl>
    <w:p>
      <w:pPr>
        <w:ind w:firstLine="480"/>
        <w:rPr>
          <w:rFonts w:ascii="楷体_GB2312" w:hAnsi="仿宋" w:eastAsia="楷体_GB2312" w:cs="仿宋"/>
          <w:b/>
          <w:color w:val="000000"/>
          <w:sz w:val="32"/>
          <w:szCs w:val="32"/>
        </w:rPr>
      </w:pPr>
      <w:r>
        <w:rPr>
          <w:rFonts w:hint="eastAsia" w:ascii="华文仿宋" w:hAnsi="华文仿宋" w:eastAsia="华文仿宋" w:cs="仿宋"/>
          <w:sz w:val="32"/>
          <w:szCs w:val="32"/>
        </w:rPr>
        <w:t>审核情况：全表审核通过。</w:t>
      </w:r>
    </w:p>
    <w:p>
      <w:pPr>
        <w:ind w:firstLine="480"/>
        <w:rPr>
          <w:rFonts w:ascii="楷体_GB2312" w:hAnsi="Times New Roman" w:eastAsia="楷体_GB2312" w:cs="Times New Roman"/>
          <w:b/>
          <w:color w:val="000000"/>
          <w:sz w:val="32"/>
          <w:szCs w:val="32"/>
        </w:rPr>
      </w:pPr>
      <w:r>
        <w:rPr>
          <w:rFonts w:hint="eastAsia" w:ascii="楷体_GB2312" w:hAnsi="仿宋" w:eastAsia="楷体_GB2312" w:cs="仿宋"/>
          <w:b/>
          <w:color w:val="000000"/>
          <w:sz w:val="32"/>
          <w:szCs w:val="32"/>
        </w:rPr>
        <w:t>（二）对报表指标、审核公式和审核模板的设置建议。</w:t>
      </w:r>
    </w:p>
    <w:p>
      <w:pPr>
        <w:ind w:firstLine="480"/>
        <w:rPr>
          <w:rFonts w:ascii="仿宋_GB2312" w:hAnsi="Times New Roman" w:eastAsia="仿宋_GB2312" w:cs="Times New Roman"/>
          <w:color w:val="000000"/>
          <w:sz w:val="32"/>
          <w:szCs w:val="32"/>
        </w:rPr>
      </w:pPr>
      <w:r>
        <w:rPr>
          <w:rFonts w:hint="eastAsia" w:ascii="仿宋_GB2312" w:hAnsi="仿宋" w:eastAsia="仿宋_GB2312" w:cs="仿宋"/>
          <w:color w:val="000000"/>
          <w:sz w:val="32"/>
          <w:szCs w:val="32"/>
        </w:rPr>
        <w:t>1.没有对部门决算报表指标设置的建议。</w:t>
      </w:r>
    </w:p>
    <w:p>
      <w:pPr>
        <w:ind w:firstLine="480"/>
        <w:rPr>
          <w:rFonts w:ascii="仿宋_GB2312" w:hAnsi="仿宋" w:eastAsia="仿宋_GB2312" w:cs="仿宋"/>
          <w:color w:val="000000"/>
          <w:sz w:val="32"/>
          <w:szCs w:val="32"/>
        </w:rPr>
      </w:pPr>
      <w:r>
        <w:rPr>
          <w:rFonts w:hint="eastAsia" w:ascii="仿宋_GB2312" w:hAnsi="仿宋" w:eastAsia="仿宋_GB2312" w:cs="仿宋"/>
          <w:color w:val="000000"/>
          <w:sz w:val="32"/>
          <w:szCs w:val="32"/>
        </w:rPr>
        <w:t>2.无单位自行增加的审核公式和模板</w:t>
      </w:r>
    </w:p>
    <w:p>
      <w:pPr>
        <w:rPr>
          <w:rFonts w:ascii="华文仿宋" w:hAnsi="华文仿宋" w:eastAsia="华文仿宋" w:cs="仿宋"/>
          <w:sz w:val="32"/>
          <w:szCs w:val="32"/>
        </w:rPr>
      </w:pPr>
    </w:p>
    <w:p>
      <w:pPr>
        <w:ind w:firstLine="640"/>
        <w:jc w:val="center"/>
        <w:rPr>
          <w:rFonts w:ascii="华文仿宋" w:hAnsi="华文仿宋" w:eastAsia="华文仿宋"/>
          <w:sz w:val="32"/>
          <w:szCs w:val="32"/>
        </w:rPr>
      </w:pPr>
      <w:r>
        <w:rPr>
          <w:rFonts w:hint="eastAsia" w:ascii="黑体" w:hAnsi="华文仿宋" w:eastAsia="黑体"/>
          <w:sz w:val="32"/>
          <w:szCs w:val="32"/>
        </w:rPr>
        <w:t>第四部分  名词解释</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（一）财政拨款收入：指省级财政当年拨付的资金。</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（二）事业收入：指事业单位开展专业业务活动及辅助活动所取得的收入。如：河北省注册会计师协会、河北省注册资产评估师协会收取的会费收入等。</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（三）其他收入：指除上述“财政拨款收入”、“事业收入”等以外的收入。主要是按规定动用的租房收入、存款利息收入、中国清洁发展基金拨入的管理费等。</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四）用事业基金弥补收支差额：指事业单位在当年“财政拨款收入”、“财政拨款结转和结余资金”、“事业收入”“其他收入”不足以安排当年支出的情况下，使用以前年度积累的事业基金（事业单位当年收支相抵后按国家规定提取、用于弥补以后年度收支差额的基金）弥补本年度收支缺口的资金。</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（五）上年结转和结余：指以前年度尚未完成、结转到本年按有关规定继续使用的资金。</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（六）结余分配：指事业单位按规定提取的职工福利基金、事业基金和缴纳的所得税，以及建设单位按规定应交回的基本建设竣工项目结余资金。</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（七）年末结转和结余：指本年度或以前年度预算安排、因客观条件发生变化无法按原计划实施，需要延迟到以后年</w:t>
      </w:r>
      <w:r>
        <w:rPr>
          <w:rFonts w:ascii="华文仿宋" w:hAnsi="华文仿宋" w:eastAsia="华文仿宋" w:cs="仿宋"/>
          <w:sz w:val="32"/>
          <w:szCs w:val="32"/>
        </w:rPr>
        <w:t>30</w:t>
      </w:r>
      <w:r>
        <w:rPr>
          <w:rFonts w:hint="eastAsia" w:ascii="华文仿宋" w:hAnsi="华文仿宋" w:eastAsia="华文仿宋" w:cs="仿宋"/>
          <w:sz w:val="32"/>
          <w:szCs w:val="32"/>
        </w:rPr>
        <w:t>度按有关规定继续使用的资金。</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（八）基本支出：指为保障机构正常运转、完成日常工作任务而发生的人员支出和公用支出。</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（九）项目支出：指在基本支出之外为完成特定行政任务和事业发展目标所发生的支出。</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十）“三公”经费：纳入省级财政预算管理的“三公”经费，是指省级部门用财政拨款安排的因公出国（境）费、公务用车购置及运行费和公务接待费。其中，因公出国（境）费反映单位公务出国（境）的国际旅费、国外城市间交通费、住宿费、伙食费、公杂费等支出；公务用车购置及运行费反映单位公务用车车辆购置支出（含车辆购置税）费及租用费、燃料费、维修费、过路过桥费、保险费、安全奖励费用等支出；公务接待费反映单位按规定开支的各类公务接待（含外宾接待）支出。</w:t>
      </w:r>
    </w:p>
    <w:p>
      <w:pPr>
        <w:adjustRightInd w:val="0"/>
        <w:snapToGrid w:val="0"/>
        <w:spacing w:line="580" w:lineRule="exact"/>
        <w:ind w:firstLine="640"/>
        <w:rPr>
          <w:rFonts w:ascii="华文仿宋" w:hAnsi="华文仿宋" w:eastAsia="华文仿宋" w:cs="仿宋"/>
          <w:sz w:val="32"/>
          <w:szCs w:val="32"/>
        </w:rPr>
      </w:pPr>
      <w:r>
        <w:rPr>
          <w:rFonts w:hint="eastAsia" w:ascii="华文仿宋" w:hAnsi="华文仿宋" w:eastAsia="华文仿宋" w:cs="仿宋"/>
          <w:sz w:val="32"/>
          <w:szCs w:val="32"/>
        </w:rPr>
        <w:t>（十一）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sectPr>
      <w:pgSz w:w="11850" w:h="16783"/>
      <w:pgMar w:top="1871" w:right="1304" w:bottom="1757" w:left="1531" w:header="851" w:footer="992" w:gutter="0"/>
      <w:pgNumType w:fmt="chineseCounting"/>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方正书宋_GBK">
    <w:altName w:val="黑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Arial">
    <w:panose1 w:val="020B0604020202020204"/>
    <w:charset w:val="00"/>
    <w:family w:val="swiss"/>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r>
      <w:pict>
        <v:shape id="_x0000_s2049" o:spid="_x0000_s2049" o:spt="202" type="#_x0000_t202" style="position:absolute;left:0pt;margin-top:0pt;height:144pt;width:144pt;mso-position-horizontal:center;mso-position-horizontal-relative:margin;mso-wrap-style:none;z-index:1024;mso-width-relative:page;mso-height-relative:page;" filled="f" stroked="f" coordsize="21600,21600">
          <v:path/>
          <v:fill on="f" focussize="0,0"/>
          <v:stroke on="f" weight="0.5pt" joinstyle="miter"/>
          <v:imagedata o:title=""/>
          <o:lock v:ext="edit"/>
          <v:textbox inset="0mm,0mm,0mm,0mm" style="mso-fit-shape-to-text:t;">
            <w:txbxContent>
              <w:p>
                <w:pPr>
                  <w:snapToGrid w:val="0"/>
                  <w:rPr>
                    <w:rFonts w:cs="Times New Roman"/>
                    <w:sz w:val="18"/>
                    <w:szCs w:val="18"/>
                  </w:rPr>
                </w:pPr>
                <w:r>
                  <w:rPr>
                    <w:rFonts w:hint="eastAsia" w:cs="宋体"/>
                  </w:rPr>
                  <w:t>第</w:t>
                </w:r>
                <w:r>
                  <w:rPr>
                    <w:sz w:val="18"/>
                    <w:szCs w:val="18"/>
                  </w:rPr>
                  <w:fldChar w:fldCharType="begin"/>
                </w:r>
                <w:r>
                  <w:rPr>
                    <w:sz w:val="18"/>
                    <w:szCs w:val="18"/>
                  </w:rPr>
                  <w:instrText xml:space="preserve"> PAGE  \* MERGEFORMAT </w:instrText>
                </w:r>
                <w:r>
                  <w:rPr>
                    <w:sz w:val="18"/>
                    <w:szCs w:val="18"/>
                  </w:rPr>
                  <w:fldChar w:fldCharType="separate"/>
                </w:r>
                <w:r>
                  <w:rPr>
                    <w:rFonts w:hint="eastAsia" w:cs="宋体"/>
                    <w:sz w:val="18"/>
                    <w:szCs w:val="18"/>
                  </w:rPr>
                  <w:t>二十五</w:t>
                </w:r>
                <w:r>
                  <w:rPr>
                    <w:sz w:val="18"/>
                    <w:szCs w:val="18"/>
                  </w:rPr>
                  <w:fldChar w:fldCharType="end"/>
                </w:r>
                <w:r>
                  <w:rPr>
                    <w:rFonts w:hint="eastAsia" w:cs="宋体"/>
                    <w:sz w:val="18"/>
                    <w:szCs w:val="18"/>
                  </w:rPr>
                  <w:t>页共</w:t>
                </w:r>
                <w:r>
                  <w:fldChar w:fldCharType="begin"/>
                </w:r>
                <w:r>
                  <w:instrText xml:space="preserve"> NUMPAGES \* CHINESENUM3 \* MERGEFORMAT </w:instrText>
                </w:r>
                <w:r>
                  <w:fldChar w:fldCharType="separate"/>
                </w:r>
                <w:r>
                  <w:rPr>
                    <w:rFonts w:hint="eastAsia" w:cs="宋体"/>
                    <w:sz w:val="18"/>
                    <w:szCs w:val="18"/>
                  </w:rPr>
                  <w:t>三十六</w:t>
                </w:r>
                <w:r>
                  <w:fldChar w:fldCharType="end"/>
                </w:r>
                <w:r>
                  <w:rPr>
                    <w:rFonts w:hint="eastAsia" w:cs="宋体"/>
                    <w:sz w:val="18"/>
                    <w:szCs w:val="18"/>
                  </w:rPr>
                  <w:t>页</w:t>
                </w:r>
                <w:r>
                  <w:rPr>
                    <w:rFonts w:hint="eastAsia" w:cs="宋体"/>
                  </w:rPr>
                  <w:t>第</w:t>
                </w:r>
                <w:r>
                  <w:rPr>
                    <w:sz w:val="18"/>
                    <w:szCs w:val="18"/>
                  </w:rPr>
                  <w:fldChar w:fldCharType="begin"/>
                </w:r>
                <w:r>
                  <w:rPr>
                    <w:sz w:val="18"/>
                    <w:szCs w:val="18"/>
                  </w:rPr>
                  <w:instrText xml:space="preserve"> PAGE  \* MERGEFORMAT </w:instrText>
                </w:r>
                <w:r>
                  <w:rPr>
                    <w:sz w:val="18"/>
                    <w:szCs w:val="18"/>
                  </w:rPr>
                  <w:fldChar w:fldCharType="separate"/>
                </w:r>
                <w:r>
                  <w:rPr>
                    <w:rFonts w:hint="eastAsia" w:cs="宋体"/>
                    <w:sz w:val="18"/>
                    <w:szCs w:val="18"/>
                  </w:rPr>
                  <w:t>二十五</w:t>
                </w:r>
                <w:r>
                  <w:rPr>
                    <w:sz w:val="18"/>
                    <w:szCs w:val="18"/>
                  </w:rPr>
                  <w:fldChar w:fldCharType="end"/>
                </w:r>
                <w:r>
                  <w:rPr>
                    <w:rFonts w:hint="eastAsia" w:cs="宋体"/>
                    <w:sz w:val="18"/>
                    <w:szCs w:val="18"/>
                  </w:rPr>
                  <w:t>页共</w:t>
                </w:r>
                <w:r>
                  <w:fldChar w:fldCharType="begin"/>
                </w:r>
                <w:r>
                  <w:instrText xml:space="preserve"> NUMPAGES \* CHINESENUM3 \* MERGEFORMAT </w:instrText>
                </w:r>
                <w:r>
                  <w:fldChar w:fldCharType="separate"/>
                </w:r>
                <w:r>
                  <w:rPr>
                    <w:rFonts w:hint="eastAsia" w:cs="宋体"/>
                    <w:sz w:val="18"/>
                    <w:szCs w:val="18"/>
                  </w:rPr>
                  <w:t>三十六</w:t>
                </w:r>
                <w:r>
                  <w:rPr>
                    <w:rFonts w:hint="eastAsia" w:cs="宋体"/>
                    <w:sz w:val="18"/>
                    <w:szCs w:val="18"/>
                  </w:rPr>
                  <w:fldChar w:fldCharType="end"/>
                </w:r>
                <w:r>
                  <w:rPr>
                    <w:rFonts w:hint="eastAsia" w:cs="宋体"/>
                    <w:sz w:val="18"/>
                    <w:szCs w:val="18"/>
                  </w:rPr>
                  <w:t>页</w:t>
                </w:r>
              </w:p>
              <w:p>
                <w:pPr>
                  <w:snapToGrid w:val="0"/>
                  <w:rPr>
                    <w:rFonts w:cs="Times New Roman"/>
                    <w:sz w:val="18"/>
                    <w:szCs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294C32"/>
    <w:multiLevelType w:val="multilevel"/>
    <w:tmpl w:val="46294C32"/>
    <w:lvl w:ilvl="0" w:tentative="0">
      <w:start w:val="1"/>
      <w:numFmt w:val="none"/>
      <w:lvlText w:val="一、"/>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00537"/>
    <w:rsid w:val="00000994"/>
    <w:rsid w:val="00005F20"/>
    <w:rsid w:val="00010984"/>
    <w:rsid w:val="00010CA2"/>
    <w:rsid w:val="00016E44"/>
    <w:rsid w:val="00024359"/>
    <w:rsid w:val="000308D4"/>
    <w:rsid w:val="00032866"/>
    <w:rsid w:val="00033F5F"/>
    <w:rsid w:val="000478D2"/>
    <w:rsid w:val="00065463"/>
    <w:rsid w:val="000702EA"/>
    <w:rsid w:val="0008137D"/>
    <w:rsid w:val="00083837"/>
    <w:rsid w:val="00091176"/>
    <w:rsid w:val="00096491"/>
    <w:rsid w:val="000B0A1D"/>
    <w:rsid w:val="000D108F"/>
    <w:rsid w:val="000D66A9"/>
    <w:rsid w:val="000F65FF"/>
    <w:rsid w:val="0011756F"/>
    <w:rsid w:val="00126AFE"/>
    <w:rsid w:val="00132FB1"/>
    <w:rsid w:val="00140B52"/>
    <w:rsid w:val="001414CC"/>
    <w:rsid w:val="0014559B"/>
    <w:rsid w:val="001512E4"/>
    <w:rsid w:val="00154949"/>
    <w:rsid w:val="00167451"/>
    <w:rsid w:val="00172A27"/>
    <w:rsid w:val="00197D7A"/>
    <w:rsid w:val="001B00BB"/>
    <w:rsid w:val="001B17B2"/>
    <w:rsid w:val="001E22B3"/>
    <w:rsid w:val="001E2818"/>
    <w:rsid w:val="001E6F87"/>
    <w:rsid w:val="001E7342"/>
    <w:rsid w:val="0021328D"/>
    <w:rsid w:val="00222C18"/>
    <w:rsid w:val="002234BA"/>
    <w:rsid w:val="00232302"/>
    <w:rsid w:val="0024397F"/>
    <w:rsid w:val="0024403D"/>
    <w:rsid w:val="00252547"/>
    <w:rsid w:val="00260CEB"/>
    <w:rsid w:val="00262CA7"/>
    <w:rsid w:val="00270C37"/>
    <w:rsid w:val="00287401"/>
    <w:rsid w:val="00294A8A"/>
    <w:rsid w:val="002B2ABD"/>
    <w:rsid w:val="002B6D19"/>
    <w:rsid w:val="002B77A2"/>
    <w:rsid w:val="002C2529"/>
    <w:rsid w:val="002D6F88"/>
    <w:rsid w:val="002F110D"/>
    <w:rsid w:val="002F3FE5"/>
    <w:rsid w:val="002F6075"/>
    <w:rsid w:val="003020BC"/>
    <w:rsid w:val="0032741C"/>
    <w:rsid w:val="00331C8E"/>
    <w:rsid w:val="00345588"/>
    <w:rsid w:val="00352A16"/>
    <w:rsid w:val="00366C38"/>
    <w:rsid w:val="00370E68"/>
    <w:rsid w:val="00382261"/>
    <w:rsid w:val="0039450D"/>
    <w:rsid w:val="00394B02"/>
    <w:rsid w:val="003B0342"/>
    <w:rsid w:val="003C2DC4"/>
    <w:rsid w:val="003C614A"/>
    <w:rsid w:val="003C6277"/>
    <w:rsid w:val="003C76F1"/>
    <w:rsid w:val="003D35DA"/>
    <w:rsid w:val="003F00DF"/>
    <w:rsid w:val="0040348C"/>
    <w:rsid w:val="004061A7"/>
    <w:rsid w:val="004226B8"/>
    <w:rsid w:val="0043260A"/>
    <w:rsid w:val="00433A50"/>
    <w:rsid w:val="004403EC"/>
    <w:rsid w:val="00446920"/>
    <w:rsid w:val="004514E0"/>
    <w:rsid w:val="00451802"/>
    <w:rsid w:val="00465F9C"/>
    <w:rsid w:val="00472903"/>
    <w:rsid w:val="004852F4"/>
    <w:rsid w:val="004975FB"/>
    <w:rsid w:val="00497977"/>
    <w:rsid w:val="00497AA3"/>
    <w:rsid w:val="004A5021"/>
    <w:rsid w:val="004B4F77"/>
    <w:rsid w:val="004B621A"/>
    <w:rsid w:val="004C204F"/>
    <w:rsid w:val="004D16F2"/>
    <w:rsid w:val="004E27F0"/>
    <w:rsid w:val="004E47AD"/>
    <w:rsid w:val="004F0542"/>
    <w:rsid w:val="00503C24"/>
    <w:rsid w:val="00510F51"/>
    <w:rsid w:val="005217D0"/>
    <w:rsid w:val="005220EB"/>
    <w:rsid w:val="00522A10"/>
    <w:rsid w:val="00537ACD"/>
    <w:rsid w:val="005426B4"/>
    <w:rsid w:val="0057088D"/>
    <w:rsid w:val="00571D97"/>
    <w:rsid w:val="00572237"/>
    <w:rsid w:val="00581016"/>
    <w:rsid w:val="005A0FEF"/>
    <w:rsid w:val="005A4DD2"/>
    <w:rsid w:val="005D2E76"/>
    <w:rsid w:val="005D6670"/>
    <w:rsid w:val="005E6CA3"/>
    <w:rsid w:val="005F1D98"/>
    <w:rsid w:val="005F5DCD"/>
    <w:rsid w:val="005F72DD"/>
    <w:rsid w:val="00614E06"/>
    <w:rsid w:val="00616F30"/>
    <w:rsid w:val="0062728C"/>
    <w:rsid w:val="00631E6C"/>
    <w:rsid w:val="00633DE3"/>
    <w:rsid w:val="00637A7F"/>
    <w:rsid w:val="006413C1"/>
    <w:rsid w:val="00641BE2"/>
    <w:rsid w:val="006502E8"/>
    <w:rsid w:val="00665A1D"/>
    <w:rsid w:val="0067216C"/>
    <w:rsid w:val="00677DDF"/>
    <w:rsid w:val="00677E63"/>
    <w:rsid w:val="00692D69"/>
    <w:rsid w:val="0069378A"/>
    <w:rsid w:val="00697257"/>
    <w:rsid w:val="006A3C1E"/>
    <w:rsid w:val="006E5141"/>
    <w:rsid w:val="00713E30"/>
    <w:rsid w:val="00714D66"/>
    <w:rsid w:val="00721DA6"/>
    <w:rsid w:val="00723B3A"/>
    <w:rsid w:val="00730EC9"/>
    <w:rsid w:val="00733419"/>
    <w:rsid w:val="00733901"/>
    <w:rsid w:val="007550E1"/>
    <w:rsid w:val="007670A5"/>
    <w:rsid w:val="0077311B"/>
    <w:rsid w:val="00782F17"/>
    <w:rsid w:val="00783DE0"/>
    <w:rsid w:val="00784CE1"/>
    <w:rsid w:val="007B178F"/>
    <w:rsid w:val="007B3060"/>
    <w:rsid w:val="007D0B6F"/>
    <w:rsid w:val="007D192D"/>
    <w:rsid w:val="007D77D8"/>
    <w:rsid w:val="007E7615"/>
    <w:rsid w:val="007E7FDE"/>
    <w:rsid w:val="007F0A57"/>
    <w:rsid w:val="007F2220"/>
    <w:rsid w:val="007F3A29"/>
    <w:rsid w:val="007F5129"/>
    <w:rsid w:val="0080224F"/>
    <w:rsid w:val="008122EA"/>
    <w:rsid w:val="008241E9"/>
    <w:rsid w:val="0083458D"/>
    <w:rsid w:val="00837769"/>
    <w:rsid w:val="00841468"/>
    <w:rsid w:val="0084411C"/>
    <w:rsid w:val="00850ADD"/>
    <w:rsid w:val="008511B9"/>
    <w:rsid w:val="00861C32"/>
    <w:rsid w:val="00864FCE"/>
    <w:rsid w:val="008771E5"/>
    <w:rsid w:val="00882163"/>
    <w:rsid w:val="00894055"/>
    <w:rsid w:val="00895AC5"/>
    <w:rsid w:val="008A42DA"/>
    <w:rsid w:val="008B7165"/>
    <w:rsid w:val="008C1302"/>
    <w:rsid w:val="008E5FFA"/>
    <w:rsid w:val="008E6588"/>
    <w:rsid w:val="008F1478"/>
    <w:rsid w:val="008F3314"/>
    <w:rsid w:val="008F5070"/>
    <w:rsid w:val="00900D78"/>
    <w:rsid w:val="009015EB"/>
    <w:rsid w:val="00906787"/>
    <w:rsid w:val="00916662"/>
    <w:rsid w:val="00920111"/>
    <w:rsid w:val="009217F7"/>
    <w:rsid w:val="00922407"/>
    <w:rsid w:val="00930B22"/>
    <w:rsid w:val="00933F56"/>
    <w:rsid w:val="00942625"/>
    <w:rsid w:val="00951C45"/>
    <w:rsid w:val="00952215"/>
    <w:rsid w:val="009571CA"/>
    <w:rsid w:val="00964604"/>
    <w:rsid w:val="00990537"/>
    <w:rsid w:val="00992F6A"/>
    <w:rsid w:val="009C7ADA"/>
    <w:rsid w:val="009D012F"/>
    <w:rsid w:val="009F2C6E"/>
    <w:rsid w:val="009F616D"/>
    <w:rsid w:val="00A0012F"/>
    <w:rsid w:val="00A00572"/>
    <w:rsid w:val="00A40772"/>
    <w:rsid w:val="00A40C55"/>
    <w:rsid w:val="00A52ED7"/>
    <w:rsid w:val="00A545BB"/>
    <w:rsid w:val="00A61619"/>
    <w:rsid w:val="00A629AB"/>
    <w:rsid w:val="00A72D74"/>
    <w:rsid w:val="00A75923"/>
    <w:rsid w:val="00A76160"/>
    <w:rsid w:val="00A76CCE"/>
    <w:rsid w:val="00A94D33"/>
    <w:rsid w:val="00AB75CF"/>
    <w:rsid w:val="00AC456B"/>
    <w:rsid w:val="00AC5B3C"/>
    <w:rsid w:val="00AD146A"/>
    <w:rsid w:val="00AF3973"/>
    <w:rsid w:val="00AF6B10"/>
    <w:rsid w:val="00B03CD9"/>
    <w:rsid w:val="00B12EB8"/>
    <w:rsid w:val="00B13473"/>
    <w:rsid w:val="00B13A2E"/>
    <w:rsid w:val="00B269F5"/>
    <w:rsid w:val="00B3762B"/>
    <w:rsid w:val="00B66D0E"/>
    <w:rsid w:val="00B744E9"/>
    <w:rsid w:val="00B80E00"/>
    <w:rsid w:val="00B81730"/>
    <w:rsid w:val="00B81EB3"/>
    <w:rsid w:val="00B84A35"/>
    <w:rsid w:val="00B97226"/>
    <w:rsid w:val="00BA1DEF"/>
    <w:rsid w:val="00BA6880"/>
    <w:rsid w:val="00BB1929"/>
    <w:rsid w:val="00BB6498"/>
    <w:rsid w:val="00BE54B6"/>
    <w:rsid w:val="00BE600E"/>
    <w:rsid w:val="00BF3DAF"/>
    <w:rsid w:val="00BF47F5"/>
    <w:rsid w:val="00C02E5B"/>
    <w:rsid w:val="00C03E35"/>
    <w:rsid w:val="00C17B55"/>
    <w:rsid w:val="00C23D42"/>
    <w:rsid w:val="00C25108"/>
    <w:rsid w:val="00C312BA"/>
    <w:rsid w:val="00C326E4"/>
    <w:rsid w:val="00C407F4"/>
    <w:rsid w:val="00C56C33"/>
    <w:rsid w:val="00C709BB"/>
    <w:rsid w:val="00C72EE9"/>
    <w:rsid w:val="00C740CA"/>
    <w:rsid w:val="00C902D2"/>
    <w:rsid w:val="00C966A1"/>
    <w:rsid w:val="00C979E8"/>
    <w:rsid w:val="00CA2528"/>
    <w:rsid w:val="00CA6C30"/>
    <w:rsid w:val="00CD47B4"/>
    <w:rsid w:val="00CD506B"/>
    <w:rsid w:val="00CE0A31"/>
    <w:rsid w:val="00D136BE"/>
    <w:rsid w:val="00D15BE2"/>
    <w:rsid w:val="00D251B1"/>
    <w:rsid w:val="00D47810"/>
    <w:rsid w:val="00D65405"/>
    <w:rsid w:val="00D66E26"/>
    <w:rsid w:val="00D70E4F"/>
    <w:rsid w:val="00D75486"/>
    <w:rsid w:val="00D763C6"/>
    <w:rsid w:val="00D76798"/>
    <w:rsid w:val="00D931BD"/>
    <w:rsid w:val="00DA0326"/>
    <w:rsid w:val="00DA1AE3"/>
    <w:rsid w:val="00DB4903"/>
    <w:rsid w:val="00DC5BF1"/>
    <w:rsid w:val="00DD1066"/>
    <w:rsid w:val="00DD366B"/>
    <w:rsid w:val="00DF0DF9"/>
    <w:rsid w:val="00E006EA"/>
    <w:rsid w:val="00E12605"/>
    <w:rsid w:val="00E34118"/>
    <w:rsid w:val="00E46134"/>
    <w:rsid w:val="00E53F44"/>
    <w:rsid w:val="00E73A01"/>
    <w:rsid w:val="00E77F53"/>
    <w:rsid w:val="00E84C3E"/>
    <w:rsid w:val="00E855B4"/>
    <w:rsid w:val="00ED21AF"/>
    <w:rsid w:val="00ED5570"/>
    <w:rsid w:val="00EE053A"/>
    <w:rsid w:val="00EE7A54"/>
    <w:rsid w:val="00EF1373"/>
    <w:rsid w:val="00EF3863"/>
    <w:rsid w:val="00F011E9"/>
    <w:rsid w:val="00F1441B"/>
    <w:rsid w:val="00F22D43"/>
    <w:rsid w:val="00F22FE7"/>
    <w:rsid w:val="00F417DC"/>
    <w:rsid w:val="00F45B2F"/>
    <w:rsid w:val="00F5747C"/>
    <w:rsid w:val="00F634B5"/>
    <w:rsid w:val="00F669B4"/>
    <w:rsid w:val="00F66F22"/>
    <w:rsid w:val="00F672A6"/>
    <w:rsid w:val="00F7095E"/>
    <w:rsid w:val="00F77BDA"/>
    <w:rsid w:val="00F80374"/>
    <w:rsid w:val="00F915F8"/>
    <w:rsid w:val="00F935B4"/>
    <w:rsid w:val="00F978AA"/>
    <w:rsid w:val="00FA50F7"/>
    <w:rsid w:val="00FA5438"/>
    <w:rsid w:val="00FC2B27"/>
    <w:rsid w:val="00FC38F9"/>
    <w:rsid w:val="00FC4646"/>
    <w:rsid w:val="00FC72C4"/>
    <w:rsid w:val="00FD0C10"/>
    <w:rsid w:val="00FE360C"/>
    <w:rsid w:val="00FE62BA"/>
    <w:rsid w:val="00FF0EEF"/>
    <w:rsid w:val="00FF152E"/>
    <w:rsid w:val="03890E15"/>
    <w:rsid w:val="0A2E5EAB"/>
    <w:rsid w:val="15995492"/>
    <w:rsid w:val="234E5294"/>
    <w:rsid w:val="280513B4"/>
    <w:rsid w:val="29A324CD"/>
    <w:rsid w:val="2A290535"/>
    <w:rsid w:val="2C7769EB"/>
    <w:rsid w:val="2E01253F"/>
    <w:rsid w:val="30E11BF1"/>
    <w:rsid w:val="33B53966"/>
    <w:rsid w:val="394E5893"/>
    <w:rsid w:val="39B27E6C"/>
    <w:rsid w:val="40927A09"/>
    <w:rsid w:val="43850F2D"/>
    <w:rsid w:val="438D57BB"/>
    <w:rsid w:val="4AC102CD"/>
    <w:rsid w:val="4E734354"/>
    <w:rsid w:val="50386B16"/>
    <w:rsid w:val="536926C8"/>
    <w:rsid w:val="58C82691"/>
    <w:rsid w:val="5A8A74A4"/>
    <w:rsid w:val="62431003"/>
    <w:rsid w:val="63222069"/>
    <w:rsid w:val="64F479CF"/>
    <w:rsid w:val="6D861DD8"/>
    <w:rsid w:val="6E2F1383"/>
    <w:rsid w:val="6F3C5945"/>
    <w:rsid w:val="70983308"/>
    <w:rsid w:val="71FC2EAD"/>
    <w:rsid w:val="7333469C"/>
    <w:rsid w:val="76643D5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7"/>
    <w:semiHidden/>
    <w:uiPriority w:val="99"/>
    <w:rPr>
      <w:sz w:val="18"/>
      <w:szCs w:val="18"/>
    </w:rPr>
  </w:style>
  <w:style w:type="paragraph" w:styleId="3">
    <w:name w:val="footer"/>
    <w:basedOn w:val="1"/>
    <w:link w:val="8"/>
    <w:uiPriority w:val="99"/>
    <w:pPr>
      <w:tabs>
        <w:tab w:val="center" w:pos="4153"/>
        <w:tab w:val="right" w:pos="8306"/>
      </w:tabs>
      <w:snapToGrid w:val="0"/>
      <w:jc w:val="left"/>
    </w:pPr>
    <w:rPr>
      <w:sz w:val="18"/>
      <w:szCs w:val="18"/>
    </w:rPr>
  </w:style>
  <w:style w:type="paragraph" w:styleId="4">
    <w:name w:val="header"/>
    <w:basedOn w:val="1"/>
    <w:link w:val="9"/>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Char"/>
    <w:basedOn w:val="5"/>
    <w:link w:val="2"/>
    <w:semiHidden/>
    <w:locked/>
    <w:uiPriority w:val="99"/>
    <w:rPr>
      <w:sz w:val="18"/>
      <w:szCs w:val="18"/>
    </w:rPr>
  </w:style>
  <w:style w:type="character" w:customStyle="1" w:styleId="8">
    <w:name w:val="页脚 Char"/>
    <w:basedOn w:val="5"/>
    <w:link w:val="3"/>
    <w:locked/>
    <w:uiPriority w:val="99"/>
    <w:rPr>
      <w:sz w:val="18"/>
      <w:szCs w:val="18"/>
    </w:rPr>
  </w:style>
  <w:style w:type="character" w:customStyle="1" w:styleId="9">
    <w:name w:val="页眉 Char"/>
    <w:basedOn w:val="5"/>
    <w:link w:val="4"/>
    <w:locked/>
    <w:uiPriority w:val="99"/>
    <w:rPr>
      <w:sz w:val="18"/>
      <w:szCs w:val="18"/>
    </w:rPr>
  </w:style>
  <w:style w:type="paragraph" w:customStyle="1" w:styleId="10">
    <w:name w:val="List Paragraph1"/>
    <w:basedOn w:val="1"/>
    <w:uiPriority w:val="99"/>
    <w:pPr>
      <w:ind w:firstLine="420" w:firstLineChars="200"/>
    </w:pPr>
  </w:style>
  <w:style w:type="character" w:customStyle="1" w:styleId="11">
    <w:name w:val="font91"/>
    <w:basedOn w:val="5"/>
    <w:qFormat/>
    <w:uiPriority w:val="99"/>
    <w:rPr>
      <w:rFonts w:ascii="黑体" w:hAnsi="宋体" w:eastAsia="黑体" w:cs="黑体"/>
      <w:color w:val="000000"/>
      <w:sz w:val="22"/>
      <w:szCs w:val="22"/>
      <w:u w:val="none"/>
    </w:rPr>
  </w:style>
  <w:style w:type="character" w:customStyle="1" w:styleId="12">
    <w:name w:val="font131"/>
    <w:basedOn w:val="5"/>
    <w:qFormat/>
    <w:uiPriority w:val="99"/>
    <w:rPr>
      <w:rFonts w:ascii="Times New Roman" w:hAnsi="Times New Roman" w:cs="Times New Roman"/>
      <w:color w:val="000000"/>
      <w:sz w:val="22"/>
      <w:szCs w:val="22"/>
      <w:u w:val="none"/>
    </w:rPr>
  </w:style>
  <w:style w:type="character" w:customStyle="1" w:styleId="13">
    <w:name w:val="font81"/>
    <w:basedOn w:val="5"/>
    <w:qFormat/>
    <w:uiPriority w:val="99"/>
    <w:rPr>
      <w:rFonts w:ascii="宋体" w:hAnsi="宋体" w:eastAsia="宋体" w:cs="宋体"/>
      <w:color w:val="000000"/>
      <w:sz w:val="20"/>
      <w:szCs w:val="20"/>
      <w:u w:val="none"/>
    </w:rPr>
  </w:style>
  <w:style w:type="character" w:customStyle="1" w:styleId="14">
    <w:name w:val="font151"/>
    <w:basedOn w:val="5"/>
    <w:qFormat/>
    <w:uiPriority w:val="99"/>
    <w:rPr>
      <w:rFonts w:ascii="Times New Roman" w:hAnsi="Times New Roman" w:cs="Times New Roman"/>
      <w:color w:val="000000"/>
      <w:sz w:val="20"/>
      <w:szCs w:val="20"/>
      <w:u w:val="none"/>
    </w:rPr>
  </w:style>
  <w:style w:type="character" w:customStyle="1" w:styleId="15">
    <w:name w:val="font21"/>
    <w:basedOn w:val="5"/>
    <w:qFormat/>
    <w:uiPriority w:val="99"/>
    <w:rPr>
      <w:rFonts w:ascii="????_GBK" w:hAnsi="????_GBK" w:cs="????_GBK"/>
      <w:color w:val="000000"/>
      <w:sz w:val="22"/>
      <w:szCs w:val="22"/>
      <w:u w:val="none"/>
    </w:rPr>
  </w:style>
  <w:style w:type="character" w:customStyle="1" w:styleId="16">
    <w:name w:val="font101"/>
    <w:basedOn w:val="5"/>
    <w:qFormat/>
    <w:uiPriority w:val="99"/>
    <w:rPr>
      <w:rFonts w:ascii="方正书宋_GBK" w:hAnsi="方正书宋_GBK" w:eastAsia="方正书宋_GBK" w:cs="方正书宋_GBK"/>
      <w:b/>
      <w:bCs/>
      <w:color w:val="000000"/>
      <w:sz w:val="22"/>
      <w:szCs w:val="22"/>
      <w:u w:val="none"/>
    </w:rPr>
  </w:style>
  <w:style w:type="character" w:customStyle="1" w:styleId="17">
    <w:name w:val="font41"/>
    <w:basedOn w:val="5"/>
    <w:qFormat/>
    <w:uiPriority w:val="99"/>
    <w:rPr>
      <w:rFonts w:ascii="Times New Roman" w:hAnsi="Times New Roman" w:cs="Times New Roman"/>
      <w:b/>
      <w:bCs/>
      <w:color w:val="000000"/>
      <w:sz w:val="22"/>
      <w:szCs w:val="22"/>
      <w:u w:val="none"/>
    </w:rPr>
  </w:style>
  <w:style w:type="character" w:customStyle="1" w:styleId="18">
    <w:name w:val="font71"/>
    <w:basedOn w:val="5"/>
    <w:qFormat/>
    <w:uiPriority w:val="99"/>
    <w:rPr>
      <w:rFonts w:ascii="????_GBK" w:hAnsi="????_GBK" w:cs="????_GBK"/>
      <w:color w:val="000000"/>
      <w:sz w:val="22"/>
      <w:szCs w:val="22"/>
      <w:u w:val="none"/>
    </w:rPr>
  </w:style>
  <w:style w:type="character" w:customStyle="1" w:styleId="19">
    <w:name w:val="font11"/>
    <w:basedOn w:val="5"/>
    <w:qFormat/>
    <w:uiPriority w:val="99"/>
    <w:rPr>
      <w:rFonts w:ascii="????_GBK" w:hAnsi="????_GBK" w:cs="????_GBK"/>
      <w:b/>
      <w:bCs/>
      <w:color w:val="000000"/>
      <w:sz w:val="22"/>
      <w:szCs w:val="22"/>
      <w:u w:val="none"/>
    </w:rPr>
  </w:style>
  <w:style w:type="character" w:customStyle="1" w:styleId="20">
    <w:name w:val="font141"/>
    <w:basedOn w:val="5"/>
    <w:uiPriority w:val="99"/>
    <w:rPr>
      <w:rFonts w:ascii="黑体" w:hAnsi="宋体" w:eastAsia="黑体" w:cs="黑体"/>
      <w:color w:val="auto"/>
      <w:sz w:val="22"/>
      <w:szCs w:val="22"/>
      <w:u w:val="none"/>
    </w:rPr>
  </w:style>
  <w:style w:type="character" w:customStyle="1" w:styleId="21">
    <w:name w:val="font121"/>
    <w:basedOn w:val="5"/>
    <w:qFormat/>
    <w:uiPriority w:val="99"/>
    <w:rPr>
      <w:rFonts w:ascii="Times New Roman" w:hAnsi="Times New Roman" w:cs="Times New Roman"/>
      <w:color w:val="auto"/>
      <w:sz w:val="22"/>
      <w:szCs w:val="22"/>
      <w:u w:val="none"/>
    </w:rPr>
  </w:style>
  <w:style w:type="character" w:customStyle="1" w:styleId="22">
    <w:name w:val="font111"/>
    <w:basedOn w:val="5"/>
    <w:uiPriority w:val="99"/>
    <w:rPr>
      <w:rFonts w:ascii="Times New Roman" w:hAnsi="Times New Roman" w:cs="Times New Roman"/>
      <w:color w:val="auto"/>
      <w:sz w:val="22"/>
      <w:szCs w:val="22"/>
      <w:u w:val="none"/>
    </w:rPr>
  </w:style>
  <w:style w:type="paragraph" w:customStyle="1" w:styleId="23">
    <w:name w:val="cat_h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
    <w:name w:val="List Paragraph"/>
    <w:basedOn w:val="1"/>
    <w:qFormat/>
    <w:uiPriority w:val="34"/>
    <w:pPr>
      <w:spacing w:line="600" w:lineRule="exact"/>
      <w:ind w:firstLine="420" w:firstLineChars="200"/>
    </w:pPr>
    <w:rPr>
      <w:rFonts w:ascii="Times New Roman" w:hAnsi="Times New Roman" w:eastAsia="仿宋_GB2312" w:cs="Times New Roman"/>
      <w:sz w:val="32"/>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2049"/>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8E3F96-431E-4A98-9FBB-A241DA6D7ED2}">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36</Pages>
  <Words>3016</Words>
  <Characters>17194</Characters>
  <Lines>143</Lines>
  <Paragraphs>40</Paragraphs>
  <TotalTime>0</TotalTime>
  <ScaleCrop>false</ScaleCrop>
  <LinksUpToDate>false</LinksUpToDate>
  <CharactersWithSpaces>20170</CharactersWithSpaces>
  <Application>WPS Office_10.1.0.6749_F1E327BC-269C-435d-A152-05C5408002CA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2016-11-24T08:05:00Z</dcterms:created>
  <dc:creator>[预算局][李宏儒]</dc:creator>
  <cp:lastModifiedBy>Administrator</cp:lastModifiedBy>
  <cp:lastPrinted>2016-06-03T08:08:00Z</cp:lastPrinted>
  <dcterms:modified xsi:type="dcterms:W3CDTF">2017-10-29T06:12:34Z</dcterms:modified>
  <dc:title>秦皇岛市抚宁区</dc:title>
  <cp:revision>109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ies>
</file>