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仿宋" w:hAnsi="仿宋" w:eastAsia="仿宋" w:cs="仿宋"/>
          <w:b/>
          <w:sz w:val="32"/>
          <w:szCs w:val="32"/>
          <w:lang w:val="en-US" w:eastAsia="zh-CN"/>
        </w:rPr>
      </w:pPr>
      <w:bookmarkStart w:id="0" w:name="_GoBack"/>
      <w:bookmarkEnd w:id="0"/>
      <w:r>
        <w:rPr>
          <w:rFonts w:hint="eastAsia" w:ascii="仿宋" w:hAnsi="仿宋" w:eastAsia="仿宋" w:cs="仿宋"/>
          <w:b w:val="0"/>
          <w:bCs/>
          <w:sz w:val="32"/>
          <w:szCs w:val="32"/>
          <w:lang w:val="en-US" w:eastAsia="zh-CN"/>
        </w:rPr>
        <w:t>附件1：</w:t>
      </w:r>
    </w:p>
    <w:p>
      <w:pPr>
        <w:jc w:val="center"/>
        <w:rPr>
          <w:b/>
          <w:sz w:val="44"/>
          <w:szCs w:val="44"/>
        </w:rPr>
      </w:pPr>
      <w:r>
        <w:rPr>
          <w:rFonts w:hint="eastAsia"/>
          <w:b/>
          <w:sz w:val="44"/>
          <w:szCs w:val="44"/>
        </w:rPr>
        <w:t>秦皇岛市抚宁区农业农村局</w:t>
      </w:r>
    </w:p>
    <w:p>
      <w:pPr>
        <w:jc w:val="center"/>
        <w:rPr>
          <w:b/>
          <w:sz w:val="44"/>
          <w:szCs w:val="44"/>
        </w:rPr>
      </w:pPr>
      <w:r>
        <w:rPr>
          <w:rFonts w:hint="eastAsia"/>
          <w:b/>
          <w:sz w:val="44"/>
          <w:szCs w:val="44"/>
          <w:lang w:eastAsia="zh-CN"/>
        </w:rPr>
        <w:t>“</w:t>
      </w:r>
      <w:r>
        <w:rPr>
          <w:rFonts w:hint="eastAsia"/>
          <w:b/>
          <w:sz w:val="44"/>
          <w:szCs w:val="44"/>
        </w:rPr>
        <w:t>双随机、一公开”监管工作领导小组</w:t>
      </w:r>
    </w:p>
    <w:p>
      <w:pPr>
        <w:jc w:val="center"/>
        <w:rPr>
          <w:b/>
          <w:sz w:val="44"/>
          <w:szCs w:val="44"/>
        </w:rPr>
      </w:pPr>
      <w:r>
        <w:rPr>
          <w:rFonts w:hint="eastAsia"/>
          <w:b/>
          <w:sz w:val="44"/>
          <w:szCs w:val="44"/>
        </w:rPr>
        <w:t>成员名单</w:t>
      </w:r>
    </w:p>
    <w:p>
      <w:pPr>
        <w:spacing w:line="460" w:lineRule="exact"/>
        <w:jc w:val="center"/>
        <w:rPr>
          <w:b/>
          <w:sz w:val="44"/>
          <w:szCs w:val="44"/>
        </w:rPr>
      </w:pPr>
    </w:p>
    <w:p>
      <w:pPr>
        <w:spacing w:line="460" w:lineRule="exact"/>
        <w:ind w:firstLine="640" w:firstLineChars="200"/>
        <w:rPr>
          <w:rFonts w:ascii="仿宋_GB2312" w:eastAsia="仿宋_GB2312"/>
          <w:sz w:val="32"/>
          <w:szCs w:val="32"/>
        </w:rPr>
      </w:pPr>
      <w:r>
        <w:rPr>
          <w:rFonts w:hint="eastAsia" w:ascii="仿宋_GB2312" w:eastAsia="仿宋_GB2312"/>
          <w:sz w:val="32"/>
          <w:szCs w:val="32"/>
        </w:rPr>
        <w:t>组</w:t>
      </w:r>
      <w:r>
        <w:rPr>
          <w:rFonts w:ascii="仿宋_GB2312" w:eastAsia="仿宋_GB2312"/>
          <w:sz w:val="32"/>
          <w:szCs w:val="32"/>
        </w:rPr>
        <w:t xml:space="preserve">  </w:t>
      </w:r>
      <w:r>
        <w:rPr>
          <w:rFonts w:hint="eastAsia" w:ascii="仿宋_GB2312" w:eastAsia="仿宋_GB2312"/>
          <w:sz w:val="32"/>
          <w:szCs w:val="32"/>
        </w:rPr>
        <w:t>长：</w:t>
      </w:r>
      <w:r>
        <w:rPr>
          <w:rFonts w:hint="eastAsia" w:ascii="仿宋_GB2312" w:eastAsia="仿宋_GB2312"/>
          <w:sz w:val="32"/>
          <w:szCs w:val="32"/>
          <w:lang w:val="en-US" w:eastAsia="zh-CN"/>
        </w:rPr>
        <w:t>宋永利</w:t>
      </w:r>
      <w:r>
        <w:rPr>
          <w:rFonts w:ascii="仿宋_GB2312" w:eastAsia="仿宋_GB2312"/>
          <w:sz w:val="32"/>
          <w:szCs w:val="32"/>
        </w:rPr>
        <w:t xml:space="preserve">  </w:t>
      </w:r>
      <w:r>
        <w:rPr>
          <w:rFonts w:hint="eastAsia" w:ascii="仿宋_GB2312" w:eastAsia="仿宋_GB2312"/>
          <w:sz w:val="32"/>
          <w:szCs w:val="32"/>
          <w:lang w:val="en-US" w:eastAsia="zh-CN"/>
        </w:rPr>
        <w:t>党组书记、</w:t>
      </w:r>
      <w:r>
        <w:rPr>
          <w:rFonts w:hint="eastAsia" w:ascii="仿宋_GB2312" w:eastAsia="仿宋_GB2312"/>
          <w:sz w:val="32"/>
          <w:szCs w:val="32"/>
        </w:rPr>
        <w:t>局</w:t>
      </w:r>
      <w:r>
        <w:rPr>
          <w:rFonts w:ascii="仿宋_GB2312" w:eastAsia="仿宋_GB2312"/>
          <w:sz w:val="32"/>
          <w:szCs w:val="32"/>
        </w:rPr>
        <w:t xml:space="preserve">  </w:t>
      </w:r>
      <w:r>
        <w:rPr>
          <w:rFonts w:hint="eastAsia" w:ascii="仿宋_GB2312" w:eastAsia="仿宋_GB2312"/>
          <w:sz w:val="32"/>
          <w:szCs w:val="32"/>
        </w:rPr>
        <w:t>长</w:t>
      </w:r>
      <w:r>
        <w:rPr>
          <w:rFonts w:ascii="仿宋_GB2312" w:eastAsia="仿宋_GB2312"/>
          <w:sz w:val="32"/>
          <w:szCs w:val="32"/>
        </w:rPr>
        <w:t xml:space="preserve">  </w:t>
      </w:r>
    </w:p>
    <w:p>
      <w:pPr>
        <w:spacing w:line="460" w:lineRule="exact"/>
        <w:ind w:firstLine="640" w:firstLineChars="200"/>
        <w:rPr>
          <w:rFonts w:ascii="仿宋_GB2312" w:eastAsia="仿宋_GB2312"/>
          <w:sz w:val="32"/>
          <w:szCs w:val="32"/>
        </w:rPr>
      </w:pPr>
      <w:r>
        <w:rPr>
          <w:rFonts w:hint="eastAsia" w:ascii="仿宋_GB2312" w:eastAsia="仿宋_GB2312"/>
          <w:sz w:val="32"/>
          <w:szCs w:val="32"/>
        </w:rPr>
        <w:t>副组长：李瑞红</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640" w:firstLineChars="200"/>
        <w:rPr>
          <w:rFonts w:hint="eastAsia"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赵常铭</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1920" w:firstLineChars="600"/>
        <w:rPr>
          <w:rFonts w:hint="eastAsia" w:ascii="仿宋_GB2312" w:eastAsia="仿宋_GB2312"/>
          <w:sz w:val="32"/>
          <w:szCs w:val="32"/>
        </w:rPr>
      </w:pPr>
      <w:r>
        <w:rPr>
          <w:rFonts w:hint="eastAsia" w:ascii="仿宋_GB2312" w:eastAsia="仿宋_GB2312"/>
          <w:sz w:val="32"/>
          <w:szCs w:val="32"/>
        </w:rPr>
        <w:t>何</w:t>
      </w:r>
      <w:r>
        <w:rPr>
          <w:rFonts w:ascii="仿宋_GB2312" w:eastAsia="仿宋_GB2312"/>
          <w:sz w:val="32"/>
          <w:szCs w:val="32"/>
        </w:rPr>
        <w:t xml:space="preserve">  </w:t>
      </w:r>
      <w:r>
        <w:rPr>
          <w:rFonts w:hint="eastAsia" w:ascii="仿宋_GB2312" w:eastAsia="仿宋_GB2312"/>
          <w:sz w:val="32"/>
          <w:szCs w:val="32"/>
        </w:rPr>
        <w:t>吉</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1920" w:firstLineChars="600"/>
        <w:rPr>
          <w:rFonts w:ascii="仿宋_GB2312" w:eastAsia="仿宋_GB2312"/>
          <w:sz w:val="32"/>
          <w:szCs w:val="32"/>
        </w:rPr>
      </w:pPr>
      <w:r>
        <w:rPr>
          <w:rFonts w:hint="eastAsia" w:ascii="仿宋_GB2312" w:eastAsia="仿宋_GB2312"/>
          <w:sz w:val="32"/>
          <w:szCs w:val="32"/>
        </w:rPr>
        <w:t>徐永顺</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1920" w:firstLineChars="600"/>
        <w:rPr>
          <w:rFonts w:ascii="仿宋_GB2312" w:eastAsia="仿宋_GB2312"/>
          <w:sz w:val="32"/>
          <w:szCs w:val="32"/>
        </w:rPr>
      </w:pPr>
      <w:r>
        <w:rPr>
          <w:rFonts w:hint="eastAsia" w:ascii="仿宋_GB2312" w:eastAsia="仿宋_GB2312"/>
          <w:sz w:val="32"/>
          <w:szCs w:val="32"/>
        </w:rPr>
        <w:t>徐凯峰</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640" w:firstLineChars="200"/>
        <w:rPr>
          <w:rFonts w:hint="eastAsia"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张立君</w:t>
      </w:r>
      <w:r>
        <w:rPr>
          <w:rFonts w:ascii="仿宋_GB2312" w:eastAsia="仿宋_GB2312"/>
          <w:sz w:val="32"/>
          <w:szCs w:val="32"/>
        </w:rPr>
        <w:t xml:space="preserve">  </w:t>
      </w:r>
      <w:r>
        <w:rPr>
          <w:rFonts w:hint="eastAsia" w:ascii="仿宋_GB2312" w:eastAsia="仿宋_GB2312"/>
          <w:sz w:val="32"/>
          <w:szCs w:val="32"/>
        </w:rPr>
        <w:t>副局长</w:t>
      </w:r>
    </w:p>
    <w:p>
      <w:pPr>
        <w:spacing w:line="460" w:lineRule="exact"/>
        <w:ind w:firstLine="640" w:firstLineChars="200"/>
        <w:rPr>
          <w:rFonts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逯</w:t>
      </w:r>
      <w:r>
        <w:rPr>
          <w:rFonts w:ascii="仿宋_GB2312" w:eastAsia="仿宋_GB2312"/>
          <w:sz w:val="32"/>
          <w:szCs w:val="32"/>
        </w:rPr>
        <w:t xml:space="preserve">  </w:t>
      </w:r>
      <w:r>
        <w:rPr>
          <w:rFonts w:hint="eastAsia" w:ascii="仿宋_GB2312" w:eastAsia="仿宋_GB2312"/>
          <w:sz w:val="32"/>
          <w:szCs w:val="32"/>
        </w:rPr>
        <w:t>斌</w:t>
      </w:r>
      <w:r>
        <w:rPr>
          <w:rFonts w:ascii="仿宋_GB2312" w:eastAsia="仿宋_GB2312"/>
          <w:sz w:val="32"/>
          <w:szCs w:val="32"/>
        </w:rPr>
        <w:t xml:space="preserve">  </w:t>
      </w:r>
      <w:r>
        <w:rPr>
          <w:rFonts w:hint="eastAsia" w:ascii="仿宋_GB2312" w:eastAsia="仿宋_GB2312"/>
          <w:sz w:val="32"/>
          <w:szCs w:val="32"/>
          <w:lang w:val="en-US" w:eastAsia="zh-CN"/>
        </w:rPr>
        <w:t>一级</w:t>
      </w:r>
      <w:r>
        <w:rPr>
          <w:rFonts w:hint="eastAsia" w:ascii="仿宋_GB2312" w:eastAsia="仿宋_GB2312"/>
          <w:sz w:val="32"/>
          <w:szCs w:val="32"/>
        </w:rPr>
        <w:t>主任科员</w:t>
      </w:r>
    </w:p>
    <w:p>
      <w:pPr>
        <w:spacing w:line="460" w:lineRule="exact"/>
        <w:ind w:firstLine="1920" w:firstLineChars="600"/>
        <w:rPr>
          <w:rFonts w:hint="default" w:ascii="仿宋_GB2312" w:eastAsia="仿宋_GB2312"/>
          <w:sz w:val="32"/>
          <w:szCs w:val="32"/>
          <w:lang w:val="en-US" w:eastAsia="zh-CN"/>
        </w:rPr>
      </w:pPr>
      <w:r>
        <w:rPr>
          <w:rFonts w:hint="eastAsia" w:ascii="仿宋_GB2312" w:eastAsia="仿宋_GB2312"/>
          <w:sz w:val="32"/>
          <w:szCs w:val="32"/>
        </w:rPr>
        <w:t>李晓峰</w:t>
      </w:r>
      <w:r>
        <w:rPr>
          <w:rFonts w:ascii="仿宋_GB2312" w:eastAsia="仿宋_GB2312"/>
          <w:sz w:val="32"/>
          <w:szCs w:val="32"/>
        </w:rPr>
        <w:t xml:space="preserve">  </w:t>
      </w:r>
      <w:r>
        <w:rPr>
          <w:rFonts w:hint="eastAsia" w:ascii="仿宋_GB2312" w:eastAsia="仿宋_GB2312"/>
          <w:sz w:val="32"/>
          <w:szCs w:val="32"/>
        </w:rPr>
        <w:t>农</w:t>
      </w:r>
      <w:r>
        <w:rPr>
          <w:rFonts w:hint="eastAsia" w:ascii="仿宋_GB2312" w:eastAsia="仿宋_GB2312"/>
          <w:sz w:val="32"/>
          <w:szCs w:val="32"/>
          <w:lang w:val="en-US" w:eastAsia="zh-CN"/>
        </w:rPr>
        <w:t>村经济服务中心主任</w:t>
      </w:r>
    </w:p>
    <w:p>
      <w:pPr>
        <w:spacing w:line="460" w:lineRule="exact"/>
        <w:ind w:firstLine="640" w:firstLineChars="200"/>
        <w:rPr>
          <w:rFonts w:hint="default" w:ascii="仿宋_GB2312" w:eastAsia="仿宋_GB2312"/>
          <w:sz w:val="32"/>
          <w:szCs w:val="32"/>
          <w:lang w:val="en-US" w:eastAsia="zh-CN"/>
        </w:rPr>
      </w:pPr>
      <w:r>
        <w:rPr>
          <w:rFonts w:ascii="仿宋_GB2312" w:eastAsia="仿宋_GB2312"/>
          <w:sz w:val="32"/>
          <w:szCs w:val="32"/>
        </w:rPr>
        <w:t xml:space="preserve">        </w:t>
      </w:r>
    </w:p>
    <w:p>
      <w:pPr>
        <w:spacing w:line="460" w:lineRule="exact"/>
        <w:ind w:firstLine="640" w:firstLineChars="20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成</w:t>
      </w:r>
      <w:r>
        <w:rPr>
          <w:rFonts w:ascii="仿宋_GB2312" w:eastAsia="仿宋_GB2312"/>
          <w:sz w:val="32"/>
          <w:szCs w:val="32"/>
        </w:rPr>
        <w:t xml:space="preserve">  </w:t>
      </w:r>
      <w:r>
        <w:rPr>
          <w:rFonts w:hint="eastAsia" w:ascii="仿宋_GB2312" w:eastAsia="仿宋_GB2312"/>
          <w:sz w:val="32"/>
          <w:szCs w:val="32"/>
        </w:rPr>
        <w:t>员：局属各部门负责人</w:t>
      </w:r>
    </w:p>
    <w:p>
      <w:pPr>
        <w:spacing w:line="460" w:lineRule="exact"/>
        <w:ind w:firstLine="800" w:firstLineChars="250"/>
        <w:rPr>
          <w:rFonts w:hint="eastAsia" w:ascii="仿宋_GB2312" w:eastAsia="仿宋_GB2312"/>
          <w:sz w:val="32"/>
          <w:szCs w:val="32"/>
        </w:rPr>
      </w:pPr>
      <w:r>
        <w:rPr>
          <w:rFonts w:hint="eastAsia" w:ascii="仿宋_GB2312" w:eastAsia="仿宋_GB2312"/>
          <w:sz w:val="32"/>
          <w:szCs w:val="32"/>
        </w:rPr>
        <w:t>“双随机、一公开”领导小组下设办公室，办公室主任由王颖丽同志兼任。办公室设在区农业农村局法制办，具体负责“双随机、一公开”日常工作。</w:t>
      </w: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hint="eastAsia" w:ascii="仿宋_GB2312" w:eastAsia="仿宋_GB2312"/>
          <w:sz w:val="32"/>
          <w:szCs w:val="32"/>
        </w:rPr>
      </w:pPr>
    </w:p>
    <w:p>
      <w:pPr>
        <w:spacing w:line="560" w:lineRule="exact"/>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spacing w:line="560" w:lineRule="exact"/>
        <w:ind w:firstLine="1760" w:firstLineChars="400"/>
        <w:rPr>
          <w:rFonts w:hint="eastAsia" w:ascii="宋体" w:hAnsi="宋体" w:eastAsia="宋体" w:cs="宋体"/>
          <w:bCs/>
          <w:sz w:val="44"/>
          <w:szCs w:val="44"/>
        </w:rPr>
      </w:pPr>
      <w:r>
        <w:rPr>
          <w:rFonts w:hint="eastAsia" w:ascii="宋体" w:hAnsi="宋体" w:eastAsia="宋体" w:cs="宋体"/>
          <w:bCs/>
          <w:sz w:val="44"/>
          <w:szCs w:val="44"/>
        </w:rPr>
        <w:t>秦皇岛市抚宁区农业农村局</w:t>
      </w:r>
    </w:p>
    <w:p>
      <w:pPr>
        <w:spacing w:line="660" w:lineRule="exact"/>
        <w:jc w:val="center"/>
        <w:rPr>
          <w:rFonts w:ascii="方正小标宋_GBK" w:eastAsia="方正小标宋_GBK"/>
          <w:b w:val="0"/>
          <w:bCs w:val="0"/>
          <w:sz w:val="44"/>
          <w:szCs w:val="44"/>
        </w:rPr>
      </w:pPr>
      <w:r>
        <w:rPr>
          <w:rFonts w:hint="eastAsia" w:ascii="宋体" w:hAnsi="宋体" w:eastAsia="宋体" w:cs="宋体"/>
          <w:b w:val="0"/>
          <w:bCs w:val="0"/>
          <w:sz w:val="44"/>
          <w:szCs w:val="44"/>
        </w:rPr>
        <w:t>202</w:t>
      </w:r>
      <w:r>
        <w:rPr>
          <w:rFonts w:hint="eastAsia" w:ascii="宋体" w:hAnsi="宋体" w:eastAsia="宋体" w:cs="宋体"/>
          <w:b w:val="0"/>
          <w:bCs w:val="0"/>
          <w:sz w:val="44"/>
          <w:szCs w:val="44"/>
          <w:lang w:val="en-US" w:eastAsia="zh-CN"/>
        </w:rPr>
        <w:t>2</w:t>
      </w:r>
      <w:r>
        <w:rPr>
          <w:rFonts w:hint="eastAsia" w:ascii="宋体" w:hAnsi="宋体" w:eastAsia="宋体" w:cs="宋体"/>
          <w:b w:val="0"/>
          <w:bCs w:val="0"/>
          <w:sz w:val="44"/>
          <w:szCs w:val="44"/>
        </w:rPr>
        <w:t>年度“双随机</w:t>
      </w:r>
      <w:r>
        <w:rPr>
          <w:rFonts w:hint="eastAsia" w:ascii="宋体" w:hAnsi="宋体" w:cs="宋体"/>
          <w:b w:val="0"/>
          <w:bCs w:val="0"/>
          <w:sz w:val="44"/>
          <w:szCs w:val="44"/>
          <w:lang w:eastAsia="zh-CN"/>
        </w:rPr>
        <w:t>、</w:t>
      </w:r>
      <w:r>
        <w:rPr>
          <w:rFonts w:hint="eastAsia" w:ascii="宋体" w:hAnsi="宋体" w:eastAsia="宋体" w:cs="宋体"/>
          <w:b w:val="0"/>
          <w:bCs w:val="0"/>
          <w:sz w:val="44"/>
          <w:szCs w:val="44"/>
        </w:rPr>
        <w:t>一公开”抽查计划</w:t>
      </w:r>
    </w:p>
    <w:p>
      <w:pPr>
        <w:spacing w:line="660" w:lineRule="exact"/>
        <w:jc w:val="center"/>
        <w:rPr>
          <w:rFonts w:ascii="方正小标宋_GBK" w:eastAsia="方正小标宋_GBK"/>
          <w:bCs/>
          <w:sz w:val="44"/>
          <w:szCs w:val="44"/>
        </w:rPr>
      </w:pPr>
    </w:p>
    <w:p>
      <w:pPr>
        <w:spacing w:line="560" w:lineRule="exact"/>
        <w:rPr>
          <w:rFonts w:ascii="仿宋" w:hAnsi="仿宋" w:eastAsia="仿宋" w:cs="仿宋"/>
          <w:sz w:val="32"/>
          <w:szCs w:val="32"/>
        </w:rPr>
      </w:pPr>
      <w:r>
        <w:rPr>
          <w:rFonts w:hint="eastAsia" w:ascii="仿宋" w:hAnsi="仿宋" w:eastAsia="仿宋" w:cs="仿宋"/>
          <w:sz w:val="32"/>
          <w:szCs w:val="32"/>
        </w:rPr>
        <w:t>局属各股站：</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为进一步推进我局“双随机一公开”监管工作，规范监管行为，提升监管能力，强化市场主体自律和社会监督，结合我区农业工作实际，制定本计划。</w:t>
      </w:r>
    </w:p>
    <w:p>
      <w:pPr>
        <w:pStyle w:val="13"/>
        <w:numPr>
          <w:ilvl w:val="0"/>
          <w:numId w:val="1"/>
        </w:numPr>
        <w:spacing w:line="560" w:lineRule="exact"/>
        <w:ind w:firstLineChars="0"/>
        <w:rPr>
          <w:rFonts w:ascii="仿宋" w:hAnsi="仿宋" w:eastAsia="仿宋" w:cs="仿宋"/>
          <w:sz w:val="32"/>
          <w:szCs w:val="32"/>
        </w:rPr>
      </w:pPr>
      <w:r>
        <w:rPr>
          <w:rFonts w:hint="eastAsia" w:ascii="仿宋" w:hAnsi="仿宋" w:eastAsia="仿宋" w:cs="仿宋"/>
          <w:sz w:val="32"/>
          <w:szCs w:val="32"/>
        </w:rPr>
        <w:t>抽查对象</w:t>
      </w:r>
    </w:p>
    <w:p>
      <w:pPr>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全区范围内种子、农药、兽药、农产品生产经营企业</w:t>
      </w:r>
      <w:r>
        <w:rPr>
          <w:rFonts w:hint="eastAsia" w:ascii="仿宋" w:hAnsi="仿宋" w:eastAsia="仿宋" w:cs="仿宋"/>
          <w:sz w:val="32"/>
          <w:szCs w:val="32"/>
          <w:lang w:val="en-US" w:eastAsia="zh-CN"/>
        </w:rPr>
        <w:t>及</w:t>
      </w:r>
      <w:r>
        <w:rPr>
          <w:rFonts w:hint="eastAsia" w:ascii="仿宋" w:hAnsi="仿宋" w:eastAsia="仿宋" w:cs="仿宋"/>
          <w:sz w:val="32"/>
          <w:szCs w:val="32"/>
        </w:rPr>
        <w:t>个人。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饲料由区市场局组织跨部门联合检查</w:t>
      </w:r>
      <w:r>
        <w:rPr>
          <w:rFonts w:hint="eastAsia" w:ascii="仿宋" w:hAnsi="仿宋" w:eastAsia="仿宋" w:cs="仿宋"/>
          <w:sz w:val="32"/>
          <w:szCs w:val="32"/>
          <w:lang w:eastAsia="zh-CN"/>
        </w:rPr>
        <w:t>）</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二、抽查时间及内容</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hint="eastAsia" w:ascii="仿宋" w:hAnsi="仿宋" w:eastAsia="仿宋" w:cs="仿宋"/>
          <w:sz w:val="32"/>
          <w:szCs w:val="32"/>
          <w:lang w:val="en-US" w:eastAsia="zh-CN"/>
        </w:rPr>
        <w:t>1-12月</w:t>
      </w:r>
      <w:r>
        <w:rPr>
          <w:rFonts w:hint="eastAsia" w:ascii="仿宋" w:hAnsi="仿宋" w:eastAsia="仿宋" w:cs="仿宋"/>
          <w:sz w:val="32"/>
          <w:szCs w:val="32"/>
        </w:rPr>
        <w:t>，依据《种子法》对种子经营单位进行检查；</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w:t>
      </w:r>
      <w:r>
        <w:rPr>
          <w:rFonts w:hint="eastAsia" w:ascii="仿宋" w:hAnsi="仿宋" w:eastAsia="仿宋" w:cs="仿宋"/>
          <w:sz w:val="32"/>
          <w:szCs w:val="32"/>
          <w:lang w:val="en-US" w:eastAsia="zh-CN"/>
        </w:rPr>
        <w:t>1-12月</w:t>
      </w:r>
      <w:r>
        <w:rPr>
          <w:rFonts w:hint="eastAsia" w:ascii="仿宋" w:hAnsi="仿宋" w:eastAsia="仿宋" w:cs="仿宋"/>
          <w:sz w:val="32"/>
          <w:szCs w:val="32"/>
        </w:rPr>
        <w:t>，依据《农药管理条例》对农药经营单位进行检查；</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w:t>
      </w:r>
      <w:r>
        <w:rPr>
          <w:rFonts w:hint="eastAsia" w:ascii="仿宋" w:hAnsi="仿宋" w:eastAsia="仿宋" w:cs="仿宋"/>
          <w:sz w:val="32"/>
          <w:szCs w:val="32"/>
          <w:lang w:val="en-US" w:eastAsia="zh-CN"/>
        </w:rPr>
        <w:t>1-12月</w:t>
      </w:r>
      <w:r>
        <w:rPr>
          <w:rFonts w:hint="eastAsia" w:ascii="仿宋" w:hAnsi="仿宋" w:eastAsia="仿宋" w:cs="仿宋"/>
          <w:sz w:val="32"/>
          <w:szCs w:val="32"/>
        </w:rPr>
        <w:t>，依据《兽药管理条例》对兽药经营单位进行检查；</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w:t>
      </w:r>
      <w:r>
        <w:rPr>
          <w:rFonts w:hint="eastAsia" w:ascii="仿宋" w:hAnsi="仿宋" w:eastAsia="仿宋" w:cs="仿宋"/>
          <w:sz w:val="32"/>
          <w:szCs w:val="32"/>
          <w:lang w:val="en-US" w:eastAsia="zh-CN"/>
        </w:rPr>
        <w:t>1-12月</w:t>
      </w:r>
      <w:r>
        <w:rPr>
          <w:rFonts w:hint="eastAsia" w:ascii="仿宋" w:hAnsi="仿宋" w:eastAsia="仿宋" w:cs="仿宋"/>
          <w:sz w:val="32"/>
          <w:szCs w:val="32"/>
        </w:rPr>
        <w:t>，对农产品质量进行抽查。</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三、市场主体名单和执法人员的抽取</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、随机抽取检查对象方式</w:t>
      </w:r>
      <w:r>
        <w:rPr>
          <w:rFonts w:hint="eastAsia" w:ascii="仿宋" w:hAnsi="仿宋" w:eastAsia="仿宋" w:cs="仿宋"/>
          <w:b/>
          <w:bCs/>
          <w:sz w:val="32"/>
          <w:szCs w:val="32"/>
        </w:rPr>
        <w:t>：</w:t>
      </w:r>
      <w:r>
        <w:rPr>
          <w:rFonts w:hint="eastAsia" w:ascii="仿宋" w:hAnsi="仿宋" w:eastAsia="仿宋" w:cs="仿宋"/>
          <w:sz w:val="32"/>
          <w:szCs w:val="32"/>
        </w:rPr>
        <w:t>可以结合实际采取定向与不定向相结合的方式组织实施。定向抽查是指按照检查对象类型、行业、性质、经营规模、地理区域等特定条件，通过抽签等方式，随机抽取确定待查对象名单。不定向抽查是指不设定条件，通过抽签等方式，随机抽取确定待查对象名单。定向抽查与不定向抽查要结合应用，兼施并举，确保监督执法效能。</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、随机选派执法人员方式：可以采取科学编组、随机匹配的方式，实施全局内随机、各科室内随机从《</w:t>
      </w:r>
      <w:r>
        <w:rPr>
          <w:rFonts w:hint="eastAsia" w:ascii="仿宋" w:hAnsi="仿宋" w:eastAsia="仿宋" w:cs="仿宋"/>
          <w:sz w:val="32"/>
          <w:szCs w:val="32"/>
          <w:lang w:val="en-US" w:eastAsia="zh-CN"/>
        </w:rPr>
        <w:t>秦皇岛市</w:t>
      </w:r>
      <w:r>
        <w:rPr>
          <w:rFonts w:hint="eastAsia" w:ascii="仿宋" w:hAnsi="仿宋" w:eastAsia="仿宋" w:cs="仿宋"/>
          <w:sz w:val="32"/>
          <w:szCs w:val="32"/>
        </w:rPr>
        <w:t>抚宁区农业农村局行政执法人员名录库》中随机选派。</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被抽取的行政检查人员与被抽取的检查对象有利害关系的，应当回避，并重新抽取行政检查人员。每次行政检查抽取的检查人员不得少于</w:t>
      </w:r>
      <w:r>
        <w:rPr>
          <w:rFonts w:ascii="仿宋" w:hAnsi="仿宋" w:eastAsia="仿宋" w:cs="仿宋"/>
          <w:sz w:val="32"/>
          <w:szCs w:val="32"/>
        </w:rPr>
        <w:t>2</w:t>
      </w:r>
      <w:r>
        <w:rPr>
          <w:rFonts w:hint="eastAsia" w:ascii="仿宋" w:hAnsi="仿宋" w:eastAsia="仿宋" w:cs="仿宋"/>
          <w:sz w:val="32"/>
          <w:szCs w:val="32"/>
        </w:rPr>
        <w:t>人。</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四、合理确定随机抽查比例和频次</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按照既要保证必要的抽查覆盖面和工作力度，又要防止检查过多和执法扰民的要求，以不影响公正与效率为前提，可以合理确定随机抽查的比例和频次，但随机抽取检查对象的比例不得低于《秦皇岛市抚宁区农业农村局随机抽查市场监管执法事项清单》规定的抽查比例要求。对社会关注度高、投诉举报多、风险等级高、有严重违法违规记录等情况的，要加大随机抽查力度，提高抽查比例和频次。对于法律法规规章有规定的，按规定实施；合理安排抽查时间，抽查对象较多的同一抽查事项可分几个时间段开展抽查。</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五、检查方式</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、采取实地检查的方式，严格按照各业务条线制定的检查工作规范进行。</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、对市场主体进行实地检查时，检查人员不得少于</w:t>
      </w:r>
      <w:r>
        <w:rPr>
          <w:rFonts w:ascii="仿宋" w:hAnsi="仿宋" w:eastAsia="仿宋" w:cs="仿宋"/>
          <w:sz w:val="32"/>
          <w:szCs w:val="32"/>
        </w:rPr>
        <w:t>2</w:t>
      </w:r>
      <w:r>
        <w:rPr>
          <w:rFonts w:hint="eastAsia" w:ascii="仿宋" w:hAnsi="仿宋" w:eastAsia="仿宋" w:cs="仿宋"/>
          <w:sz w:val="32"/>
          <w:szCs w:val="32"/>
        </w:rPr>
        <w:t>人，并出示执法证件，检查人员填写实地检查记录表，并由被检查市场主体法定代表人（负责人）签字盖章确认。</w:t>
      </w:r>
    </w:p>
    <w:p>
      <w:pPr>
        <w:spacing w:line="560"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、对市场主体实施检查时，市场主体监管条线分别与被抽查市场主体相对应的业务条线积极联合，对确定的检查事项和内容一次性完成。</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六、抽查结果公示</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抽查结束后，按照“谁检查、谁录入、谁公开”的原则开展抽查工作，及时做好抽查结果记录，并在行政检查结束后</w:t>
      </w:r>
      <w:r>
        <w:rPr>
          <w:rFonts w:ascii="仿宋" w:hAnsi="仿宋" w:eastAsia="仿宋" w:cs="仿宋"/>
          <w:sz w:val="32"/>
          <w:szCs w:val="32"/>
        </w:rPr>
        <w:t>20</w:t>
      </w:r>
      <w:r>
        <w:rPr>
          <w:rFonts w:hint="eastAsia" w:ascii="仿宋" w:hAnsi="仿宋" w:eastAsia="仿宋" w:cs="仿宋"/>
          <w:sz w:val="32"/>
          <w:szCs w:val="32"/>
        </w:rPr>
        <w:t>日内在局机关公开栏或区政府门户网站公布检查结果，确保随机抽查过程的公平、公正、公开和规范。</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对抽查发现的违法行为，依法依规予以处理，并及时向社会公开行政处罚案件信息，接受社会监督。属于其他部门管辖的，及时移送相关部门查处；涉嫌构成犯罪的，依法及时向公安机关移送。</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七、保障措施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（一）加强组织领导</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局成立推进“双随机</w:t>
      </w:r>
      <w:r>
        <w:rPr>
          <w:rFonts w:hint="eastAsia" w:ascii="仿宋" w:hAnsi="仿宋" w:eastAsia="仿宋" w:cs="仿宋"/>
          <w:sz w:val="32"/>
          <w:szCs w:val="32"/>
          <w:lang w:eastAsia="zh-CN"/>
        </w:rPr>
        <w:t>、</w:t>
      </w:r>
      <w:r>
        <w:rPr>
          <w:rFonts w:hint="eastAsia" w:ascii="仿宋" w:hAnsi="仿宋" w:eastAsia="仿宋" w:cs="仿宋"/>
          <w:sz w:val="32"/>
          <w:szCs w:val="32"/>
        </w:rPr>
        <w:t>一公开”监管工作领导小组，由</w:t>
      </w:r>
      <w:r>
        <w:rPr>
          <w:rFonts w:hint="eastAsia" w:ascii="仿宋" w:hAnsi="仿宋" w:eastAsia="仿宋" w:cs="仿宋"/>
          <w:sz w:val="32"/>
          <w:szCs w:val="32"/>
          <w:lang w:val="en-US" w:eastAsia="zh-CN"/>
        </w:rPr>
        <w:t>党组</w:t>
      </w:r>
      <w:r>
        <w:rPr>
          <w:rFonts w:hint="eastAsia" w:ascii="仿宋" w:hAnsi="仿宋" w:eastAsia="仿宋" w:cs="仿宋"/>
          <w:sz w:val="32"/>
          <w:szCs w:val="32"/>
        </w:rPr>
        <w:t>书记、局长担任组长，</w:t>
      </w:r>
      <w:r>
        <w:rPr>
          <w:rFonts w:hint="eastAsia" w:ascii="仿宋" w:hAnsi="仿宋" w:eastAsia="仿宋" w:cs="仿宋"/>
          <w:sz w:val="32"/>
          <w:szCs w:val="32"/>
          <w:lang w:val="en-US" w:eastAsia="zh-CN"/>
        </w:rPr>
        <w:t>相关分管</w:t>
      </w:r>
      <w:r>
        <w:rPr>
          <w:rFonts w:hint="eastAsia" w:ascii="仿宋" w:hAnsi="仿宋" w:eastAsia="仿宋" w:cs="仿宋"/>
          <w:sz w:val="32"/>
          <w:szCs w:val="32"/>
        </w:rPr>
        <w:t>副职任副组长，有关科室负责人为成员。相关科室务必高度认识此项工作的重要性和必要性，切实加强对随机抽查工作的重视和学习，确保随机抽查工作取得明显实效。</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（二）严格落实责任</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制定抽查计划表，明确工作进度要求，落实责任分工，强化过程管控，确保此项工作落到实处，抓出成效</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（三）强化公平公正执法意识</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随机抽查是行政执法监管方式的探索和创新，在开展“双随机</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一公开</w:t>
      </w:r>
      <w:r>
        <w:rPr>
          <w:rFonts w:hint="eastAsia" w:ascii="仿宋" w:hAnsi="仿宋" w:eastAsia="仿宋" w:cs="仿宋"/>
          <w:sz w:val="32"/>
          <w:szCs w:val="32"/>
        </w:rPr>
        <w:t>”工作中执法人员要加强规范执法意识，加快转变执法理念，不断提高执法能力。</w:t>
      </w:r>
    </w:p>
    <w:p>
      <w:pPr>
        <w:spacing w:line="560" w:lineRule="exact"/>
        <w:ind w:firstLine="640"/>
        <w:jc w:val="right"/>
        <w:rPr>
          <w:rFonts w:ascii="Arial" w:hAnsi="Arial" w:eastAsia="仿宋_GB2312" w:cs="Arial"/>
          <w:sz w:val="32"/>
          <w:szCs w:val="32"/>
        </w:rPr>
      </w:pPr>
    </w:p>
    <w:p>
      <w:pPr>
        <w:spacing w:line="560" w:lineRule="exact"/>
        <w:ind w:firstLine="640"/>
        <w:jc w:val="right"/>
        <w:rPr>
          <w:rFonts w:ascii="Arial" w:hAnsi="Arial" w:eastAsia="仿宋_GB2312" w:cs="Arial"/>
          <w:sz w:val="32"/>
          <w:szCs w:val="32"/>
        </w:rPr>
      </w:pPr>
    </w:p>
    <w:p>
      <w:pPr>
        <w:spacing w:line="560" w:lineRule="exact"/>
        <w:ind w:firstLine="640"/>
        <w:jc w:val="right"/>
        <w:rPr>
          <w:rFonts w:ascii="Arial" w:hAnsi="Arial" w:eastAsia="仿宋_GB2312" w:cs="Arial"/>
          <w:sz w:val="32"/>
          <w:szCs w:val="32"/>
        </w:rPr>
      </w:pPr>
      <w:r>
        <w:rPr>
          <w:rFonts w:hint="eastAsia" w:ascii="Arial" w:hAnsi="Arial" w:eastAsia="仿宋_GB2312" w:cs="Arial"/>
          <w:sz w:val="32"/>
          <w:szCs w:val="32"/>
        </w:rPr>
        <w:t>秦皇岛市抚宁区农业农村局</w:t>
      </w:r>
    </w:p>
    <w:p>
      <w:pPr>
        <w:spacing w:line="560" w:lineRule="exact"/>
        <w:ind w:firstLine="3059" w:firstLineChars="956"/>
        <w:jc w:val="center"/>
        <w:rPr>
          <w:rFonts w:ascii="仿宋_GB2312" w:hAnsi="仿宋_GB2312" w:eastAsia="仿宋_GB2312" w:cs="仿宋_GB2312"/>
          <w:sz w:val="32"/>
          <w:szCs w:val="32"/>
        </w:rPr>
      </w:pPr>
      <w:r>
        <w:rPr>
          <w:rFonts w:ascii="仿宋_GB2312" w:hAnsi="仿宋_GB2312" w:eastAsia="仿宋_GB2312" w:cs="仿宋_GB2312"/>
          <w:sz w:val="32"/>
          <w:szCs w:val="32"/>
        </w:rPr>
        <w:t xml:space="preserve">                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日</w:t>
      </w:r>
      <w:r>
        <w:rPr>
          <w:rFonts w:ascii="仿宋_GB2312" w:hAnsi="仿宋_GB2312" w:eastAsia="仿宋_GB2312" w:cs="仿宋_GB2312"/>
          <w:sz w:val="32"/>
          <w:szCs w:val="32"/>
        </w:rPr>
        <w:t xml:space="preserve">  </w:t>
      </w:r>
    </w:p>
    <w:p>
      <w:pPr>
        <w:spacing w:line="460" w:lineRule="exact"/>
        <w:ind w:firstLine="800" w:firstLineChars="250"/>
        <w:rPr>
          <w:rFonts w:hint="eastAsia" w:ascii="仿宋_GB2312" w:eastAsia="仿宋_GB2312"/>
          <w:sz w:val="32"/>
          <w:szCs w:val="32"/>
        </w:rPr>
      </w:pPr>
    </w:p>
    <w:p>
      <w:pPr>
        <w:spacing w:line="460" w:lineRule="exact"/>
        <w:ind w:firstLine="800" w:firstLineChars="250"/>
        <w:rPr>
          <w:rFonts w:ascii="仿宋_GB2312" w:eastAsia="仿宋_GB2312"/>
          <w:sz w:val="32"/>
          <w:szCs w:val="32"/>
        </w:rPr>
      </w:pPr>
    </w:p>
    <w:p>
      <w:pPr>
        <w:spacing w:line="460" w:lineRule="exact"/>
        <w:ind w:firstLine="800" w:firstLineChars="250"/>
        <w:rPr>
          <w:rFonts w:ascii="仿宋_GB2312" w:eastAsia="仿宋_GB2312"/>
          <w:sz w:val="32"/>
          <w:szCs w:val="32"/>
        </w:rPr>
      </w:pPr>
    </w:p>
    <w:p>
      <w:pPr>
        <w:spacing w:line="460" w:lineRule="exact"/>
        <w:ind w:firstLine="525" w:firstLineChars="250"/>
      </w:pPr>
    </w:p>
    <w:p>
      <w:pPr>
        <w:spacing w:line="460" w:lineRule="exact"/>
        <w:ind w:firstLine="525" w:firstLineChars="250"/>
      </w:pPr>
    </w:p>
    <w:sectPr>
      <w:headerReference r:id="rId3" w:type="default"/>
      <w:footerReference r:id="rId5" w:type="default"/>
      <w:headerReference r:id="rId4" w:type="even"/>
      <w:footerReference r:id="rId6" w:type="even"/>
      <w:pgSz w:w="11906" w:h="16838"/>
      <w:pgMar w:top="2041" w:right="1418" w:bottom="1644" w:left="1418" w:header="851" w:footer="1588" w:gutter="0"/>
      <w:pgNumType w:fmt="numberInDash"/>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separate"/>
    </w:r>
    <w:r>
      <w:rPr>
        <w:rStyle w:val="7"/>
      </w:rPr>
      <w:t>- 3 -</w:t>
    </w:r>
    <w:r>
      <w:rPr>
        <w:rStyle w:val="7"/>
      </w:rP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CE1F81"/>
    <w:multiLevelType w:val="multilevel"/>
    <w:tmpl w:val="1DCE1F81"/>
    <w:lvl w:ilvl="0" w:tentative="0">
      <w:start w:val="1"/>
      <w:numFmt w:val="japaneseCounting"/>
      <w:lvlText w:val="%1、"/>
      <w:lvlJc w:val="left"/>
      <w:pPr>
        <w:ind w:left="1360" w:hanging="720"/>
      </w:pPr>
      <w:rPr>
        <w:rFonts w:hint="default" w:cs="Times New Roman"/>
      </w:rPr>
    </w:lvl>
    <w:lvl w:ilvl="1" w:tentative="0">
      <w:start w:val="1"/>
      <w:numFmt w:val="lowerLetter"/>
      <w:lvlText w:val="%2)"/>
      <w:lvlJc w:val="left"/>
      <w:pPr>
        <w:ind w:left="1480" w:hanging="420"/>
      </w:pPr>
      <w:rPr>
        <w:rFonts w:cs="Times New Roman"/>
      </w:rPr>
    </w:lvl>
    <w:lvl w:ilvl="2" w:tentative="0">
      <w:start w:val="1"/>
      <w:numFmt w:val="lowerRoman"/>
      <w:lvlText w:val="%3."/>
      <w:lvlJc w:val="right"/>
      <w:pPr>
        <w:ind w:left="1900" w:hanging="420"/>
      </w:pPr>
      <w:rPr>
        <w:rFonts w:cs="Times New Roman"/>
      </w:rPr>
    </w:lvl>
    <w:lvl w:ilvl="3" w:tentative="0">
      <w:start w:val="1"/>
      <w:numFmt w:val="decimal"/>
      <w:lvlText w:val="%4."/>
      <w:lvlJc w:val="left"/>
      <w:pPr>
        <w:ind w:left="2320" w:hanging="420"/>
      </w:pPr>
      <w:rPr>
        <w:rFonts w:cs="Times New Roman"/>
      </w:rPr>
    </w:lvl>
    <w:lvl w:ilvl="4" w:tentative="0">
      <w:start w:val="1"/>
      <w:numFmt w:val="lowerLetter"/>
      <w:lvlText w:val="%5)"/>
      <w:lvlJc w:val="left"/>
      <w:pPr>
        <w:ind w:left="2740" w:hanging="420"/>
      </w:pPr>
      <w:rPr>
        <w:rFonts w:cs="Times New Roman"/>
      </w:rPr>
    </w:lvl>
    <w:lvl w:ilvl="5" w:tentative="0">
      <w:start w:val="1"/>
      <w:numFmt w:val="lowerRoman"/>
      <w:lvlText w:val="%6."/>
      <w:lvlJc w:val="right"/>
      <w:pPr>
        <w:ind w:left="3160" w:hanging="420"/>
      </w:pPr>
      <w:rPr>
        <w:rFonts w:cs="Times New Roman"/>
      </w:rPr>
    </w:lvl>
    <w:lvl w:ilvl="6" w:tentative="0">
      <w:start w:val="1"/>
      <w:numFmt w:val="decimal"/>
      <w:lvlText w:val="%7."/>
      <w:lvlJc w:val="left"/>
      <w:pPr>
        <w:ind w:left="3580" w:hanging="420"/>
      </w:pPr>
      <w:rPr>
        <w:rFonts w:cs="Times New Roman"/>
      </w:rPr>
    </w:lvl>
    <w:lvl w:ilvl="7" w:tentative="0">
      <w:start w:val="1"/>
      <w:numFmt w:val="lowerLetter"/>
      <w:lvlText w:val="%8)"/>
      <w:lvlJc w:val="left"/>
      <w:pPr>
        <w:ind w:left="4000" w:hanging="420"/>
      </w:pPr>
      <w:rPr>
        <w:rFonts w:cs="Times New Roman"/>
      </w:rPr>
    </w:lvl>
    <w:lvl w:ilvl="8" w:tentative="0">
      <w:start w:val="1"/>
      <w:numFmt w:val="lowerRoman"/>
      <w:lvlText w:val="%9."/>
      <w:lvlJc w:val="right"/>
      <w:pPr>
        <w:ind w:left="442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jMjQxZmYyMDFkOGRhYzk0ZDYzM2EwMjBkNjNmZDQifQ=="/>
  </w:docVars>
  <w:rsids>
    <w:rsidRoot w:val="00BE06C4"/>
    <w:rsid w:val="0000490B"/>
    <w:rsid w:val="00005B08"/>
    <w:rsid w:val="00012365"/>
    <w:rsid w:val="00013488"/>
    <w:rsid w:val="00017F09"/>
    <w:rsid w:val="00021C03"/>
    <w:rsid w:val="00025AC3"/>
    <w:rsid w:val="0003035B"/>
    <w:rsid w:val="00032F00"/>
    <w:rsid w:val="00041900"/>
    <w:rsid w:val="00046B1C"/>
    <w:rsid w:val="0004731A"/>
    <w:rsid w:val="00052B49"/>
    <w:rsid w:val="00053D7C"/>
    <w:rsid w:val="00056736"/>
    <w:rsid w:val="00074074"/>
    <w:rsid w:val="00076E9E"/>
    <w:rsid w:val="00080D44"/>
    <w:rsid w:val="00081C86"/>
    <w:rsid w:val="000826AD"/>
    <w:rsid w:val="00085056"/>
    <w:rsid w:val="00086FD1"/>
    <w:rsid w:val="00091956"/>
    <w:rsid w:val="00095BEC"/>
    <w:rsid w:val="00097B47"/>
    <w:rsid w:val="000A06E7"/>
    <w:rsid w:val="000D5643"/>
    <w:rsid w:val="000E0F20"/>
    <w:rsid w:val="000E356D"/>
    <w:rsid w:val="000F6E05"/>
    <w:rsid w:val="00105C09"/>
    <w:rsid w:val="0010701E"/>
    <w:rsid w:val="00112511"/>
    <w:rsid w:val="00112D73"/>
    <w:rsid w:val="00113978"/>
    <w:rsid w:val="00123297"/>
    <w:rsid w:val="00136B01"/>
    <w:rsid w:val="00140004"/>
    <w:rsid w:val="00143FBA"/>
    <w:rsid w:val="00144B10"/>
    <w:rsid w:val="0015201A"/>
    <w:rsid w:val="0015574D"/>
    <w:rsid w:val="00156FBE"/>
    <w:rsid w:val="001575B4"/>
    <w:rsid w:val="00167877"/>
    <w:rsid w:val="00175596"/>
    <w:rsid w:val="00180948"/>
    <w:rsid w:val="00191F48"/>
    <w:rsid w:val="001965B9"/>
    <w:rsid w:val="00197CAC"/>
    <w:rsid w:val="001A49E2"/>
    <w:rsid w:val="001B4500"/>
    <w:rsid w:val="001C4A42"/>
    <w:rsid w:val="001D3AB5"/>
    <w:rsid w:val="001D46D5"/>
    <w:rsid w:val="001D588B"/>
    <w:rsid w:val="001E1F80"/>
    <w:rsid w:val="001E35B4"/>
    <w:rsid w:val="00217D60"/>
    <w:rsid w:val="002315FB"/>
    <w:rsid w:val="00232AA4"/>
    <w:rsid w:val="00232CB0"/>
    <w:rsid w:val="00234034"/>
    <w:rsid w:val="002351CE"/>
    <w:rsid w:val="00236FEB"/>
    <w:rsid w:val="00244EAB"/>
    <w:rsid w:val="0024663A"/>
    <w:rsid w:val="002469D2"/>
    <w:rsid w:val="00260655"/>
    <w:rsid w:val="00264772"/>
    <w:rsid w:val="002719AE"/>
    <w:rsid w:val="00271C77"/>
    <w:rsid w:val="00273955"/>
    <w:rsid w:val="00280A29"/>
    <w:rsid w:val="002851C7"/>
    <w:rsid w:val="00286852"/>
    <w:rsid w:val="00294AA2"/>
    <w:rsid w:val="00295A3C"/>
    <w:rsid w:val="002A23E5"/>
    <w:rsid w:val="002A3D98"/>
    <w:rsid w:val="002A4708"/>
    <w:rsid w:val="002C2497"/>
    <w:rsid w:val="002C6262"/>
    <w:rsid w:val="002D1492"/>
    <w:rsid w:val="002D5C40"/>
    <w:rsid w:val="002F75EB"/>
    <w:rsid w:val="00312BB0"/>
    <w:rsid w:val="0031397C"/>
    <w:rsid w:val="0031557F"/>
    <w:rsid w:val="003264A0"/>
    <w:rsid w:val="00334848"/>
    <w:rsid w:val="00335705"/>
    <w:rsid w:val="00336A3C"/>
    <w:rsid w:val="003441B8"/>
    <w:rsid w:val="00347611"/>
    <w:rsid w:val="00351862"/>
    <w:rsid w:val="003542C0"/>
    <w:rsid w:val="003575E9"/>
    <w:rsid w:val="00371B89"/>
    <w:rsid w:val="00372497"/>
    <w:rsid w:val="00372E74"/>
    <w:rsid w:val="003A2E3C"/>
    <w:rsid w:val="003C1BDB"/>
    <w:rsid w:val="003D0637"/>
    <w:rsid w:val="003F1F0B"/>
    <w:rsid w:val="003F7FF5"/>
    <w:rsid w:val="00401777"/>
    <w:rsid w:val="00403999"/>
    <w:rsid w:val="00404881"/>
    <w:rsid w:val="00410F04"/>
    <w:rsid w:val="00416930"/>
    <w:rsid w:val="004210C1"/>
    <w:rsid w:val="0042382D"/>
    <w:rsid w:val="00436970"/>
    <w:rsid w:val="00442199"/>
    <w:rsid w:val="004557E9"/>
    <w:rsid w:val="004564DB"/>
    <w:rsid w:val="00457F1F"/>
    <w:rsid w:val="0046716A"/>
    <w:rsid w:val="004715DE"/>
    <w:rsid w:val="004727D9"/>
    <w:rsid w:val="00483C57"/>
    <w:rsid w:val="00485ECF"/>
    <w:rsid w:val="00494FF6"/>
    <w:rsid w:val="00497C71"/>
    <w:rsid w:val="004A5D28"/>
    <w:rsid w:val="004B0EBD"/>
    <w:rsid w:val="004B3912"/>
    <w:rsid w:val="004B558B"/>
    <w:rsid w:val="004C6210"/>
    <w:rsid w:val="004D001F"/>
    <w:rsid w:val="004D3B6D"/>
    <w:rsid w:val="004E2808"/>
    <w:rsid w:val="004F28FB"/>
    <w:rsid w:val="004F4E84"/>
    <w:rsid w:val="00501794"/>
    <w:rsid w:val="0050204A"/>
    <w:rsid w:val="0050222E"/>
    <w:rsid w:val="0050431A"/>
    <w:rsid w:val="0051167B"/>
    <w:rsid w:val="00511EC0"/>
    <w:rsid w:val="00515FCA"/>
    <w:rsid w:val="00525B5C"/>
    <w:rsid w:val="005267D6"/>
    <w:rsid w:val="00526FD8"/>
    <w:rsid w:val="00531AD7"/>
    <w:rsid w:val="00543840"/>
    <w:rsid w:val="005471A3"/>
    <w:rsid w:val="0055697B"/>
    <w:rsid w:val="00557776"/>
    <w:rsid w:val="00565E14"/>
    <w:rsid w:val="005746FC"/>
    <w:rsid w:val="00576040"/>
    <w:rsid w:val="005762DF"/>
    <w:rsid w:val="00576ABC"/>
    <w:rsid w:val="00580CB2"/>
    <w:rsid w:val="00580FA7"/>
    <w:rsid w:val="00581847"/>
    <w:rsid w:val="005A3D6B"/>
    <w:rsid w:val="005A7B1E"/>
    <w:rsid w:val="005B0843"/>
    <w:rsid w:val="005B6131"/>
    <w:rsid w:val="005C2E4F"/>
    <w:rsid w:val="005D33D0"/>
    <w:rsid w:val="005D4589"/>
    <w:rsid w:val="005E429A"/>
    <w:rsid w:val="005F69C2"/>
    <w:rsid w:val="00600DFA"/>
    <w:rsid w:val="00603089"/>
    <w:rsid w:val="00604847"/>
    <w:rsid w:val="00605535"/>
    <w:rsid w:val="006110A4"/>
    <w:rsid w:val="00616566"/>
    <w:rsid w:val="00617131"/>
    <w:rsid w:val="00632EE5"/>
    <w:rsid w:val="00633075"/>
    <w:rsid w:val="00637896"/>
    <w:rsid w:val="006407D7"/>
    <w:rsid w:val="006416CE"/>
    <w:rsid w:val="00643421"/>
    <w:rsid w:val="00653B1E"/>
    <w:rsid w:val="006572FF"/>
    <w:rsid w:val="00657B5A"/>
    <w:rsid w:val="00661E90"/>
    <w:rsid w:val="00663C89"/>
    <w:rsid w:val="006701F9"/>
    <w:rsid w:val="006703A1"/>
    <w:rsid w:val="0067300E"/>
    <w:rsid w:val="006763AD"/>
    <w:rsid w:val="006804CE"/>
    <w:rsid w:val="00691DA6"/>
    <w:rsid w:val="00693CE0"/>
    <w:rsid w:val="006A48B9"/>
    <w:rsid w:val="006A4D98"/>
    <w:rsid w:val="006A4FB8"/>
    <w:rsid w:val="006A6DA3"/>
    <w:rsid w:val="006A793E"/>
    <w:rsid w:val="006B28C3"/>
    <w:rsid w:val="006B7FF6"/>
    <w:rsid w:val="006C0939"/>
    <w:rsid w:val="006C41FF"/>
    <w:rsid w:val="006C65A1"/>
    <w:rsid w:val="006D1B96"/>
    <w:rsid w:val="006D3522"/>
    <w:rsid w:val="006D7102"/>
    <w:rsid w:val="006F11CD"/>
    <w:rsid w:val="006F1E32"/>
    <w:rsid w:val="00704014"/>
    <w:rsid w:val="00710C51"/>
    <w:rsid w:val="00711759"/>
    <w:rsid w:val="0071229F"/>
    <w:rsid w:val="00716FE3"/>
    <w:rsid w:val="00722892"/>
    <w:rsid w:val="0072430D"/>
    <w:rsid w:val="007330FD"/>
    <w:rsid w:val="007344B8"/>
    <w:rsid w:val="00742183"/>
    <w:rsid w:val="00744669"/>
    <w:rsid w:val="00744F40"/>
    <w:rsid w:val="00751FC3"/>
    <w:rsid w:val="007521D4"/>
    <w:rsid w:val="00760449"/>
    <w:rsid w:val="007667A9"/>
    <w:rsid w:val="00774304"/>
    <w:rsid w:val="00775924"/>
    <w:rsid w:val="00775CD6"/>
    <w:rsid w:val="00777C3A"/>
    <w:rsid w:val="0078070E"/>
    <w:rsid w:val="0078252A"/>
    <w:rsid w:val="00790F37"/>
    <w:rsid w:val="0079618D"/>
    <w:rsid w:val="007972A7"/>
    <w:rsid w:val="007A57C6"/>
    <w:rsid w:val="007A6019"/>
    <w:rsid w:val="007B4277"/>
    <w:rsid w:val="007B497E"/>
    <w:rsid w:val="007B4BEF"/>
    <w:rsid w:val="007B5D96"/>
    <w:rsid w:val="007B7469"/>
    <w:rsid w:val="007C63F7"/>
    <w:rsid w:val="007D053F"/>
    <w:rsid w:val="007D63D4"/>
    <w:rsid w:val="007E299A"/>
    <w:rsid w:val="007F02AE"/>
    <w:rsid w:val="007F44CB"/>
    <w:rsid w:val="007F4A7A"/>
    <w:rsid w:val="00810AF6"/>
    <w:rsid w:val="00827F0C"/>
    <w:rsid w:val="00844E6D"/>
    <w:rsid w:val="00846690"/>
    <w:rsid w:val="00854546"/>
    <w:rsid w:val="008547FB"/>
    <w:rsid w:val="0086154A"/>
    <w:rsid w:val="00863822"/>
    <w:rsid w:val="00865D8D"/>
    <w:rsid w:val="00866B51"/>
    <w:rsid w:val="008702BB"/>
    <w:rsid w:val="0087033E"/>
    <w:rsid w:val="00871192"/>
    <w:rsid w:val="00877E20"/>
    <w:rsid w:val="00884186"/>
    <w:rsid w:val="008858BB"/>
    <w:rsid w:val="00886A29"/>
    <w:rsid w:val="0088761D"/>
    <w:rsid w:val="00892C13"/>
    <w:rsid w:val="008A2B88"/>
    <w:rsid w:val="008C1A62"/>
    <w:rsid w:val="008C78EC"/>
    <w:rsid w:val="008E23B9"/>
    <w:rsid w:val="008E4EF5"/>
    <w:rsid w:val="008E56EA"/>
    <w:rsid w:val="008F22B8"/>
    <w:rsid w:val="008F5C6E"/>
    <w:rsid w:val="009027BA"/>
    <w:rsid w:val="00903E93"/>
    <w:rsid w:val="0090521A"/>
    <w:rsid w:val="00907CB1"/>
    <w:rsid w:val="00910386"/>
    <w:rsid w:val="009125E4"/>
    <w:rsid w:val="009171C3"/>
    <w:rsid w:val="00921F51"/>
    <w:rsid w:val="00923FAC"/>
    <w:rsid w:val="009279B0"/>
    <w:rsid w:val="00927D05"/>
    <w:rsid w:val="0093275B"/>
    <w:rsid w:val="009342B1"/>
    <w:rsid w:val="009417D9"/>
    <w:rsid w:val="00944DB5"/>
    <w:rsid w:val="00957E7A"/>
    <w:rsid w:val="009607A1"/>
    <w:rsid w:val="00982FA5"/>
    <w:rsid w:val="00984D77"/>
    <w:rsid w:val="00986D64"/>
    <w:rsid w:val="0098762C"/>
    <w:rsid w:val="0099039A"/>
    <w:rsid w:val="00990487"/>
    <w:rsid w:val="00991BA7"/>
    <w:rsid w:val="00993BE9"/>
    <w:rsid w:val="009A2C26"/>
    <w:rsid w:val="009A72A8"/>
    <w:rsid w:val="009B08AF"/>
    <w:rsid w:val="009B4209"/>
    <w:rsid w:val="009B43B0"/>
    <w:rsid w:val="009B4DC7"/>
    <w:rsid w:val="009B5416"/>
    <w:rsid w:val="009D3CBC"/>
    <w:rsid w:val="009E520E"/>
    <w:rsid w:val="009E5C3B"/>
    <w:rsid w:val="009F1DA6"/>
    <w:rsid w:val="009F602F"/>
    <w:rsid w:val="009F6565"/>
    <w:rsid w:val="00A0501E"/>
    <w:rsid w:val="00A13BDB"/>
    <w:rsid w:val="00A530B8"/>
    <w:rsid w:val="00A543C1"/>
    <w:rsid w:val="00A56F4A"/>
    <w:rsid w:val="00A60087"/>
    <w:rsid w:val="00A71F55"/>
    <w:rsid w:val="00A779E7"/>
    <w:rsid w:val="00A86022"/>
    <w:rsid w:val="00A91566"/>
    <w:rsid w:val="00A94919"/>
    <w:rsid w:val="00A96908"/>
    <w:rsid w:val="00A97EE2"/>
    <w:rsid w:val="00AA5403"/>
    <w:rsid w:val="00AB1310"/>
    <w:rsid w:val="00AB477F"/>
    <w:rsid w:val="00AC160D"/>
    <w:rsid w:val="00AC2068"/>
    <w:rsid w:val="00AE0CD4"/>
    <w:rsid w:val="00AE297D"/>
    <w:rsid w:val="00AE6386"/>
    <w:rsid w:val="00AF0348"/>
    <w:rsid w:val="00AF5235"/>
    <w:rsid w:val="00B1129B"/>
    <w:rsid w:val="00B20CC6"/>
    <w:rsid w:val="00B366DD"/>
    <w:rsid w:val="00B374FA"/>
    <w:rsid w:val="00B41711"/>
    <w:rsid w:val="00B50D1D"/>
    <w:rsid w:val="00B51737"/>
    <w:rsid w:val="00B53104"/>
    <w:rsid w:val="00B53912"/>
    <w:rsid w:val="00B53DEB"/>
    <w:rsid w:val="00B567DE"/>
    <w:rsid w:val="00B84B40"/>
    <w:rsid w:val="00B931F6"/>
    <w:rsid w:val="00B94476"/>
    <w:rsid w:val="00BA125D"/>
    <w:rsid w:val="00BA4DBE"/>
    <w:rsid w:val="00BC1AC8"/>
    <w:rsid w:val="00BC5427"/>
    <w:rsid w:val="00BD0B92"/>
    <w:rsid w:val="00BD3FD9"/>
    <w:rsid w:val="00BD4611"/>
    <w:rsid w:val="00BE02AB"/>
    <w:rsid w:val="00BE06C4"/>
    <w:rsid w:val="00BE723C"/>
    <w:rsid w:val="00BE792A"/>
    <w:rsid w:val="00BF41A6"/>
    <w:rsid w:val="00C13F68"/>
    <w:rsid w:val="00C350EB"/>
    <w:rsid w:val="00C362F6"/>
    <w:rsid w:val="00C371FE"/>
    <w:rsid w:val="00C4180E"/>
    <w:rsid w:val="00C44846"/>
    <w:rsid w:val="00C46189"/>
    <w:rsid w:val="00C46668"/>
    <w:rsid w:val="00C476B8"/>
    <w:rsid w:val="00C477DD"/>
    <w:rsid w:val="00C5239F"/>
    <w:rsid w:val="00C62890"/>
    <w:rsid w:val="00C650C7"/>
    <w:rsid w:val="00C7183E"/>
    <w:rsid w:val="00C72C26"/>
    <w:rsid w:val="00C75EA7"/>
    <w:rsid w:val="00C8110A"/>
    <w:rsid w:val="00C8168B"/>
    <w:rsid w:val="00C85CA8"/>
    <w:rsid w:val="00C87EA3"/>
    <w:rsid w:val="00CA458E"/>
    <w:rsid w:val="00CB3EBC"/>
    <w:rsid w:val="00CB5D00"/>
    <w:rsid w:val="00CC2783"/>
    <w:rsid w:val="00CD0897"/>
    <w:rsid w:val="00CD3495"/>
    <w:rsid w:val="00CE0460"/>
    <w:rsid w:val="00CE18C7"/>
    <w:rsid w:val="00CE721F"/>
    <w:rsid w:val="00CF018F"/>
    <w:rsid w:val="00D063CD"/>
    <w:rsid w:val="00D12971"/>
    <w:rsid w:val="00D15F09"/>
    <w:rsid w:val="00D2229A"/>
    <w:rsid w:val="00D277E3"/>
    <w:rsid w:val="00D30356"/>
    <w:rsid w:val="00D42CBA"/>
    <w:rsid w:val="00D54EB0"/>
    <w:rsid w:val="00D6173F"/>
    <w:rsid w:val="00D64A02"/>
    <w:rsid w:val="00D661C8"/>
    <w:rsid w:val="00D70A3E"/>
    <w:rsid w:val="00D73B82"/>
    <w:rsid w:val="00D75848"/>
    <w:rsid w:val="00D83B3E"/>
    <w:rsid w:val="00D875FA"/>
    <w:rsid w:val="00D92751"/>
    <w:rsid w:val="00DA0155"/>
    <w:rsid w:val="00DB1F31"/>
    <w:rsid w:val="00DB372F"/>
    <w:rsid w:val="00DB3A8B"/>
    <w:rsid w:val="00DD790E"/>
    <w:rsid w:val="00DF0210"/>
    <w:rsid w:val="00DF4C05"/>
    <w:rsid w:val="00DF4E3A"/>
    <w:rsid w:val="00E0120D"/>
    <w:rsid w:val="00E03B94"/>
    <w:rsid w:val="00E051E4"/>
    <w:rsid w:val="00E1192D"/>
    <w:rsid w:val="00E130CF"/>
    <w:rsid w:val="00E211B4"/>
    <w:rsid w:val="00E25EA6"/>
    <w:rsid w:val="00E278D5"/>
    <w:rsid w:val="00E32D50"/>
    <w:rsid w:val="00E33507"/>
    <w:rsid w:val="00E413F4"/>
    <w:rsid w:val="00E5298A"/>
    <w:rsid w:val="00E602A8"/>
    <w:rsid w:val="00E63F4A"/>
    <w:rsid w:val="00E63F6A"/>
    <w:rsid w:val="00E665B5"/>
    <w:rsid w:val="00E748F3"/>
    <w:rsid w:val="00E7672D"/>
    <w:rsid w:val="00E81C1D"/>
    <w:rsid w:val="00E81D65"/>
    <w:rsid w:val="00E8223F"/>
    <w:rsid w:val="00E86BC6"/>
    <w:rsid w:val="00E87919"/>
    <w:rsid w:val="00E87A19"/>
    <w:rsid w:val="00E94661"/>
    <w:rsid w:val="00EB5775"/>
    <w:rsid w:val="00EC24C0"/>
    <w:rsid w:val="00EE3EC1"/>
    <w:rsid w:val="00EF3B09"/>
    <w:rsid w:val="00EF3BCB"/>
    <w:rsid w:val="00F12E50"/>
    <w:rsid w:val="00F1706E"/>
    <w:rsid w:val="00F21813"/>
    <w:rsid w:val="00F22AAA"/>
    <w:rsid w:val="00F26667"/>
    <w:rsid w:val="00F26AA2"/>
    <w:rsid w:val="00F42537"/>
    <w:rsid w:val="00F46669"/>
    <w:rsid w:val="00F51887"/>
    <w:rsid w:val="00F5548E"/>
    <w:rsid w:val="00F578E0"/>
    <w:rsid w:val="00F61CAF"/>
    <w:rsid w:val="00F62BB3"/>
    <w:rsid w:val="00F631BF"/>
    <w:rsid w:val="00F65945"/>
    <w:rsid w:val="00F71803"/>
    <w:rsid w:val="00F7376F"/>
    <w:rsid w:val="00F744B3"/>
    <w:rsid w:val="00F85A9E"/>
    <w:rsid w:val="00F8616B"/>
    <w:rsid w:val="00F90878"/>
    <w:rsid w:val="00FA1D5F"/>
    <w:rsid w:val="00FA4602"/>
    <w:rsid w:val="00FA7CB4"/>
    <w:rsid w:val="00FB0057"/>
    <w:rsid w:val="00FC10C8"/>
    <w:rsid w:val="00FC3667"/>
    <w:rsid w:val="00FC4EB1"/>
    <w:rsid w:val="00FC59D1"/>
    <w:rsid w:val="00FC69A9"/>
    <w:rsid w:val="00FC7CD7"/>
    <w:rsid w:val="00FD288D"/>
    <w:rsid w:val="00FD3E75"/>
    <w:rsid w:val="00FD3E7B"/>
    <w:rsid w:val="00FE5294"/>
    <w:rsid w:val="00FE6160"/>
    <w:rsid w:val="00FE7D4E"/>
    <w:rsid w:val="00FF20E8"/>
    <w:rsid w:val="00FF2F50"/>
    <w:rsid w:val="05B1508B"/>
    <w:rsid w:val="06E70C77"/>
    <w:rsid w:val="09700AC9"/>
    <w:rsid w:val="0A596310"/>
    <w:rsid w:val="0B9309EC"/>
    <w:rsid w:val="0C0F63E1"/>
    <w:rsid w:val="0F522EBA"/>
    <w:rsid w:val="124428D1"/>
    <w:rsid w:val="1BDC1C91"/>
    <w:rsid w:val="1C653F5D"/>
    <w:rsid w:val="1C7036AE"/>
    <w:rsid w:val="1E4D5186"/>
    <w:rsid w:val="24095BCB"/>
    <w:rsid w:val="284A6D89"/>
    <w:rsid w:val="2917185C"/>
    <w:rsid w:val="2FD90F2C"/>
    <w:rsid w:val="315F2822"/>
    <w:rsid w:val="32E32294"/>
    <w:rsid w:val="33F21286"/>
    <w:rsid w:val="39786724"/>
    <w:rsid w:val="40E37E3F"/>
    <w:rsid w:val="42AC7AF0"/>
    <w:rsid w:val="431A094E"/>
    <w:rsid w:val="47C92747"/>
    <w:rsid w:val="490F174E"/>
    <w:rsid w:val="492749D0"/>
    <w:rsid w:val="4C264EE0"/>
    <w:rsid w:val="4FE957B3"/>
    <w:rsid w:val="517351D4"/>
    <w:rsid w:val="52A261EC"/>
    <w:rsid w:val="52FA2EE6"/>
    <w:rsid w:val="55E831AD"/>
    <w:rsid w:val="57CE3A0A"/>
    <w:rsid w:val="5AE836FE"/>
    <w:rsid w:val="5B811C3B"/>
    <w:rsid w:val="631D26D1"/>
    <w:rsid w:val="732D71DE"/>
    <w:rsid w:val="773C7921"/>
    <w:rsid w:val="77C65C5C"/>
    <w:rsid w:val="79402DFD"/>
    <w:rsid w:val="7CD146CD"/>
    <w:rsid w:val="7CE81F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semiHidden/>
    <w:qFormat/>
    <w:uiPriority w:val="99"/>
    <w:pPr>
      <w:ind w:left="100" w:leftChars="2500"/>
    </w:pPr>
  </w:style>
  <w:style w:type="paragraph" w:styleId="3">
    <w:name w:val="footer"/>
    <w:basedOn w:val="1"/>
    <w:link w:val="9"/>
    <w:uiPriority w:val="99"/>
    <w:pPr>
      <w:tabs>
        <w:tab w:val="center" w:pos="4153"/>
        <w:tab w:val="right" w:pos="8306"/>
      </w:tabs>
      <w:snapToGrid w:val="0"/>
      <w:jc w:val="left"/>
    </w:pPr>
    <w:rPr>
      <w:sz w:val="18"/>
      <w:szCs w:val="18"/>
    </w:rPr>
  </w:style>
  <w:style w:type="paragraph" w:styleId="4">
    <w:name w:val="header"/>
    <w:basedOn w:val="1"/>
    <w:link w:val="11"/>
    <w:semiHidden/>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99"/>
    <w:rPr>
      <w:rFonts w:cs="Times New Roman"/>
    </w:rPr>
  </w:style>
  <w:style w:type="character" w:styleId="8">
    <w:name w:val="Hyperlink"/>
    <w:basedOn w:val="6"/>
    <w:qFormat/>
    <w:uiPriority w:val="99"/>
    <w:rPr>
      <w:rFonts w:cs="Times New Roman"/>
      <w:color w:val="0000FF"/>
      <w:u w:val="single"/>
    </w:rPr>
  </w:style>
  <w:style w:type="character" w:customStyle="1" w:styleId="9">
    <w:name w:val="Footer Char"/>
    <w:basedOn w:val="6"/>
    <w:link w:val="3"/>
    <w:semiHidden/>
    <w:qFormat/>
    <w:locked/>
    <w:uiPriority w:val="99"/>
    <w:rPr>
      <w:rFonts w:ascii="Calibri" w:hAnsi="Calibri" w:eastAsia="宋体" w:cs="Times New Roman"/>
      <w:sz w:val="18"/>
      <w:szCs w:val="18"/>
    </w:rPr>
  </w:style>
  <w:style w:type="paragraph" w:customStyle="1" w:styleId="10">
    <w:name w:val="Char Char Char Char Char Char Char"/>
    <w:basedOn w:val="1"/>
    <w:qFormat/>
    <w:uiPriority w:val="99"/>
    <w:pPr>
      <w:widowControl/>
      <w:spacing w:after="160" w:line="240" w:lineRule="exact"/>
      <w:jc w:val="left"/>
    </w:pPr>
    <w:rPr>
      <w:rFonts w:ascii="Verdana" w:hAnsi="Verdana" w:eastAsia="仿宋_GB2312"/>
      <w:kern w:val="0"/>
      <w:sz w:val="24"/>
      <w:szCs w:val="20"/>
      <w:lang w:eastAsia="en-US"/>
    </w:rPr>
  </w:style>
  <w:style w:type="character" w:customStyle="1" w:styleId="11">
    <w:name w:val="Header Char"/>
    <w:basedOn w:val="6"/>
    <w:link w:val="4"/>
    <w:semiHidden/>
    <w:qFormat/>
    <w:locked/>
    <w:uiPriority w:val="99"/>
    <w:rPr>
      <w:rFonts w:cs="Times New Roman"/>
      <w:kern w:val="2"/>
      <w:sz w:val="18"/>
      <w:szCs w:val="18"/>
    </w:rPr>
  </w:style>
  <w:style w:type="character" w:customStyle="1" w:styleId="12">
    <w:name w:val="Date Char"/>
    <w:basedOn w:val="6"/>
    <w:link w:val="2"/>
    <w:semiHidden/>
    <w:qFormat/>
    <w:locked/>
    <w:uiPriority w:val="99"/>
    <w:rPr>
      <w:rFonts w:cs="Times New Roman"/>
      <w:kern w:val="2"/>
      <w:sz w:val="22"/>
      <w:szCs w:val="22"/>
    </w:rPr>
  </w:style>
  <w:style w:type="paragraph" w:styleId="13">
    <w:name w:val="List Paragraph"/>
    <w:basedOn w:val="1"/>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9</Pages>
  <Words>3412</Words>
  <Characters>3481</Characters>
  <Lines>0</Lines>
  <Paragraphs>0</Paragraphs>
  <TotalTime>36</TotalTime>
  <ScaleCrop>false</ScaleCrop>
  <LinksUpToDate>false</LinksUpToDate>
  <CharactersWithSpaces>3581</CharactersWithSpaces>
  <Application>WPS Office_11.1.0.12353_F1E327BC-269C-435d-A152-05C5408002CA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2019-02-28T07:56:00Z</dcterms:created>
  <dc:creator>Administrator</dc:creator>
  <cp:lastModifiedBy>~静</cp:lastModifiedBy>
  <cp:lastPrinted>2021-12-27T02:27:00Z</cp:lastPrinted>
  <dcterms:modified xsi:type="dcterms:W3CDTF">2022-09-05T02:25:35Z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2052-11.1.0.12353</vt:lpwstr>
  </property>
  <property fmtid="{D5CDD505-2E9C-101B-9397-08002B2CF9AE}" pid="3" name="ICV">
    <vt:lpwstr>67B414295CED44ECBB6A75602624DA80</vt:lpwstr>
  </property>
</Properties>
</file>